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61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18.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41.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52.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651.xml" ContentType="application/vnd.openxmlformats-officedocument.wordprocessingml.footer+xml"/>
  <Override PartName="/word/footer65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65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656.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657.xml" ContentType="application/vnd.openxmlformats-officedocument.wordprocessingml.footer+xml"/>
  <Override PartName="/word/footer354.xml" ContentType="application/vnd.openxmlformats-officedocument.wordprocessingml.footer+xml"/>
  <Override PartName="/word/footer658.xml" ContentType="application/vnd.openxmlformats-officedocument.wordprocessingml.footer+xml"/>
  <Override PartName="/word/footer355.xml" ContentType="application/vnd.openxmlformats-officedocument.wordprocessingml.footer+xml"/>
  <Override PartName="/word/footer5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مفتاح الهدایة فی شرح تحریرالوسیلة کتاب القضاء</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54409_3650668749">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354411_3650668749">
            <w:r>
              <w:rPr>
                <w:webHidden/>
                <w:rStyle w:val="IndexLink"/>
                <w:rtl w:val="true"/>
              </w:rPr>
              <w:t>مقدّمة الناشر</w:t>
            </w:r>
            <w:r>
              <w:rPr>
                <w:rStyle w:val="IndexLink"/>
                <w:rtl w:val="true"/>
              </w:rPr>
              <w:tab/>
            </w:r>
            <w:r>
              <w:rPr>
                <w:rStyle w:val="IndexLink"/>
              </w:rPr>
              <w:t>9</w:t>
            </w:r>
          </w:hyperlink>
        </w:p>
        <w:p>
          <w:pPr>
            <w:pStyle w:val="Contents2"/>
            <w:tabs>
              <w:tab w:val="clear" w:pos="8743"/>
              <w:tab w:val="right" w:pos="9026" w:leader="dot"/>
            </w:tabs>
            <w:rPr/>
          </w:pPr>
          <w:hyperlink w:anchor="__RefHeading___Toc2354413_3650668749">
            <w:r>
              <w:rPr>
                <w:webHidden/>
                <w:rStyle w:val="IndexLink"/>
                <w:rtl w:val="true"/>
              </w:rPr>
              <w:t>مقدّمة المؤلّف‌</w:t>
            </w:r>
            <w:r>
              <w:rPr>
                <w:rStyle w:val="IndexLink"/>
                <w:rtl w:val="true"/>
              </w:rPr>
              <w:tab/>
            </w:r>
            <w:r>
              <w:rPr>
                <w:rStyle w:val="IndexLink"/>
              </w:rPr>
              <w:t>10</w:t>
            </w:r>
          </w:hyperlink>
        </w:p>
        <w:p>
          <w:pPr>
            <w:pStyle w:val="Contents2"/>
            <w:tabs>
              <w:tab w:val="clear" w:pos="8743"/>
              <w:tab w:val="right" w:pos="9026" w:leader="dot"/>
            </w:tabs>
            <w:rPr/>
          </w:pPr>
          <w:hyperlink w:anchor="__RefHeading___Toc2354415_3650668749">
            <w:r>
              <w:rPr>
                <w:webHidden/>
                <w:rStyle w:val="IndexLink"/>
                <w:rtl w:val="true"/>
              </w:rPr>
              <w:t>كتاب القضاء</w:t>
            </w:r>
            <w:r>
              <w:rPr>
                <w:rStyle w:val="IndexLink"/>
                <w:rtl w:val="true"/>
              </w:rPr>
              <w:tab/>
            </w:r>
            <w:r>
              <w:rPr>
                <w:rStyle w:val="IndexLink"/>
              </w:rPr>
              <w:t>13</w:t>
            </w:r>
          </w:hyperlink>
        </w:p>
        <w:p>
          <w:pPr>
            <w:pStyle w:val="Contents3"/>
            <w:tabs>
              <w:tab w:val="clear" w:pos="8459"/>
              <w:tab w:val="right" w:pos="9026" w:leader="dot"/>
            </w:tabs>
            <w:rPr/>
          </w:pPr>
          <w:hyperlink w:anchor="__RefHeading___Toc2354417_3650668749">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2354419_3650668749">
            <w:r>
              <w:rPr>
                <w:webHidden/>
                <w:rStyle w:val="IndexLink"/>
                <w:rtl w:val="true"/>
              </w:rPr>
              <w:t>[</w:t>
            </w:r>
            <w:r>
              <w:rPr>
                <w:rStyle w:val="IndexLink"/>
                <w:rtl w:val="true"/>
              </w:rPr>
              <w:t>القضاء</w:t>
            </w:r>
            <w:r>
              <w:rPr>
                <w:rStyle w:val="IndexLink"/>
                <w:rtl w:val="true"/>
              </w:rPr>
              <w:t>]</w:t>
              <w:tab/>
            </w:r>
            <w:r>
              <w:rPr>
                <w:rStyle w:val="IndexLink"/>
              </w:rPr>
              <w:t>14</w:t>
            </w:r>
          </w:hyperlink>
        </w:p>
        <w:p>
          <w:pPr>
            <w:pStyle w:val="Contents4"/>
            <w:tabs>
              <w:tab w:val="clear" w:pos="8176"/>
              <w:tab w:val="right" w:pos="9026" w:leader="dot"/>
            </w:tabs>
            <w:rPr/>
          </w:pPr>
          <w:hyperlink w:anchor="__RefHeading___Toc2354421_3650668749">
            <w:r>
              <w:rPr>
                <w:webHidden/>
                <w:rStyle w:val="IndexLink"/>
                <w:rtl w:val="true"/>
              </w:rPr>
              <w:t>معنى القضاء</w:t>
            </w:r>
            <w:r>
              <w:rPr>
                <w:rStyle w:val="IndexLink"/>
                <w:rtl w:val="true"/>
              </w:rPr>
              <w:tab/>
            </w:r>
            <w:r>
              <w:rPr>
                <w:rStyle w:val="IndexLink"/>
              </w:rPr>
              <w:t>14</w:t>
            </w:r>
          </w:hyperlink>
        </w:p>
        <w:p>
          <w:pPr>
            <w:pStyle w:val="Contents4"/>
            <w:tabs>
              <w:tab w:val="clear" w:pos="8176"/>
              <w:tab w:val="right" w:pos="9026" w:leader="dot"/>
            </w:tabs>
            <w:rPr/>
          </w:pPr>
          <w:hyperlink w:anchor="__RefHeading___Toc2354423_3650668749">
            <w:r>
              <w:rPr>
                <w:webHidden/>
                <w:rStyle w:val="IndexLink"/>
                <w:rtl w:val="true"/>
              </w:rPr>
              <w:t>تحديد المعنى الاصطلاحي للقضاء</w:t>
            </w:r>
            <w:r>
              <w:rPr>
                <w:rStyle w:val="IndexLink"/>
                <w:rtl w:val="true"/>
              </w:rPr>
              <w:tab/>
            </w:r>
            <w:r>
              <w:rPr>
                <w:rStyle w:val="IndexLink"/>
              </w:rPr>
              <w:t>16</w:t>
            </w:r>
          </w:hyperlink>
        </w:p>
        <w:p>
          <w:pPr>
            <w:pStyle w:val="Contents4"/>
            <w:tabs>
              <w:tab w:val="clear" w:pos="8176"/>
              <w:tab w:val="right" w:pos="9026" w:leader="dot"/>
            </w:tabs>
            <w:rPr/>
          </w:pPr>
          <w:hyperlink w:anchor="__RefHeading___Toc2354425_3650668749">
            <w:r>
              <w:rPr>
                <w:webHidden/>
                <w:rStyle w:val="IndexLink"/>
                <w:rtl w:val="true"/>
              </w:rPr>
              <w:t>المختار في تعريف القضاء</w:t>
            </w:r>
            <w:r>
              <w:rPr>
                <w:rStyle w:val="IndexLink"/>
                <w:rtl w:val="true"/>
              </w:rPr>
              <w:tab/>
            </w:r>
            <w:r>
              <w:rPr>
                <w:rStyle w:val="IndexLink"/>
              </w:rPr>
              <w:t>18</w:t>
            </w:r>
          </w:hyperlink>
        </w:p>
        <w:p>
          <w:pPr>
            <w:pStyle w:val="Contents4"/>
            <w:tabs>
              <w:tab w:val="clear" w:pos="8176"/>
              <w:tab w:val="right" w:pos="9026" w:leader="dot"/>
            </w:tabs>
            <w:rPr/>
          </w:pPr>
          <w:hyperlink w:anchor="__RefHeading___Toc2354427_3650668749">
            <w:r>
              <w:rPr>
                <w:webHidden/>
                <w:rStyle w:val="IndexLink"/>
                <w:rtl w:val="true"/>
              </w:rPr>
              <w:t>آثار حكم القاضي‌</w:t>
            </w:r>
            <w:r>
              <w:rPr>
                <w:rStyle w:val="IndexLink"/>
                <w:rtl w:val="true"/>
              </w:rPr>
              <w:tab/>
            </w:r>
            <w:r>
              <w:rPr>
                <w:rStyle w:val="IndexLink"/>
              </w:rPr>
              <w:t>18</w:t>
            </w:r>
          </w:hyperlink>
        </w:p>
        <w:p>
          <w:pPr>
            <w:pStyle w:val="Contents4"/>
            <w:tabs>
              <w:tab w:val="clear" w:pos="8176"/>
              <w:tab w:val="right" w:pos="9026" w:leader="dot"/>
            </w:tabs>
            <w:rPr/>
          </w:pPr>
          <w:hyperlink w:anchor="__RefHeading___Toc2354429_3650668749">
            <w:r>
              <w:rPr>
                <w:webHidden/>
                <w:rStyle w:val="IndexLink"/>
                <w:rtl w:val="true"/>
              </w:rPr>
              <w:t>الفرق بين الفتوى والحكم‌</w:t>
            </w:r>
            <w:r>
              <w:rPr>
                <w:rStyle w:val="IndexLink"/>
                <w:rtl w:val="true"/>
              </w:rPr>
              <w:tab/>
            </w:r>
            <w:r>
              <w:rPr>
                <w:rStyle w:val="IndexLink"/>
              </w:rPr>
              <w:t>19</w:t>
            </w:r>
          </w:hyperlink>
        </w:p>
        <w:p>
          <w:pPr>
            <w:pStyle w:val="Contents4"/>
            <w:tabs>
              <w:tab w:val="clear" w:pos="8176"/>
              <w:tab w:val="right" w:pos="9026" w:leader="dot"/>
            </w:tabs>
            <w:rPr/>
          </w:pPr>
          <w:hyperlink w:anchor="__RefHeading___Toc2354431_3650668749">
            <w:r>
              <w:rPr>
                <w:webHidden/>
                <w:rStyle w:val="IndexLink"/>
                <w:rtl w:val="true"/>
              </w:rPr>
              <w:t xml:space="preserve">ثبوت الرئاسة العامّة للنبيّ </w:t>
            </w:r>
            <w:r>
              <w:rPr>
                <w:rStyle w:val="IndexLink"/>
                <w:rtl w:val="true"/>
              </w:rPr>
              <w:t>(</w:t>
            </w:r>
            <w:r>
              <w:rPr>
                <w:rStyle w:val="IndexLink"/>
                <w:rtl w:val="true"/>
              </w:rPr>
              <w:t>ص</w:t>
            </w:r>
            <w:r>
              <w:rPr>
                <w:rStyle w:val="IndexLink"/>
                <w:rtl w:val="true"/>
              </w:rPr>
              <w:t xml:space="preserve">) </w:t>
            </w:r>
            <w:r>
              <w:rPr>
                <w:rStyle w:val="IndexLink"/>
                <w:rtl w:val="true"/>
              </w:rPr>
              <w:t xml:space="preserve">والأئمّة </w:t>
            </w:r>
            <w:r>
              <w:rPr>
                <w:rStyle w:val="IndexLink"/>
                <w:rtl w:val="true"/>
              </w:rPr>
              <w:t>(</w:t>
            </w:r>
            <w:r>
              <w:rPr>
                <w:rStyle w:val="IndexLink"/>
                <w:rtl w:val="true"/>
              </w:rPr>
              <w:t>عليهم السلام</w:t>
            </w:r>
            <w:r>
              <w:rPr>
                <w:rStyle w:val="IndexLink"/>
                <w:rtl w:val="true"/>
              </w:rPr>
              <w:t>)</w:t>
              <w:tab/>
            </w:r>
            <w:r>
              <w:rPr>
                <w:rStyle w:val="IndexLink"/>
              </w:rPr>
              <w:t>20</w:t>
            </w:r>
          </w:hyperlink>
        </w:p>
        <w:p>
          <w:pPr>
            <w:pStyle w:val="Contents4"/>
            <w:tabs>
              <w:tab w:val="clear" w:pos="8176"/>
              <w:tab w:val="right" w:pos="9026" w:leader="dot"/>
            </w:tabs>
            <w:rPr/>
          </w:pPr>
          <w:hyperlink w:anchor="__RefHeading___Toc2354433_3650668749">
            <w:r>
              <w:rPr>
                <w:webHidden/>
                <w:rStyle w:val="IndexLink"/>
                <w:rtl w:val="true"/>
              </w:rPr>
              <w:t xml:space="preserve">ملاحظة تطبيقي فيما قال به السيّد الإمام </w:t>
            </w:r>
            <w:r>
              <w:rPr>
                <w:rStyle w:val="IndexLink"/>
                <w:rtl w:val="true"/>
              </w:rPr>
              <w:t>(</w:t>
            </w:r>
            <w:r>
              <w:rPr>
                <w:rStyle w:val="IndexLink"/>
                <w:rtl w:val="true"/>
              </w:rPr>
              <w:t>ره</w:t>
            </w:r>
            <w:r>
              <w:rPr>
                <w:rStyle w:val="IndexLink"/>
                <w:rtl w:val="true"/>
              </w:rPr>
              <w:t xml:space="preserve">) </w:t>
            </w:r>
            <w:r>
              <w:rPr>
                <w:rStyle w:val="IndexLink"/>
                <w:rtl w:val="true"/>
              </w:rPr>
              <w:t>وبعض الفقهاء</w:t>
            </w:r>
            <w:r>
              <w:rPr>
                <w:rStyle w:val="IndexLink"/>
                <w:rtl w:val="true"/>
              </w:rPr>
              <w:tab/>
            </w:r>
            <w:r>
              <w:rPr>
                <w:rStyle w:val="IndexLink"/>
              </w:rPr>
              <w:t>22</w:t>
            </w:r>
          </w:hyperlink>
        </w:p>
        <w:p>
          <w:pPr>
            <w:pStyle w:val="Contents4"/>
            <w:tabs>
              <w:tab w:val="clear" w:pos="8176"/>
              <w:tab w:val="right" w:pos="9026" w:leader="dot"/>
            </w:tabs>
            <w:rPr/>
          </w:pPr>
          <w:hyperlink w:anchor="__RefHeading___Toc2354435_3650668749">
            <w:r>
              <w:rPr>
                <w:webHidden/>
                <w:rStyle w:val="IndexLink"/>
                <w:rtl w:val="true"/>
              </w:rPr>
              <w:t>دليل ثبوت القضاء للفقهاء والمجتهدين‌</w:t>
            </w:r>
            <w:r>
              <w:rPr>
                <w:rStyle w:val="IndexLink"/>
                <w:rtl w:val="true"/>
              </w:rPr>
              <w:tab/>
            </w:r>
            <w:r>
              <w:rPr>
                <w:rStyle w:val="IndexLink"/>
              </w:rPr>
              <w:t>22</w:t>
            </w:r>
          </w:hyperlink>
        </w:p>
        <w:p>
          <w:pPr>
            <w:pStyle w:val="Contents4"/>
            <w:tabs>
              <w:tab w:val="clear" w:pos="8176"/>
              <w:tab w:val="right" w:pos="9026" w:leader="dot"/>
            </w:tabs>
            <w:rPr/>
          </w:pPr>
          <w:hyperlink w:anchor="__RefHeading___Toc2354437_3650668749">
            <w:r>
              <w:rPr>
                <w:webHidden/>
                <w:rStyle w:val="IndexLink"/>
                <w:rtl w:val="true"/>
              </w:rPr>
              <w:t>الوجه في نصب الفقهاء بالنصب العامّ‌</w:t>
            </w:r>
            <w:r>
              <w:rPr>
                <w:rStyle w:val="IndexLink"/>
                <w:rtl w:val="true"/>
              </w:rPr>
              <w:tab/>
            </w:r>
            <w:r>
              <w:rPr>
                <w:rStyle w:val="IndexLink"/>
              </w:rPr>
              <w:t>24</w:t>
            </w:r>
          </w:hyperlink>
        </w:p>
        <w:p>
          <w:pPr>
            <w:pStyle w:val="Contents4"/>
            <w:tabs>
              <w:tab w:val="clear" w:pos="8176"/>
              <w:tab w:val="right" w:pos="9026" w:leader="dot"/>
            </w:tabs>
            <w:rPr/>
          </w:pPr>
          <w:hyperlink w:anchor="__RefHeading___Toc2354439_3650668749">
            <w:r>
              <w:rPr>
                <w:webHidden/>
                <w:rStyle w:val="IndexLink"/>
                <w:rtl w:val="true"/>
              </w:rPr>
              <w:t>عدم جواز استقلال القاضي بالقضاء عند قيام الحكومة الإسلامية</w:t>
            </w:r>
            <w:r>
              <w:rPr>
                <w:rStyle w:val="IndexLink"/>
                <w:rtl w:val="true"/>
              </w:rPr>
              <w:tab/>
            </w:r>
            <w:r>
              <w:rPr>
                <w:rStyle w:val="IndexLink"/>
              </w:rPr>
              <w:t>25</w:t>
            </w:r>
          </w:hyperlink>
        </w:p>
        <w:p>
          <w:pPr>
            <w:pStyle w:val="Contents4"/>
            <w:tabs>
              <w:tab w:val="clear" w:pos="8176"/>
              <w:tab w:val="right" w:pos="9026" w:leader="dot"/>
            </w:tabs>
            <w:rPr/>
          </w:pPr>
          <w:hyperlink w:anchor="__RefHeading___Toc2354441_3650668749">
            <w:r>
              <w:rPr>
                <w:webHidden/>
                <w:rStyle w:val="IndexLink"/>
                <w:rtl w:val="true"/>
              </w:rPr>
              <w:t>كلام تطبيقي مع دستور الجمهورية الإسلامية في إيران‌</w:t>
            </w:r>
            <w:r>
              <w:rPr>
                <w:rStyle w:val="IndexLink"/>
                <w:rtl w:val="true"/>
              </w:rPr>
              <w:tab/>
            </w:r>
            <w:r>
              <w:rPr>
                <w:rStyle w:val="IndexLink"/>
              </w:rPr>
              <w:t>26</w:t>
            </w:r>
          </w:hyperlink>
        </w:p>
        <w:p>
          <w:pPr>
            <w:pStyle w:val="Contents4"/>
            <w:tabs>
              <w:tab w:val="clear" w:pos="8176"/>
              <w:tab w:val="right" w:pos="9026" w:leader="dot"/>
            </w:tabs>
            <w:rPr/>
          </w:pPr>
          <w:hyperlink w:anchor="__RefHeading___Toc2354443_3650668749">
            <w:r>
              <w:rPr>
                <w:webHidden/>
                <w:rStyle w:val="IndexLink"/>
                <w:rtl w:val="true"/>
              </w:rPr>
              <w:t>الروايات الواردة في القضاء نفياً وإثباتاً</w:t>
            </w:r>
            <w:r>
              <w:rPr>
                <w:rStyle w:val="IndexLink"/>
                <w:rtl w:val="true"/>
              </w:rPr>
              <w:tab/>
            </w:r>
            <w:r>
              <w:rPr>
                <w:rStyle w:val="IndexLink"/>
              </w:rPr>
              <w:t>28</w:t>
            </w:r>
          </w:hyperlink>
        </w:p>
        <w:p>
          <w:pPr>
            <w:pStyle w:val="Contents5"/>
            <w:tabs>
              <w:tab w:val="clear" w:pos="7892"/>
              <w:tab w:val="right" w:pos="9026" w:leader="dot"/>
            </w:tabs>
            <w:rPr/>
          </w:pPr>
          <w:hyperlink w:anchor="__RefHeading___Toc2354445_3650668749">
            <w:r>
              <w:rPr>
                <w:webHidden/>
                <w:rStyle w:val="IndexLink"/>
                <w:rtl w:val="true"/>
              </w:rPr>
              <w:t>اشارة</w:t>
            </w:r>
            <w:r>
              <w:rPr>
                <w:rStyle w:val="IndexLink"/>
                <w:rtl w:val="true"/>
              </w:rPr>
              <w:tab/>
            </w:r>
            <w:r>
              <w:rPr>
                <w:rStyle w:val="IndexLink"/>
              </w:rPr>
              <w:t>28</w:t>
            </w:r>
          </w:hyperlink>
        </w:p>
        <w:p>
          <w:pPr>
            <w:pStyle w:val="Contents5"/>
            <w:tabs>
              <w:tab w:val="clear" w:pos="7892"/>
              <w:tab w:val="right" w:pos="9026" w:leader="dot"/>
            </w:tabs>
            <w:rPr/>
          </w:pPr>
          <w:hyperlink w:anchor="__RefHeading___Toc2354447_3650668749">
            <w:r>
              <w:rPr>
                <w:webHidden/>
                <w:rStyle w:val="IndexLink"/>
                <w:rtl w:val="true"/>
              </w:rPr>
              <w:t>الجمع بين الطائفتين من الروايات‌</w:t>
            </w:r>
            <w:r>
              <w:rPr>
                <w:rStyle w:val="IndexLink"/>
                <w:rtl w:val="true"/>
              </w:rPr>
              <w:tab/>
            </w:r>
            <w:r>
              <w:rPr>
                <w:rStyle w:val="IndexLink"/>
              </w:rPr>
              <w:t>30</w:t>
            </w:r>
          </w:hyperlink>
        </w:p>
        <w:p>
          <w:pPr>
            <w:pStyle w:val="Contents4"/>
            <w:tabs>
              <w:tab w:val="clear" w:pos="8176"/>
              <w:tab w:val="right" w:pos="9026" w:leader="dot"/>
            </w:tabs>
            <w:rPr/>
          </w:pPr>
          <w:hyperlink w:anchor="__RefHeading___Toc2354449_3650668749">
            <w:r>
              <w:rPr>
                <w:webHidden/>
                <w:rStyle w:val="IndexLink"/>
                <w:rtl w:val="true"/>
              </w:rPr>
              <w:t>فروع في حكم القضاء التكليفي‌</w:t>
            </w:r>
            <w:r>
              <w:rPr>
                <w:rStyle w:val="IndexLink"/>
                <w:rtl w:val="true"/>
              </w:rPr>
              <w:tab/>
            </w:r>
            <w:r>
              <w:rPr>
                <w:rStyle w:val="IndexLink"/>
              </w:rPr>
              <w:t>32</w:t>
            </w:r>
          </w:hyperlink>
        </w:p>
        <w:p>
          <w:pPr>
            <w:pStyle w:val="Contents4"/>
            <w:tabs>
              <w:tab w:val="clear" w:pos="8176"/>
              <w:tab w:val="right" w:pos="9026" w:leader="dot"/>
            </w:tabs>
            <w:rPr/>
          </w:pPr>
          <w:hyperlink w:anchor="__RefHeading___Toc2354451_3650668749">
            <w:r>
              <w:rPr>
                <w:webHidden/>
                <w:rStyle w:val="IndexLink"/>
                <w:rtl w:val="true"/>
              </w:rPr>
              <w:t>حرمة الترافع إلى قضاة الجور</w:t>
            </w:r>
            <w:r>
              <w:rPr>
                <w:rStyle w:val="IndexLink"/>
                <w:rtl w:val="true"/>
              </w:rPr>
              <w:tab/>
            </w:r>
            <w:r>
              <w:rPr>
                <w:rStyle w:val="IndexLink"/>
              </w:rPr>
              <w:t>38</w:t>
            </w:r>
          </w:hyperlink>
        </w:p>
        <w:p>
          <w:pPr>
            <w:pStyle w:val="Contents5"/>
            <w:tabs>
              <w:tab w:val="clear" w:pos="7892"/>
              <w:tab w:val="right" w:pos="9026" w:leader="dot"/>
            </w:tabs>
            <w:rPr/>
          </w:pPr>
          <w:hyperlink w:anchor="__RefHeading___Toc2354453_3650668749">
            <w:r>
              <w:rPr>
                <w:webHidden/>
                <w:rStyle w:val="IndexLink"/>
                <w:rtl w:val="true"/>
              </w:rPr>
              <w:t>اشارة</w:t>
            </w:r>
            <w:r>
              <w:rPr>
                <w:rStyle w:val="IndexLink"/>
                <w:rtl w:val="true"/>
              </w:rPr>
              <w:tab/>
            </w:r>
            <w:r>
              <w:rPr>
                <w:rStyle w:val="IndexLink"/>
              </w:rPr>
              <w:t>38</w:t>
            </w:r>
          </w:hyperlink>
        </w:p>
        <w:p>
          <w:pPr>
            <w:pStyle w:val="Contents5"/>
            <w:tabs>
              <w:tab w:val="clear" w:pos="7892"/>
              <w:tab w:val="right" w:pos="9026" w:leader="dot"/>
            </w:tabs>
            <w:rPr/>
          </w:pPr>
          <w:hyperlink w:anchor="__RefHeading___Toc2354455_3650668749">
            <w:r>
              <w:rPr>
                <w:webHidden/>
                <w:rStyle w:val="IndexLink"/>
                <w:rtl w:val="true"/>
              </w:rPr>
              <w:t>متى يحرم الترافع إلى قضاة الجور؟</w:t>
            </w:r>
            <w:r>
              <w:rPr>
                <w:rStyle w:val="IndexLink"/>
                <w:rtl w:val="true"/>
              </w:rPr>
              <w:tab/>
            </w:r>
            <w:r>
              <w:rPr>
                <w:rStyle w:val="IndexLink"/>
              </w:rPr>
              <w:t>42</w:t>
            </w:r>
          </w:hyperlink>
        </w:p>
        <w:p>
          <w:pPr>
            <w:pStyle w:val="Contents5"/>
            <w:tabs>
              <w:tab w:val="clear" w:pos="7892"/>
              <w:tab w:val="right" w:pos="9026" w:leader="dot"/>
            </w:tabs>
            <w:rPr/>
          </w:pPr>
          <w:hyperlink w:anchor="__RefHeading___Toc2354457_3650668749">
            <w:r>
              <w:rPr>
                <w:webHidden/>
                <w:rStyle w:val="IndexLink"/>
                <w:rtl w:val="true"/>
              </w:rPr>
              <w:t>ما أخذ بحكم حاكم الجور</w:t>
            </w:r>
            <w:r>
              <w:rPr>
                <w:rStyle w:val="IndexLink"/>
                <w:rtl w:val="true"/>
              </w:rPr>
              <w:tab/>
            </w:r>
            <w:r>
              <w:rPr>
                <w:rStyle w:val="IndexLink"/>
              </w:rPr>
              <w:t>44</w:t>
            </w:r>
          </w:hyperlink>
        </w:p>
        <w:p>
          <w:pPr>
            <w:pStyle w:val="Contents5"/>
            <w:tabs>
              <w:tab w:val="clear" w:pos="7892"/>
              <w:tab w:val="right" w:pos="9026" w:leader="dot"/>
            </w:tabs>
            <w:rPr/>
          </w:pPr>
          <w:hyperlink w:anchor="__RefHeading___Toc2354459_3650668749">
            <w:r>
              <w:rPr>
                <w:webHidden/>
                <w:rStyle w:val="IndexLink"/>
                <w:rtl w:val="true"/>
              </w:rPr>
              <w:t>ما أخذ بحكم من لا أهلية له‌</w:t>
            </w:r>
            <w:r>
              <w:rPr>
                <w:rStyle w:val="IndexLink"/>
                <w:rtl w:val="true"/>
              </w:rPr>
              <w:tab/>
            </w:r>
            <w:r>
              <w:rPr>
                <w:rStyle w:val="IndexLink"/>
              </w:rPr>
              <w:t>46</w:t>
            </w:r>
          </w:hyperlink>
        </w:p>
        <w:p>
          <w:pPr>
            <w:pStyle w:val="Contents4"/>
            <w:tabs>
              <w:tab w:val="clear" w:pos="8176"/>
              <w:tab w:val="right" w:pos="9026" w:leader="dot"/>
            </w:tabs>
            <w:rPr/>
          </w:pPr>
          <w:hyperlink w:anchor="__RefHeading___Toc2354461_3650668749">
            <w:r>
              <w:rPr>
                <w:webHidden/>
                <w:rStyle w:val="IndexLink"/>
                <w:rtl w:val="true"/>
              </w:rPr>
              <w:t>ارتزاق القاضي من بيت المال‌</w:t>
            </w:r>
            <w:r>
              <w:rPr>
                <w:rStyle w:val="IndexLink"/>
                <w:rtl w:val="true"/>
              </w:rPr>
              <w:tab/>
            </w:r>
            <w:r>
              <w:rPr>
                <w:rStyle w:val="IndexLink"/>
              </w:rPr>
              <w:t>47</w:t>
            </w:r>
          </w:hyperlink>
        </w:p>
        <w:p>
          <w:pPr>
            <w:pStyle w:val="Contents5"/>
            <w:tabs>
              <w:tab w:val="clear" w:pos="7892"/>
              <w:tab w:val="right" w:pos="9026" w:leader="dot"/>
            </w:tabs>
            <w:rPr/>
          </w:pPr>
          <w:hyperlink w:anchor="__RefHeading___Toc2354463_3650668749">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2354465_3650668749">
            <w:r>
              <w:rPr>
                <w:webHidden/>
                <w:rStyle w:val="IndexLink"/>
                <w:rtl w:val="true"/>
              </w:rPr>
              <w:t>أخذ الاجرة أو الجعل في القضاء</w:t>
            </w:r>
            <w:r>
              <w:rPr>
                <w:rStyle w:val="IndexLink"/>
                <w:rtl w:val="true"/>
              </w:rPr>
              <w:tab/>
            </w:r>
            <w:r>
              <w:rPr>
                <w:rStyle w:val="IndexLink"/>
              </w:rPr>
              <w:t>52</w:t>
            </w:r>
          </w:hyperlink>
        </w:p>
        <w:p>
          <w:pPr>
            <w:pStyle w:val="Contents5"/>
            <w:tabs>
              <w:tab w:val="clear" w:pos="7892"/>
              <w:tab w:val="right" w:pos="9026" w:leader="dot"/>
            </w:tabs>
            <w:rPr/>
          </w:pPr>
          <w:hyperlink w:anchor="__RefHeading___Toc2354467_3650668749">
            <w:r>
              <w:rPr>
                <w:webHidden/>
                <w:rStyle w:val="IndexLink"/>
                <w:rtl w:val="true"/>
              </w:rPr>
              <w:t>أخذ الاجرة على القضاء من بيت المال‌</w:t>
            </w:r>
            <w:r>
              <w:rPr>
                <w:rStyle w:val="IndexLink"/>
                <w:rtl w:val="true"/>
              </w:rPr>
              <w:tab/>
            </w:r>
            <w:r>
              <w:rPr>
                <w:rStyle w:val="IndexLink"/>
              </w:rPr>
              <w:t>52</w:t>
            </w:r>
          </w:hyperlink>
        </w:p>
        <w:p>
          <w:pPr>
            <w:pStyle w:val="Contents4"/>
            <w:tabs>
              <w:tab w:val="clear" w:pos="8176"/>
              <w:tab w:val="right" w:pos="9026" w:leader="dot"/>
            </w:tabs>
            <w:rPr/>
          </w:pPr>
          <w:hyperlink w:anchor="__RefHeading___Toc2354469_3650668749">
            <w:r>
              <w:rPr>
                <w:webHidden/>
                <w:rStyle w:val="IndexLink"/>
                <w:rtl w:val="true"/>
              </w:rPr>
              <w:t>حاصل الكلام في أخذ الاجرة للقاضي من بيت المال‌</w:t>
            </w:r>
            <w:r>
              <w:rPr>
                <w:rStyle w:val="IndexLink"/>
                <w:rtl w:val="true"/>
              </w:rPr>
              <w:tab/>
            </w:r>
            <w:r>
              <w:rPr>
                <w:rStyle w:val="IndexLink"/>
              </w:rPr>
              <w:t>58</w:t>
            </w:r>
          </w:hyperlink>
        </w:p>
        <w:p>
          <w:pPr>
            <w:pStyle w:val="Contents4"/>
            <w:tabs>
              <w:tab w:val="clear" w:pos="8176"/>
              <w:tab w:val="right" w:pos="9026" w:leader="dot"/>
            </w:tabs>
            <w:rPr/>
          </w:pPr>
          <w:hyperlink w:anchor="__RefHeading___Toc2354471_3650668749">
            <w:r>
              <w:rPr>
                <w:webHidden/>
                <w:rStyle w:val="IndexLink"/>
                <w:rtl w:val="true"/>
              </w:rPr>
              <w:t>جهات في أخذ الرشوة في القضاء</w:t>
            </w:r>
            <w:r>
              <w:rPr>
                <w:rStyle w:val="IndexLink"/>
                <w:rtl w:val="true"/>
              </w:rPr>
              <w:tab/>
            </w:r>
            <w:r>
              <w:rPr>
                <w:rStyle w:val="IndexLink"/>
              </w:rPr>
              <w:t>63</w:t>
            </w:r>
          </w:hyperlink>
        </w:p>
        <w:p>
          <w:pPr>
            <w:pStyle w:val="Contents5"/>
            <w:tabs>
              <w:tab w:val="clear" w:pos="7892"/>
              <w:tab w:val="right" w:pos="9026" w:leader="dot"/>
            </w:tabs>
            <w:rPr/>
          </w:pPr>
          <w:hyperlink w:anchor="__RefHeading___Toc2354473_3650668749">
            <w:r>
              <w:rPr>
                <w:webHidden/>
                <w:rStyle w:val="IndexLink"/>
                <w:rtl w:val="true"/>
              </w:rPr>
              <w:t>اشارة</w:t>
            </w:r>
            <w:r>
              <w:rPr>
                <w:rStyle w:val="IndexLink"/>
                <w:rtl w:val="true"/>
              </w:rPr>
              <w:tab/>
            </w:r>
            <w:r>
              <w:rPr>
                <w:rStyle w:val="IndexLink"/>
              </w:rPr>
              <w:t>63</w:t>
            </w:r>
          </w:hyperlink>
        </w:p>
        <w:p>
          <w:pPr>
            <w:pStyle w:val="Contents5"/>
            <w:tabs>
              <w:tab w:val="clear" w:pos="7892"/>
              <w:tab w:val="right" w:pos="9026" w:leader="dot"/>
            </w:tabs>
            <w:rPr/>
          </w:pPr>
          <w:hyperlink w:anchor="__RefHeading___Toc2354475_3650668749">
            <w:r>
              <w:rPr>
                <w:webHidden/>
                <w:rStyle w:val="IndexLink"/>
                <w:rtl w:val="true"/>
              </w:rPr>
              <w:t>الجهة الاولى</w:t>
            </w:r>
            <w:r>
              <w:rPr>
                <w:rStyle w:val="IndexLink"/>
                <w:rtl w:val="true"/>
              </w:rPr>
              <w:t xml:space="preserve">: </w:t>
            </w:r>
            <w:r>
              <w:rPr>
                <w:rStyle w:val="IndexLink"/>
                <w:rtl w:val="true"/>
              </w:rPr>
              <w:t>في ماهية الرشوة وأنّ الرشوة ما هي؟</w:t>
            </w:r>
            <w:r>
              <w:rPr>
                <w:rStyle w:val="IndexLink"/>
                <w:rtl w:val="true"/>
              </w:rPr>
              <w:tab/>
            </w:r>
            <w:r>
              <w:rPr>
                <w:rStyle w:val="IndexLink"/>
              </w:rPr>
              <w:t>64</w:t>
            </w:r>
          </w:hyperlink>
        </w:p>
        <w:p>
          <w:pPr>
            <w:pStyle w:val="Contents5"/>
            <w:tabs>
              <w:tab w:val="clear" w:pos="7892"/>
              <w:tab w:val="right" w:pos="9026" w:leader="dot"/>
            </w:tabs>
            <w:rPr/>
          </w:pPr>
          <w:hyperlink w:anchor="__RefHeading___Toc2354477_3650668749">
            <w:r>
              <w:rPr>
                <w:webHidden/>
                <w:rStyle w:val="IndexLink"/>
                <w:rtl w:val="true"/>
              </w:rPr>
              <w:t>الجهة الثانية</w:t>
            </w:r>
            <w:r>
              <w:rPr>
                <w:rStyle w:val="IndexLink"/>
                <w:rtl w:val="true"/>
              </w:rPr>
              <w:t xml:space="preserve">: </w:t>
            </w:r>
            <w:r>
              <w:rPr>
                <w:rStyle w:val="IndexLink"/>
                <w:rtl w:val="true"/>
              </w:rPr>
              <w:t>في حكم الرشوة في الإسلام‌</w:t>
            </w:r>
            <w:r>
              <w:rPr>
                <w:rStyle w:val="IndexLink"/>
                <w:rtl w:val="true"/>
              </w:rPr>
              <w:tab/>
            </w:r>
            <w:r>
              <w:rPr>
                <w:rStyle w:val="IndexLink"/>
              </w:rPr>
              <w:t>65</w:t>
            </w:r>
          </w:hyperlink>
        </w:p>
        <w:p>
          <w:pPr>
            <w:pStyle w:val="Contents5"/>
            <w:tabs>
              <w:tab w:val="clear" w:pos="7892"/>
              <w:tab w:val="right" w:pos="9026" w:leader="dot"/>
            </w:tabs>
            <w:rPr/>
          </w:pPr>
          <w:hyperlink w:anchor="__RefHeading___Toc2354479_3650668749">
            <w:r>
              <w:rPr>
                <w:webHidden/>
                <w:rStyle w:val="IndexLink"/>
                <w:rtl w:val="true"/>
              </w:rPr>
              <w:t>الجهة الثالثة</w:t>
            </w:r>
            <w:r>
              <w:rPr>
                <w:rStyle w:val="IndexLink"/>
                <w:rtl w:val="true"/>
              </w:rPr>
              <w:t xml:space="preserve">: </w:t>
            </w:r>
            <w:r>
              <w:rPr>
                <w:rStyle w:val="IndexLink"/>
                <w:rtl w:val="true"/>
              </w:rPr>
              <w:t>في موارد الرشوة ومصاديقها</w:t>
            </w:r>
            <w:r>
              <w:rPr>
                <w:rStyle w:val="IndexLink"/>
                <w:rtl w:val="true"/>
              </w:rPr>
              <w:tab/>
            </w:r>
            <w:r>
              <w:rPr>
                <w:rStyle w:val="IndexLink"/>
              </w:rPr>
              <w:t>70</w:t>
            </w:r>
          </w:hyperlink>
        </w:p>
        <w:p>
          <w:pPr>
            <w:pStyle w:val="Contents5"/>
            <w:tabs>
              <w:tab w:val="clear" w:pos="7892"/>
              <w:tab w:val="right" w:pos="9026" w:leader="dot"/>
            </w:tabs>
            <w:rPr/>
          </w:pPr>
          <w:hyperlink w:anchor="__RefHeading___Toc2354481_3650668749">
            <w:r>
              <w:rPr>
                <w:webHidden/>
                <w:rStyle w:val="IndexLink"/>
                <w:rtl w:val="true"/>
              </w:rPr>
              <w:t>الجهة الرابعة</w:t>
            </w:r>
            <w:r>
              <w:rPr>
                <w:rStyle w:val="IndexLink"/>
                <w:rtl w:val="true"/>
              </w:rPr>
              <w:t xml:space="preserve">: </w:t>
            </w:r>
            <w:r>
              <w:rPr>
                <w:rStyle w:val="IndexLink"/>
                <w:rtl w:val="true"/>
              </w:rPr>
              <w:t>في حكم الهدية ونحوها</w:t>
            </w:r>
            <w:r>
              <w:rPr>
                <w:rStyle w:val="IndexLink"/>
                <w:rtl w:val="true"/>
              </w:rPr>
              <w:tab/>
            </w:r>
            <w:r>
              <w:rPr>
                <w:rStyle w:val="IndexLink"/>
              </w:rPr>
              <w:t>71</w:t>
            </w:r>
          </w:hyperlink>
        </w:p>
        <w:p>
          <w:pPr>
            <w:pStyle w:val="Contents4"/>
            <w:tabs>
              <w:tab w:val="clear" w:pos="8176"/>
              <w:tab w:val="right" w:pos="9026" w:leader="dot"/>
            </w:tabs>
            <w:rPr/>
          </w:pPr>
          <w:hyperlink w:anchor="__RefHeading___Toc2354483_3650668749">
            <w:r>
              <w:rPr>
                <w:webHidden/>
                <w:rStyle w:val="IndexLink"/>
                <w:rtl w:val="true"/>
              </w:rPr>
              <w:t>بقي هنا فرعان‌</w:t>
            </w:r>
            <w:r>
              <w:rPr>
                <w:rStyle w:val="IndexLink"/>
                <w:rtl w:val="true"/>
              </w:rPr>
              <w:tab/>
            </w:r>
            <w:r>
              <w:rPr>
                <w:rStyle w:val="IndexLink"/>
              </w:rPr>
              <w:t>79</w:t>
            </w:r>
          </w:hyperlink>
        </w:p>
        <w:p>
          <w:pPr>
            <w:pStyle w:val="Contents5"/>
            <w:tabs>
              <w:tab w:val="clear" w:pos="7892"/>
              <w:tab w:val="right" w:pos="9026" w:leader="dot"/>
            </w:tabs>
            <w:rPr/>
          </w:pPr>
          <w:hyperlink w:anchor="__RefHeading___Toc2354485_3650668749">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2354487_3650668749">
            <w:r>
              <w:rPr>
                <w:webHidden/>
                <w:rStyle w:val="IndexLink"/>
                <w:rtl w:val="true"/>
              </w:rPr>
              <w:t>الفرع الأوّل</w:t>
            </w:r>
            <w:r>
              <w:rPr>
                <w:rStyle w:val="IndexLink"/>
                <w:rtl w:val="true"/>
              </w:rPr>
              <w:t xml:space="preserve">: </w:t>
            </w:r>
            <w:r>
              <w:rPr>
                <w:rStyle w:val="IndexLink"/>
                <w:rtl w:val="true"/>
              </w:rPr>
              <w:t>في إعطاء الخمس أو الزكاة بعنوان الرشوة</w:t>
            </w:r>
            <w:r>
              <w:rPr>
                <w:rStyle w:val="IndexLink"/>
                <w:rtl w:val="true"/>
              </w:rPr>
              <w:tab/>
            </w:r>
            <w:r>
              <w:rPr>
                <w:rStyle w:val="IndexLink"/>
              </w:rPr>
              <w:t>79</w:t>
            </w:r>
          </w:hyperlink>
        </w:p>
        <w:p>
          <w:pPr>
            <w:pStyle w:val="Contents5"/>
            <w:tabs>
              <w:tab w:val="clear" w:pos="7892"/>
              <w:tab w:val="right" w:pos="9026" w:leader="dot"/>
            </w:tabs>
            <w:rPr/>
          </w:pPr>
          <w:hyperlink w:anchor="__RefHeading___Toc2354489_3650668749">
            <w:r>
              <w:rPr>
                <w:webHidden/>
                <w:rStyle w:val="IndexLink"/>
                <w:rtl w:val="true"/>
              </w:rPr>
              <w:t>الفرع الثاني</w:t>
            </w:r>
            <w:r>
              <w:rPr>
                <w:rStyle w:val="IndexLink"/>
                <w:rtl w:val="true"/>
              </w:rPr>
              <w:t xml:space="preserve">: </w:t>
            </w:r>
            <w:r>
              <w:rPr>
                <w:rStyle w:val="IndexLink"/>
                <w:rtl w:val="true"/>
              </w:rPr>
              <w:t>في انعزال القاضي المرتشي‌</w:t>
            </w:r>
            <w:r>
              <w:rPr>
                <w:rStyle w:val="IndexLink"/>
                <w:rtl w:val="true"/>
              </w:rPr>
              <w:tab/>
            </w:r>
            <w:r>
              <w:rPr>
                <w:rStyle w:val="IndexLink"/>
              </w:rPr>
              <w:t>80</w:t>
            </w:r>
          </w:hyperlink>
        </w:p>
        <w:p>
          <w:pPr>
            <w:pStyle w:val="Contents4"/>
            <w:tabs>
              <w:tab w:val="clear" w:pos="8176"/>
              <w:tab w:val="right" w:pos="9026" w:leader="dot"/>
            </w:tabs>
            <w:rPr/>
          </w:pPr>
          <w:hyperlink w:anchor="__RefHeading___Toc2354491_3650668749">
            <w:r>
              <w:rPr>
                <w:webHidden/>
                <w:rStyle w:val="IndexLink"/>
                <w:rtl w:val="true"/>
              </w:rPr>
              <w:t>شرائط نفوذ حكم القاضي‌</w:t>
            </w:r>
            <w:r>
              <w:rPr>
                <w:rStyle w:val="IndexLink"/>
                <w:rtl w:val="true"/>
              </w:rPr>
              <w:tab/>
            </w:r>
            <w:r>
              <w:rPr>
                <w:rStyle w:val="IndexLink"/>
              </w:rPr>
              <w:t>81</w:t>
            </w:r>
          </w:hyperlink>
        </w:p>
        <w:p>
          <w:pPr>
            <w:pStyle w:val="Contents4"/>
            <w:tabs>
              <w:tab w:val="clear" w:pos="8176"/>
              <w:tab w:val="right" w:pos="9026" w:leader="dot"/>
            </w:tabs>
            <w:rPr/>
          </w:pPr>
          <w:hyperlink w:anchor="__RefHeading___Toc2354493_3650668749">
            <w:r>
              <w:rPr>
                <w:webHidden/>
                <w:rStyle w:val="IndexLink"/>
                <w:rtl w:val="true"/>
              </w:rPr>
              <w:t>حكم الترافع إلى المحكمة الاستئنافية</w:t>
            </w:r>
            <w:r>
              <w:rPr>
                <w:rStyle w:val="IndexLink"/>
                <w:rtl w:val="true"/>
              </w:rPr>
              <w:tab/>
            </w:r>
            <w:r>
              <w:rPr>
                <w:rStyle w:val="IndexLink"/>
              </w:rPr>
              <w:t>84</w:t>
            </w:r>
          </w:hyperlink>
        </w:p>
        <w:p>
          <w:pPr>
            <w:pStyle w:val="Contents4"/>
            <w:tabs>
              <w:tab w:val="clear" w:pos="8176"/>
              <w:tab w:val="right" w:pos="9026" w:leader="dot"/>
            </w:tabs>
            <w:rPr/>
          </w:pPr>
          <w:hyperlink w:anchor="__RefHeading___Toc2354495_3650668749">
            <w:r>
              <w:rPr>
                <w:webHidden/>
                <w:rStyle w:val="IndexLink"/>
                <w:rtl w:val="true"/>
              </w:rPr>
              <w:t>موارد جواز الاستئناف‌</w:t>
            </w:r>
            <w:r>
              <w:rPr>
                <w:rStyle w:val="IndexLink"/>
                <w:rtl w:val="true"/>
              </w:rPr>
              <w:tab/>
            </w:r>
            <w:r>
              <w:rPr>
                <w:rStyle w:val="IndexLink"/>
              </w:rPr>
              <w:t>88</w:t>
            </w:r>
          </w:hyperlink>
        </w:p>
        <w:p>
          <w:pPr>
            <w:pStyle w:val="Contents5"/>
            <w:tabs>
              <w:tab w:val="clear" w:pos="7892"/>
              <w:tab w:val="right" w:pos="9026" w:leader="dot"/>
            </w:tabs>
            <w:rPr/>
          </w:pPr>
          <w:hyperlink w:anchor="__RefHeading___Toc2354497_3650668749">
            <w:r>
              <w:rPr>
                <w:webHidden/>
                <w:rStyle w:val="IndexLink"/>
                <w:rtl w:val="true"/>
              </w:rPr>
              <w:t>اشارة</w:t>
            </w:r>
            <w:r>
              <w:rPr>
                <w:rStyle w:val="IndexLink"/>
                <w:rtl w:val="true"/>
              </w:rPr>
              <w:tab/>
            </w:r>
            <w:r>
              <w:rPr>
                <w:rStyle w:val="IndexLink"/>
              </w:rPr>
              <w:t>88</w:t>
            </w:r>
          </w:hyperlink>
        </w:p>
        <w:p>
          <w:pPr>
            <w:pStyle w:val="Contents5"/>
            <w:tabs>
              <w:tab w:val="clear" w:pos="7892"/>
              <w:tab w:val="right" w:pos="9026" w:leader="dot"/>
            </w:tabs>
            <w:rPr/>
          </w:pPr>
          <w:hyperlink w:anchor="__RefHeading___Toc2354499_3650668749">
            <w:r>
              <w:rPr>
                <w:webHidden/>
                <w:rStyle w:val="IndexLink"/>
                <w:rtl w:val="true"/>
              </w:rPr>
              <w:t>حكم الترافع عند محكمة اخرى إذا كانت بزعامة الوليّ الفقيه‌</w:t>
            </w:r>
            <w:r>
              <w:rPr>
                <w:rStyle w:val="IndexLink"/>
                <w:rtl w:val="true"/>
              </w:rPr>
              <w:tab/>
            </w:r>
            <w:r>
              <w:rPr>
                <w:rStyle w:val="IndexLink"/>
              </w:rPr>
              <w:t>90</w:t>
            </w:r>
          </w:hyperlink>
        </w:p>
        <w:p>
          <w:pPr>
            <w:pStyle w:val="Contents4"/>
            <w:tabs>
              <w:tab w:val="clear" w:pos="8176"/>
              <w:tab w:val="right" w:pos="9026" w:leader="dot"/>
            </w:tabs>
            <w:rPr/>
          </w:pPr>
          <w:hyperlink w:anchor="__RefHeading___Toc2354501_3650668749">
            <w:r>
              <w:rPr>
                <w:webHidden/>
                <w:rStyle w:val="IndexLink"/>
                <w:rtl w:val="true"/>
              </w:rPr>
              <w:t>استخدام المترجم للقاضي‌</w:t>
            </w:r>
            <w:r>
              <w:rPr>
                <w:rStyle w:val="IndexLink"/>
                <w:rtl w:val="true"/>
              </w:rPr>
              <w:tab/>
            </w:r>
            <w:r>
              <w:rPr>
                <w:rStyle w:val="IndexLink"/>
              </w:rPr>
              <w:t>91</w:t>
            </w:r>
          </w:hyperlink>
        </w:p>
        <w:p>
          <w:pPr>
            <w:pStyle w:val="Contents3"/>
            <w:tabs>
              <w:tab w:val="clear" w:pos="8459"/>
              <w:tab w:val="right" w:pos="9026" w:leader="dot"/>
            </w:tabs>
            <w:rPr/>
          </w:pPr>
          <w:hyperlink w:anchor="__RefHeading___Toc2354503_3650668749">
            <w:r>
              <w:rPr>
                <w:webHidden/>
                <w:rStyle w:val="IndexLink"/>
                <w:rtl w:val="true"/>
              </w:rPr>
              <w:t>القول</w:t>
            </w:r>
            <w:r>
              <w:rPr>
                <w:rStyle w:val="IndexLink"/>
                <w:rtl w:val="true"/>
              </w:rPr>
              <w:t xml:space="preserve">: </w:t>
            </w:r>
            <w:r>
              <w:rPr>
                <w:rStyle w:val="IndexLink"/>
                <w:rtl w:val="true"/>
              </w:rPr>
              <w:t>في صفات القاضي وما يناسب ذلك‌</w:t>
            </w:r>
            <w:r>
              <w:rPr>
                <w:rStyle w:val="IndexLink"/>
                <w:rtl w:val="true"/>
              </w:rPr>
              <w:tab/>
            </w:r>
            <w:r>
              <w:rPr>
                <w:rStyle w:val="IndexLink"/>
              </w:rPr>
              <w:t>94</w:t>
            </w:r>
          </w:hyperlink>
        </w:p>
        <w:p>
          <w:pPr>
            <w:pStyle w:val="Contents4"/>
            <w:tabs>
              <w:tab w:val="clear" w:pos="8176"/>
              <w:tab w:val="right" w:pos="9026" w:leader="dot"/>
            </w:tabs>
            <w:rPr/>
          </w:pPr>
          <w:hyperlink w:anchor="__RefHeading___Toc2354505_3650668749">
            <w:r>
              <w:rPr>
                <w:webHidden/>
                <w:rStyle w:val="IndexLink"/>
                <w:rtl w:val="true"/>
              </w:rPr>
              <w:t>اشارة</w:t>
            </w:r>
            <w:r>
              <w:rPr>
                <w:rStyle w:val="IndexLink"/>
                <w:rtl w:val="true"/>
              </w:rPr>
              <w:tab/>
            </w:r>
            <w:r>
              <w:rPr>
                <w:rStyle w:val="IndexLink"/>
              </w:rPr>
              <w:t>94</w:t>
            </w:r>
          </w:hyperlink>
        </w:p>
        <w:p>
          <w:pPr>
            <w:pStyle w:val="Contents4"/>
            <w:tabs>
              <w:tab w:val="clear" w:pos="8176"/>
              <w:tab w:val="right" w:pos="9026" w:leader="dot"/>
            </w:tabs>
            <w:rPr/>
          </w:pPr>
          <w:hyperlink w:anchor="__RefHeading___Toc2354507_3650668749">
            <w:r>
              <w:rPr>
                <w:webHidden/>
                <w:rStyle w:val="IndexLink"/>
                <w:rtl w:val="true"/>
              </w:rPr>
              <w:t>شروط القاضي الذي ينصبه وليّ أمر المسلمين‌</w:t>
            </w:r>
            <w:r>
              <w:rPr>
                <w:rStyle w:val="IndexLink"/>
                <w:rtl w:val="true"/>
              </w:rPr>
              <w:tab/>
            </w:r>
            <w:r>
              <w:rPr>
                <w:rStyle w:val="IndexLink"/>
              </w:rPr>
              <w:t>94</w:t>
            </w:r>
          </w:hyperlink>
        </w:p>
        <w:p>
          <w:pPr>
            <w:pStyle w:val="Contents5"/>
            <w:tabs>
              <w:tab w:val="clear" w:pos="7892"/>
              <w:tab w:val="right" w:pos="9026" w:leader="dot"/>
            </w:tabs>
            <w:rPr/>
          </w:pPr>
          <w:hyperlink w:anchor="__RefHeading___Toc2354509_3650668749">
            <w:r>
              <w:rPr>
                <w:webHidden/>
                <w:rStyle w:val="IndexLink"/>
                <w:rtl w:val="true"/>
              </w:rPr>
              <w:t>اشارة</w:t>
            </w:r>
            <w:r>
              <w:rPr>
                <w:rStyle w:val="IndexLink"/>
                <w:rtl w:val="true"/>
              </w:rPr>
              <w:tab/>
            </w:r>
            <w:r>
              <w:rPr>
                <w:rStyle w:val="IndexLink"/>
              </w:rPr>
              <w:t>94</w:t>
            </w:r>
          </w:hyperlink>
        </w:p>
        <w:p>
          <w:pPr>
            <w:pStyle w:val="Contents5"/>
            <w:tabs>
              <w:tab w:val="clear" w:pos="7892"/>
              <w:tab w:val="right" w:pos="9026" w:leader="dot"/>
            </w:tabs>
            <w:rPr/>
          </w:pPr>
          <w:hyperlink w:anchor="__RefHeading___Toc2354511_3650668749">
            <w:r>
              <w:rPr>
                <w:webHidden/>
                <w:rStyle w:val="IndexLink"/>
                <w:rtl w:val="true"/>
              </w:rPr>
              <w:t>الشرط الأوّل</w:t>
            </w:r>
            <w:r>
              <w:rPr>
                <w:rStyle w:val="IndexLink"/>
                <w:rtl w:val="true"/>
              </w:rPr>
              <w:t xml:space="preserve">: </w:t>
            </w:r>
            <w:r>
              <w:rPr>
                <w:rStyle w:val="IndexLink"/>
                <w:rtl w:val="true"/>
              </w:rPr>
              <w:t>البلوغ‌</w:t>
            </w:r>
            <w:r>
              <w:rPr>
                <w:rStyle w:val="IndexLink"/>
                <w:rtl w:val="true"/>
              </w:rPr>
              <w:tab/>
            </w:r>
            <w:r>
              <w:rPr>
                <w:rStyle w:val="IndexLink"/>
              </w:rPr>
              <w:t>94</w:t>
            </w:r>
          </w:hyperlink>
        </w:p>
        <w:p>
          <w:pPr>
            <w:pStyle w:val="Contents5"/>
            <w:tabs>
              <w:tab w:val="clear" w:pos="7892"/>
              <w:tab w:val="right" w:pos="9026" w:leader="dot"/>
            </w:tabs>
            <w:rPr/>
          </w:pPr>
          <w:hyperlink w:anchor="__RefHeading___Toc2354513_3650668749">
            <w:r>
              <w:rPr>
                <w:webHidden/>
                <w:rStyle w:val="IndexLink"/>
                <w:rtl w:val="true"/>
              </w:rPr>
              <w:t>الشرط الثاني</w:t>
            </w:r>
            <w:r>
              <w:rPr>
                <w:rStyle w:val="IndexLink"/>
                <w:rtl w:val="true"/>
              </w:rPr>
              <w:t xml:space="preserve">: </w:t>
            </w:r>
            <w:r>
              <w:rPr>
                <w:rStyle w:val="IndexLink"/>
                <w:rtl w:val="true"/>
              </w:rPr>
              <w:t>العقل‌</w:t>
            </w:r>
            <w:r>
              <w:rPr>
                <w:rStyle w:val="IndexLink"/>
                <w:rtl w:val="true"/>
              </w:rPr>
              <w:tab/>
            </w:r>
            <w:r>
              <w:rPr>
                <w:rStyle w:val="IndexLink"/>
              </w:rPr>
              <w:t>96</w:t>
            </w:r>
          </w:hyperlink>
        </w:p>
        <w:p>
          <w:pPr>
            <w:pStyle w:val="Contents5"/>
            <w:tabs>
              <w:tab w:val="clear" w:pos="7892"/>
              <w:tab w:val="right" w:pos="9026" w:leader="dot"/>
            </w:tabs>
            <w:rPr/>
          </w:pPr>
          <w:hyperlink w:anchor="__RefHeading___Toc2354515_3650668749">
            <w:r>
              <w:rPr>
                <w:webHidden/>
                <w:rStyle w:val="IndexLink"/>
                <w:rtl w:val="true"/>
              </w:rPr>
              <w:t>الشرط الثالث</w:t>
            </w:r>
            <w:r>
              <w:rPr>
                <w:rStyle w:val="IndexLink"/>
                <w:rtl w:val="true"/>
              </w:rPr>
              <w:t xml:space="preserve">: </w:t>
            </w:r>
            <w:r>
              <w:rPr>
                <w:rStyle w:val="IndexLink"/>
                <w:rtl w:val="true"/>
              </w:rPr>
              <w:t>الإيمان‌</w:t>
            </w:r>
            <w:r>
              <w:rPr>
                <w:rStyle w:val="IndexLink"/>
                <w:rtl w:val="true"/>
              </w:rPr>
              <w:tab/>
            </w:r>
            <w:r>
              <w:rPr>
                <w:rStyle w:val="IndexLink"/>
              </w:rPr>
              <w:t>96</w:t>
            </w:r>
          </w:hyperlink>
        </w:p>
        <w:p>
          <w:pPr>
            <w:pStyle w:val="Contents5"/>
            <w:tabs>
              <w:tab w:val="clear" w:pos="7892"/>
              <w:tab w:val="right" w:pos="9026" w:leader="dot"/>
            </w:tabs>
            <w:rPr/>
          </w:pPr>
          <w:hyperlink w:anchor="__RefHeading___Toc2354517_3650668749">
            <w:r>
              <w:rPr>
                <w:webHidden/>
                <w:rStyle w:val="IndexLink"/>
                <w:rtl w:val="true"/>
              </w:rPr>
              <w:t>الشرط الرابع</w:t>
            </w:r>
            <w:r>
              <w:rPr>
                <w:rStyle w:val="IndexLink"/>
                <w:rtl w:val="true"/>
              </w:rPr>
              <w:t xml:space="preserve">: </w:t>
            </w:r>
            <w:r>
              <w:rPr>
                <w:rStyle w:val="IndexLink"/>
                <w:rtl w:val="true"/>
              </w:rPr>
              <w:t>العدالة</w:t>
            </w:r>
            <w:r>
              <w:rPr>
                <w:rStyle w:val="IndexLink"/>
                <w:rtl w:val="true"/>
              </w:rPr>
              <w:tab/>
            </w:r>
            <w:r>
              <w:rPr>
                <w:rStyle w:val="IndexLink"/>
              </w:rPr>
              <w:t>108</w:t>
            </w:r>
          </w:hyperlink>
        </w:p>
        <w:p>
          <w:pPr>
            <w:pStyle w:val="Contents6"/>
            <w:tabs>
              <w:tab w:val="clear" w:pos="7609"/>
              <w:tab w:val="right" w:pos="9026" w:leader="dot"/>
            </w:tabs>
            <w:rPr/>
          </w:pPr>
          <w:hyperlink w:anchor="__RefHeading___Toc2354519_3650668749">
            <w:r>
              <w:rPr>
                <w:webHidden/>
                <w:rStyle w:val="IndexLink"/>
                <w:rtl w:val="true"/>
              </w:rPr>
              <w:t>اشارة</w:t>
            </w:r>
            <w:r>
              <w:rPr>
                <w:rStyle w:val="IndexLink"/>
                <w:rtl w:val="true"/>
              </w:rPr>
              <w:tab/>
            </w:r>
            <w:r>
              <w:rPr>
                <w:rStyle w:val="IndexLink"/>
              </w:rPr>
              <w:t>108</w:t>
            </w:r>
          </w:hyperlink>
        </w:p>
        <w:p>
          <w:pPr>
            <w:pStyle w:val="Contents6"/>
            <w:tabs>
              <w:tab w:val="clear" w:pos="7609"/>
              <w:tab w:val="right" w:pos="9026" w:leader="dot"/>
            </w:tabs>
            <w:rPr/>
          </w:pPr>
          <w:hyperlink w:anchor="__RefHeading___Toc2354521_3650668749">
            <w:r>
              <w:rPr>
                <w:webHidden/>
                <w:rStyle w:val="IndexLink"/>
                <w:rtl w:val="true"/>
              </w:rPr>
              <w:t>الأمر الأوّل</w:t>
            </w:r>
            <w:r>
              <w:rPr>
                <w:rStyle w:val="IndexLink"/>
                <w:rtl w:val="true"/>
              </w:rPr>
              <w:t xml:space="preserve">: </w:t>
            </w:r>
            <w:r>
              <w:rPr>
                <w:rStyle w:val="IndexLink"/>
                <w:rtl w:val="true"/>
              </w:rPr>
              <w:t>فيما استدلّ به لاشتراط العدالة</w:t>
            </w:r>
            <w:r>
              <w:rPr>
                <w:rStyle w:val="IndexLink"/>
                <w:rtl w:val="true"/>
              </w:rPr>
              <w:tab/>
            </w:r>
            <w:r>
              <w:rPr>
                <w:rStyle w:val="IndexLink"/>
              </w:rPr>
              <w:t>108</w:t>
            </w:r>
          </w:hyperlink>
        </w:p>
        <w:p>
          <w:pPr>
            <w:pStyle w:val="Contents6"/>
            <w:tabs>
              <w:tab w:val="clear" w:pos="7609"/>
              <w:tab w:val="right" w:pos="9026" w:leader="dot"/>
            </w:tabs>
            <w:rPr/>
          </w:pPr>
          <w:hyperlink w:anchor="__RefHeading___Toc2354523_3650668749">
            <w:r>
              <w:rPr>
                <w:webHidden/>
                <w:rStyle w:val="IndexLink"/>
                <w:rtl w:val="true"/>
              </w:rPr>
              <w:t>الأمر الثاني</w:t>
            </w:r>
            <w:r>
              <w:rPr>
                <w:rStyle w:val="IndexLink"/>
                <w:rtl w:val="true"/>
              </w:rPr>
              <w:t xml:space="preserve">: </w:t>
            </w:r>
            <w:r>
              <w:rPr>
                <w:rStyle w:val="IndexLink"/>
                <w:rtl w:val="true"/>
              </w:rPr>
              <w:t>في تحديد معنى العدالة</w:t>
            </w:r>
            <w:r>
              <w:rPr>
                <w:rStyle w:val="IndexLink"/>
                <w:rtl w:val="true"/>
              </w:rPr>
              <w:tab/>
            </w:r>
            <w:r>
              <w:rPr>
                <w:rStyle w:val="IndexLink"/>
              </w:rPr>
              <w:t>111</w:t>
            </w:r>
          </w:hyperlink>
        </w:p>
        <w:p>
          <w:pPr>
            <w:pStyle w:val="Contents6"/>
            <w:tabs>
              <w:tab w:val="clear" w:pos="7609"/>
              <w:tab w:val="right" w:pos="9026" w:leader="dot"/>
            </w:tabs>
            <w:rPr/>
          </w:pPr>
          <w:hyperlink w:anchor="__RefHeading___Toc2354525_3650668749">
            <w:r>
              <w:rPr>
                <w:webHidden/>
                <w:rStyle w:val="IndexLink"/>
                <w:rtl w:val="true"/>
              </w:rPr>
              <w:t>الأمر الثالث</w:t>
            </w:r>
            <w:r>
              <w:rPr>
                <w:rStyle w:val="IndexLink"/>
                <w:rtl w:val="true"/>
              </w:rPr>
              <w:t xml:space="preserve">: </w:t>
            </w:r>
            <w:r>
              <w:rPr>
                <w:rStyle w:val="IndexLink"/>
                <w:rtl w:val="true"/>
              </w:rPr>
              <w:t>البحث حول فسق المخالف‌</w:t>
            </w:r>
            <w:r>
              <w:rPr>
                <w:rStyle w:val="IndexLink"/>
                <w:rtl w:val="true"/>
              </w:rPr>
              <w:tab/>
            </w:r>
            <w:r>
              <w:rPr>
                <w:rStyle w:val="IndexLink"/>
              </w:rPr>
              <w:t>114</w:t>
            </w:r>
          </w:hyperlink>
        </w:p>
        <w:p>
          <w:pPr>
            <w:pStyle w:val="Contents5"/>
            <w:tabs>
              <w:tab w:val="clear" w:pos="7892"/>
              <w:tab w:val="right" w:pos="9026" w:leader="dot"/>
            </w:tabs>
            <w:rPr/>
          </w:pPr>
          <w:hyperlink w:anchor="__RefHeading___Toc2354527_3650668749">
            <w:r>
              <w:rPr>
                <w:webHidden/>
                <w:rStyle w:val="IndexLink"/>
                <w:rtl w:val="true"/>
              </w:rPr>
              <w:t>الشرط الخامس</w:t>
            </w:r>
            <w:r>
              <w:rPr>
                <w:rStyle w:val="IndexLink"/>
                <w:rtl w:val="true"/>
              </w:rPr>
              <w:t xml:space="preserve">: </w:t>
            </w:r>
            <w:r>
              <w:rPr>
                <w:rStyle w:val="IndexLink"/>
                <w:rtl w:val="true"/>
              </w:rPr>
              <w:t>الاجتهاد</w:t>
            </w:r>
            <w:r>
              <w:rPr>
                <w:rStyle w:val="IndexLink"/>
                <w:rtl w:val="true"/>
              </w:rPr>
              <w:tab/>
            </w:r>
            <w:r>
              <w:rPr>
                <w:rStyle w:val="IndexLink"/>
              </w:rPr>
              <w:t>117</w:t>
            </w:r>
          </w:hyperlink>
        </w:p>
        <w:p>
          <w:pPr>
            <w:pStyle w:val="Contents6"/>
            <w:tabs>
              <w:tab w:val="clear" w:pos="7609"/>
              <w:tab w:val="right" w:pos="9026" w:leader="dot"/>
            </w:tabs>
            <w:rPr/>
          </w:pPr>
          <w:hyperlink w:anchor="__RefHeading___Toc2354529_3650668749">
            <w:r>
              <w:rPr>
                <w:webHidden/>
                <w:rStyle w:val="IndexLink"/>
                <w:rtl w:val="true"/>
              </w:rPr>
              <w:t>اشارة</w:t>
            </w:r>
            <w:r>
              <w:rPr>
                <w:rStyle w:val="IndexLink"/>
                <w:rtl w:val="true"/>
              </w:rPr>
              <w:tab/>
            </w:r>
            <w:r>
              <w:rPr>
                <w:rStyle w:val="IndexLink"/>
              </w:rPr>
              <w:t>117</w:t>
            </w:r>
          </w:hyperlink>
        </w:p>
        <w:p>
          <w:pPr>
            <w:pStyle w:val="Contents6"/>
            <w:tabs>
              <w:tab w:val="clear" w:pos="7609"/>
              <w:tab w:val="right" w:pos="9026" w:leader="dot"/>
            </w:tabs>
            <w:rPr/>
          </w:pPr>
          <w:hyperlink w:anchor="__RefHeading___Toc2354531_3650668749">
            <w:r>
              <w:rPr>
                <w:webHidden/>
                <w:rStyle w:val="IndexLink"/>
                <w:rtl w:val="true"/>
              </w:rPr>
              <w:t>حول منع دلالة الروايات السابقة على اشتراط الاجتهاد المطلق‌</w:t>
            </w:r>
            <w:r>
              <w:rPr>
                <w:rStyle w:val="IndexLink"/>
                <w:rtl w:val="true"/>
              </w:rPr>
              <w:tab/>
            </w:r>
            <w:r>
              <w:rPr>
                <w:rStyle w:val="IndexLink"/>
              </w:rPr>
              <w:t>127</w:t>
            </w:r>
          </w:hyperlink>
        </w:p>
        <w:p>
          <w:pPr>
            <w:pStyle w:val="Contents4"/>
            <w:tabs>
              <w:tab w:val="clear" w:pos="8176"/>
              <w:tab w:val="right" w:pos="9026" w:leader="dot"/>
            </w:tabs>
            <w:rPr/>
          </w:pPr>
          <w:hyperlink w:anchor="__RefHeading___Toc2354533_3650668749">
            <w:r>
              <w:rPr>
                <w:webHidden/>
                <w:rStyle w:val="IndexLink"/>
                <w:rtl w:val="true"/>
              </w:rPr>
              <w:t>أدلّة القول بجواز قضاء المقلّد والردّ عليه‌</w:t>
            </w:r>
            <w:r>
              <w:rPr>
                <w:rStyle w:val="IndexLink"/>
                <w:rtl w:val="true"/>
              </w:rPr>
              <w:tab/>
            </w:r>
            <w:r>
              <w:rPr>
                <w:rStyle w:val="IndexLink"/>
              </w:rPr>
              <w:t>134</w:t>
            </w:r>
          </w:hyperlink>
        </w:p>
        <w:p>
          <w:pPr>
            <w:pStyle w:val="Contents5"/>
            <w:tabs>
              <w:tab w:val="clear" w:pos="7892"/>
              <w:tab w:val="right" w:pos="9026" w:leader="dot"/>
            </w:tabs>
            <w:rPr/>
          </w:pPr>
          <w:hyperlink w:anchor="__RefHeading___Toc2354535_3650668749">
            <w:r>
              <w:rPr>
                <w:webHidden/>
                <w:rStyle w:val="IndexLink"/>
                <w:rtl w:val="true"/>
              </w:rPr>
              <w:t>اشارة</w:t>
            </w:r>
            <w:r>
              <w:rPr>
                <w:rStyle w:val="IndexLink"/>
                <w:rtl w:val="true"/>
              </w:rPr>
              <w:tab/>
            </w:r>
            <w:r>
              <w:rPr>
                <w:rStyle w:val="IndexLink"/>
              </w:rPr>
              <w:t>134</w:t>
            </w:r>
          </w:hyperlink>
        </w:p>
        <w:p>
          <w:pPr>
            <w:pStyle w:val="Contents5"/>
            <w:tabs>
              <w:tab w:val="clear" w:pos="7892"/>
              <w:tab w:val="right" w:pos="9026" w:leader="dot"/>
            </w:tabs>
            <w:rPr/>
          </w:pPr>
          <w:hyperlink w:anchor="__RefHeading___Toc2354537_3650668749">
            <w:r>
              <w:rPr>
                <w:webHidden/>
                <w:rStyle w:val="IndexLink"/>
                <w:rtl w:val="true"/>
              </w:rPr>
              <w:t>الدليل الأوّل</w:t>
            </w:r>
            <w:r>
              <w:rPr>
                <w:rStyle w:val="IndexLink"/>
                <w:rtl w:val="true"/>
              </w:rPr>
              <w:t xml:space="preserve">: </w:t>
            </w:r>
            <w:r>
              <w:rPr>
                <w:rStyle w:val="IndexLink"/>
                <w:rtl w:val="true"/>
              </w:rPr>
              <w:t>الكتاب‌</w:t>
            </w:r>
            <w:r>
              <w:rPr>
                <w:rStyle w:val="IndexLink"/>
                <w:rtl w:val="true"/>
              </w:rPr>
              <w:tab/>
            </w:r>
            <w:r>
              <w:rPr>
                <w:rStyle w:val="IndexLink"/>
              </w:rPr>
              <w:t>134</w:t>
            </w:r>
          </w:hyperlink>
        </w:p>
        <w:p>
          <w:pPr>
            <w:pStyle w:val="Contents5"/>
            <w:tabs>
              <w:tab w:val="clear" w:pos="7892"/>
              <w:tab w:val="right" w:pos="9026" w:leader="dot"/>
            </w:tabs>
            <w:rPr/>
          </w:pPr>
          <w:hyperlink w:anchor="__RefHeading___Toc2354539_3650668749">
            <w:r>
              <w:rPr>
                <w:webHidden/>
                <w:rStyle w:val="IndexLink"/>
                <w:rtl w:val="true"/>
              </w:rPr>
              <w:t>الدليل الثاني</w:t>
            </w:r>
            <w:r>
              <w:rPr>
                <w:rStyle w:val="IndexLink"/>
                <w:rtl w:val="true"/>
              </w:rPr>
              <w:t xml:space="preserve">: </w:t>
            </w:r>
            <w:r>
              <w:rPr>
                <w:rStyle w:val="IndexLink"/>
                <w:rtl w:val="true"/>
              </w:rPr>
              <w:t>الروايات‌</w:t>
            </w:r>
            <w:r>
              <w:rPr>
                <w:rStyle w:val="IndexLink"/>
                <w:rtl w:val="true"/>
              </w:rPr>
              <w:tab/>
            </w:r>
            <w:r>
              <w:rPr>
                <w:rStyle w:val="IndexLink"/>
              </w:rPr>
              <w:t>135</w:t>
            </w:r>
          </w:hyperlink>
        </w:p>
        <w:p>
          <w:pPr>
            <w:pStyle w:val="Contents4"/>
            <w:tabs>
              <w:tab w:val="clear" w:pos="8176"/>
              <w:tab w:val="right" w:pos="9026" w:leader="dot"/>
            </w:tabs>
            <w:rPr/>
          </w:pPr>
          <w:hyperlink w:anchor="__RefHeading___Toc2354541_3650668749">
            <w:r>
              <w:rPr>
                <w:webHidden/>
                <w:rStyle w:val="IndexLink"/>
                <w:rtl w:val="true"/>
              </w:rPr>
              <w:t>هل يجوز للمجتهد أن ينصب المقلّد للقضاء أم لا؟</w:t>
            </w:r>
            <w:r>
              <w:rPr>
                <w:rStyle w:val="IndexLink"/>
                <w:rtl w:val="true"/>
              </w:rPr>
              <w:tab/>
            </w:r>
            <w:r>
              <w:rPr>
                <w:rStyle w:val="IndexLink"/>
              </w:rPr>
              <w:t>138</w:t>
            </w:r>
          </w:hyperlink>
        </w:p>
        <w:p>
          <w:pPr>
            <w:pStyle w:val="Contents4"/>
            <w:tabs>
              <w:tab w:val="clear" w:pos="8176"/>
              <w:tab w:val="right" w:pos="9026" w:leader="dot"/>
            </w:tabs>
            <w:rPr/>
          </w:pPr>
          <w:hyperlink w:anchor="__RefHeading___Toc2354543_3650668749">
            <w:r>
              <w:rPr>
                <w:webHidden/>
                <w:rStyle w:val="IndexLink"/>
                <w:rtl w:val="true"/>
              </w:rPr>
              <w:t>جواز نصب المقلّد للقضاء من ناحية الفقيه الجامع للشرائط</w:t>
            </w:r>
            <w:r>
              <w:rPr>
                <w:rStyle w:val="IndexLink"/>
                <w:rtl w:val="true"/>
              </w:rPr>
              <w:tab/>
            </w:r>
            <w:r>
              <w:rPr>
                <w:rStyle w:val="IndexLink"/>
              </w:rPr>
              <w:t>139</w:t>
            </w:r>
          </w:hyperlink>
        </w:p>
        <w:p>
          <w:pPr>
            <w:pStyle w:val="Contents4"/>
            <w:tabs>
              <w:tab w:val="clear" w:pos="8176"/>
              <w:tab w:val="right" w:pos="9026" w:leader="dot"/>
            </w:tabs>
            <w:rPr/>
          </w:pPr>
          <w:hyperlink w:anchor="__RefHeading___Toc2354545_3650668749">
            <w:r>
              <w:rPr>
                <w:webHidden/>
                <w:rStyle w:val="IndexLink"/>
                <w:rtl w:val="true"/>
              </w:rPr>
              <w:t>نصب المقلّد أو غير العادل للقضاء عند الاضطرار</w:t>
            </w:r>
            <w:r>
              <w:rPr>
                <w:rStyle w:val="IndexLink"/>
                <w:rtl w:val="true"/>
              </w:rPr>
              <w:tab/>
            </w:r>
            <w:r>
              <w:rPr>
                <w:rStyle w:val="IndexLink"/>
              </w:rPr>
              <w:t>142</w:t>
            </w:r>
          </w:hyperlink>
        </w:p>
        <w:p>
          <w:pPr>
            <w:pStyle w:val="Contents4"/>
            <w:tabs>
              <w:tab w:val="clear" w:pos="8176"/>
              <w:tab w:val="right" w:pos="9026" w:leader="dot"/>
            </w:tabs>
            <w:rPr/>
          </w:pPr>
          <w:hyperlink w:anchor="__RefHeading___Toc2354547_3650668749">
            <w:r>
              <w:rPr>
                <w:webHidden/>
                <w:rStyle w:val="IndexLink"/>
                <w:rtl w:val="true"/>
              </w:rPr>
              <w:t>الشرط السادس</w:t>
            </w:r>
            <w:r>
              <w:rPr>
                <w:rStyle w:val="IndexLink"/>
                <w:rtl w:val="true"/>
              </w:rPr>
              <w:t xml:space="preserve">: </w:t>
            </w:r>
            <w:r>
              <w:rPr>
                <w:rStyle w:val="IndexLink"/>
                <w:rtl w:val="true"/>
              </w:rPr>
              <w:t>الذكورة</w:t>
            </w:r>
            <w:r>
              <w:rPr>
                <w:rStyle w:val="IndexLink"/>
                <w:rtl w:val="true"/>
              </w:rPr>
              <w:tab/>
            </w:r>
            <w:r>
              <w:rPr>
                <w:rStyle w:val="IndexLink"/>
              </w:rPr>
              <w:t>144</w:t>
            </w:r>
          </w:hyperlink>
        </w:p>
        <w:p>
          <w:pPr>
            <w:pStyle w:val="Contents5"/>
            <w:tabs>
              <w:tab w:val="clear" w:pos="7892"/>
              <w:tab w:val="right" w:pos="9026" w:leader="dot"/>
            </w:tabs>
            <w:rPr/>
          </w:pPr>
          <w:hyperlink w:anchor="__RefHeading___Toc2354549_3650668749">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2354551_3650668749">
            <w:r>
              <w:rPr>
                <w:webHidden/>
                <w:rStyle w:val="IndexLink"/>
                <w:rtl w:val="true"/>
              </w:rPr>
              <w:t>الأوّل</w:t>
            </w:r>
            <w:r>
              <w:rPr>
                <w:rStyle w:val="IndexLink"/>
                <w:rtl w:val="true"/>
              </w:rPr>
              <w:t xml:space="preserve">: </w:t>
            </w:r>
            <w:r>
              <w:rPr>
                <w:rStyle w:val="IndexLink"/>
                <w:rtl w:val="true"/>
              </w:rPr>
              <w:t>الأصل‌</w:t>
            </w:r>
            <w:r>
              <w:rPr>
                <w:rStyle w:val="IndexLink"/>
                <w:rtl w:val="true"/>
              </w:rPr>
              <w:tab/>
            </w:r>
            <w:r>
              <w:rPr>
                <w:rStyle w:val="IndexLink"/>
              </w:rPr>
              <w:t>145</w:t>
            </w:r>
          </w:hyperlink>
        </w:p>
        <w:p>
          <w:pPr>
            <w:pStyle w:val="Contents5"/>
            <w:tabs>
              <w:tab w:val="clear" w:pos="7892"/>
              <w:tab w:val="right" w:pos="9026" w:leader="dot"/>
            </w:tabs>
            <w:rPr/>
          </w:pPr>
          <w:hyperlink w:anchor="__RefHeading___Toc2354553_3650668749">
            <w:r>
              <w:rPr>
                <w:webHidden/>
                <w:rStyle w:val="IndexLink"/>
                <w:rtl w:val="true"/>
              </w:rPr>
              <w:t>الثاني</w:t>
            </w:r>
            <w:r>
              <w:rPr>
                <w:rStyle w:val="IndexLink"/>
                <w:rtl w:val="true"/>
              </w:rPr>
              <w:t xml:space="preserve">: </w:t>
            </w:r>
            <w:r>
              <w:rPr>
                <w:rStyle w:val="IndexLink"/>
                <w:rtl w:val="true"/>
              </w:rPr>
              <w:t>الآيات‌</w:t>
            </w:r>
            <w:r>
              <w:rPr>
                <w:rStyle w:val="IndexLink"/>
                <w:rtl w:val="true"/>
              </w:rPr>
              <w:tab/>
            </w:r>
            <w:r>
              <w:rPr>
                <w:rStyle w:val="IndexLink"/>
              </w:rPr>
              <w:t>146</w:t>
            </w:r>
          </w:hyperlink>
        </w:p>
        <w:p>
          <w:pPr>
            <w:pStyle w:val="Contents5"/>
            <w:tabs>
              <w:tab w:val="clear" w:pos="7892"/>
              <w:tab w:val="right" w:pos="9026" w:leader="dot"/>
            </w:tabs>
            <w:rPr/>
          </w:pPr>
          <w:hyperlink w:anchor="__RefHeading___Toc2354555_3650668749">
            <w:r>
              <w:rPr>
                <w:webHidden/>
                <w:rStyle w:val="IndexLink"/>
                <w:rtl w:val="true"/>
              </w:rPr>
              <w:t>الثالث</w:t>
            </w:r>
            <w:r>
              <w:rPr>
                <w:rStyle w:val="IndexLink"/>
                <w:rtl w:val="true"/>
              </w:rPr>
              <w:t xml:space="preserve">: </w:t>
            </w:r>
            <w:r>
              <w:rPr>
                <w:rStyle w:val="IndexLink"/>
                <w:rtl w:val="true"/>
              </w:rPr>
              <w:t>الروايات‌</w:t>
            </w:r>
            <w:r>
              <w:rPr>
                <w:rStyle w:val="IndexLink"/>
                <w:rtl w:val="true"/>
              </w:rPr>
              <w:tab/>
            </w:r>
            <w:r>
              <w:rPr>
                <w:rStyle w:val="IndexLink"/>
              </w:rPr>
              <w:t>156</w:t>
            </w:r>
          </w:hyperlink>
        </w:p>
        <w:p>
          <w:pPr>
            <w:pStyle w:val="Contents4"/>
            <w:tabs>
              <w:tab w:val="clear" w:pos="8176"/>
              <w:tab w:val="right" w:pos="9026" w:leader="dot"/>
            </w:tabs>
            <w:rPr/>
          </w:pPr>
          <w:hyperlink w:anchor="__RefHeading___Toc2354557_3650668749">
            <w:r>
              <w:rPr>
                <w:webHidden/>
                <w:rStyle w:val="IndexLink"/>
                <w:rtl w:val="true"/>
              </w:rPr>
              <w:t>خلاصة الاستدلالات في قضاء المرأة</w:t>
            </w:r>
            <w:r>
              <w:rPr>
                <w:rStyle w:val="IndexLink"/>
                <w:rtl w:val="true"/>
              </w:rPr>
              <w:tab/>
            </w:r>
            <w:r>
              <w:rPr>
                <w:rStyle w:val="IndexLink"/>
              </w:rPr>
              <w:t>162</w:t>
            </w:r>
          </w:hyperlink>
        </w:p>
        <w:p>
          <w:pPr>
            <w:pStyle w:val="Contents4"/>
            <w:tabs>
              <w:tab w:val="clear" w:pos="8176"/>
              <w:tab w:val="right" w:pos="9026" w:leader="dot"/>
            </w:tabs>
            <w:rPr/>
          </w:pPr>
          <w:hyperlink w:anchor="__RefHeading___Toc2354559_3650668749">
            <w:r>
              <w:rPr>
                <w:webHidden/>
                <w:rStyle w:val="IndexLink"/>
                <w:rtl w:val="true"/>
              </w:rPr>
              <w:t>الشرط السابع</w:t>
            </w:r>
            <w:r>
              <w:rPr>
                <w:rStyle w:val="IndexLink"/>
                <w:rtl w:val="true"/>
              </w:rPr>
              <w:t xml:space="preserve">: </w:t>
            </w:r>
            <w:r>
              <w:rPr>
                <w:rStyle w:val="IndexLink"/>
                <w:rtl w:val="true"/>
              </w:rPr>
              <w:t>طهارة المولد</w:t>
            </w:r>
            <w:r>
              <w:rPr>
                <w:rStyle w:val="IndexLink"/>
                <w:rtl w:val="true"/>
              </w:rPr>
              <w:tab/>
            </w:r>
            <w:r>
              <w:rPr>
                <w:rStyle w:val="IndexLink"/>
              </w:rPr>
              <w:t>165</w:t>
            </w:r>
          </w:hyperlink>
        </w:p>
        <w:p>
          <w:pPr>
            <w:pStyle w:val="Contents4"/>
            <w:tabs>
              <w:tab w:val="clear" w:pos="8176"/>
              <w:tab w:val="right" w:pos="9026" w:leader="dot"/>
            </w:tabs>
            <w:rPr/>
          </w:pPr>
          <w:hyperlink w:anchor="__RefHeading___Toc2354561_3650668749">
            <w:r>
              <w:rPr>
                <w:webHidden/>
                <w:rStyle w:val="IndexLink"/>
                <w:rtl w:val="true"/>
              </w:rPr>
              <w:t>حول حكم القاضي طبقاً لعلمه‌</w:t>
            </w:r>
            <w:r>
              <w:rPr>
                <w:rStyle w:val="IndexLink"/>
                <w:rtl w:val="true"/>
              </w:rPr>
              <w:tab/>
            </w:r>
            <w:r>
              <w:rPr>
                <w:rStyle w:val="IndexLink"/>
              </w:rPr>
              <w:t>166</w:t>
            </w:r>
          </w:hyperlink>
        </w:p>
        <w:p>
          <w:pPr>
            <w:pStyle w:val="Contents4"/>
            <w:tabs>
              <w:tab w:val="clear" w:pos="8176"/>
              <w:tab w:val="right" w:pos="9026" w:leader="dot"/>
            </w:tabs>
            <w:rPr/>
          </w:pPr>
          <w:hyperlink w:anchor="__RefHeading___Toc2354563_3650668749">
            <w:r>
              <w:rPr>
                <w:webHidden/>
                <w:rStyle w:val="IndexLink"/>
                <w:rtl w:val="true"/>
              </w:rPr>
              <w:t>بيان الأقوال في حكم القاضي بعلمه‌</w:t>
            </w:r>
            <w:r>
              <w:rPr>
                <w:rStyle w:val="IndexLink"/>
                <w:rtl w:val="true"/>
              </w:rPr>
              <w:tab/>
            </w:r>
            <w:r>
              <w:rPr>
                <w:rStyle w:val="IndexLink"/>
              </w:rPr>
              <w:t>167</w:t>
            </w:r>
          </w:hyperlink>
        </w:p>
        <w:p>
          <w:pPr>
            <w:pStyle w:val="Contents5"/>
            <w:tabs>
              <w:tab w:val="clear" w:pos="7892"/>
              <w:tab w:val="right" w:pos="9026" w:leader="dot"/>
            </w:tabs>
            <w:rPr/>
          </w:pPr>
          <w:hyperlink w:anchor="__RefHeading___Toc2354565_3650668749">
            <w:r>
              <w:rPr>
                <w:webHidden/>
                <w:rStyle w:val="IndexLink"/>
                <w:rtl w:val="true"/>
              </w:rPr>
              <w:t>القول الأوّل</w:t>
            </w:r>
            <w:r>
              <w:rPr>
                <w:rStyle w:val="IndexLink"/>
                <w:rtl w:val="true"/>
              </w:rPr>
              <w:t xml:space="preserve">: </w:t>
            </w:r>
            <w:r>
              <w:rPr>
                <w:rStyle w:val="IndexLink"/>
                <w:rtl w:val="true"/>
              </w:rPr>
              <w:t>الجواز مطلقاً</w:t>
            </w:r>
            <w:r>
              <w:rPr>
                <w:rStyle w:val="IndexLink"/>
                <w:rtl w:val="true"/>
              </w:rPr>
              <w:tab/>
            </w:r>
            <w:r>
              <w:rPr>
                <w:rStyle w:val="IndexLink"/>
              </w:rPr>
              <w:t>167</w:t>
            </w:r>
          </w:hyperlink>
        </w:p>
        <w:p>
          <w:pPr>
            <w:pStyle w:val="Contents5"/>
            <w:tabs>
              <w:tab w:val="clear" w:pos="7892"/>
              <w:tab w:val="right" w:pos="9026" w:leader="dot"/>
            </w:tabs>
            <w:rPr/>
          </w:pPr>
          <w:hyperlink w:anchor="__RefHeading___Toc2354567_3650668749">
            <w:r>
              <w:rPr>
                <w:webHidden/>
                <w:rStyle w:val="IndexLink"/>
                <w:rtl w:val="true"/>
              </w:rPr>
              <w:t>أدلّة جواز حكم القاضي بعلمه‌</w:t>
            </w:r>
            <w:r>
              <w:rPr>
                <w:rStyle w:val="IndexLink"/>
                <w:rtl w:val="true"/>
              </w:rPr>
              <w:tab/>
            </w:r>
            <w:r>
              <w:rPr>
                <w:rStyle w:val="IndexLink"/>
              </w:rPr>
              <w:t>169</w:t>
            </w:r>
          </w:hyperlink>
        </w:p>
        <w:p>
          <w:pPr>
            <w:pStyle w:val="Contents5"/>
            <w:tabs>
              <w:tab w:val="clear" w:pos="7892"/>
              <w:tab w:val="right" w:pos="9026" w:leader="dot"/>
            </w:tabs>
            <w:rPr/>
          </w:pPr>
          <w:hyperlink w:anchor="__RefHeading___Toc2354569_3650668749">
            <w:r>
              <w:rPr>
                <w:webHidden/>
                <w:rStyle w:val="IndexLink"/>
                <w:rtl w:val="true"/>
              </w:rPr>
              <w:t>القول الثاني</w:t>
            </w:r>
            <w:r>
              <w:rPr>
                <w:rStyle w:val="IndexLink"/>
                <w:rtl w:val="true"/>
              </w:rPr>
              <w:t xml:space="preserve">: </w:t>
            </w:r>
            <w:r>
              <w:rPr>
                <w:rStyle w:val="IndexLink"/>
                <w:rtl w:val="true"/>
              </w:rPr>
              <w:t>عدم جواز العمل بالعلم للقاضي مطلقاً</w:t>
            </w:r>
            <w:r>
              <w:rPr>
                <w:rStyle w:val="IndexLink"/>
                <w:rtl w:val="true"/>
              </w:rPr>
              <w:tab/>
            </w:r>
            <w:r>
              <w:rPr>
                <w:rStyle w:val="IndexLink"/>
              </w:rPr>
              <w:t>189</w:t>
            </w:r>
          </w:hyperlink>
        </w:p>
        <w:p>
          <w:pPr>
            <w:pStyle w:val="Contents5"/>
            <w:tabs>
              <w:tab w:val="clear" w:pos="7892"/>
              <w:tab w:val="right" w:pos="9026" w:leader="dot"/>
            </w:tabs>
            <w:rPr/>
          </w:pPr>
          <w:hyperlink w:anchor="__RefHeading___Toc2354571_3650668749">
            <w:r>
              <w:rPr>
                <w:webHidden/>
                <w:rStyle w:val="IndexLink"/>
                <w:rtl w:val="true"/>
              </w:rPr>
              <w:t xml:space="preserve">حاصل الكلام من القول الثاني </w:t>
            </w:r>
            <w:r>
              <w:rPr>
                <w:rStyle w:val="IndexLink"/>
                <w:rtl w:val="true"/>
              </w:rPr>
              <w:t>(</w:t>
            </w:r>
            <w:r>
              <w:rPr>
                <w:rStyle w:val="IndexLink"/>
                <w:rtl w:val="true"/>
              </w:rPr>
              <w:t>وهو المختار</w:t>
            </w:r>
            <w:r>
              <w:rPr>
                <w:rStyle w:val="IndexLink"/>
                <w:rtl w:val="true"/>
              </w:rPr>
              <w:t>)</w:t>
              <w:tab/>
            </w:r>
            <w:r>
              <w:rPr>
                <w:rStyle w:val="IndexLink"/>
              </w:rPr>
              <w:t>205</w:t>
            </w:r>
          </w:hyperlink>
        </w:p>
        <w:p>
          <w:pPr>
            <w:pStyle w:val="Contents5"/>
            <w:tabs>
              <w:tab w:val="clear" w:pos="7892"/>
              <w:tab w:val="right" w:pos="9026" w:leader="dot"/>
            </w:tabs>
            <w:rPr/>
          </w:pPr>
          <w:hyperlink w:anchor="__RefHeading___Toc2354573_3650668749">
            <w:r>
              <w:rPr>
                <w:webHidden/>
                <w:rStyle w:val="IndexLink"/>
                <w:rtl w:val="true"/>
              </w:rPr>
              <w:t>القول الثالث</w:t>
            </w:r>
            <w:r>
              <w:rPr>
                <w:rStyle w:val="IndexLink"/>
                <w:rtl w:val="true"/>
              </w:rPr>
              <w:t xml:space="preserve">: </w:t>
            </w:r>
            <w:r>
              <w:rPr>
                <w:rStyle w:val="IndexLink"/>
                <w:rtl w:val="true"/>
              </w:rPr>
              <w:t>الجواز في حقوق الناس لا في حقوق الله‌</w:t>
            </w:r>
            <w:r>
              <w:rPr>
                <w:rStyle w:val="IndexLink"/>
                <w:rtl w:val="true"/>
              </w:rPr>
              <w:tab/>
            </w:r>
            <w:r>
              <w:rPr>
                <w:rStyle w:val="IndexLink"/>
              </w:rPr>
              <w:t>207</w:t>
            </w:r>
          </w:hyperlink>
        </w:p>
        <w:p>
          <w:pPr>
            <w:pStyle w:val="Contents5"/>
            <w:tabs>
              <w:tab w:val="clear" w:pos="7892"/>
              <w:tab w:val="right" w:pos="9026" w:leader="dot"/>
            </w:tabs>
            <w:rPr/>
          </w:pPr>
          <w:hyperlink w:anchor="__RefHeading___Toc2354575_3650668749">
            <w:r>
              <w:rPr>
                <w:webHidden/>
                <w:rStyle w:val="IndexLink"/>
                <w:rtl w:val="true"/>
              </w:rPr>
              <w:t>القول الرابع</w:t>
            </w:r>
            <w:r>
              <w:rPr>
                <w:rStyle w:val="IndexLink"/>
                <w:rtl w:val="true"/>
              </w:rPr>
              <w:t xml:space="preserve">: </w:t>
            </w:r>
            <w:r>
              <w:rPr>
                <w:rStyle w:val="IndexLink"/>
                <w:rtl w:val="true"/>
              </w:rPr>
              <w:t>الجواز في حقوق الله لا في حقوق الناس‌</w:t>
            </w:r>
            <w:r>
              <w:rPr>
                <w:rStyle w:val="IndexLink"/>
                <w:rtl w:val="true"/>
              </w:rPr>
              <w:tab/>
            </w:r>
            <w:r>
              <w:rPr>
                <w:rStyle w:val="IndexLink"/>
              </w:rPr>
              <w:t>207</w:t>
            </w:r>
          </w:hyperlink>
        </w:p>
        <w:p>
          <w:pPr>
            <w:pStyle w:val="Contents4"/>
            <w:tabs>
              <w:tab w:val="clear" w:pos="8176"/>
              <w:tab w:val="right" w:pos="9026" w:leader="dot"/>
            </w:tabs>
            <w:rPr/>
          </w:pPr>
          <w:hyperlink w:anchor="__RefHeading___Toc2354577_3650668749">
            <w:r>
              <w:rPr>
                <w:webHidden/>
                <w:rStyle w:val="IndexLink"/>
                <w:rtl w:val="true"/>
              </w:rPr>
              <w:t>فصل</w:t>
            </w:r>
            <w:r>
              <w:rPr>
                <w:rStyle w:val="IndexLink"/>
                <w:rtl w:val="true"/>
              </w:rPr>
              <w:t xml:space="preserve">: </w:t>
            </w:r>
            <w:r>
              <w:rPr>
                <w:rStyle w:val="IndexLink"/>
                <w:rtl w:val="true"/>
              </w:rPr>
              <w:t>في موارد الاستثناء</w:t>
            </w:r>
            <w:r>
              <w:rPr>
                <w:rStyle w:val="IndexLink"/>
                <w:rtl w:val="true"/>
              </w:rPr>
              <w:tab/>
            </w:r>
            <w:r>
              <w:rPr>
                <w:rStyle w:val="IndexLink"/>
              </w:rPr>
              <w:t>208</w:t>
            </w:r>
          </w:hyperlink>
        </w:p>
        <w:p>
          <w:pPr>
            <w:pStyle w:val="Contents4"/>
            <w:tabs>
              <w:tab w:val="clear" w:pos="8176"/>
              <w:tab w:val="right" w:pos="9026" w:leader="dot"/>
            </w:tabs>
            <w:rPr/>
          </w:pPr>
          <w:hyperlink w:anchor="__RefHeading___Toc2354579_3650668749">
            <w:r>
              <w:rPr>
                <w:webHidden/>
                <w:rStyle w:val="IndexLink"/>
                <w:rtl w:val="true"/>
              </w:rPr>
              <w:t>في عدم جواز الحكم بالبيّنة إذا كانت مخالفة لعلم القاضي‌</w:t>
            </w:r>
            <w:r>
              <w:rPr>
                <w:rStyle w:val="IndexLink"/>
                <w:rtl w:val="true"/>
              </w:rPr>
              <w:tab/>
            </w:r>
            <w:r>
              <w:rPr>
                <w:rStyle w:val="IndexLink"/>
              </w:rPr>
              <w:t>209</w:t>
            </w:r>
          </w:hyperlink>
        </w:p>
        <w:p>
          <w:pPr>
            <w:pStyle w:val="Contents3"/>
            <w:tabs>
              <w:tab w:val="clear" w:pos="8459"/>
              <w:tab w:val="right" w:pos="9026" w:leader="dot"/>
            </w:tabs>
            <w:rPr/>
          </w:pPr>
          <w:hyperlink w:anchor="__RefHeading___Toc2354581_3650668749">
            <w:r>
              <w:rPr>
                <w:webHidden/>
                <w:rStyle w:val="IndexLink"/>
                <w:rtl w:val="true"/>
              </w:rPr>
              <w:t>القول</w:t>
            </w:r>
            <w:r>
              <w:rPr>
                <w:rStyle w:val="IndexLink"/>
                <w:rtl w:val="true"/>
              </w:rPr>
              <w:t xml:space="preserve">: </w:t>
            </w:r>
            <w:r>
              <w:rPr>
                <w:rStyle w:val="IndexLink"/>
                <w:rtl w:val="true"/>
              </w:rPr>
              <w:t>في وظائف القاضي‌</w:t>
            </w:r>
            <w:r>
              <w:rPr>
                <w:rStyle w:val="IndexLink"/>
                <w:rtl w:val="true"/>
              </w:rPr>
              <w:tab/>
            </w:r>
            <w:r>
              <w:rPr>
                <w:rStyle w:val="IndexLink"/>
              </w:rPr>
              <w:t>212</w:t>
            </w:r>
          </w:hyperlink>
        </w:p>
        <w:p>
          <w:pPr>
            <w:pStyle w:val="Contents4"/>
            <w:tabs>
              <w:tab w:val="clear" w:pos="8176"/>
              <w:tab w:val="right" w:pos="9026" w:leader="dot"/>
            </w:tabs>
            <w:rPr/>
          </w:pPr>
          <w:hyperlink w:anchor="__RefHeading___Toc2354583_3650668749">
            <w:r>
              <w:rPr>
                <w:webHidden/>
                <w:rStyle w:val="IndexLink"/>
                <w:rtl w:val="true"/>
              </w:rPr>
              <w:t>اشارة</w:t>
            </w:r>
            <w:r>
              <w:rPr>
                <w:rStyle w:val="IndexLink"/>
                <w:rtl w:val="true"/>
              </w:rPr>
              <w:tab/>
            </w:r>
            <w:r>
              <w:rPr>
                <w:rStyle w:val="IndexLink"/>
              </w:rPr>
              <w:t>212</w:t>
            </w:r>
          </w:hyperlink>
        </w:p>
        <w:p>
          <w:pPr>
            <w:pStyle w:val="Contents4"/>
            <w:tabs>
              <w:tab w:val="clear" w:pos="8176"/>
              <w:tab w:val="right" w:pos="9026" w:leader="dot"/>
            </w:tabs>
            <w:rPr/>
          </w:pPr>
          <w:hyperlink w:anchor="__RefHeading___Toc2354585_3650668749">
            <w:r>
              <w:rPr>
                <w:webHidden/>
                <w:rStyle w:val="IndexLink"/>
                <w:rtl w:val="true"/>
              </w:rPr>
              <w:t>هل يجب على القاضي رعاية الآداب أم لا؟</w:t>
            </w:r>
            <w:r>
              <w:rPr>
                <w:rStyle w:val="IndexLink"/>
                <w:rtl w:val="true"/>
              </w:rPr>
              <w:tab/>
            </w:r>
            <w:r>
              <w:rPr>
                <w:rStyle w:val="IndexLink"/>
              </w:rPr>
              <w:t>212</w:t>
            </w:r>
          </w:hyperlink>
        </w:p>
        <w:p>
          <w:pPr>
            <w:pStyle w:val="Contents5"/>
            <w:tabs>
              <w:tab w:val="clear" w:pos="7892"/>
              <w:tab w:val="right" w:pos="9026" w:leader="dot"/>
            </w:tabs>
            <w:rPr/>
          </w:pPr>
          <w:hyperlink w:anchor="__RefHeading___Toc2354587_3650668749">
            <w:r>
              <w:rPr>
                <w:webHidden/>
                <w:rStyle w:val="IndexLink"/>
                <w:rtl w:val="true"/>
              </w:rPr>
              <w:t>اشارة</w:t>
            </w:r>
            <w:r>
              <w:rPr>
                <w:rStyle w:val="IndexLink"/>
                <w:rtl w:val="true"/>
              </w:rPr>
              <w:tab/>
            </w:r>
            <w:r>
              <w:rPr>
                <w:rStyle w:val="IndexLink"/>
              </w:rPr>
              <w:t>212</w:t>
            </w:r>
          </w:hyperlink>
        </w:p>
        <w:p>
          <w:pPr>
            <w:pStyle w:val="Contents5"/>
            <w:tabs>
              <w:tab w:val="clear" w:pos="7892"/>
              <w:tab w:val="right" w:pos="9026" w:leader="dot"/>
            </w:tabs>
            <w:rPr/>
          </w:pPr>
          <w:hyperlink w:anchor="__RefHeading___Toc2354589_3650668749">
            <w:r>
              <w:rPr>
                <w:webHidden/>
                <w:rStyle w:val="IndexLink"/>
                <w:rtl w:val="true"/>
              </w:rPr>
              <w:t>القول الأوّل</w:t>
            </w:r>
            <w:r>
              <w:rPr>
                <w:rStyle w:val="IndexLink"/>
                <w:rtl w:val="true"/>
              </w:rPr>
              <w:t xml:space="preserve">: </w:t>
            </w:r>
            <w:r>
              <w:rPr>
                <w:rStyle w:val="IndexLink"/>
                <w:rtl w:val="true"/>
              </w:rPr>
              <w:t>الوجوب مطلقاً</w:t>
            </w:r>
            <w:r>
              <w:rPr>
                <w:rStyle w:val="IndexLink"/>
                <w:rtl w:val="true"/>
              </w:rPr>
              <w:tab/>
            </w:r>
            <w:r>
              <w:rPr>
                <w:rStyle w:val="IndexLink"/>
              </w:rPr>
              <w:t>213</w:t>
            </w:r>
          </w:hyperlink>
        </w:p>
        <w:p>
          <w:pPr>
            <w:pStyle w:val="Contents5"/>
            <w:tabs>
              <w:tab w:val="clear" w:pos="7892"/>
              <w:tab w:val="right" w:pos="9026" w:leader="dot"/>
            </w:tabs>
            <w:rPr/>
          </w:pPr>
          <w:hyperlink w:anchor="__RefHeading___Toc2354591_3650668749">
            <w:r>
              <w:rPr>
                <w:webHidden/>
                <w:rStyle w:val="IndexLink"/>
                <w:rtl w:val="true"/>
              </w:rPr>
              <w:t>القول الثاني</w:t>
            </w:r>
            <w:r>
              <w:rPr>
                <w:rStyle w:val="IndexLink"/>
                <w:rtl w:val="true"/>
              </w:rPr>
              <w:t xml:space="preserve">: </w:t>
            </w:r>
            <w:r>
              <w:rPr>
                <w:rStyle w:val="IndexLink"/>
                <w:rtl w:val="true"/>
              </w:rPr>
              <w:t>عدم الوجوب مطلقاً</w:t>
            </w:r>
            <w:r>
              <w:rPr>
                <w:rStyle w:val="IndexLink"/>
                <w:rtl w:val="true"/>
              </w:rPr>
              <w:tab/>
            </w:r>
            <w:r>
              <w:rPr>
                <w:rStyle w:val="IndexLink"/>
              </w:rPr>
              <w:t>216</w:t>
            </w:r>
          </w:hyperlink>
        </w:p>
        <w:p>
          <w:pPr>
            <w:pStyle w:val="Contents4"/>
            <w:tabs>
              <w:tab w:val="clear" w:pos="8176"/>
              <w:tab w:val="right" w:pos="9026" w:leader="dot"/>
            </w:tabs>
            <w:rPr/>
          </w:pPr>
          <w:hyperlink w:anchor="__RefHeading___Toc2354593_3650668749">
            <w:r>
              <w:rPr>
                <w:webHidden/>
                <w:rStyle w:val="IndexLink"/>
                <w:rtl w:val="true"/>
              </w:rPr>
              <w:t>مستثنيات وجوب التسوية على القاضي‌</w:t>
            </w:r>
            <w:r>
              <w:rPr>
                <w:rStyle w:val="IndexLink"/>
                <w:rtl w:val="true"/>
              </w:rPr>
              <w:tab/>
            </w:r>
            <w:r>
              <w:rPr>
                <w:rStyle w:val="IndexLink"/>
              </w:rPr>
              <w:t>217</w:t>
            </w:r>
          </w:hyperlink>
        </w:p>
        <w:p>
          <w:pPr>
            <w:pStyle w:val="Contents4"/>
            <w:tabs>
              <w:tab w:val="clear" w:pos="8176"/>
              <w:tab w:val="right" w:pos="9026" w:leader="dot"/>
            </w:tabs>
            <w:rPr/>
          </w:pPr>
          <w:hyperlink w:anchor="__RefHeading___Toc2354595_3650668749">
            <w:r>
              <w:rPr>
                <w:webHidden/>
                <w:rStyle w:val="IndexLink"/>
                <w:rtl w:val="true"/>
              </w:rPr>
              <w:t>عدم جواز تلقين أحد الخصمين للقاضي‌</w:t>
            </w:r>
            <w:r>
              <w:rPr>
                <w:rStyle w:val="IndexLink"/>
                <w:rtl w:val="true"/>
              </w:rPr>
              <w:tab/>
            </w:r>
            <w:r>
              <w:rPr>
                <w:rStyle w:val="IndexLink"/>
              </w:rPr>
              <w:t>221</w:t>
            </w:r>
          </w:hyperlink>
        </w:p>
        <w:p>
          <w:pPr>
            <w:pStyle w:val="Contents4"/>
            <w:tabs>
              <w:tab w:val="clear" w:pos="8176"/>
              <w:tab w:val="right" w:pos="9026" w:leader="dot"/>
            </w:tabs>
            <w:rPr/>
          </w:pPr>
          <w:hyperlink w:anchor="__RefHeading___Toc2354597_3650668749">
            <w:r>
              <w:rPr>
                <w:webHidden/>
                <w:rStyle w:val="IndexLink"/>
                <w:rtl w:val="true"/>
              </w:rPr>
              <w:t>حول تلقين غير القاضي لأحد الخصمين‌</w:t>
            </w:r>
            <w:r>
              <w:rPr>
                <w:rStyle w:val="IndexLink"/>
                <w:rtl w:val="true"/>
              </w:rPr>
              <w:tab/>
            </w:r>
            <w:r>
              <w:rPr>
                <w:rStyle w:val="IndexLink"/>
              </w:rPr>
              <w:t>223</w:t>
            </w:r>
          </w:hyperlink>
        </w:p>
        <w:p>
          <w:pPr>
            <w:pStyle w:val="Contents5"/>
            <w:tabs>
              <w:tab w:val="clear" w:pos="7892"/>
              <w:tab w:val="right" w:pos="9026" w:leader="dot"/>
            </w:tabs>
            <w:rPr/>
          </w:pPr>
          <w:hyperlink w:anchor="__RefHeading___Toc2354599_3650668749">
            <w:r>
              <w:rPr>
                <w:webHidden/>
                <w:rStyle w:val="IndexLink"/>
                <w:rtl w:val="true"/>
              </w:rPr>
              <w:t>اشارة</w:t>
            </w:r>
            <w:r>
              <w:rPr>
                <w:rStyle w:val="IndexLink"/>
                <w:rtl w:val="true"/>
              </w:rPr>
              <w:tab/>
            </w:r>
            <w:r>
              <w:rPr>
                <w:rStyle w:val="IndexLink"/>
              </w:rPr>
              <w:t>223</w:t>
            </w:r>
          </w:hyperlink>
        </w:p>
        <w:p>
          <w:pPr>
            <w:pStyle w:val="Contents5"/>
            <w:tabs>
              <w:tab w:val="clear" w:pos="7892"/>
              <w:tab w:val="right" w:pos="9026" w:leader="dot"/>
            </w:tabs>
            <w:rPr/>
          </w:pPr>
          <w:hyperlink w:anchor="__RefHeading___Toc2354601_3650668749">
            <w:r>
              <w:rPr>
                <w:webHidden/>
                <w:rStyle w:val="IndexLink"/>
                <w:rtl w:val="true"/>
              </w:rPr>
              <w:t>استحباب الترغيب إلى الصلح‌</w:t>
            </w:r>
            <w:r>
              <w:rPr>
                <w:rStyle w:val="IndexLink"/>
                <w:rtl w:val="true"/>
              </w:rPr>
              <w:tab/>
            </w:r>
            <w:r>
              <w:rPr>
                <w:rStyle w:val="IndexLink"/>
              </w:rPr>
              <w:t>224</w:t>
            </w:r>
          </w:hyperlink>
        </w:p>
        <w:p>
          <w:pPr>
            <w:pStyle w:val="Contents3"/>
            <w:tabs>
              <w:tab w:val="clear" w:pos="8459"/>
              <w:tab w:val="right" w:pos="9026" w:leader="dot"/>
            </w:tabs>
            <w:rPr/>
          </w:pPr>
          <w:hyperlink w:anchor="__RefHeading___Toc2354603_3650668749">
            <w:r>
              <w:rPr>
                <w:webHidden/>
                <w:rStyle w:val="IndexLink"/>
                <w:rtl w:val="true"/>
              </w:rPr>
              <w:t>القول</w:t>
            </w:r>
            <w:r>
              <w:rPr>
                <w:rStyle w:val="IndexLink"/>
                <w:rtl w:val="true"/>
              </w:rPr>
              <w:t xml:space="preserve">: </w:t>
            </w:r>
            <w:r>
              <w:rPr>
                <w:rStyle w:val="IndexLink"/>
                <w:rtl w:val="true"/>
              </w:rPr>
              <w:t>في شروط سماع الدعوى‌</w:t>
            </w:r>
            <w:r>
              <w:rPr>
                <w:rStyle w:val="IndexLink"/>
                <w:rtl w:val="true"/>
              </w:rPr>
              <w:tab/>
            </w:r>
            <w:r>
              <w:rPr>
                <w:rStyle w:val="IndexLink"/>
              </w:rPr>
              <w:t>227</w:t>
            </w:r>
          </w:hyperlink>
        </w:p>
        <w:p>
          <w:pPr>
            <w:pStyle w:val="Contents4"/>
            <w:tabs>
              <w:tab w:val="clear" w:pos="8176"/>
              <w:tab w:val="right" w:pos="9026" w:leader="dot"/>
            </w:tabs>
            <w:rPr/>
          </w:pPr>
          <w:hyperlink w:anchor="__RefHeading___Toc2354605_3650668749">
            <w:r>
              <w:rPr>
                <w:webHidden/>
                <w:rStyle w:val="IndexLink"/>
                <w:rtl w:val="true"/>
              </w:rPr>
              <w:t>اشارة</w:t>
            </w:r>
            <w:r>
              <w:rPr>
                <w:rStyle w:val="IndexLink"/>
                <w:rtl w:val="true"/>
              </w:rPr>
              <w:tab/>
            </w:r>
            <w:r>
              <w:rPr>
                <w:rStyle w:val="IndexLink"/>
              </w:rPr>
              <w:t>227</w:t>
            </w:r>
          </w:hyperlink>
        </w:p>
        <w:p>
          <w:pPr>
            <w:pStyle w:val="Contents4"/>
            <w:tabs>
              <w:tab w:val="clear" w:pos="8176"/>
              <w:tab w:val="right" w:pos="9026" w:leader="dot"/>
            </w:tabs>
            <w:rPr/>
          </w:pPr>
          <w:hyperlink w:anchor="__RefHeading___Toc2354607_3650668749">
            <w:r>
              <w:rPr>
                <w:webHidden/>
                <w:rStyle w:val="IndexLink"/>
                <w:rtl w:val="true"/>
              </w:rPr>
              <w:t>حول معاني المدّعي والمنكر</w:t>
            </w:r>
            <w:r>
              <w:rPr>
                <w:rStyle w:val="IndexLink"/>
                <w:rtl w:val="true"/>
              </w:rPr>
              <w:tab/>
            </w:r>
            <w:r>
              <w:rPr>
                <w:rStyle w:val="IndexLink"/>
              </w:rPr>
              <w:t>228</w:t>
            </w:r>
          </w:hyperlink>
        </w:p>
        <w:p>
          <w:pPr>
            <w:pStyle w:val="Contents4"/>
            <w:tabs>
              <w:tab w:val="clear" w:pos="8176"/>
              <w:tab w:val="right" w:pos="9026" w:leader="dot"/>
            </w:tabs>
            <w:rPr/>
          </w:pPr>
          <w:hyperlink w:anchor="__RefHeading___Toc2354609_3650668749">
            <w:r>
              <w:rPr>
                <w:webHidden/>
                <w:rStyle w:val="IndexLink"/>
                <w:rtl w:val="true"/>
              </w:rPr>
              <w:t>شرائط سماع الدعوى‌</w:t>
            </w:r>
            <w:r>
              <w:rPr>
                <w:rStyle w:val="IndexLink"/>
                <w:rtl w:val="true"/>
              </w:rPr>
              <w:tab/>
            </w:r>
            <w:r>
              <w:rPr>
                <w:rStyle w:val="IndexLink"/>
              </w:rPr>
              <w:t>231</w:t>
            </w:r>
          </w:hyperlink>
        </w:p>
        <w:p>
          <w:pPr>
            <w:pStyle w:val="Contents5"/>
            <w:tabs>
              <w:tab w:val="clear" w:pos="7892"/>
              <w:tab w:val="right" w:pos="9026" w:leader="dot"/>
            </w:tabs>
            <w:rPr/>
          </w:pPr>
          <w:hyperlink w:anchor="__RefHeading___Toc2354611_3650668749">
            <w:r>
              <w:rPr>
                <w:webHidden/>
                <w:rStyle w:val="IndexLink"/>
                <w:rtl w:val="true"/>
              </w:rPr>
              <w:t>الشرط الأوّل</w:t>
            </w:r>
            <w:r>
              <w:rPr>
                <w:rStyle w:val="IndexLink"/>
                <w:rtl w:val="true"/>
              </w:rPr>
              <w:t xml:space="preserve">: </w:t>
            </w:r>
            <w:r>
              <w:rPr>
                <w:rStyle w:val="IndexLink"/>
                <w:rtl w:val="true"/>
              </w:rPr>
              <w:t>البلوغ‌</w:t>
            </w:r>
            <w:r>
              <w:rPr>
                <w:rStyle w:val="IndexLink"/>
                <w:rtl w:val="true"/>
              </w:rPr>
              <w:tab/>
            </w:r>
            <w:r>
              <w:rPr>
                <w:rStyle w:val="IndexLink"/>
              </w:rPr>
              <w:t>231</w:t>
            </w:r>
          </w:hyperlink>
        </w:p>
        <w:p>
          <w:pPr>
            <w:pStyle w:val="Contents5"/>
            <w:tabs>
              <w:tab w:val="clear" w:pos="7892"/>
              <w:tab w:val="right" w:pos="9026" w:leader="dot"/>
            </w:tabs>
            <w:rPr/>
          </w:pPr>
          <w:hyperlink w:anchor="__RefHeading___Toc2354613_3650668749">
            <w:r>
              <w:rPr>
                <w:webHidden/>
                <w:rStyle w:val="IndexLink"/>
                <w:rtl w:val="true"/>
              </w:rPr>
              <w:t>الشرط الثاني</w:t>
            </w:r>
            <w:r>
              <w:rPr>
                <w:rStyle w:val="IndexLink"/>
                <w:rtl w:val="true"/>
              </w:rPr>
              <w:t xml:space="preserve">: </w:t>
            </w:r>
            <w:r>
              <w:rPr>
                <w:rStyle w:val="IndexLink"/>
                <w:rtl w:val="true"/>
              </w:rPr>
              <w:t>العقل‌</w:t>
            </w:r>
            <w:r>
              <w:rPr>
                <w:rStyle w:val="IndexLink"/>
                <w:rtl w:val="true"/>
              </w:rPr>
              <w:tab/>
            </w:r>
            <w:r>
              <w:rPr>
                <w:rStyle w:val="IndexLink"/>
              </w:rPr>
              <w:t>234</w:t>
            </w:r>
          </w:hyperlink>
        </w:p>
        <w:p>
          <w:pPr>
            <w:pStyle w:val="Contents5"/>
            <w:tabs>
              <w:tab w:val="clear" w:pos="7892"/>
              <w:tab w:val="right" w:pos="9026" w:leader="dot"/>
            </w:tabs>
            <w:rPr/>
          </w:pPr>
          <w:hyperlink w:anchor="__RefHeading___Toc2354615_3650668749">
            <w:r>
              <w:rPr>
                <w:webHidden/>
                <w:rStyle w:val="IndexLink"/>
                <w:rtl w:val="true"/>
              </w:rPr>
              <w:t>الشرط الثالث</w:t>
            </w:r>
            <w:r>
              <w:rPr>
                <w:rStyle w:val="IndexLink"/>
                <w:rtl w:val="true"/>
              </w:rPr>
              <w:t xml:space="preserve">: </w:t>
            </w:r>
            <w:r>
              <w:rPr>
                <w:rStyle w:val="IndexLink"/>
                <w:rtl w:val="true"/>
              </w:rPr>
              <w:t>عدم الحجر</w:t>
            </w:r>
            <w:r>
              <w:rPr>
                <w:rStyle w:val="IndexLink"/>
                <w:rtl w:val="true"/>
              </w:rPr>
              <w:tab/>
            </w:r>
            <w:r>
              <w:rPr>
                <w:rStyle w:val="IndexLink"/>
              </w:rPr>
              <w:t>234</w:t>
            </w:r>
          </w:hyperlink>
        </w:p>
        <w:p>
          <w:pPr>
            <w:pStyle w:val="Contents5"/>
            <w:tabs>
              <w:tab w:val="clear" w:pos="7892"/>
              <w:tab w:val="right" w:pos="9026" w:leader="dot"/>
            </w:tabs>
            <w:rPr/>
          </w:pPr>
          <w:hyperlink w:anchor="__RefHeading___Toc2354617_3650668749">
            <w:r>
              <w:rPr>
                <w:webHidden/>
                <w:rStyle w:val="IndexLink"/>
                <w:rtl w:val="true"/>
              </w:rPr>
              <w:t>الشرط الرابع</w:t>
            </w:r>
            <w:r>
              <w:rPr>
                <w:rStyle w:val="IndexLink"/>
                <w:rtl w:val="true"/>
              </w:rPr>
              <w:t xml:space="preserve">: </w:t>
            </w:r>
            <w:r>
              <w:rPr>
                <w:rStyle w:val="IndexLink"/>
                <w:rtl w:val="true"/>
              </w:rPr>
              <w:t>عدم الأجنبية</w:t>
            </w:r>
            <w:r>
              <w:rPr>
                <w:rStyle w:val="IndexLink"/>
                <w:rtl w:val="true"/>
              </w:rPr>
              <w:tab/>
            </w:r>
            <w:r>
              <w:rPr>
                <w:rStyle w:val="IndexLink"/>
              </w:rPr>
              <w:t>235</w:t>
            </w:r>
          </w:hyperlink>
        </w:p>
        <w:p>
          <w:pPr>
            <w:pStyle w:val="Contents5"/>
            <w:tabs>
              <w:tab w:val="clear" w:pos="7892"/>
              <w:tab w:val="right" w:pos="9026" w:leader="dot"/>
            </w:tabs>
            <w:rPr/>
          </w:pPr>
          <w:hyperlink w:anchor="__RefHeading___Toc2354619_3650668749">
            <w:r>
              <w:rPr>
                <w:webHidden/>
                <w:rStyle w:val="IndexLink"/>
                <w:rtl w:val="true"/>
              </w:rPr>
              <w:t>الشرط الخامس</w:t>
            </w:r>
            <w:r>
              <w:rPr>
                <w:rStyle w:val="IndexLink"/>
                <w:rtl w:val="true"/>
              </w:rPr>
              <w:t xml:space="preserve">: </w:t>
            </w:r>
            <w:r>
              <w:rPr>
                <w:rStyle w:val="IndexLink"/>
                <w:rtl w:val="true"/>
              </w:rPr>
              <w:t>المعقولية</w:t>
            </w:r>
            <w:r>
              <w:rPr>
                <w:rStyle w:val="IndexLink"/>
                <w:rtl w:val="true"/>
              </w:rPr>
              <w:tab/>
            </w:r>
            <w:r>
              <w:rPr>
                <w:rStyle w:val="IndexLink"/>
              </w:rPr>
              <w:t>237</w:t>
            </w:r>
          </w:hyperlink>
        </w:p>
        <w:p>
          <w:pPr>
            <w:pStyle w:val="Contents5"/>
            <w:tabs>
              <w:tab w:val="clear" w:pos="7892"/>
              <w:tab w:val="right" w:pos="9026" w:leader="dot"/>
            </w:tabs>
            <w:rPr/>
          </w:pPr>
          <w:hyperlink w:anchor="__RefHeading___Toc2354621_3650668749">
            <w:r>
              <w:rPr>
                <w:webHidden/>
                <w:rStyle w:val="IndexLink"/>
                <w:rtl w:val="true"/>
              </w:rPr>
              <w:t>الفروع المتفرّعة على شرط المعقولية في طرح الدعوى‌</w:t>
            </w:r>
            <w:r>
              <w:rPr>
                <w:rStyle w:val="IndexLink"/>
                <w:rtl w:val="true"/>
              </w:rPr>
              <w:tab/>
            </w:r>
            <w:r>
              <w:rPr>
                <w:rStyle w:val="IndexLink"/>
              </w:rPr>
              <w:t>238</w:t>
            </w:r>
          </w:hyperlink>
        </w:p>
        <w:p>
          <w:pPr>
            <w:pStyle w:val="Contents5"/>
            <w:tabs>
              <w:tab w:val="clear" w:pos="7892"/>
              <w:tab w:val="right" w:pos="9026" w:leader="dot"/>
            </w:tabs>
            <w:rPr/>
          </w:pPr>
          <w:hyperlink w:anchor="__RefHeading___Toc2354623_3650668749">
            <w:r>
              <w:rPr>
                <w:webHidden/>
                <w:rStyle w:val="IndexLink"/>
                <w:rtl w:val="true"/>
              </w:rPr>
              <w:t>الشرط السادس</w:t>
            </w:r>
            <w:r>
              <w:rPr>
                <w:rStyle w:val="IndexLink"/>
                <w:rtl w:val="true"/>
              </w:rPr>
              <w:t xml:space="preserve">: </w:t>
            </w:r>
            <w:r>
              <w:rPr>
                <w:rStyle w:val="IndexLink"/>
                <w:rtl w:val="true"/>
              </w:rPr>
              <w:t>معلومية الدعوى‌</w:t>
            </w:r>
            <w:r>
              <w:rPr>
                <w:rStyle w:val="IndexLink"/>
                <w:rtl w:val="true"/>
              </w:rPr>
              <w:tab/>
            </w:r>
            <w:r>
              <w:rPr>
                <w:rStyle w:val="IndexLink"/>
              </w:rPr>
              <w:t>240</w:t>
            </w:r>
          </w:hyperlink>
        </w:p>
        <w:p>
          <w:pPr>
            <w:pStyle w:val="Contents5"/>
            <w:tabs>
              <w:tab w:val="clear" w:pos="7892"/>
              <w:tab w:val="right" w:pos="9026" w:leader="dot"/>
            </w:tabs>
            <w:rPr/>
          </w:pPr>
          <w:hyperlink w:anchor="__RefHeading___Toc2354625_3650668749">
            <w:r>
              <w:rPr>
                <w:webHidden/>
                <w:rStyle w:val="IndexLink"/>
                <w:rtl w:val="true"/>
              </w:rPr>
              <w:t>الشرط السابع</w:t>
            </w:r>
            <w:r>
              <w:rPr>
                <w:rStyle w:val="IndexLink"/>
                <w:rtl w:val="true"/>
              </w:rPr>
              <w:t xml:space="preserve">: </w:t>
            </w:r>
            <w:r>
              <w:rPr>
                <w:rStyle w:val="IndexLink"/>
                <w:rtl w:val="true"/>
              </w:rPr>
              <w:t>وجود المدّعى عليه‌</w:t>
            </w:r>
            <w:r>
              <w:rPr>
                <w:rStyle w:val="IndexLink"/>
                <w:rtl w:val="true"/>
              </w:rPr>
              <w:tab/>
            </w:r>
            <w:r>
              <w:rPr>
                <w:rStyle w:val="IndexLink"/>
              </w:rPr>
              <w:t>242</w:t>
            </w:r>
          </w:hyperlink>
        </w:p>
        <w:p>
          <w:pPr>
            <w:pStyle w:val="Contents5"/>
            <w:tabs>
              <w:tab w:val="clear" w:pos="7892"/>
              <w:tab w:val="right" w:pos="9026" w:leader="dot"/>
            </w:tabs>
            <w:rPr/>
          </w:pPr>
          <w:hyperlink w:anchor="__RefHeading___Toc2354627_3650668749">
            <w:r>
              <w:rPr>
                <w:webHidden/>
                <w:rStyle w:val="IndexLink"/>
                <w:rtl w:val="true"/>
              </w:rPr>
              <w:t>الشرط الثامن</w:t>
            </w:r>
            <w:r>
              <w:rPr>
                <w:rStyle w:val="IndexLink"/>
                <w:rtl w:val="true"/>
              </w:rPr>
              <w:t xml:space="preserve">: </w:t>
            </w:r>
            <w:r>
              <w:rPr>
                <w:rStyle w:val="IndexLink"/>
                <w:rtl w:val="true"/>
              </w:rPr>
              <w:t>الجزم‌</w:t>
            </w:r>
            <w:r>
              <w:rPr>
                <w:rStyle w:val="IndexLink"/>
                <w:rtl w:val="true"/>
              </w:rPr>
              <w:tab/>
            </w:r>
            <w:r>
              <w:rPr>
                <w:rStyle w:val="IndexLink"/>
              </w:rPr>
              <w:t>244</w:t>
            </w:r>
          </w:hyperlink>
        </w:p>
        <w:p>
          <w:pPr>
            <w:pStyle w:val="Contents5"/>
            <w:tabs>
              <w:tab w:val="clear" w:pos="7892"/>
              <w:tab w:val="right" w:pos="9026" w:leader="dot"/>
            </w:tabs>
            <w:rPr/>
          </w:pPr>
          <w:hyperlink w:anchor="__RefHeading___Toc2354629_3650668749">
            <w:r>
              <w:rPr>
                <w:webHidden/>
                <w:rStyle w:val="IndexLink"/>
                <w:rtl w:val="true"/>
              </w:rPr>
              <w:t>الشرط التاسع</w:t>
            </w:r>
            <w:r>
              <w:rPr>
                <w:rStyle w:val="IndexLink"/>
                <w:rtl w:val="true"/>
              </w:rPr>
              <w:t xml:space="preserve">: </w:t>
            </w:r>
            <w:r>
              <w:rPr>
                <w:rStyle w:val="IndexLink"/>
                <w:rtl w:val="true"/>
              </w:rPr>
              <w:t>معلومية المدّعى‌عليه بالتعيين‌</w:t>
            </w:r>
            <w:r>
              <w:rPr>
                <w:rStyle w:val="IndexLink"/>
                <w:rtl w:val="true"/>
              </w:rPr>
              <w:tab/>
            </w:r>
            <w:r>
              <w:rPr>
                <w:rStyle w:val="IndexLink"/>
              </w:rPr>
              <w:t>251</w:t>
            </w:r>
          </w:hyperlink>
        </w:p>
        <w:p>
          <w:pPr>
            <w:pStyle w:val="Contents4"/>
            <w:tabs>
              <w:tab w:val="clear" w:pos="8176"/>
              <w:tab w:val="right" w:pos="9026" w:leader="dot"/>
            </w:tabs>
            <w:rPr/>
          </w:pPr>
          <w:hyperlink w:anchor="__RefHeading___Toc2354631_3650668749">
            <w:r>
              <w:rPr>
                <w:webHidden/>
                <w:rStyle w:val="IndexLink"/>
                <w:rtl w:val="true"/>
              </w:rPr>
              <w:t>هل يشترط بيان سبب الاستحقاق في سماع الدعوى؟</w:t>
            </w:r>
            <w:r>
              <w:rPr>
                <w:rStyle w:val="IndexLink"/>
                <w:rtl w:val="true"/>
              </w:rPr>
              <w:tab/>
            </w:r>
            <w:r>
              <w:rPr>
                <w:rStyle w:val="IndexLink"/>
              </w:rPr>
              <w:t>254</w:t>
            </w:r>
          </w:hyperlink>
        </w:p>
        <w:p>
          <w:pPr>
            <w:pStyle w:val="Contents4"/>
            <w:tabs>
              <w:tab w:val="clear" w:pos="8176"/>
              <w:tab w:val="right" w:pos="9026" w:leader="dot"/>
            </w:tabs>
            <w:rPr/>
          </w:pPr>
          <w:hyperlink w:anchor="__RefHeading___Toc2354633_3650668749">
            <w:r>
              <w:rPr>
                <w:webHidden/>
                <w:rStyle w:val="IndexLink"/>
                <w:rtl w:val="true"/>
              </w:rPr>
              <w:t>الحكم على الغائب‌</w:t>
            </w:r>
            <w:r>
              <w:rPr>
                <w:rStyle w:val="IndexLink"/>
                <w:rtl w:val="true"/>
              </w:rPr>
              <w:tab/>
            </w:r>
            <w:r>
              <w:rPr>
                <w:rStyle w:val="IndexLink"/>
              </w:rPr>
              <w:t>257</w:t>
            </w:r>
          </w:hyperlink>
        </w:p>
        <w:p>
          <w:pPr>
            <w:pStyle w:val="Contents3"/>
            <w:tabs>
              <w:tab w:val="clear" w:pos="8459"/>
              <w:tab w:val="right" w:pos="9026" w:leader="dot"/>
            </w:tabs>
            <w:rPr/>
          </w:pPr>
          <w:hyperlink w:anchor="__RefHeading___Toc2354635_3650668749">
            <w:r>
              <w:rPr>
                <w:webHidden/>
                <w:rStyle w:val="IndexLink"/>
                <w:rtl w:val="true"/>
              </w:rPr>
              <w:t>فصل</w:t>
            </w:r>
            <w:r>
              <w:rPr>
                <w:rStyle w:val="IndexLink"/>
                <w:rtl w:val="true"/>
              </w:rPr>
              <w:t xml:space="preserve">: </w:t>
            </w:r>
            <w:r>
              <w:rPr>
                <w:rStyle w:val="IndexLink"/>
                <w:rtl w:val="true"/>
              </w:rPr>
              <w:t>في جواب المدّعى عليه‌</w:t>
            </w:r>
            <w:r>
              <w:rPr>
                <w:rStyle w:val="IndexLink"/>
                <w:rtl w:val="true"/>
              </w:rPr>
              <w:tab/>
            </w:r>
            <w:r>
              <w:rPr>
                <w:rStyle w:val="IndexLink"/>
              </w:rPr>
              <w:t>275</w:t>
            </w:r>
          </w:hyperlink>
        </w:p>
        <w:p>
          <w:pPr>
            <w:pStyle w:val="Contents4"/>
            <w:tabs>
              <w:tab w:val="clear" w:pos="8176"/>
              <w:tab w:val="right" w:pos="9026" w:leader="dot"/>
            </w:tabs>
            <w:rPr/>
          </w:pPr>
          <w:hyperlink w:anchor="__RefHeading___Toc2354637_3650668749">
            <w:r>
              <w:rPr>
                <w:webHidden/>
                <w:rStyle w:val="IndexLink"/>
                <w:rtl w:val="true"/>
              </w:rPr>
              <w:t>اشارة</w:t>
            </w:r>
            <w:r>
              <w:rPr>
                <w:rStyle w:val="IndexLink"/>
                <w:rtl w:val="true"/>
              </w:rPr>
              <w:tab/>
            </w:r>
            <w:r>
              <w:rPr>
                <w:rStyle w:val="IndexLink"/>
              </w:rPr>
              <w:t>275</w:t>
            </w:r>
          </w:hyperlink>
        </w:p>
        <w:p>
          <w:pPr>
            <w:pStyle w:val="Contents4"/>
            <w:tabs>
              <w:tab w:val="clear" w:pos="8176"/>
              <w:tab w:val="right" w:pos="9026" w:leader="dot"/>
            </w:tabs>
            <w:rPr/>
          </w:pPr>
          <w:hyperlink w:anchor="__RefHeading___Toc2354639_3650668749">
            <w:r>
              <w:rPr>
                <w:webHidden/>
                <w:rStyle w:val="IndexLink"/>
                <w:rtl w:val="true"/>
              </w:rPr>
              <w:t>القول</w:t>
            </w:r>
            <w:r>
              <w:rPr>
                <w:rStyle w:val="IndexLink"/>
                <w:rtl w:val="true"/>
              </w:rPr>
              <w:t xml:space="preserve">: </w:t>
            </w:r>
            <w:r>
              <w:rPr>
                <w:rStyle w:val="IndexLink"/>
                <w:rtl w:val="true"/>
              </w:rPr>
              <w:t>في الجواب بالإقرار</w:t>
            </w:r>
            <w:r>
              <w:rPr>
                <w:rStyle w:val="IndexLink"/>
                <w:rtl w:val="true"/>
              </w:rPr>
              <w:tab/>
            </w:r>
            <w:r>
              <w:rPr>
                <w:rStyle w:val="IndexLink"/>
              </w:rPr>
              <w:t>275</w:t>
            </w:r>
          </w:hyperlink>
        </w:p>
        <w:p>
          <w:pPr>
            <w:pStyle w:val="Contents4"/>
            <w:tabs>
              <w:tab w:val="clear" w:pos="8176"/>
              <w:tab w:val="right" w:pos="9026" w:leader="dot"/>
            </w:tabs>
            <w:rPr/>
          </w:pPr>
          <w:hyperlink w:anchor="__RefHeading___Toc2354641_3650668749">
            <w:r>
              <w:rPr>
                <w:webHidden/>
                <w:rStyle w:val="IndexLink"/>
                <w:rtl w:val="true"/>
              </w:rPr>
              <w:t>القول في إقرار المدّعى عليه‌</w:t>
            </w:r>
            <w:r>
              <w:rPr>
                <w:rStyle w:val="IndexLink"/>
                <w:rtl w:val="true"/>
              </w:rPr>
              <w:tab/>
            </w:r>
            <w:r>
              <w:rPr>
                <w:rStyle w:val="IndexLink"/>
              </w:rPr>
              <w:t>277</w:t>
            </w:r>
          </w:hyperlink>
        </w:p>
        <w:p>
          <w:pPr>
            <w:pStyle w:val="Contents5"/>
            <w:tabs>
              <w:tab w:val="clear" w:pos="7892"/>
              <w:tab w:val="right" w:pos="9026" w:leader="dot"/>
            </w:tabs>
            <w:rPr/>
          </w:pPr>
          <w:hyperlink w:anchor="__RefHeading___Toc2354643_3650668749">
            <w:r>
              <w:rPr>
                <w:webHidden/>
                <w:rStyle w:val="IndexLink"/>
                <w:rtl w:val="true"/>
              </w:rPr>
              <w:t>اشارة</w:t>
            </w:r>
            <w:r>
              <w:rPr>
                <w:rStyle w:val="IndexLink"/>
                <w:rtl w:val="true"/>
              </w:rPr>
              <w:tab/>
            </w:r>
            <w:r>
              <w:rPr>
                <w:rStyle w:val="IndexLink"/>
              </w:rPr>
              <w:t>277</w:t>
            </w:r>
          </w:hyperlink>
        </w:p>
        <w:p>
          <w:pPr>
            <w:pStyle w:val="Contents5"/>
            <w:tabs>
              <w:tab w:val="clear" w:pos="7892"/>
              <w:tab w:val="right" w:pos="9026" w:leader="dot"/>
            </w:tabs>
            <w:rPr/>
          </w:pPr>
          <w:hyperlink w:anchor="__RefHeading___Toc2354645_3650668749">
            <w:r>
              <w:rPr>
                <w:webHidden/>
                <w:rStyle w:val="IndexLink"/>
                <w:rtl w:val="true"/>
              </w:rPr>
              <w:t>النتيجة</w:t>
            </w:r>
            <w:r>
              <w:rPr>
                <w:rStyle w:val="IndexLink"/>
                <w:rtl w:val="true"/>
              </w:rPr>
              <w:t xml:space="preserve">: </w:t>
            </w:r>
            <w:r>
              <w:rPr>
                <w:rStyle w:val="IndexLink"/>
                <w:rtl w:val="true"/>
              </w:rPr>
              <w:t xml:space="preserve">ممّا قاله الشهيد والإمام </w:t>
            </w:r>
            <w:r>
              <w:rPr>
                <w:rStyle w:val="IndexLink"/>
                <w:rtl w:val="true"/>
              </w:rPr>
              <w:t>(</w:t>
            </w:r>
            <w:r>
              <w:rPr>
                <w:rStyle w:val="IndexLink"/>
                <w:rtl w:val="true"/>
              </w:rPr>
              <w:t>رحمهما الله</w:t>
            </w:r>
            <w:r>
              <w:rPr>
                <w:rStyle w:val="IndexLink"/>
                <w:rtl w:val="true"/>
              </w:rPr>
              <w:t>)</w:t>
              <w:tab/>
            </w:r>
            <w:r>
              <w:rPr>
                <w:rStyle w:val="IndexLink"/>
              </w:rPr>
              <w:t>279</w:t>
            </w:r>
          </w:hyperlink>
        </w:p>
        <w:p>
          <w:pPr>
            <w:pStyle w:val="Contents5"/>
            <w:tabs>
              <w:tab w:val="clear" w:pos="7892"/>
              <w:tab w:val="right" w:pos="9026" w:leader="dot"/>
            </w:tabs>
            <w:rPr/>
          </w:pPr>
          <w:hyperlink w:anchor="__RefHeading___Toc2354647_3650668749">
            <w:r>
              <w:rPr>
                <w:webHidden/>
                <w:rStyle w:val="IndexLink"/>
                <w:rtl w:val="true"/>
              </w:rPr>
              <w:t>مطالبة المدّعي للحكم‌</w:t>
            </w:r>
            <w:r>
              <w:rPr>
                <w:rStyle w:val="IndexLink"/>
                <w:rtl w:val="true"/>
              </w:rPr>
              <w:tab/>
            </w:r>
            <w:r>
              <w:rPr>
                <w:rStyle w:val="IndexLink"/>
              </w:rPr>
              <w:t>280</w:t>
            </w:r>
          </w:hyperlink>
        </w:p>
        <w:p>
          <w:pPr>
            <w:pStyle w:val="Contents5"/>
            <w:tabs>
              <w:tab w:val="clear" w:pos="7892"/>
              <w:tab w:val="right" w:pos="9026" w:leader="dot"/>
            </w:tabs>
            <w:rPr/>
          </w:pPr>
          <w:hyperlink w:anchor="__RefHeading___Toc2354649_3650668749">
            <w:r>
              <w:rPr>
                <w:webHidden/>
                <w:rStyle w:val="IndexLink"/>
                <w:rtl w:val="true"/>
              </w:rPr>
              <w:t xml:space="preserve">حول نفوذ </w:t>
            </w:r>
            <w:r>
              <w:rPr>
                <w:rStyle w:val="IndexLink"/>
                <w:rtl w:val="true"/>
              </w:rPr>
              <w:t>«</w:t>
            </w:r>
            <w:r>
              <w:rPr>
                <w:rStyle w:val="IndexLink"/>
                <w:rtl w:val="true"/>
              </w:rPr>
              <w:t>الإقرار العقلاء</w:t>
            </w:r>
            <w:r>
              <w:rPr>
                <w:rStyle w:val="IndexLink"/>
                <w:rtl w:val="true"/>
              </w:rPr>
              <w:t xml:space="preserve">» </w:t>
            </w:r>
            <w:r>
              <w:rPr>
                <w:rStyle w:val="IndexLink"/>
                <w:rtl w:val="true"/>
              </w:rPr>
              <w:t>في القضاء</w:t>
            </w:r>
            <w:r>
              <w:rPr>
                <w:rStyle w:val="IndexLink"/>
                <w:rtl w:val="true"/>
              </w:rPr>
              <w:tab/>
            </w:r>
            <w:r>
              <w:rPr>
                <w:rStyle w:val="IndexLink"/>
              </w:rPr>
              <w:t>281</w:t>
            </w:r>
          </w:hyperlink>
        </w:p>
        <w:p>
          <w:pPr>
            <w:pStyle w:val="Contents5"/>
            <w:tabs>
              <w:tab w:val="clear" w:pos="7892"/>
              <w:tab w:val="right" w:pos="9026" w:leader="dot"/>
            </w:tabs>
            <w:rPr/>
          </w:pPr>
          <w:hyperlink w:anchor="__RefHeading___Toc2354651_3650668749">
            <w:r>
              <w:rPr>
                <w:webHidden/>
                <w:rStyle w:val="IndexLink"/>
                <w:rtl w:val="true"/>
              </w:rPr>
              <w:t>في معنى الحكم‌</w:t>
            </w:r>
            <w:r>
              <w:rPr>
                <w:rStyle w:val="IndexLink"/>
                <w:rtl w:val="true"/>
              </w:rPr>
              <w:tab/>
            </w:r>
            <w:r>
              <w:rPr>
                <w:rStyle w:val="IndexLink"/>
              </w:rPr>
              <w:t>283</w:t>
            </w:r>
          </w:hyperlink>
        </w:p>
        <w:p>
          <w:pPr>
            <w:pStyle w:val="Contents5"/>
            <w:tabs>
              <w:tab w:val="clear" w:pos="7892"/>
              <w:tab w:val="right" w:pos="9026" w:leader="dot"/>
            </w:tabs>
            <w:rPr/>
          </w:pPr>
          <w:hyperlink w:anchor="__RefHeading___Toc2354653_3650668749">
            <w:r>
              <w:rPr>
                <w:webHidden/>
                <w:rStyle w:val="IndexLink"/>
                <w:rtl w:val="true"/>
              </w:rPr>
              <w:t>هل يجب على القاضي كتابة صورة الحكم أو إقرار المدّعى عليه؟</w:t>
            </w:r>
            <w:r>
              <w:rPr>
                <w:rStyle w:val="IndexLink"/>
                <w:rtl w:val="true"/>
              </w:rPr>
              <w:tab/>
            </w:r>
            <w:r>
              <w:rPr>
                <w:rStyle w:val="IndexLink"/>
              </w:rPr>
              <w:t>285</w:t>
            </w:r>
          </w:hyperlink>
        </w:p>
        <w:p>
          <w:pPr>
            <w:pStyle w:val="Contents4"/>
            <w:tabs>
              <w:tab w:val="clear" w:pos="8176"/>
              <w:tab w:val="right" w:pos="9026" w:leader="dot"/>
            </w:tabs>
            <w:rPr/>
          </w:pPr>
          <w:hyperlink w:anchor="__RefHeading___Toc2354655_3650668749">
            <w:r>
              <w:rPr>
                <w:webHidden/>
                <w:rStyle w:val="IndexLink"/>
                <w:rtl w:val="true"/>
              </w:rPr>
              <w:t>في ادّعاء المدّعى عليه الإعسار</w:t>
            </w:r>
            <w:r>
              <w:rPr>
                <w:rStyle w:val="IndexLink"/>
                <w:rtl w:val="true"/>
              </w:rPr>
              <w:tab/>
            </w:r>
            <w:r>
              <w:rPr>
                <w:rStyle w:val="IndexLink"/>
              </w:rPr>
              <w:t>287</w:t>
            </w:r>
          </w:hyperlink>
        </w:p>
        <w:p>
          <w:pPr>
            <w:pStyle w:val="Contents4"/>
            <w:tabs>
              <w:tab w:val="clear" w:pos="8176"/>
              <w:tab w:val="right" w:pos="9026" w:leader="dot"/>
            </w:tabs>
            <w:rPr/>
          </w:pPr>
          <w:hyperlink w:anchor="__RefHeading___Toc2354657_3650668749">
            <w:r>
              <w:rPr>
                <w:webHidden/>
                <w:rStyle w:val="IndexLink"/>
                <w:rtl w:val="true"/>
              </w:rPr>
              <w:t>صور المسألة إذا كان للمعسر صنعة أو حرفة</w:t>
            </w:r>
            <w:r>
              <w:rPr>
                <w:rStyle w:val="IndexLink"/>
                <w:rtl w:val="true"/>
              </w:rPr>
              <w:tab/>
            </w:r>
            <w:r>
              <w:rPr>
                <w:rStyle w:val="IndexLink"/>
              </w:rPr>
              <w:t>289</w:t>
            </w:r>
          </w:hyperlink>
        </w:p>
        <w:p>
          <w:pPr>
            <w:pStyle w:val="Contents4"/>
            <w:tabs>
              <w:tab w:val="clear" w:pos="8176"/>
              <w:tab w:val="right" w:pos="9026" w:leader="dot"/>
            </w:tabs>
            <w:rPr/>
          </w:pPr>
          <w:hyperlink w:anchor="__RefHeading___Toc2354659_3650668749">
            <w:r>
              <w:rPr>
                <w:webHidden/>
                <w:rStyle w:val="IndexLink"/>
                <w:rtl w:val="true"/>
              </w:rPr>
              <w:t>الشكّ في الإعسار</w:t>
            </w:r>
            <w:r>
              <w:rPr>
                <w:rStyle w:val="IndexLink"/>
                <w:rtl w:val="true"/>
              </w:rPr>
              <w:tab/>
            </w:r>
            <w:r>
              <w:rPr>
                <w:rStyle w:val="IndexLink"/>
              </w:rPr>
              <w:t>293</w:t>
            </w:r>
          </w:hyperlink>
        </w:p>
        <w:p>
          <w:pPr>
            <w:pStyle w:val="Contents3"/>
            <w:tabs>
              <w:tab w:val="clear" w:pos="8459"/>
              <w:tab w:val="right" w:pos="9026" w:leader="dot"/>
            </w:tabs>
            <w:rPr/>
          </w:pPr>
          <w:hyperlink w:anchor="__RefHeading___Toc2354661_3650668749">
            <w:r>
              <w:rPr>
                <w:webHidden/>
                <w:rStyle w:val="IndexLink"/>
                <w:rtl w:val="true"/>
              </w:rPr>
              <w:t>القول</w:t>
            </w:r>
            <w:r>
              <w:rPr>
                <w:rStyle w:val="IndexLink"/>
                <w:rtl w:val="true"/>
              </w:rPr>
              <w:t xml:space="preserve">: </w:t>
            </w:r>
            <w:r>
              <w:rPr>
                <w:rStyle w:val="IndexLink"/>
                <w:rtl w:val="true"/>
              </w:rPr>
              <w:t>في الجواب بالإنكار</w:t>
            </w:r>
            <w:r>
              <w:rPr>
                <w:rStyle w:val="IndexLink"/>
                <w:rtl w:val="true"/>
              </w:rPr>
              <w:tab/>
            </w:r>
            <w:r>
              <w:rPr>
                <w:rStyle w:val="IndexLink"/>
              </w:rPr>
              <w:t>297</w:t>
            </w:r>
          </w:hyperlink>
        </w:p>
        <w:p>
          <w:pPr>
            <w:pStyle w:val="Contents4"/>
            <w:tabs>
              <w:tab w:val="clear" w:pos="8176"/>
              <w:tab w:val="right" w:pos="9026" w:leader="dot"/>
            </w:tabs>
            <w:rPr/>
          </w:pPr>
          <w:hyperlink w:anchor="__RefHeading___Toc2354663_3650668749">
            <w:r>
              <w:rPr>
                <w:webHidden/>
                <w:rStyle w:val="IndexLink"/>
                <w:rtl w:val="true"/>
              </w:rPr>
              <w:t>اشارة</w:t>
            </w:r>
            <w:r>
              <w:rPr>
                <w:rStyle w:val="IndexLink"/>
                <w:rtl w:val="true"/>
              </w:rPr>
              <w:tab/>
            </w:r>
            <w:r>
              <w:rPr>
                <w:rStyle w:val="IndexLink"/>
              </w:rPr>
              <w:t>297</w:t>
            </w:r>
          </w:hyperlink>
        </w:p>
        <w:p>
          <w:pPr>
            <w:pStyle w:val="Contents4"/>
            <w:tabs>
              <w:tab w:val="clear" w:pos="8176"/>
              <w:tab w:val="right" w:pos="9026" w:leader="dot"/>
            </w:tabs>
            <w:rPr/>
          </w:pPr>
          <w:hyperlink w:anchor="__RefHeading___Toc2354665_3650668749">
            <w:r>
              <w:rPr>
                <w:webHidden/>
                <w:rStyle w:val="IndexLink"/>
                <w:rtl w:val="true"/>
              </w:rPr>
              <w:t>القول في إنكار المدّعى عليه‌</w:t>
            </w:r>
            <w:r>
              <w:rPr>
                <w:rStyle w:val="IndexLink"/>
                <w:rtl w:val="true"/>
              </w:rPr>
              <w:tab/>
            </w:r>
            <w:r>
              <w:rPr>
                <w:rStyle w:val="IndexLink"/>
              </w:rPr>
              <w:t>297</w:t>
            </w:r>
          </w:hyperlink>
        </w:p>
        <w:p>
          <w:pPr>
            <w:pStyle w:val="Contents5"/>
            <w:tabs>
              <w:tab w:val="clear" w:pos="7892"/>
              <w:tab w:val="right" w:pos="9026" w:leader="dot"/>
            </w:tabs>
            <w:rPr/>
          </w:pPr>
          <w:hyperlink w:anchor="__RefHeading___Toc2354667_3650668749">
            <w:r>
              <w:rPr>
                <w:webHidden/>
                <w:rStyle w:val="IndexLink"/>
                <w:rtl w:val="true"/>
              </w:rPr>
              <w:t>اشارة</w:t>
            </w:r>
            <w:r>
              <w:rPr>
                <w:rStyle w:val="IndexLink"/>
                <w:rtl w:val="true"/>
              </w:rPr>
              <w:tab/>
            </w:r>
            <w:r>
              <w:rPr>
                <w:rStyle w:val="IndexLink"/>
              </w:rPr>
              <w:t>297</w:t>
            </w:r>
          </w:hyperlink>
        </w:p>
        <w:p>
          <w:pPr>
            <w:pStyle w:val="Contents5"/>
            <w:tabs>
              <w:tab w:val="clear" w:pos="7892"/>
              <w:tab w:val="right" w:pos="9026" w:leader="dot"/>
            </w:tabs>
            <w:rPr/>
          </w:pPr>
          <w:hyperlink w:anchor="__RefHeading___Toc2354669_3650668749">
            <w:r>
              <w:rPr>
                <w:webHidden/>
                <w:rStyle w:val="IndexLink"/>
                <w:rtl w:val="true"/>
              </w:rPr>
              <w:t>حكم أخذ الحاكم من مال المحكوم عليه، للمحكوم له‌</w:t>
            </w:r>
            <w:r>
              <w:rPr>
                <w:rStyle w:val="IndexLink"/>
                <w:rtl w:val="true"/>
              </w:rPr>
              <w:tab/>
            </w:r>
            <w:r>
              <w:rPr>
                <w:rStyle w:val="IndexLink"/>
              </w:rPr>
              <w:t>299</w:t>
            </w:r>
          </w:hyperlink>
        </w:p>
        <w:p>
          <w:pPr>
            <w:pStyle w:val="Contents4"/>
            <w:tabs>
              <w:tab w:val="clear" w:pos="8176"/>
              <w:tab w:val="right" w:pos="9026" w:leader="dot"/>
            </w:tabs>
            <w:rPr/>
          </w:pPr>
          <w:hyperlink w:anchor="__RefHeading___Toc2354671_3650668749">
            <w:r>
              <w:rPr>
                <w:webHidden/>
                <w:rStyle w:val="IndexLink"/>
                <w:rtl w:val="true"/>
              </w:rPr>
              <w:t>بيان حقّين للمدّعي‌</w:t>
            </w:r>
            <w:r>
              <w:rPr>
                <w:rStyle w:val="IndexLink"/>
                <w:rtl w:val="true"/>
              </w:rPr>
              <w:tab/>
            </w:r>
            <w:r>
              <w:rPr>
                <w:rStyle w:val="IndexLink"/>
              </w:rPr>
              <w:t>300</w:t>
            </w:r>
          </w:hyperlink>
        </w:p>
        <w:p>
          <w:pPr>
            <w:pStyle w:val="Contents4"/>
            <w:tabs>
              <w:tab w:val="clear" w:pos="8176"/>
              <w:tab w:val="right" w:pos="9026" w:leader="dot"/>
            </w:tabs>
            <w:rPr/>
          </w:pPr>
          <w:hyperlink w:anchor="__RefHeading___Toc2354673_3650668749">
            <w:r>
              <w:rPr>
                <w:webHidden/>
                <w:rStyle w:val="IndexLink"/>
                <w:rtl w:val="true"/>
              </w:rPr>
              <w:t>كيفية إحلاف المنكر</w:t>
            </w:r>
            <w:r>
              <w:rPr>
                <w:rStyle w:val="IndexLink"/>
                <w:rtl w:val="true"/>
              </w:rPr>
              <w:tab/>
            </w:r>
            <w:r>
              <w:rPr>
                <w:rStyle w:val="IndexLink"/>
              </w:rPr>
              <w:t>301</w:t>
            </w:r>
          </w:hyperlink>
        </w:p>
        <w:p>
          <w:pPr>
            <w:pStyle w:val="Contents4"/>
            <w:tabs>
              <w:tab w:val="clear" w:pos="8176"/>
              <w:tab w:val="right" w:pos="9026" w:leader="dot"/>
            </w:tabs>
            <w:rPr/>
          </w:pPr>
          <w:hyperlink w:anchor="__RefHeading___Toc2354675_3650668749">
            <w:r>
              <w:rPr>
                <w:webHidden/>
                <w:rStyle w:val="IndexLink"/>
                <w:rtl w:val="true"/>
              </w:rPr>
              <w:t>صور المسألة بعد طرح الدعوى عند القاضي‌</w:t>
            </w:r>
            <w:r>
              <w:rPr>
                <w:rStyle w:val="IndexLink"/>
                <w:rtl w:val="true"/>
              </w:rPr>
              <w:tab/>
            </w:r>
            <w:r>
              <w:rPr>
                <w:rStyle w:val="IndexLink"/>
              </w:rPr>
              <w:t>306</w:t>
            </w:r>
          </w:hyperlink>
        </w:p>
        <w:p>
          <w:pPr>
            <w:pStyle w:val="Contents4"/>
            <w:tabs>
              <w:tab w:val="clear" w:pos="8176"/>
              <w:tab w:val="right" w:pos="9026" w:leader="dot"/>
            </w:tabs>
            <w:rPr/>
          </w:pPr>
          <w:hyperlink w:anchor="__RefHeading___Toc2354677_3650668749">
            <w:r>
              <w:rPr>
                <w:webHidden/>
                <w:rStyle w:val="IndexLink"/>
                <w:rtl w:val="true"/>
              </w:rPr>
              <w:t>لو تبيّن كذب الحالف للقاضي بعد الحكم‌</w:t>
            </w:r>
            <w:r>
              <w:rPr>
                <w:rStyle w:val="IndexLink"/>
                <w:rtl w:val="true"/>
              </w:rPr>
              <w:tab/>
            </w:r>
            <w:r>
              <w:rPr>
                <w:rStyle w:val="IndexLink"/>
              </w:rPr>
              <w:t>311</w:t>
            </w:r>
          </w:hyperlink>
        </w:p>
        <w:p>
          <w:pPr>
            <w:pStyle w:val="Contents4"/>
            <w:tabs>
              <w:tab w:val="clear" w:pos="8176"/>
              <w:tab w:val="right" w:pos="9026" w:leader="dot"/>
            </w:tabs>
            <w:rPr/>
          </w:pPr>
          <w:hyperlink w:anchor="__RefHeading___Toc2354679_3650668749">
            <w:r>
              <w:rPr>
                <w:webHidden/>
                <w:rStyle w:val="IndexLink"/>
                <w:rtl w:val="true"/>
              </w:rPr>
              <w:t>لو لم يكن للمدّعي بيّنة</w:t>
            </w:r>
            <w:r>
              <w:rPr>
                <w:rStyle w:val="IndexLink"/>
                <w:rtl w:val="true"/>
              </w:rPr>
              <w:tab/>
            </w:r>
            <w:r>
              <w:rPr>
                <w:rStyle w:val="IndexLink"/>
              </w:rPr>
              <w:t>314</w:t>
            </w:r>
          </w:hyperlink>
        </w:p>
        <w:p>
          <w:pPr>
            <w:pStyle w:val="Contents4"/>
            <w:tabs>
              <w:tab w:val="clear" w:pos="8176"/>
              <w:tab w:val="right" w:pos="9026" w:leader="dot"/>
            </w:tabs>
            <w:rPr/>
          </w:pPr>
          <w:hyperlink w:anchor="__RefHeading___Toc2354681_3650668749">
            <w:r>
              <w:rPr>
                <w:webHidden/>
                <w:rStyle w:val="IndexLink"/>
                <w:rtl w:val="true"/>
              </w:rPr>
              <w:t>في المسألة فروع لا بدّ أن يبحث عنها</w:t>
            </w:r>
            <w:r>
              <w:rPr>
                <w:rStyle w:val="IndexLink"/>
                <w:rtl w:val="true"/>
              </w:rPr>
              <w:t>.</w:t>
              <w:tab/>
            </w:r>
            <w:r>
              <w:rPr>
                <w:rStyle w:val="IndexLink"/>
              </w:rPr>
              <w:t>321</w:t>
            </w:r>
          </w:hyperlink>
        </w:p>
        <w:p>
          <w:pPr>
            <w:pStyle w:val="Contents4"/>
            <w:tabs>
              <w:tab w:val="clear" w:pos="8176"/>
              <w:tab w:val="right" w:pos="9026" w:leader="dot"/>
            </w:tabs>
            <w:rPr/>
          </w:pPr>
          <w:hyperlink w:anchor="__RefHeading___Toc2354683_3650668749">
            <w:r>
              <w:rPr>
                <w:webHidden/>
                <w:rStyle w:val="IndexLink"/>
                <w:rtl w:val="true"/>
              </w:rPr>
              <w:t>في نكول المنكر عن الحلف والرّد</w:t>
            </w:r>
            <w:r>
              <w:rPr>
                <w:rStyle w:val="IndexLink"/>
                <w:rtl w:val="true"/>
              </w:rPr>
              <w:tab/>
            </w:r>
            <w:r>
              <w:rPr>
                <w:rStyle w:val="IndexLink"/>
              </w:rPr>
              <w:t>326</w:t>
            </w:r>
          </w:hyperlink>
        </w:p>
        <w:p>
          <w:pPr>
            <w:pStyle w:val="Contents5"/>
            <w:tabs>
              <w:tab w:val="clear" w:pos="7892"/>
              <w:tab w:val="right" w:pos="9026" w:leader="dot"/>
            </w:tabs>
            <w:rPr/>
          </w:pPr>
          <w:hyperlink w:anchor="__RefHeading___Toc2354685_3650668749">
            <w:r>
              <w:rPr>
                <w:webHidden/>
                <w:rStyle w:val="IndexLink"/>
                <w:rtl w:val="true"/>
              </w:rPr>
              <w:t>اشارة</w:t>
            </w:r>
            <w:r>
              <w:rPr>
                <w:rStyle w:val="IndexLink"/>
                <w:rtl w:val="true"/>
              </w:rPr>
              <w:tab/>
            </w:r>
            <w:r>
              <w:rPr>
                <w:rStyle w:val="IndexLink"/>
              </w:rPr>
              <w:t>326</w:t>
            </w:r>
          </w:hyperlink>
        </w:p>
        <w:p>
          <w:pPr>
            <w:pStyle w:val="Contents5"/>
            <w:tabs>
              <w:tab w:val="clear" w:pos="7892"/>
              <w:tab w:val="right" w:pos="9026" w:leader="dot"/>
            </w:tabs>
            <w:rPr/>
          </w:pPr>
          <w:hyperlink w:anchor="__RefHeading___Toc2354687_3650668749">
            <w:r>
              <w:rPr>
                <w:webHidden/>
                <w:rStyle w:val="IndexLink"/>
                <w:rtl w:val="true"/>
              </w:rPr>
              <w:t>القول الأوّل</w:t>
            </w:r>
            <w:r>
              <w:rPr>
                <w:rStyle w:val="IndexLink"/>
                <w:rtl w:val="true"/>
              </w:rPr>
              <w:t xml:space="preserve">: </w:t>
            </w:r>
            <w:r>
              <w:rPr>
                <w:rStyle w:val="IndexLink"/>
                <w:rtl w:val="true"/>
              </w:rPr>
              <w:t>حكم الحاكم بمجرّد النكول‌</w:t>
            </w:r>
            <w:r>
              <w:rPr>
                <w:rStyle w:val="IndexLink"/>
                <w:rtl w:val="true"/>
              </w:rPr>
              <w:tab/>
            </w:r>
            <w:r>
              <w:rPr>
                <w:rStyle w:val="IndexLink"/>
              </w:rPr>
              <w:t>327</w:t>
            </w:r>
          </w:hyperlink>
        </w:p>
        <w:p>
          <w:pPr>
            <w:pStyle w:val="Contents5"/>
            <w:tabs>
              <w:tab w:val="clear" w:pos="7892"/>
              <w:tab w:val="right" w:pos="9026" w:leader="dot"/>
            </w:tabs>
            <w:rPr/>
          </w:pPr>
          <w:hyperlink w:anchor="__RefHeading___Toc2354689_3650668749">
            <w:r>
              <w:rPr>
                <w:webHidden/>
                <w:rStyle w:val="IndexLink"/>
                <w:rtl w:val="true"/>
              </w:rPr>
              <w:t>القول الثاني</w:t>
            </w:r>
            <w:r>
              <w:rPr>
                <w:rStyle w:val="IndexLink"/>
                <w:rtl w:val="true"/>
              </w:rPr>
              <w:t xml:space="preserve">: </w:t>
            </w:r>
            <w:r>
              <w:rPr>
                <w:rStyle w:val="IndexLink"/>
                <w:rtl w:val="true"/>
              </w:rPr>
              <w:t>ردّ الحاكم اليمين على المدّعى بعد نكول المدّعى عليه‌</w:t>
            </w:r>
            <w:r>
              <w:rPr>
                <w:rStyle w:val="IndexLink"/>
                <w:rtl w:val="true"/>
              </w:rPr>
              <w:tab/>
            </w:r>
            <w:r>
              <w:rPr>
                <w:rStyle w:val="IndexLink"/>
              </w:rPr>
              <w:t>335</w:t>
            </w:r>
          </w:hyperlink>
        </w:p>
        <w:p>
          <w:pPr>
            <w:pStyle w:val="Contents4"/>
            <w:tabs>
              <w:tab w:val="clear" w:pos="8176"/>
              <w:tab w:val="right" w:pos="9026" w:leader="dot"/>
            </w:tabs>
            <w:rPr/>
          </w:pPr>
          <w:hyperlink w:anchor="__RefHeading___Toc2354691_3650668749">
            <w:r>
              <w:rPr>
                <w:webHidden/>
                <w:rStyle w:val="IndexLink"/>
                <w:rtl w:val="true"/>
              </w:rPr>
              <w:t>في رجوع المنكر الناكل عن نكوله‌</w:t>
            </w:r>
            <w:r>
              <w:rPr>
                <w:rStyle w:val="IndexLink"/>
                <w:rtl w:val="true"/>
              </w:rPr>
              <w:tab/>
            </w:r>
            <w:r>
              <w:rPr>
                <w:rStyle w:val="IndexLink"/>
              </w:rPr>
              <w:t>339</w:t>
            </w:r>
          </w:hyperlink>
        </w:p>
        <w:p>
          <w:pPr>
            <w:pStyle w:val="Contents4"/>
            <w:tabs>
              <w:tab w:val="clear" w:pos="8176"/>
              <w:tab w:val="right" w:pos="9026" w:leader="dot"/>
            </w:tabs>
            <w:rPr/>
          </w:pPr>
          <w:hyperlink w:anchor="__RefHeading___Toc2354693_3650668749">
            <w:r>
              <w:rPr>
                <w:webHidden/>
                <w:rStyle w:val="IndexLink"/>
                <w:rtl w:val="true"/>
              </w:rPr>
              <w:t>استمهال المنكر في الحلف أو الردّ</w:t>
            </w:r>
            <w:r>
              <w:rPr>
                <w:rStyle w:val="IndexLink"/>
                <w:rtl w:val="true"/>
              </w:rPr>
              <w:tab/>
            </w:r>
            <w:r>
              <w:rPr>
                <w:rStyle w:val="IndexLink"/>
              </w:rPr>
              <w:t>342</w:t>
            </w:r>
          </w:hyperlink>
        </w:p>
        <w:p>
          <w:pPr>
            <w:pStyle w:val="Contents4"/>
            <w:tabs>
              <w:tab w:val="clear" w:pos="8176"/>
              <w:tab w:val="right" w:pos="9026" w:leader="dot"/>
            </w:tabs>
            <w:rPr/>
          </w:pPr>
          <w:hyperlink w:anchor="__RefHeading___Toc2354695_3650668749">
            <w:r>
              <w:rPr>
                <w:webHidden/>
                <w:rStyle w:val="IndexLink"/>
                <w:rtl w:val="true"/>
              </w:rPr>
              <w:t>فيما يتعلّق بالمدّعي من الأحكام‌</w:t>
            </w:r>
            <w:r>
              <w:rPr>
                <w:rStyle w:val="IndexLink"/>
                <w:rtl w:val="true"/>
              </w:rPr>
              <w:tab/>
            </w:r>
            <w:r>
              <w:rPr>
                <w:rStyle w:val="IndexLink"/>
              </w:rPr>
              <w:t>343</w:t>
            </w:r>
          </w:hyperlink>
        </w:p>
        <w:p>
          <w:pPr>
            <w:pStyle w:val="Contents5"/>
            <w:tabs>
              <w:tab w:val="clear" w:pos="7892"/>
              <w:tab w:val="right" w:pos="9026" w:leader="dot"/>
            </w:tabs>
            <w:rPr/>
          </w:pPr>
          <w:hyperlink w:anchor="__RefHeading___Toc2354697_3650668749">
            <w:r>
              <w:rPr>
                <w:webHidden/>
                <w:rStyle w:val="IndexLink"/>
                <w:rtl w:val="true"/>
              </w:rPr>
              <w:t>اشارة</w:t>
            </w:r>
            <w:r>
              <w:rPr>
                <w:rStyle w:val="IndexLink"/>
                <w:rtl w:val="true"/>
              </w:rPr>
              <w:tab/>
            </w:r>
            <w:r>
              <w:rPr>
                <w:rStyle w:val="IndexLink"/>
              </w:rPr>
              <w:t>343</w:t>
            </w:r>
          </w:hyperlink>
        </w:p>
        <w:p>
          <w:pPr>
            <w:pStyle w:val="Contents5"/>
            <w:tabs>
              <w:tab w:val="clear" w:pos="7892"/>
              <w:tab w:val="right" w:pos="9026" w:leader="dot"/>
            </w:tabs>
            <w:rPr/>
          </w:pPr>
          <w:hyperlink w:anchor="__RefHeading___Toc2354699_3650668749">
            <w:r>
              <w:rPr>
                <w:webHidden/>
                <w:rStyle w:val="IndexLink"/>
                <w:rtl w:val="true"/>
              </w:rPr>
              <w:t>في الاكتفاء في الإذن بشاهد الحال‌</w:t>
            </w:r>
            <w:r>
              <w:rPr>
                <w:rStyle w:val="IndexLink"/>
                <w:rtl w:val="true"/>
              </w:rPr>
              <w:tab/>
            </w:r>
            <w:r>
              <w:rPr>
                <w:rStyle w:val="IndexLink"/>
              </w:rPr>
              <w:t>346</w:t>
            </w:r>
          </w:hyperlink>
        </w:p>
        <w:p>
          <w:pPr>
            <w:pStyle w:val="Contents4"/>
            <w:tabs>
              <w:tab w:val="clear" w:pos="8176"/>
              <w:tab w:val="right" w:pos="9026" w:leader="dot"/>
            </w:tabs>
            <w:rPr/>
          </w:pPr>
          <w:hyperlink w:anchor="__RefHeading___Toc2354701_3650668749">
            <w:r>
              <w:rPr>
                <w:webHidden/>
                <w:rStyle w:val="IndexLink"/>
                <w:rtl w:val="true"/>
              </w:rPr>
              <w:t>جواز التحليف للمدّعي مع وجود البيّنة له‌</w:t>
            </w:r>
            <w:r>
              <w:rPr>
                <w:rStyle w:val="IndexLink"/>
                <w:rtl w:val="true"/>
              </w:rPr>
              <w:tab/>
            </w:r>
            <w:r>
              <w:rPr>
                <w:rStyle w:val="IndexLink"/>
              </w:rPr>
              <w:t>348</w:t>
            </w:r>
          </w:hyperlink>
        </w:p>
        <w:p>
          <w:pPr>
            <w:pStyle w:val="Contents4"/>
            <w:tabs>
              <w:tab w:val="clear" w:pos="8176"/>
              <w:tab w:val="right" w:pos="9026" w:leader="dot"/>
            </w:tabs>
            <w:rPr/>
          </w:pPr>
          <w:hyperlink w:anchor="__RefHeading___Toc2354703_3650668749">
            <w:r>
              <w:rPr>
                <w:webHidden/>
                <w:rStyle w:val="IndexLink"/>
                <w:rtl w:val="true"/>
              </w:rPr>
              <w:t>صور المسألة بعد شهادة الشهود عند الحاكم‌</w:t>
            </w:r>
            <w:r>
              <w:rPr>
                <w:rStyle w:val="IndexLink"/>
                <w:rtl w:val="true"/>
              </w:rPr>
              <w:tab/>
            </w:r>
            <w:r>
              <w:rPr>
                <w:rStyle w:val="IndexLink"/>
              </w:rPr>
              <w:t>355</w:t>
            </w:r>
          </w:hyperlink>
        </w:p>
        <w:p>
          <w:pPr>
            <w:pStyle w:val="Contents5"/>
            <w:tabs>
              <w:tab w:val="clear" w:pos="7892"/>
              <w:tab w:val="right" w:pos="9026" w:leader="dot"/>
            </w:tabs>
            <w:rPr/>
          </w:pPr>
          <w:hyperlink w:anchor="__RefHeading___Toc2354705_3650668749">
            <w:r>
              <w:rPr>
                <w:webHidden/>
                <w:rStyle w:val="IndexLink"/>
                <w:rtl w:val="true"/>
              </w:rPr>
              <w:t>اشارة</w:t>
            </w:r>
            <w:r>
              <w:rPr>
                <w:rStyle w:val="IndexLink"/>
                <w:rtl w:val="true"/>
              </w:rPr>
              <w:tab/>
            </w:r>
            <w:r>
              <w:rPr>
                <w:rStyle w:val="IndexLink"/>
              </w:rPr>
              <w:t>355</w:t>
            </w:r>
          </w:hyperlink>
        </w:p>
        <w:p>
          <w:pPr>
            <w:pStyle w:val="Contents5"/>
            <w:tabs>
              <w:tab w:val="clear" w:pos="7892"/>
              <w:tab w:val="right" w:pos="9026" w:leader="dot"/>
            </w:tabs>
            <w:rPr/>
          </w:pPr>
          <w:hyperlink w:anchor="__RefHeading___Toc2354707_3650668749">
            <w:r>
              <w:rPr>
                <w:webHidden/>
                <w:rStyle w:val="IndexLink"/>
                <w:rtl w:val="true"/>
              </w:rPr>
              <w:t>في سماع دعوى المدّعي والمدّعى عليه على خلاف معتقد القاضي‌</w:t>
            </w:r>
            <w:r>
              <w:rPr>
                <w:rStyle w:val="IndexLink"/>
                <w:rtl w:val="true"/>
              </w:rPr>
              <w:tab/>
            </w:r>
            <w:r>
              <w:rPr>
                <w:rStyle w:val="IndexLink"/>
              </w:rPr>
              <w:t>356</w:t>
            </w:r>
          </w:hyperlink>
        </w:p>
        <w:p>
          <w:pPr>
            <w:pStyle w:val="Contents4"/>
            <w:tabs>
              <w:tab w:val="clear" w:pos="8176"/>
              <w:tab w:val="right" w:pos="9026" w:leader="dot"/>
            </w:tabs>
            <w:rPr/>
          </w:pPr>
          <w:hyperlink w:anchor="__RefHeading___Toc2354709_3650668749">
            <w:r>
              <w:rPr>
                <w:webHidden/>
                <w:rStyle w:val="IndexLink"/>
                <w:rtl w:val="true"/>
              </w:rPr>
              <w:t>فيما إذا طلب المدّعي من الحاكم التفحّص للتعديل‌</w:t>
            </w:r>
            <w:r>
              <w:rPr>
                <w:rStyle w:val="IndexLink"/>
                <w:rtl w:val="true"/>
              </w:rPr>
              <w:tab/>
            </w:r>
            <w:r>
              <w:rPr>
                <w:rStyle w:val="IndexLink"/>
              </w:rPr>
              <w:t>361</w:t>
            </w:r>
          </w:hyperlink>
        </w:p>
        <w:p>
          <w:pPr>
            <w:pStyle w:val="Contents4"/>
            <w:tabs>
              <w:tab w:val="clear" w:pos="8176"/>
              <w:tab w:val="right" w:pos="9026" w:leader="dot"/>
            </w:tabs>
            <w:rPr/>
          </w:pPr>
          <w:hyperlink w:anchor="__RefHeading___Toc2354711_3650668749">
            <w:r>
              <w:rPr>
                <w:webHidden/>
                <w:rStyle w:val="IndexLink"/>
                <w:rtl w:val="true"/>
              </w:rPr>
              <w:t>فيما إذا التمس المدّعي حبس المدّعى عليه حتّى يأتي بالتزكية</w:t>
            </w:r>
            <w:r>
              <w:rPr>
                <w:rStyle w:val="IndexLink"/>
                <w:rtl w:val="true"/>
              </w:rPr>
              <w:tab/>
            </w:r>
            <w:r>
              <w:rPr>
                <w:rStyle w:val="IndexLink"/>
              </w:rPr>
              <w:t>363</w:t>
            </w:r>
          </w:hyperlink>
        </w:p>
        <w:p>
          <w:pPr>
            <w:pStyle w:val="Contents4"/>
            <w:tabs>
              <w:tab w:val="clear" w:pos="8176"/>
              <w:tab w:val="right" w:pos="9026" w:leader="dot"/>
            </w:tabs>
            <w:rPr/>
          </w:pPr>
          <w:hyperlink w:anchor="__RefHeading___Toc2354713_3650668749">
            <w:r>
              <w:rPr>
                <w:webHidden/>
                <w:rStyle w:val="IndexLink"/>
                <w:rtl w:val="true"/>
              </w:rPr>
              <w:t>أنّ شرط العدالة في الشهود في القضاء واقعي لا علمي‌</w:t>
            </w:r>
            <w:r>
              <w:rPr>
                <w:rStyle w:val="IndexLink"/>
                <w:rtl w:val="true"/>
              </w:rPr>
              <w:tab/>
            </w:r>
            <w:r>
              <w:rPr>
                <w:rStyle w:val="IndexLink"/>
              </w:rPr>
              <w:t>366</w:t>
            </w:r>
          </w:hyperlink>
        </w:p>
        <w:p>
          <w:pPr>
            <w:pStyle w:val="Contents4"/>
            <w:tabs>
              <w:tab w:val="clear" w:pos="8176"/>
              <w:tab w:val="right" w:pos="9026" w:leader="dot"/>
            </w:tabs>
            <w:rPr/>
          </w:pPr>
          <w:hyperlink w:anchor="__RefHeading___Toc2354715_3650668749">
            <w:r>
              <w:rPr>
                <w:webHidden/>
                <w:rStyle w:val="IndexLink"/>
                <w:rtl w:val="true"/>
              </w:rPr>
              <w:t>حكم الحلف مع إقامة البيّنة</w:t>
            </w:r>
            <w:r>
              <w:rPr>
                <w:rStyle w:val="IndexLink"/>
                <w:rtl w:val="true"/>
              </w:rPr>
              <w:tab/>
            </w:r>
            <w:r>
              <w:rPr>
                <w:rStyle w:val="IndexLink"/>
              </w:rPr>
              <w:t>373</w:t>
            </w:r>
          </w:hyperlink>
        </w:p>
        <w:p>
          <w:pPr>
            <w:pStyle w:val="Contents5"/>
            <w:tabs>
              <w:tab w:val="clear" w:pos="7892"/>
              <w:tab w:val="right" w:pos="9026" w:leader="dot"/>
            </w:tabs>
            <w:rPr/>
          </w:pPr>
          <w:hyperlink w:anchor="__RefHeading___Toc2354717_3650668749">
            <w:r>
              <w:rPr>
                <w:webHidden/>
                <w:rStyle w:val="IndexLink"/>
                <w:rtl w:val="true"/>
              </w:rPr>
              <w:t>اشارة</w:t>
            </w:r>
            <w:r>
              <w:rPr>
                <w:rStyle w:val="IndexLink"/>
                <w:rtl w:val="true"/>
              </w:rPr>
              <w:tab/>
            </w:r>
            <w:r>
              <w:rPr>
                <w:rStyle w:val="IndexLink"/>
              </w:rPr>
              <w:t>373</w:t>
            </w:r>
          </w:hyperlink>
        </w:p>
        <w:p>
          <w:pPr>
            <w:pStyle w:val="Contents5"/>
            <w:tabs>
              <w:tab w:val="clear" w:pos="7892"/>
              <w:tab w:val="right" w:pos="9026" w:leader="dot"/>
            </w:tabs>
            <w:rPr/>
          </w:pPr>
          <w:hyperlink w:anchor="__RefHeading___Toc2354719_3650668749">
            <w:r>
              <w:rPr>
                <w:webHidden/>
                <w:rStyle w:val="IndexLink"/>
                <w:rtl w:val="true"/>
              </w:rPr>
              <w:t>الفرع الأوّل</w:t>
            </w:r>
            <w:r>
              <w:rPr>
                <w:rStyle w:val="IndexLink"/>
                <w:rtl w:val="true"/>
              </w:rPr>
              <w:t xml:space="preserve">: </w:t>
            </w:r>
            <w:r>
              <w:rPr>
                <w:rStyle w:val="IndexLink"/>
                <w:rtl w:val="true"/>
              </w:rPr>
              <w:t>في أنّ المدّعي لا يستحلف مع إقامة البيّنة</w:t>
            </w:r>
            <w:r>
              <w:rPr>
                <w:rStyle w:val="IndexLink"/>
                <w:rtl w:val="true"/>
              </w:rPr>
              <w:tab/>
            </w:r>
            <w:r>
              <w:rPr>
                <w:rStyle w:val="IndexLink"/>
              </w:rPr>
              <w:t>373</w:t>
            </w:r>
          </w:hyperlink>
        </w:p>
        <w:p>
          <w:pPr>
            <w:pStyle w:val="Contents5"/>
            <w:tabs>
              <w:tab w:val="clear" w:pos="7892"/>
              <w:tab w:val="right" w:pos="9026" w:leader="dot"/>
            </w:tabs>
            <w:rPr/>
          </w:pPr>
          <w:hyperlink w:anchor="__RefHeading___Toc2354721_3650668749">
            <w:r>
              <w:rPr>
                <w:webHidden/>
                <w:rStyle w:val="IndexLink"/>
                <w:rtl w:val="true"/>
              </w:rPr>
              <w:t>الفرع الثاني</w:t>
            </w:r>
            <w:r>
              <w:rPr>
                <w:rStyle w:val="IndexLink"/>
                <w:rtl w:val="true"/>
              </w:rPr>
              <w:t xml:space="preserve">: </w:t>
            </w:r>
            <w:r>
              <w:rPr>
                <w:rStyle w:val="IndexLink"/>
                <w:rtl w:val="true"/>
              </w:rPr>
              <w:t>في الدعوى على الميّت‌</w:t>
            </w:r>
            <w:r>
              <w:rPr>
                <w:rStyle w:val="IndexLink"/>
                <w:rtl w:val="true"/>
              </w:rPr>
              <w:tab/>
            </w:r>
            <w:r>
              <w:rPr>
                <w:rStyle w:val="IndexLink"/>
              </w:rPr>
              <w:t>375</w:t>
            </w:r>
          </w:hyperlink>
        </w:p>
        <w:p>
          <w:pPr>
            <w:pStyle w:val="Contents5"/>
            <w:tabs>
              <w:tab w:val="clear" w:pos="7892"/>
              <w:tab w:val="right" w:pos="9026" w:leader="dot"/>
            </w:tabs>
            <w:rPr/>
          </w:pPr>
          <w:hyperlink w:anchor="__RefHeading___Toc2354723_3650668749">
            <w:r>
              <w:rPr>
                <w:webHidden/>
                <w:rStyle w:val="IndexLink"/>
                <w:rtl w:val="true"/>
              </w:rPr>
              <w:t>الفرع الثالث</w:t>
            </w:r>
            <w:r>
              <w:rPr>
                <w:rStyle w:val="IndexLink"/>
                <w:rtl w:val="true"/>
              </w:rPr>
              <w:t xml:space="preserve">: </w:t>
            </w:r>
            <w:r>
              <w:rPr>
                <w:rStyle w:val="IndexLink"/>
                <w:rtl w:val="true"/>
              </w:rPr>
              <w:t>في إلحاق الطفل والمجنون والغيب بالميّت‌</w:t>
            </w:r>
            <w:r>
              <w:rPr>
                <w:rStyle w:val="IndexLink"/>
                <w:rtl w:val="true"/>
              </w:rPr>
              <w:tab/>
            </w:r>
            <w:r>
              <w:rPr>
                <w:rStyle w:val="IndexLink"/>
              </w:rPr>
              <w:t>380</w:t>
            </w:r>
          </w:hyperlink>
        </w:p>
        <w:p>
          <w:pPr>
            <w:pStyle w:val="Contents5"/>
            <w:tabs>
              <w:tab w:val="clear" w:pos="7892"/>
              <w:tab w:val="right" w:pos="9026" w:leader="dot"/>
            </w:tabs>
            <w:rPr/>
          </w:pPr>
          <w:hyperlink w:anchor="__RefHeading___Toc2354725_3650668749">
            <w:r>
              <w:rPr>
                <w:webHidden/>
                <w:rStyle w:val="IndexLink"/>
                <w:rtl w:val="true"/>
              </w:rPr>
              <w:t>الفرع الرابع</w:t>
            </w:r>
            <w:r>
              <w:rPr>
                <w:rStyle w:val="IndexLink"/>
                <w:rtl w:val="true"/>
              </w:rPr>
              <w:t xml:space="preserve">: </w:t>
            </w:r>
            <w:r>
              <w:rPr>
                <w:rStyle w:val="IndexLink"/>
                <w:rtl w:val="true"/>
              </w:rPr>
              <w:t>في عدم اختصاص الحكم بالدين‌</w:t>
            </w:r>
            <w:r>
              <w:rPr>
                <w:rStyle w:val="IndexLink"/>
                <w:rtl w:val="true"/>
              </w:rPr>
              <w:tab/>
            </w:r>
            <w:r>
              <w:rPr>
                <w:rStyle w:val="IndexLink"/>
              </w:rPr>
              <w:t>384</w:t>
            </w:r>
          </w:hyperlink>
        </w:p>
        <w:p>
          <w:pPr>
            <w:pStyle w:val="Contents5"/>
            <w:tabs>
              <w:tab w:val="clear" w:pos="7892"/>
              <w:tab w:val="right" w:pos="9026" w:leader="dot"/>
            </w:tabs>
            <w:rPr/>
          </w:pPr>
          <w:hyperlink w:anchor="__RefHeading___Toc2354727_3650668749">
            <w:r>
              <w:rPr>
                <w:webHidden/>
                <w:rStyle w:val="IndexLink"/>
                <w:rtl w:val="true"/>
              </w:rPr>
              <w:t>الفرع الخامس</w:t>
            </w:r>
            <w:r>
              <w:rPr>
                <w:rStyle w:val="IndexLink"/>
                <w:rtl w:val="true"/>
              </w:rPr>
              <w:t xml:space="preserve">: </w:t>
            </w:r>
            <w:r>
              <w:rPr>
                <w:rStyle w:val="IndexLink"/>
                <w:rtl w:val="true"/>
              </w:rPr>
              <w:t>لو كان المدّعى على الميّت وارث صاحب الحقّ‌</w:t>
            </w:r>
            <w:r>
              <w:rPr>
                <w:rStyle w:val="IndexLink"/>
                <w:rtl w:val="true"/>
              </w:rPr>
              <w:tab/>
            </w:r>
            <w:r>
              <w:rPr>
                <w:rStyle w:val="IndexLink"/>
              </w:rPr>
              <w:t>388</w:t>
            </w:r>
          </w:hyperlink>
        </w:p>
        <w:p>
          <w:pPr>
            <w:pStyle w:val="Contents4"/>
            <w:tabs>
              <w:tab w:val="clear" w:pos="8176"/>
              <w:tab w:val="right" w:pos="9026" w:leader="dot"/>
            </w:tabs>
            <w:rPr/>
          </w:pPr>
          <w:hyperlink w:anchor="__RefHeading___Toc2354729_3650668749">
            <w:r>
              <w:rPr>
                <w:webHidden/>
                <w:rStyle w:val="IndexLink"/>
                <w:rtl w:val="true"/>
              </w:rPr>
              <w:t>القول بعدم كفاية يمين واحدة للورّاث في الدعوى على الميّت‌</w:t>
            </w:r>
            <w:r>
              <w:rPr>
                <w:rStyle w:val="IndexLink"/>
                <w:rtl w:val="true"/>
              </w:rPr>
              <w:tab/>
            </w:r>
            <w:r>
              <w:rPr>
                <w:rStyle w:val="IndexLink"/>
              </w:rPr>
              <w:t>393</w:t>
            </w:r>
          </w:hyperlink>
        </w:p>
        <w:p>
          <w:pPr>
            <w:pStyle w:val="Contents4"/>
            <w:tabs>
              <w:tab w:val="clear" w:pos="8176"/>
              <w:tab w:val="right" w:pos="9026" w:leader="dot"/>
            </w:tabs>
            <w:rPr/>
          </w:pPr>
          <w:hyperlink w:anchor="__RefHeading___Toc2354731_3650668749">
            <w:r>
              <w:rPr>
                <w:webHidden/>
                <w:rStyle w:val="IndexLink"/>
                <w:rtl w:val="true"/>
              </w:rPr>
              <w:t>المختار في‌كفاية يمين واحدة من أحد الوارث‌</w:t>
            </w:r>
            <w:r>
              <w:rPr>
                <w:rStyle w:val="IndexLink"/>
                <w:rtl w:val="true"/>
              </w:rPr>
              <w:tab/>
            </w:r>
            <w:r>
              <w:rPr>
                <w:rStyle w:val="IndexLink"/>
              </w:rPr>
              <w:t>394</w:t>
            </w:r>
          </w:hyperlink>
        </w:p>
        <w:p>
          <w:pPr>
            <w:pStyle w:val="Contents4"/>
            <w:tabs>
              <w:tab w:val="clear" w:pos="8176"/>
              <w:tab w:val="right" w:pos="9026" w:leader="dot"/>
            </w:tabs>
            <w:rPr/>
          </w:pPr>
          <w:hyperlink w:anchor="__RefHeading___Toc2354733_3650668749">
            <w:r>
              <w:rPr>
                <w:webHidden/>
                <w:rStyle w:val="IndexLink"/>
                <w:rtl w:val="true"/>
              </w:rPr>
              <w:t>في لزوم كون اليمين للاستظهار عند الحاكم‌</w:t>
            </w:r>
            <w:r>
              <w:rPr>
                <w:rStyle w:val="IndexLink"/>
                <w:rtl w:val="true"/>
              </w:rPr>
              <w:tab/>
            </w:r>
            <w:r>
              <w:rPr>
                <w:rStyle w:val="IndexLink"/>
              </w:rPr>
              <w:t>396</w:t>
            </w:r>
          </w:hyperlink>
        </w:p>
        <w:p>
          <w:pPr>
            <w:pStyle w:val="Contents4"/>
            <w:tabs>
              <w:tab w:val="clear" w:pos="8176"/>
              <w:tab w:val="right" w:pos="9026" w:leader="dot"/>
            </w:tabs>
            <w:rPr/>
          </w:pPr>
          <w:hyperlink w:anchor="__RefHeading___Toc2354735_3650668749">
            <w:r>
              <w:rPr>
                <w:webHidden/>
                <w:rStyle w:val="IndexLink"/>
                <w:rtl w:val="true"/>
              </w:rPr>
              <w:t>أنّ اليمين الاستظهاري غير قابلة للإسقاط</w:t>
            </w:r>
            <w:r>
              <w:rPr>
                <w:rStyle w:val="IndexLink"/>
                <w:rtl w:val="true"/>
              </w:rPr>
              <w:tab/>
            </w:r>
            <w:r>
              <w:rPr>
                <w:rStyle w:val="IndexLink"/>
              </w:rPr>
              <w:t>397</w:t>
            </w:r>
          </w:hyperlink>
        </w:p>
        <w:p>
          <w:pPr>
            <w:pStyle w:val="Contents3"/>
            <w:tabs>
              <w:tab w:val="clear" w:pos="8459"/>
              <w:tab w:val="right" w:pos="9026" w:leader="dot"/>
            </w:tabs>
            <w:rPr/>
          </w:pPr>
          <w:hyperlink w:anchor="__RefHeading___Toc2354737_3650668749">
            <w:r>
              <w:rPr>
                <w:webHidden/>
                <w:rStyle w:val="IndexLink"/>
                <w:rtl w:val="true"/>
              </w:rPr>
              <w:t>القول</w:t>
            </w:r>
            <w:r>
              <w:rPr>
                <w:rStyle w:val="IndexLink"/>
                <w:rtl w:val="true"/>
              </w:rPr>
              <w:t xml:space="preserve">: </w:t>
            </w:r>
            <w:r>
              <w:rPr>
                <w:rStyle w:val="IndexLink"/>
                <w:rtl w:val="true"/>
              </w:rPr>
              <w:t>في الشاهد واليمين‌</w:t>
            </w:r>
            <w:r>
              <w:rPr>
                <w:rStyle w:val="IndexLink"/>
                <w:rtl w:val="true"/>
              </w:rPr>
              <w:tab/>
            </w:r>
            <w:r>
              <w:rPr>
                <w:rStyle w:val="IndexLink"/>
              </w:rPr>
              <w:t>398</w:t>
            </w:r>
          </w:hyperlink>
        </w:p>
        <w:p>
          <w:pPr>
            <w:pStyle w:val="Contents4"/>
            <w:tabs>
              <w:tab w:val="clear" w:pos="8176"/>
              <w:tab w:val="right" w:pos="9026" w:leader="dot"/>
            </w:tabs>
            <w:rPr/>
          </w:pPr>
          <w:hyperlink w:anchor="__RefHeading___Toc2354739_3650668749">
            <w:r>
              <w:rPr>
                <w:webHidden/>
                <w:rStyle w:val="IndexLink"/>
                <w:rtl w:val="true"/>
              </w:rPr>
              <w:t>اشارة</w:t>
            </w:r>
            <w:r>
              <w:rPr>
                <w:rStyle w:val="IndexLink"/>
                <w:rtl w:val="true"/>
              </w:rPr>
              <w:tab/>
            </w:r>
            <w:r>
              <w:rPr>
                <w:rStyle w:val="IndexLink"/>
              </w:rPr>
              <w:t>398</w:t>
            </w:r>
          </w:hyperlink>
        </w:p>
        <w:p>
          <w:pPr>
            <w:pStyle w:val="Contents4"/>
            <w:tabs>
              <w:tab w:val="clear" w:pos="8176"/>
              <w:tab w:val="right" w:pos="9026" w:leader="dot"/>
            </w:tabs>
            <w:rPr/>
          </w:pPr>
          <w:hyperlink w:anchor="__RefHeading___Toc2354741_3650668749">
            <w:r>
              <w:rPr>
                <w:webHidden/>
                <w:rStyle w:val="IndexLink"/>
                <w:rtl w:val="true"/>
              </w:rPr>
              <w:t>جواز القضاء بالشاهد واليمين في الجملة</w:t>
            </w:r>
            <w:r>
              <w:rPr>
                <w:rStyle w:val="IndexLink"/>
                <w:rtl w:val="true"/>
              </w:rPr>
              <w:tab/>
            </w:r>
            <w:r>
              <w:rPr>
                <w:rStyle w:val="IndexLink"/>
              </w:rPr>
              <w:t>398</w:t>
            </w:r>
          </w:hyperlink>
        </w:p>
        <w:p>
          <w:pPr>
            <w:pStyle w:val="Contents5"/>
            <w:tabs>
              <w:tab w:val="clear" w:pos="7892"/>
              <w:tab w:val="right" w:pos="9026" w:leader="dot"/>
            </w:tabs>
            <w:rPr/>
          </w:pPr>
          <w:hyperlink w:anchor="__RefHeading___Toc2354743_3650668749">
            <w:r>
              <w:rPr>
                <w:webHidden/>
                <w:rStyle w:val="IndexLink"/>
                <w:rtl w:val="true"/>
              </w:rPr>
              <w:t>اشارة</w:t>
            </w:r>
            <w:r>
              <w:rPr>
                <w:rStyle w:val="IndexLink"/>
                <w:rtl w:val="true"/>
              </w:rPr>
              <w:tab/>
            </w:r>
            <w:r>
              <w:rPr>
                <w:rStyle w:val="IndexLink"/>
              </w:rPr>
              <w:t>398</w:t>
            </w:r>
          </w:hyperlink>
        </w:p>
        <w:p>
          <w:pPr>
            <w:pStyle w:val="Contents5"/>
            <w:tabs>
              <w:tab w:val="clear" w:pos="7892"/>
              <w:tab w:val="right" w:pos="9026" w:leader="dot"/>
            </w:tabs>
            <w:rPr/>
          </w:pPr>
          <w:hyperlink w:anchor="__RefHeading___Toc2354745_3650668749">
            <w:r>
              <w:rPr>
                <w:webHidden/>
                <w:rStyle w:val="IndexLink"/>
                <w:rtl w:val="true"/>
              </w:rPr>
              <w:t>في تحديد مورد جواز القضاء بالشاهد واليمين‌</w:t>
            </w:r>
            <w:r>
              <w:rPr>
                <w:rStyle w:val="IndexLink"/>
                <w:rtl w:val="true"/>
              </w:rPr>
              <w:tab/>
            </w:r>
            <w:r>
              <w:rPr>
                <w:rStyle w:val="IndexLink"/>
              </w:rPr>
              <w:t>400</w:t>
            </w:r>
          </w:hyperlink>
        </w:p>
        <w:p>
          <w:pPr>
            <w:pStyle w:val="Contents4"/>
            <w:tabs>
              <w:tab w:val="clear" w:pos="8176"/>
              <w:tab w:val="right" w:pos="9026" w:leader="dot"/>
            </w:tabs>
            <w:rPr/>
          </w:pPr>
          <w:hyperlink w:anchor="__RefHeading___Toc2354747_3650668749">
            <w:r>
              <w:rPr>
                <w:webHidden/>
                <w:rStyle w:val="IndexLink"/>
                <w:rtl w:val="true"/>
              </w:rPr>
              <w:t>جواز القضاء بشهادة امرأتين واليمين‌</w:t>
            </w:r>
            <w:r>
              <w:rPr>
                <w:rStyle w:val="IndexLink"/>
                <w:rtl w:val="true"/>
              </w:rPr>
              <w:tab/>
            </w:r>
            <w:r>
              <w:rPr>
                <w:rStyle w:val="IndexLink"/>
              </w:rPr>
              <w:t>412</w:t>
            </w:r>
          </w:hyperlink>
        </w:p>
        <w:p>
          <w:pPr>
            <w:pStyle w:val="Contents4"/>
            <w:tabs>
              <w:tab w:val="clear" w:pos="8176"/>
              <w:tab w:val="right" w:pos="9026" w:leader="dot"/>
            </w:tabs>
            <w:rPr/>
          </w:pPr>
          <w:hyperlink w:anchor="__RefHeading___Toc2354749_3650668749">
            <w:r>
              <w:rPr>
                <w:webHidden/>
                <w:rStyle w:val="IndexLink"/>
                <w:rtl w:val="true"/>
              </w:rPr>
              <w:t xml:space="preserve">المراد من </w:t>
            </w:r>
            <w:r>
              <w:rPr>
                <w:rStyle w:val="IndexLink"/>
                <w:rtl w:val="true"/>
              </w:rPr>
              <w:t>«</w:t>
            </w:r>
            <w:r>
              <w:rPr>
                <w:rStyle w:val="IndexLink"/>
                <w:rtl w:val="true"/>
              </w:rPr>
              <w:t>الدين</w:t>
            </w:r>
            <w:r>
              <w:rPr>
                <w:rStyle w:val="IndexLink"/>
                <w:rtl w:val="true"/>
              </w:rPr>
              <w:t>»</w:t>
              <w:tab/>
            </w:r>
            <w:r>
              <w:rPr>
                <w:rStyle w:val="IndexLink"/>
              </w:rPr>
              <w:t>414</w:t>
            </w:r>
          </w:hyperlink>
        </w:p>
        <w:p>
          <w:pPr>
            <w:pStyle w:val="Contents4"/>
            <w:tabs>
              <w:tab w:val="clear" w:pos="8176"/>
              <w:tab w:val="right" w:pos="9026" w:leader="dot"/>
            </w:tabs>
            <w:rPr/>
          </w:pPr>
          <w:hyperlink w:anchor="__RefHeading___Toc2354751_3650668749">
            <w:r>
              <w:rPr>
                <w:webHidden/>
                <w:rStyle w:val="IndexLink"/>
                <w:rtl w:val="true"/>
              </w:rPr>
              <w:t>اشتراط الترتيب في الشاهد واليمين وتقديم الشاهد على اليمين‌</w:t>
            </w:r>
            <w:r>
              <w:rPr>
                <w:rStyle w:val="IndexLink"/>
                <w:rtl w:val="true"/>
              </w:rPr>
              <w:tab/>
            </w:r>
            <w:r>
              <w:rPr>
                <w:rStyle w:val="IndexLink"/>
              </w:rPr>
              <w:t>416</w:t>
            </w:r>
          </w:hyperlink>
        </w:p>
        <w:p>
          <w:pPr>
            <w:pStyle w:val="Contents4"/>
            <w:tabs>
              <w:tab w:val="clear" w:pos="8176"/>
              <w:tab w:val="right" w:pos="9026" w:leader="dot"/>
            </w:tabs>
            <w:rPr/>
          </w:pPr>
          <w:hyperlink w:anchor="__RefHeading___Toc2354753_3650668749">
            <w:r>
              <w:rPr>
                <w:webHidden/>
                <w:rStyle w:val="IndexLink"/>
                <w:rtl w:val="true"/>
              </w:rPr>
              <w:t>هل يجب تعدّد اليمين مع تعدّد المدّعي؟</w:t>
            </w:r>
            <w:r>
              <w:rPr>
                <w:rStyle w:val="IndexLink"/>
                <w:rtl w:val="true"/>
              </w:rPr>
              <w:tab/>
            </w:r>
            <w:r>
              <w:rPr>
                <w:rStyle w:val="IndexLink"/>
              </w:rPr>
              <w:t>420</w:t>
            </w:r>
          </w:hyperlink>
        </w:p>
        <w:p>
          <w:pPr>
            <w:pStyle w:val="Contents4"/>
            <w:tabs>
              <w:tab w:val="clear" w:pos="8176"/>
              <w:tab w:val="right" w:pos="9026" w:leader="dot"/>
            </w:tabs>
            <w:rPr/>
          </w:pPr>
          <w:hyperlink w:anchor="__RefHeading___Toc2354755_3650668749">
            <w:r>
              <w:rPr>
                <w:webHidden/>
                <w:rStyle w:val="IndexLink"/>
                <w:rtl w:val="true"/>
              </w:rPr>
              <w:t>متى يمكن ثبوت الحقّ بشاهد ويمين‌</w:t>
            </w:r>
            <w:r>
              <w:rPr>
                <w:rStyle w:val="IndexLink"/>
                <w:rtl w:val="true"/>
              </w:rPr>
              <w:tab/>
            </w:r>
            <w:r>
              <w:rPr>
                <w:rStyle w:val="IndexLink"/>
              </w:rPr>
              <w:t>423</w:t>
            </w:r>
          </w:hyperlink>
        </w:p>
        <w:p>
          <w:pPr>
            <w:pStyle w:val="Contents4"/>
            <w:tabs>
              <w:tab w:val="clear" w:pos="8176"/>
              <w:tab w:val="right" w:pos="9026" w:leader="dot"/>
            </w:tabs>
            <w:rPr/>
          </w:pPr>
          <w:hyperlink w:anchor="__RefHeading___Toc2354757_3650668749">
            <w:r>
              <w:rPr>
                <w:webHidden/>
                <w:rStyle w:val="IndexLink"/>
                <w:rtl w:val="true"/>
              </w:rPr>
              <w:t>في ضمان نصف المال لو رجع الشاهد</w:t>
            </w:r>
            <w:r>
              <w:rPr>
                <w:rStyle w:val="IndexLink"/>
                <w:rtl w:val="true"/>
              </w:rPr>
              <w:tab/>
            </w:r>
            <w:r>
              <w:rPr>
                <w:rStyle w:val="IndexLink"/>
              </w:rPr>
              <w:t>424</w:t>
            </w:r>
          </w:hyperlink>
        </w:p>
        <w:p>
          <w:pPr>
            <w:pStyle w:val="Contents3"/>
            <w:tabs>
              <w:tab w:val="clear" w:pos="8459"/>
              <w:tab w:val="right" w:pos="9026" w:leader="dot"/>
            </w:tabs>
            <w:rPr/>
          </w:pPr>
          <w:hyperlink w:anchor="__RefHeading___Toc2354759_3650668749">
            <w:r>
              <w:rPr>
                <w:webHidden/>
                <w:rStyle w:val="IndexLink"/>
                <w:rtl w:val="true"/>
              </w:rPr>
              <w:t>القول</w:t>
            </w:r>
            <w:r>
              <w:rPr>
                <w:rStyle w:val="IndexLink"/>
                <w:rtl w:val="true"/>
              </w:rPr>
              <w:t xml:space="preserve">: </w:t>
            </w:r>
            <w:r>
              <w:rPr>
                <w:rStyle w:val="IndexLink"/>
                <w:rtl w:val="true"/>
              </w:rPr>
              <w:t>في السكوت‌</w:t>
            </w:r>
            <w:r>
              <w:rPr>
                <w:rStyle w:val="IndexLink"/>
                <w:rtl w:val="true"/>
              </w:rPr>
              <w:tab/>
            </w:r>
            <w:r>
              <w:rPr>
                <w:rStyle w:val="IndexLink"/>
              </w:rPr>
              <w:t>425</w:t>
            </w:r>
          </w:hyperlink>
        </w:p>
        <w:p>
          <w:pPr>
            <w:pStyle w:val="Contents4"/>
            <w:tabs>
              <w:tab w:val="clear" w:pos="8176"/>
              <w:tab w:val="right" w:pos="9026" w:leader="dot"/>
            </w:tabs>
            <w:rPr/>
          </w:pPr>
          <w:hyperlink w:anchor="__RefHeading___Toc2354761_3650668749">
            <w:r>
              <w:rPr>
                <w:webHidden/>
                <w:rStyle w:val="IndexLink"/>
                <w:rtl w:val="true"/>
              </w:rPr>
              <w:t>اشارة</w:t>
            </w:r>
            <w:r>
              <w:rPr>
                <w:rStyle w:val="IndexLink"/>
                <w:rtl w:val="true"/>
              </w:rPr>
              <w:tab/>
            </w:r>
            <w:r>
              <w:rPr>
                <w:rStyle w:val="IndexLink"/>
              </w:rPr>
              <w:t>425</w:t>
            </w:r>
          </w:hyperlink>
        </w:p>
        <w:p>
          <w:pPr>
            <w:pStyle w:val="Contents4"/>
            <w:tabs>
              <w:tab w:val="clear" w:pos="8176"/>
              <w:tab w:val="right" w:pos="9026" w:leader="dot"/>
            </w:tabs>
            <w:rPr/>
          </w:pPr>
          <w:hyperlink w:anchor="__RefHeading___Toc2354763_3650668749">
            <w:r>
              <w:rPr>
                <w:webHidden/>
                <w:rStyle w:val="IndexLink"/>
                <w:rtl w:val="true"/>
              </w:rPr>
              <w:t>[</w:t>
            </w:r>
            <w:r>
              <w:rPr>
                <w:rStyle w:val="IndexLink"/>
                <w:rtl w:val="true"/>
              </w:rPr>
              <w:t>فيه أقوال</w:t>
            </w:r>
            <w:r>
              <w:rPr>
                <w:rStyle w:val="IndexLink"/>
                <w:rtl w:val="true"/>
              </w:rPr>
              <w:t>:]</w:t>
              <w:tab/>
            </w:r>
            <w:r>
              <w:rPr>
                <w:rStyle w:val="IndexLink"/>
              </w:rPr>
              <w:t>426</w:t>
            </w:r>
          </w:hyperlink>
        </w:p>
        <w:p>
          <w:pPr>
            <w:pStyle w:val="Contents5"/>
            <w:tabs>
              <w:tab w:val="clear" w:pos="7892"/>
              <w:tab w:val="right" w:pos="9026" w:leader="dot"/>
            </w:tabs>
            <w:rPr/>
          </w:pPr>
          <w:hyperlink w:anchor="__RefHeading___Toc2354765_3650668749">
            <w:r>
              <w:rPr>
                <w:webHidden/>
                <w:rStyle w:val="IndexLink"/>
                <w:rtl w:val="true"/>
              </w:rPr>
              <w:t>القول الأوّل</w:t>
            </w:r>
            <w:r>
              <w:rPr>
                <w:rStyle w:val="IndexLink"/>
                <w:rtl w:val="true"/>
              </w:rPr>
              <w:t xml:space="preserve">: </w:t>
            </w:r>
            <w:r>
              <w:rPr>
                <w:rStyle w:val="IndexLink"/>
                <w:rtl w:val="true"/>
              </w:rPr>
              <w:t>الحبس‌</w:t>
            </w:r>
            <w:r>
              <w:rPr>
                <w:rStyle w:val="IndexLink"/>
                <w:rtl w:val="true"/>
              </w:rPr>
              <w:tab/>
            </w:r>
            <w:r>
              <w:rPr>
                <w:rStyle w:val="IndexLink"/>
              </w:rPr>
              <w:t>426</w:t>
            </w:r>
          </w:hyperlink>
        </w:p>
        <w:p>
          <w:pPr>
            <w:pStyle w:val="Contents5"/>
            <w:tabs>
              <w:tab w:val="clear" w:pos="7892"/>
              <w:tab w:val="right" w:pos="9026" w:leader="dot"/>
            </w:tabs>
            <w:rPr/>
          </w:pPr>
          <w:hyperlink w:anchor="__RefHeading___Toc2354767_3650668749">
            <w:r>
              <w:rPr>
                <w:webHidden/>
                <w:rStyle w:val="IndexLink"/>
                <w:rtl w:val="true"/>
              </w:rPr>
              <w:t>القول الثاني</w:t>
            </w:r>
            <w:r>
              <w:rPr>
                <w:rStyle w:val="IndexLink"/>
                <w:rtl w:val="true"/>
              </w:rPr>
              <w:t xml:space="preserve">: </w:t>
            </w:r>
            <w:r>
              <w:rPr>
                <w:rStyle w:val="IndexLink"/>
                <w:rtl w:val="true"/>
              </w:rPr>
              <w:t>الإجبار بالضرب وغيره حتّى يجيب‌</w:t>
            </w:r>
            <w:r>
              <w:rPr>
                <w:rStyle w:val="IndexLink"/>
                <w:rtl w:val="true"/>
              </w:rPr>
              <w:tab/>
            </w:r>
            <w:r>
              <w:rPr>
                <w:rStyle w:val="IndexLink"/>
              </w:rPr>
              <w:t>428</w:t>
            </w:r>
          </w:hyperlink>
        </w:p>
        <w:p>
          <w:pPr>
            <w:pStyle w:val="Contents5"/>
            <w:tabs>
              <w:tab w:val="clear" w:pos="7892"/>
              <w:tab w:val="right" w:pos="9026" w:leader="dot"/>
            </w:tabs>
            <w:rPr/>
          </w:pPr>
          <w:hyperlink w:anchor="__RefHeading___Toc2354769_3650668749">
            <w:r>
              <w:rPr>
                <w:webHidden/>
                <w:rStyle w:val="IndexLink"/>
                <w:rtl w:val="true"/>
              </w:rPr>
              <w:t>القول الثالث</w:t>
            </w:r>
            <w:r>
              <w:rPr>
                <w:rStyle w:val="IndexLink"/>
                <w:rtl w:val="true"/>
              </w:rPr>
              <w:t xml:space="preserve">: </w:t>
            </w:r>
            <w:r>
              <w:rPr>
                <w:rStyle w:val="IndexLink"/>
                <w:rtl w:val="true"/>
              </w:rPr>
              <w:t>في القول بأنّه‌يحكم على الساكت المعاند بحكم النكول‌</w:t>
            </w:r>
            <w:r>
              <w:rPr>
                <w:rStyle w:val="IndexLink"/>
                <w:rtl w:val="true"/>
              </w:rPr>
              <w:tab/>
            </w:r>
            <w:r>
              <w:rPr>
                <w:rStyle w:val="IndexLink"/>
              </w:rPr>
              <w:t>428</w:t>
            </w:r>
          </w:hyperlink>
        </w:p>
        <w:p>
          <w:pPr>
            <w:pStyle w:val="Contents4"/>
            <w:tabs>
              <w:tab w:val="clear" w:pos="8176"/>
              <w:tab w:val="right" w:pos="9026" w:leader="dot"/>
            </w:tabs>
            <w:rPr/>
          </w:pPr>
          <w:hyperlink w:anchor="__RefHeading___Toc2354771_3650668749">
            <w:r>
              <w:rPr>
                <w:webHidden/>
                <w:rStyle w:val="IndexLink"/>
                <w:rtl w:val="true"/>
              </w:rPr>
              <w:t>فيما إذا كان السكوت لعذر</w:t>
            </w:r>
            <w:r>
              <w:rPr>
                <w:rStyle w:val="IndexLink"/>
                <w:rtl w:val="true"/>
              </w:rPr>
              <w:tab/>
            </w:r>
            <w:r>
              <w:rPr>
                <w:rStyle w:val="IndexLink"/>
              </w:rPr>
              <w:t>432</w:t>
            </w:r>
          </w:hyperlink>
        </w:p>
        <w:p>
          <w:pPr>
            <w:pStyle w:val="Contents4"/>
            <w:tabs>
              <w:tab w:val="clear" w:pos="8176"/>
              <w:tab w:val="right" w:pos="9026" w:leader="dot"/>
            </w:tabs>
            <w:rPr/>
          </w:pPr>
          <w:hyperlink w:anchor="__RefHeading___Toc2354773_3650668749">
            <w:r>
              <w:rPr>
                <w:webHidden/>
                <w:rStyle w:val="IndexLink"/>
                <w:rtl w:val="true"/>
              </w:rPr>
              <w:t>فيما لو أجاب المدّعى عليه ب</w:t>
            </w:r>
            <w:r>
              <w:rPr>
                <w:rStyle w:val="IndexLink"/>
                <w:rtl w:val="true"/>
              </w:rPr>
              <w:t>- «</w:t>
            </w:r>
            <w:r>
              <w:rPr>
                <w:rStyle w:val="IndexLink"/>
                <w:rtl w:val="true"/>
              </w:rPr>
              <w:t>لا أدري ولا أعلم</w:t>
            </w:r>
            <w:r>
              <w:rPr>
                <w:rStyle w:val="IndexLink"/>
                <w:rtl w:val="true"/>
              </w:rPr>
              <w:t>»</w:t>
              <w:tab/>
            </w:r>
            <w:r>
              <w:rPr>
                <w:rStyle w:val="IndexLink"/>
              </w:rPr>
              <w:t>434</w:t>
            </w:r>
          </w:hyperlink>
        </w:p>
        <w:p>
          <w:pPr>
            <w:pStyle w:val="Contents5"/>
            <w:tabs>
              <w:tab w:val="clear" w:pos="7892"/>
              <w:tab w:val="right" w:pos="9026" w:leader="dot"/>
            </w:tabs>
            <w:rPr/>
          </w:pPr>
          <w:hyperlink w:anchor="__RefHeading___Toc2354775_3650668749">
            <w:r>
              <w:rPr>
                <w:webHidden/>
                <w:rStyle w:val="IndexLink"/>
                <w:rtl w:val="true"/>
              </w:rPr>
              <w:t>اشارة</w:t>
            </w:r>
            <w:r>
              <w:rPr>
                <w:rStyle w:val="IndexLink"/>
                <w:rtl w:val="true"/>
              </w:rPr>
              <w:tab/>
            </w:r>
            <w:r>
              <w:rPr>
                <w:rStyle w:val="IndexLink"/>
              </w:rPr>
              <w:t>434</w:t>
            </w:r>
          </w:hyperlink>
        </w:p>
        <w:p>
          <w:pPr>
            <w:pStyle w:val="Contents5"/>
            <w:tabs>
              <w:tab w:val="clear" w:pos="7892"/>
              <w:tab w:val="right" w:pos="9026" w:leader="dot"/>
            </w:tabs>
            <w:rPr/>
          </w:pPr>
          <w:hyperlink w:anchor="__RefHeading___Toc2354777_3650668749">
            <w:r>
              <w:rPr>
                <w:webHidden/>
                <w:rStyle w:val="IndexLink"/>
                <w:rtl w:val="true"/>
              </w:rPr>
              <w:t>هل يمكن جعل الجواب بلا أدري من قسم المنكر؟</w:t>
            </w:r>
            <w:r>
              <w:rPr>
                <w:rStyle w:val="IndexLink"/>
                <w:rtl w:val="true"/>
              </w:rPr>
              <w:tab/>
            </w:r>
            <w:r>
              <w:rPr>
                <w:rStyle w:val="IndexLink"/>
              </w:rPr>
              <w:t>439</w:t>
            </w:r>
          </w:hyperlink>
        </w:p>
        <w:p>
          <w:pPr>
            <w:pStyle w:val="Contents3"/>
            <w:tabs>
              <w:tab w:val="clear" w:pos="8459"/>
              <w:tab w:val="right" w:pos="9026" w:leader="dot"/>
            </w:tabs>
            <w:rPr/>
          </w:pPr>
          <w:hyperlink w:anchor="__RefHeading___Toc2354779_3650668749">
            <w:r>
              <w:rPr>
                <w:webHidden/>
                <w:rStyle w:val="IndexLink"/>
                <w:rtl w:val="true"/>
              </w:rPr>
              <w:t>القول</w:t>
            </w:r>
            <w:r>
              <w:rPr>
                <w:rStyle w:val="IndexLink"/>
                <w:rtl w:val="true"/>
              </w:rPr>
              <w:t xml:space="preserve">: </w:t>
            </w:r>
            <w:r>
              <w:rPr>
                <w:rStyle w:val="IndexLink"/>
                <w:rtl w:val="true"/>
              </w:rPr>
              <w:t>في أحكام الحلف‌</w:t>
            </w:r>
            <w:r>
              <w:rPr>
                <w:rStyle w:val="IndexLink"/>
                <w:rtl w:val="true"/>
              </w:rPr>
              <w:tab/>
            </w:r>
            <w:r>
              <w:rPr>
                <w:rStyle w:val="IndexLink"/>
              </w:rPr>
              <w:t>445</w:t>
            </w:r>
          </w:hyperlink>
        </w:p>
        <w:p>
          <w:pPr>
            <w:pStyle w:val="Contents4"/>
            <w:tabs>
              <w:tab w:val="clear" w:pos="8176"/>
              <w:tab w:val="right" w:pos="9026" w:leader="dot"/>
            </w:tabs>
            <w:rPr/>
          </w:pPr>
          <w:hyperlink w:anchor="__RefHeading___Toc2354781_3650668749">
            <w:r>
              <w:rPr>
                <w:webHidden/>
                <w:rStyle w:val="IndexLink"/>
                <w:rtl w:val="true"/>
              </w:rPr>
              <w:t>اشارة</w:t>
            </w:r>
            <w:r>
              <w:rPr>
                <w:rStyle w:val="IndexLink"/>
                <w:rtl w:val="true"/>
              </w:rPr>
              <w:tab/>
            </w:r>
            <w:r>
              <w:rPr>
                <w:rStyle w:val="IndexLink"/>
              </w:rPr>
              <w:t>445</w:t>
            </w:r>
          </w:hyperlink>
        </w:p>
        <w:p>
          <w:pPr>
            <w:pStyle w:val="Contents4"/>
            <w:tabs>
              <w:tab w:val="clear" w:pos="8176"/>
              <w:tab w:val="right" w:pos="9026" w:leader="dot"/>
            </w:tabs>
            <w:rPr/>
          </w:pPr>
          <w:hyperlink w:anchor="__RefHeading___Toc2354783_3650668749">
            <w:r>
              <w:rPr>
                <w:webHidden/>
                <w:rStyle w:val="IndexLink"/>
                <w:rtl w:val="true"/>
              </w:rPr>
              <w:t>فيما تدلّ على عدم صحّة الحلف إلا بالله تعالى‌</w:t>
            </w:r>
            <w:r>
              <w:rPr>
                <w:rStyle w:val="IndexLink"/>
                <w:rtl w:val="true"/>
              </w:rPr>
              <w:tab/>
            </w:r>
            <w:r>
              <w:rPr>
                <w:rStyle w:val="IndexLink"/>
              </w:rPr>
              <w:t>446</w:t>
            </w:r>
          </w:hyperlink>
        </w:p>
        <w:p>
          <w:pPr>
            <w:pStyle w:val="Contents5"/>
            <w:tabs>
              <w:tab w:val="clear" w:pos="7892"/>
              <w:tab w:val="right" w:pos="9026" w:leader="dot"/>
            </w:tabs>
            <w:rPr/>
          </w:pPr>
          <w:hyperlink w:anchor="__RefHeading___Toc2354785_3650668749">
            <w:r>
              <w:rPr>
                <w:webHidden/>
                <w:rStyle w:val="IndexLink"/>
                <w:rtl w:val="true"/>
              </w:rPr>
              <w:t>اشارة</w:t>
            </w:r>
            <w:r>
              <w:rPr>
                <w:rStyle w:val="IndexLink"/>
                <w:rtl w:val="true"/>
              </w:rPr>
              <w:tab/>
            </w:r>
            <w:r>
              <w:rPr>
                <w:rStyle w:val="IndexLink"/>
              </w:rPr>
              <w:t>446</w:t>
            </w:r>
          </w:hyperlink>
        </w:p>
        <w:p>
          <w:pPr>
            <w:pStyle w:val="Contents5"/>
            <w:tabs>
              <w:tab w:val="clear" w:pos="7892"/>
              <w:tab w:val="right" w:pos="9026" w:leader="dot"/>
            </w:tabs>
            <w:rPr/>
          </w:pPr>
          <w:hyperlink w:anchor="__RefHeading___Toc2354787_3650668749">
            <w:r>
              <w:rPr>
                <w:webHidden/>
                <w:rStyle w:val="IndexLink"/>
                <w:rtl w:val="true"/>
              </w:rPr>
              <w:t>في عدم اختصاص الحلف بلفظ الجلالة</w:t>
            </w:r>
            <w:r>
              <w:rPr>
                <w:rStyle w:val="IndexLink"/>
                <w:rtl w:val="true"/>
              </w:rPr>
              <w:tab/>
            </w:r>
            <w:r>
              <w:rPr>
                <w:rStyle w:val="IndexLink"/>
              </w:rPr>
              <w:t>448</w:t>
            </w:r>
          </w:hyperlink>
        </w:p>
        <w:p>
          <w:pPr>
            <w:pStyle w:val="Contents5"/>
            <w:tabs>
              <w:tab w:val="clear" w:pos="7892"/>
              <w:tab w:val="right" w:pos="9026" w:leader="dot"/>
            </w:tabs>
            <w:rPr/>
          </w:pPr>
          <w:hyperlink w:anchor="__RefHeading___Toc2354789_3650668749">
            <w:r>
              <w:rPr>
                <w:webHidden/>
                <w:rStyle w:val="IndexLink"/>
                <w:rtl w:val="true"/>
              </w:rPr>
              <w:t>الحلف بالله بغير ألفاظ العربية</w:t>
            </w:r>
            <w:r>
              <w:rPr>
                <w:rStyle w:val="IndexLink"/>
                <w:rtl w:val="true"/>
              </w:rPr>
              <w:tab/>
            </w:r>
            <w:r>
              <w:rPr>
                <w:rStyle w:val="IndexLink"/>
              </w:rPr>
              <w:t>449</w:t>
            </w:r>
          </w:hyperlink>
        </w:p>
        <w:p>
          <w:pPr>
            <w:pStyle w:val="Contents4"/>
            <w:tabs>
              <w:tab w:val="clear" w:pos="8176"/>
              <w:tab w:val="right" w:pos="9026" w:leader="dot"/>
            </w:tabs>
            <w:rPr/>
          </w:pPr>
          <w:hyperlink w:anchor="__RefHeading___Toc2354791_3650668749">
            <w:r>
              <w:rPr>
                <w:webHidden/>
                <w:rStyle w:val="IndexLink"/>
                <w:rtl w:val="true"/>
              </w:rPr>
              <w:t>في لزوم إحلاف الكفّار بالله عزّ وجلّ‌</w:t>
            </w:r>
            <w:r>
              <w:rPr>
                <w:rStyle w:val="IndexLink"/>
                <w:rtl w:val="true"/>
              </w:rPr>
              <w:tab/>
            </w:r>
            <w:r>
              <w:rPr>
                <w:rStyle w:val="IndexLink"/>
              </w:rPr>
              <w:t>450</w:t>
            </w:r>
          </w:hyperlink>
        </w:p>
        <w:p>
          <w:pPr>
            <w:pStyle w:val="Contents5"/>
            <w:tabs>
              <w:tab w:val="clear" w:pos="7892"/>
              <w:tab w:val="right" w:pos="9026" w:leader="dot"/>
            </w:tabs>
            <w:rPr/>
          </w:pPr>
          <w:hyperlink w:anchor="__RefHeading___Toc2354793_3650668749">
            <w:r>
              <w:rPr>
                <w:webHidden/>
                <w:rStyle w:val="IndexLink"/>
                <w:rtl w:val="true"/>
              </w:rPr>
              <w:t>اشارة</w:t>
            </w:r>
            <w:r>
              <w:rPr>
                <w:rStyle w:val="IndexLink"/>
                <w:rtl w:val="true"/>
              </w:rPr>
              <w:tab/>
            </w:r>
            <w:r>
              <w:rPr>
                <w:rStyle w:val="IndexLink"/>
              </w:rPr>
              <w:t>450</w:t>
            </w:r>
          </w:hyperlink>
        </w:p>
        <w:p>
          <w:pPr>
            <w:pStyle w:val="Contents5"/>
            <w:tabs>
              <w:tab w:val="clear" w:pos="7892"/>
              <w:tab w:val="right" w:pos="9026" w:leader="dot"/>
            </w:tabs>
            <w:rPr/>
          </w:pPr>
          <w:hyperlink w:anchor="__RefHeading___Toc2354795_3650668749">
            <w:r>
              <w:rPr>
                <w:webHidden/>
                <w:rStyle w:val="IndexLink"/>
                <w:rtl w:val="true"/>
              </w:rPr>
              <w:t>حول جواز إحلاف الذمّي بما يقتضيه دينه‌</w:t>
            </w:r>
            <w:r>
              <w:rPr>
                <w:rStyle w:val="IndexLink"/>
                <w:rtl w:val="true"/>
              </w:rPr>
              <w:tab/>
            </w:r>
            <w:r>
              <w:rPr>
                <w:rStyle w:val="IndexLink"/>
              </w:rPr>
              <w:t>451</w:t>
            </w:r>
          </w:hyperlink>
        </w:p>
        <w:p>
          <w:pPr>
            <w:pStyle w:val="Contents5"/>
            <w:tabs>
              <w:tab w:val="clear" w:pos="7892"/>
              <w:tab w:val="right" w:pos="9026" w:leader="dot"/>
            </w:tabs>
            <w:rPr/>
          </w:pPr>
          <w:hyperlink w:anchor="__RefHeading___Toc2354797_3650668749">
            <w:r>
              <w:rPr>
                <w:webHidden/>
                <w:rStyle w:val="IndexLink"/>
                <w:rtl w:val="true"/>
              </w:rPr>
              <w:t>عدم‌لزوم ضمّ الضميمة في إحلاف المجوس بلفظ الجلالة</w:t>
            </w:r>
            <w:r>
              <w:rPr>
                <w:rStyle w:val="IndexLink"/>
                <w:rtl w:val="true"/>
              </w:rPr>
              <w:tab/>
            </w:r>
            <w:r>
              <w:rPr>
                <w:rStyle w:val="IndexLink"/>
              </w:rPr>
              <w:t>454</w:t>
            </w:r>
          </w:hyperlink>
        </w:p>
        <w:p>
          <w:pPr>
            <w:pStyle w:val="Contents4"/>
            <w:tabs>
              <w:tab w:val="clear" w:pos="8176"/>
              <w:tab w:val="right" w:pos="9026" w:leader="dot"/>
            </w:tabs>
            <w:rPr/>
          </w:pPr>
          <w:hyperlink w:anchor="__RefHeading___Toc2354799_3650668749">
            <w:r>
              <w:rPr>
                <w:webHidden/>
                <w:rStyle w:val="IndexLink"/>
                <w:rtl w:val="true"/>
              </w:rPr>
              <w:t>عدم ترتّب الأثر على الحلف بغير الله وإن رضي به الخصمان‌</w:t>
            </w:r>
            <w:r>
              <w:rPr>
                <w:rStyle w:val="IndexLink"/>
                <w:rtl w:val="true"/>
              </w:rPr>
              <w:tab/>
            </w:r>
            <w:r>
              <w:rPr>
                <w:rStyle w:val="IndexLink"/>
              </w:rPr>
              <w:t>457</w:t>
            </w:r>
          </w:hyperlink>
        </w:p>
        <w:p>
          <w:pPr>
            <w:pStyle w:val="Contents4"/>
            <w:tabs>
              <w:tab w:val="clear" w:pos="8176"/>
              <w:tab w:val="right" w:pos="9026" w:leader="dot"/>
            </w:tabs>
            <w:rPr/>
          </w:pPr>
          <w:hyperlink w:anchor="__RefHeading___Toc2354801_3650668749">
            <w:r>
              <w:rPr>
                <w:webHidden/>
                <w:rStyle w:val="IndexLink"/>
                <w:rtl w:val="true"/>
              </w:rPr>
              <w:t>في حرمة الحلف بغير الله تعالى تكليفاً وعدمها</w:t>
            </w:r>
            <w:r>
              <w:rPr>
                <w:rStyle w:val="IndexLink"/>
                <w:rtl w:val="true"/>
              </w:rPr>
              <w:tab/>
            </w:r>
            <w:r>
              <w:rPr>
                <w:rStyle w:val="IndexLink"/>
              </w:rPr>
              <w:t>458</w:t>
            </w:r>
          </w:hyperlink>
        </w:p>
        <w:p>
          <w:pPr>
            <w:pStyle w:val="Contents5"/>
            <w:tabs>
              <w:tab w:val="clear" w:pos="7892"/>
              <w:tab w:val="right" w:pos="9026" w:leader="dot"/>
            </w:tabs>
            <w:rPr/>
          </w:pPr>
          <w:hyperlink w:anchor="__RefHeading___Toc2354803_3650668749">
            <w:r>
              <w:rPr>
                <w:webHidden/>
                <w:rStyle w:val="IndexLink"/>
                <w:rtl w:val="true"/>
              </w:rPr>
              <w:t>اشارة</w:t>
            </w:r>
            <w:r>
              <w:rPr>
                <w:rStyle w:val="IndexLink"/>
                <w:rtl w:val="true"/>
              </w:rPr>
              <w:tab/>
            </w:r>
            <w:r>
              <w:rPr>
                <w:rStyle w:val="IndexLink"/>
              </w:rPr>
              <w:t>458</w:t>
            </w:r>
          </w:hyperlink>
        </w:p>
        <w:p>
          <w:pPr>
            <w:pStyle w:val="Contents5"/>
            <w:tabs>
              <w:tab w:val="clear" w:pos="7892"/>
              <w:tab w:val="right" w:pos="9026" w:leader="dot"/>
            </w:tabs>
            <w:rPr/>
          </w:pPr>
          <w:hyperlink w:anchor="__RefHeading___Toc2354805_3650668749">
            <w:r>
              <w:rPr>
                <w:webHidden/>
                <w:rStyle w:val="IndexLink"/>
                <w:rtl w:val="true"/>
              </w:rPr>
              <w:t>الاستدلال على جواز الحلف بغير الله‌</w:t>
            </w:r>
            <w:r>
              <w:rPr>
                <w:rStyle w:val="IndexLink"/>
                <w:rtl w:val="true"/>
              </w:rPr>
              <w:tab/>
            </w:r>
            <w:r>
              <w:rPr>
                <w:rStyle w:val="IndexLink"/>
              </w:rPr>
              <w:t>461</w:t>
            </w:r>
          </w:hyperlink>
        </w:p>
        <w:p>
          <w:pPr>
            <w:pStyle w:val="Contents5"/>
            <w:tabs>
              <w:tab w:val="clear" w:pos="7892"/>
              <w:tab w:val="right" w:pos="9026" w:leader="dot"/>
            </w:tabs>
            <w:rPr/>
          </w:pPr>
          <w:hyperlink w:anchor="__RefHeading___Toc2354807_3650668749">
            <w:r>
              <w:rPr>
                <w:webHidden/>
                <w:rStyle w:val="IndexLink"/>
                <w:rtl w:val="true"/>
              </w:rPr>
              <w:t xml:space="preserve">حكم الحلف بجملة </w:t>
            </w:r>
            <w:r>
              <w:rPr>
                <w:rStyle w:val="IndexLink"/>
                <w:rtl w:val="true"/>
              </w:rPr>
              <w:t>«</w:t>
            </w:r>
            <w:r>
              <w:rPr>
                <w:rStyle w:val="IndexLink"/>
                <w:rtl w:val="true"/>
              </w:rPr>
              <w:t>سألتك بالقرآن</w:t>
            </w:r>
            <w:r>
              <w:rPr>
                <w:rStyle w:val="IndexLink"/>
                <w:rtl w:val="true"/>
              </w:rPr>
              <w:t xml:space="preserve">» </w:t>
            </w:r>
            <w:r>
              <w:rPr>
                <w:rStyle w:val="IndexLink"/>
                <w:rtl w:val="true"/>
              </w:rPr>
              <w:t>أو بالنبي وغيره‌</w:t>
            </w:r>
            <w:r>
              <w:rPr>
                <w:rStyle w:val="IndexLink"/>
                <w:rtl w:val="true"/>
              </w:rPr>
              <w:tab/>
            </w:r>
            <w:r>
              <w:rPr>
                <w:rStyle w:val="IndexLink"/>
              </w:rPr>
              <w:t>464</w:t>
            </w:r>
          </w:hyperlink>
        </w:p>
        <w:p>
          <w:pPr>
            <w:pStyle w:val="Contents5"/>
            <w:tabs>
              <w:tab w:val="clear" w:pos="7892"/>
              <w:tab w:val="right" w:pos="9026" w:leader="dot"/>
            </w:tabs>
            <w:rPr/>
          </w:pPr>
          <w:hyperlink w:anchor="__RefHeading___Toc2354809_3650668749">
            <w:r>
              <w:rPr>
                <w:webHidden/>
                <w:rStyle w:val="IndexLink"/>
                <w:rtl w:val="true"/>
              </w:rPr>
              <w:t>في كراهة الحلف بالله عزّ وجلّ واستحباب تركه‌</w:t>
            </w:r>
            <w:r>
              <w:rPr>
                <w:rStyle w:val="IndexLink"/>
                <w:rtl w:val="true"/>
              </w:rPr>
              <w:tab/>
            </w:r>
            <w:r>
              <w:rPr>
                <w:rStyle w:val="IndexLink"/>
              </w:rPr>
              <w:t>465</w:t>
            </w:r>
          </w:hyperlink>
        </w:p>
        <w:p>
          <w:pPr>
            <w:pStyle w:val="Contents5"/>
            <w:tabs>
              <w:tab w:val="clear" w:pos="7892"/>
              <w:tab w:val="right" w:pos="9026" w:leader="dot"/>
            </w:tabs>
            <w:rPr/>
          </w:pPr>
          <w:hyperlink w:anchor="__RefHeading___Toc2354811_3650668749">
            <w:r>
              <w:rPr>
                <w:webHidden/>
                <w:rStyle w:val="IndexLink"/>
                <w:rtl w:val="true"/>
              </w:rPr>
              <w:t>حكم الحلف بالله كاذباً</w:t>
            </w:r>
            <w:r>
              <w:rPr>
                <w:rStyle w:val="IndexLink"/>
                <w:rtl w:val="true"/>
              </w:rPr>
              <w:tab/>
            </w:r>
            <w:r>
              <w:rPr>
                <w:rStyle w:val="IndexLink"/>
              </w:rPr>
              <w:t>468</w:t>
            </w:r>
          </w:hyperlink>
        </w:p>
        <w:p>
          <w:pPr>
            <w:pStyle w:val="Contents4"/>
            <w:tabs>
              <w:tab w:val="clear" w:pos="8176"/>
              <w:tab w:val="right" w:pos="9026" w:leader="dot"/>
            </w:tabs>
            <w:rPr/>
          </w:pPr>
          <w:hyperlink w:anchor="__RefHeading___Toc2354813_3650668749">
            <w:r>
              <w:rPr>
                <w:webHidden/>
                <w:rStyle w:val="IndexLink"/>
                <w:rtl w:val="true"/>
              </w:rPr>
              <w:t>الأقوال في حلف الأخرس‌</w:t>
            </w:r>
            <w:r>
              <w:rPr>
                <w:rStyle w:val="IndexLink"/>
                <w:rtl w:val="true"/>
              </w:rPr>
              <w:tab/>
            </w:r>
            <w:r>
              <w:rPr>
                <w:rStyle w:val="IndexLink"/>
              </w:rPr>
              <w:t>470</w:t>
            </w:r>
          </w:hyperlink>
        </w:p>
        <w:p>
          <w:pPr>
            <w:pStyle w:val="Contents4"/>
            <w:tabs>
              <w:tab w:val="clear" w:pos="8176"/>
              <w:tab w:val="right" w:pos="9026" w:leader="dot"/>
            </w:tabs>
            <w:rPr/>
          </w:pPr>
          <w:hyperlink w:anchor="__RefHeading___Toc2354815_3650668749">
            <w:r>
              <w:rPr>
                <w:webHidden/>
                <w:rStyle w:val="IndexLink"/>
                <w:rtl w:val="true"/>
              </w:rPr>
              <w:t>في كفاية الحلف بذاته المقدّسة بأيّ لغة كانت‌</w:t>
            </w:r>
            <w:r>
              <w:rPr>
                <w:rStyle w:val="IndexLink"/>
                <w:rtl w:val="true"/>
              </w:rPr>
              <w:tab/>
            </w:r>
            <w:r>
              <w:rPr>
                <w:rStyle w:val="IndexLink"/>
              </w:rPr>
              <w:t>474</w:t>
            </w:r>
          </w:hyperlink>
        </w:p>
        <w:p>
          <w:pPr>
            <w:pStyle w:val="Contents4"/>
            <w:tabs>
              <w:tab w:val="clear" w:pos="8176"/>
              <w:tab w:val="right" w:pos="9026" w:leader="dot"/>
            </w:tabs>
            <w:rPr/>
          </w:pPr>
          <w:hyperlink w:anchor="__RefHeading___Toc2354817_3650668749">
            <w:r>
              <w:rPr>
                <w:webHidden/>
                <w:rStyle w:val="IndexLink"/>
                <w:rtl w:val="true"/>
              </w:rPr>
              <w:t>في استحباب التغليظ للحاكم‌</w:t>
            </w:r>
            <w:r>
              <w:rPr>
                <w:rStyle w:val="IndexLink"/>
                <w:rtl w:val="true"/>
              </w:rPr>
              <w:tab/>
            </w:r>
            <w:r>
              <w:rPr>
                <w:rStyle w:val="IndexLink"/>
              </w:rPr>
              <w:t>475</w:t>
            </w:r>
          </w:hyperlink>
        </w:p>
        <w:p>
          <w:pPr>
            <w:pStyle w:val="Contents4"/>
            <w:tabs>
              <w:tab w:val="clear" w:pos="8176"/>
              <w:tab w:val="right" w:pos="9026" w:leader="dot"/>
            </w:tabs>
            <w:rPr/>
          </w:pPr>
          <w:hyperlink w:anchor="__RefHeading___Toc2354819_3650668749">
            <w:r>
              <w:rPr>
                <w:webHidden/>
                <w:rStyle w:val="IndexLink"/>
                <w:rtl w:val="true"/>
              </w:rPr>
              <w:t>في لزوم إطاعة الحالف الحاكم في التغليظ</w:t>
            </w:r>
            <w:r>
              <w:rPr>
                <w:rStyle w:val="IndexLink"/>
                <w:rtl w:val="true"/>
              </w:rPr>
              <w:tab/>
            </w:r>
            <w:r>
              <w:rPr>
                <w:rStyle w:val="IndexLink"/>
              </w:rPr>
              <w:t>480</w:t>
            </w:r>
          </w:hyperlink>
        </w:p>
        <w:p>
          <w:pPr>
            <w:pStyle w:val="Contents5"/>
            <w:tabs>
              <w:tab w:val="clear" w:pos="7892"/>
              <w:tab w:val="right" w:pos="9026" w:leader="dot"/>
            </w:tabs>
            <w:rPr/>
          </w:pPr>
          <w:hyperlink w:anchor="__RefHeading___Toc2354821_3650668749">
            <w:r>
              <w:rPr>
                <w:webHidden/>
                <w:rStyle w:val="IndexLink"/>
                <w:rtl w:val="true"/>
              </w:rPr>
              <w:t>اشارة</w:t>
            </w:r>
            <w:r>
              <w:rPr>
                <w:rStyle w:val="IndexLink"/>
                <w:rtl w:val="true"/>
              </w:rPr>
              <w:tab/>
            </w:r>
            <w:r>
              <w:rPr>
                <w:rStyle w:val="IndexLink"/>
              </w:rPr>
              <w:t>480</w:t>
            </w:r>
          </w:hyperlink>
        </w:p>
        <w:p>
          <w:pPr>
            <w:pStyle w:val="Contents5"/>
            <w:tabs>
              <w:tab w:val="clear" w:pos="7892"/>
              <w:tab w:val="right" w:pos="9026" w:leader="dot"/>
            </w:tabs>
            <w:rPr/>
          </w:pPr>
          <w:hyperlink w:anchor="__RefHeading___Toc2354823_3650668749">
            <w:r>
              <w:rPr>
                <w:webHidden/>
                <w:rStyle w:val="IndexLink"/>
                <w:rtl w:val="true"/>
              </w:rPr>
              <w:t>حكم التغليظ في الحلف في الأموال‌</w:t>
            </w:r>
            <w:r>
              <w:rPr>
                <w:rStyle w:val="IndexLink"/>
                <w:rtl w:val="true"/>
              </w:rPr>
              <w:tab/>
            </w:r>
            <w:r>
              <w:rPr>
                <w:rStyle w:val="IndexLink"/>
              </w:rPr>
              <w:t>482</w:t>
            </w:r>
          </w:hyperlink>
        </w:p>
        <w:p>
          <w:pPr>
            <w:pStyle w:val="Contents4"/>
            <w:tabs>
              <w:tab w:val="clear" w:pos="8176"/>
              <w:tab w:val="right" w:pos="9026" w:leader="dot"/>
            </w:tabs>
            <w:rPr/>
          </w:pPr>
          <w:hyperlink w:anchor="__RefHeading___Toc2354825_3650668749">
            <w:r>
              <w:rPr>
                <w:webHidden/>
                <w:rStyle w:val="IndexLink"/>
                <w:rtl w:val="true"/>
              </w:rPr>
              <w:t>عدم جواز التوكيل والنيابة في الحلف‌</w:t>
            </w:r>
            <w:r>
              <w:rPr>
                <w:rStyle w:val="IndexLink"/>
                <w:rtl w:val="true"/>
              </w:rPr>
              <w:tab/>
            </w:r>
            <w:r>
              <w:rPr>
                <w:rStyle w:val="IndexLink"/>
              </w:rPr>
              <w:t>483</w:t>
            </w:r>
          </w:hyperlink>
        </w:p>
        <w:p>
          <w:pPr>
            <w:pStyle w:val="Contents4"/>
            <w:tabs>
              <w:tab w:val="clear" w:pos="8176"/>
              <w:tab w:val="right" w:pos="9026" w:leader="dot"/>
            </w:tabs>
            <w:rPr/>
          </w:pPr>
          <w:hyperlink w:anchor="__RefHeading___Toc2354827_3650668749">
            <w:r>
              <w:rPr>
                <w:webHidden/>
                <w:rStyle w:val="IndexLink"/>
                <w:rtl w:val="true"/>
              </w:rPr>
              <w:t>فيما يستدلّ به على عدم جواز الاستنابة للحاكم في الاستحلاف‌</w:t>
            </w:r>
            <w:r>
              <w:rPr>
                <w:rStyle w:val="IndexLink"/>
                <w:rtl w:val="true"/>
              </w:rPr>
              <w:tab/>
            </w:r>
            <w:r>
              <w:rPr>
                <w:rStyle w:val="IndexLink"/>
              </w:rPr>
              <w:t>484</w:t>
            </w:r>
          </w:hyperlink>
        </w:p>
        <w:p>
          <w:pPr>
            <w:pStyle w:val="Contents4"/>
            <w:tabs>
              <w:tab w:val="clear" w:pos="8176"/>
              <w:tab w:val="right" w:pos="9026" w:leader="dot"/>
            </w:tabs>
            <w:rPr/>
          </w:pPr>
          <w:hyperlink w:anchor="__RefHeading___Toc2354829_3650668749">
            <w:r>
              <w:rPr>
                <w:webHidden/>
                <w:rStyle w:val="IndexLink"/>
                <w:rtl w:val="true"/>
              </w:rPr>
              <w:t>في وجوب كون الحالف على علم وجزم‌</w:t>
            </w:r>
            <w:r>
              <w:rPr>
                <w:rStyle w:val="IndexLink"/>
                <w:rtl w:val="true"/>
              </w:rPr>
              <w:tab/>
            </w:r>
            <w:r>
              <w:rPr>
                <w:rStyle w:val="IndexLink"/>
              </w:rPr>
              <w:t>486</w:t>
            </w:r>
          </w:hyperlink>
        </w:p>
        <w:p>
          <w:pPr>
            <w:pStyle w:val="Contents5"/>
            <w:tabs>
              <w:tab w:val="clear" w:pos="7892"/>
              <w:tab w:val="right" w:pos="9026" w:leader="dot"/>
            </w:tabs>
            <w:rPr/>
          </w:pPr>
          <w:hyperlink w:anchor="__RefHeading___Toc2354831_3650668749">
            <w:r>
              <w:rPr>
                <w:webHidden/>
                <w:rStyle w:val="IndexLink"/>
                <w:rtl w:val="true"/>
              </w:rPr>
              <w:t>اشارة</w:t>
            </w:r>
            <w:r>
              <w:rPr>
                <w:rStyle w:val="IndexLink"/>
                <w:rtl w:val="true"/>
              </w:rPr>
              <w:tab/>
            </w:r>
            <w:r>
              <w:rPr>
                <w:rStyle w:val="IndexLink"/>
              </w:rPr>
              <w:t>486</w:t>
            </w:r>
          </w:hyperlink>
        </w:p>
        <w:p>
          <w:pPr>
            <w:pStyle w:val="Contents5"/>
            <w:tabs>
              <w:tab w:val="clear" w:pos="7892"/>
              <w:tab w:val="right" w:pos="9026" w:leader="dot"/>
            </w:tabs>
            <w:rPr/>
          </w:pPr>
          <w:hyperlink w:anchor="__RefHeading___Toc2354833_3650668749">
            <w:r>
              <w:rPr>
                <w:webHidden/>
                <w:rStyle w:val="IndexLink"/>
                <w:rtl w:val="true"/>
              </w:rPr>
              <w:t>في وجوب كون الحلف على البتّ في جميع الصور من غير استثناء</w:t>
            </w:r>
            <w:r>
              <w:rPr>
                <w:rStyle w:val="IndexLink"/>
                <w:rtl w:val="true"/>
              </w:rPr>
              <w:tab/>
            </w:r>
            <w:r>
              <w:rPr>
                <w:rStyle w:val="IndexLink"/>
              </w:rPr>
              <w:t>488</w:t>
            </w:r>
          </w:hyperlink>
        </w:p>
        <w:p>
          <w:pPr>
            <w:pStyle w:val="Contents4"/>
            <w:tabs>
              <w:tab w:val="clear" w:pos="8176"/>
              <w:tab w:val="right" w:pos="9026" w:leader="dot"/>
            </w:tabs>
            <w:rPr/>
          </w:pPr>
          <w:hyperlink w:anchor="__RefHeading___Toc2354835_3650668749">
            <w:r>
              <w:rPr>
                <w:webHidden/>
                <w:rStyle w:val="IndexLink"/>
                <w:rtl w:val="true"/>
              </w:rPr>
              <w:t>عدم جواز الحلف على مال الغير إلا في الوليّ والمتولّي للوقف‌</w:t>
            </w:r>
            <w:r>
              <w:rPr>
                <w:rStyle w:val="IndexLink"/>
                <w:rtl w:val="true"/>
              </w:rPr>
              <w:tab/>
            </w:r>
            <w:r>
              <w:rPr>
                <w:rStyle w:val="IndexLink"/>
              </w:rPr>
              <w:t>490</w:t>
            </w:r>
          </w:hyperlink>
        </w:p>
        <w:p>
          <w:pPr>
            <w:pStyle w:val="Contents4"/>
            <w:tabs>
              <w:tab w:val="clear" w:pos="8176"/>
              <w:tab w:val="right" w:pos="9026" w:leader="dot"/>
            </w:tabs>
            <w:rPr/>
          </w:pPr>
          <w:hyperlink w:anchor="__RefHeading___Toc2354837_3650668749">
            <w:r>
              <w:rPr>
                <w:webHidden/>
                <w:rStyle w:val="IndexLink"/>
                <w:rtl w:val="true"/>
              </w:rPr>
              <w:t>في عدم توجّه اليمين في الحدود</w:t>
            </w:r>
            <w:r>
              <w:rPr>
                <w:rStyle w:val="IndexLink"/>
                <w:rtl w:val="true"/>
              </w:rPr>
              <w:tab/>
            </w:r>
            <w:r>
              <w:rPr>
                <w:rStyle w:val="IndexLink"/>
              </w:rPr>
              <w:t>492</w:t>
            </w:r>
          </w:hyperlink>
        </w:p>
        <w:p>
          <w:pPr>
            <w:pStyle w:val="Contents5"/>
            <w:tabs>
              <w:tab w:val="clear" w:pos="7892"/>
              <w:tab w:val="right" w:pos="9026" w:leader="dot"/>
            </w:tabs>
            <w:rPr/>
          </w:pPr>
          <w:hyperlink w:anchor="__RefHeading___Toc2354839_3650668749">
            <w:r>
              <w:rPr>
                <w:webHidden/>
                <w:rStyle w:val="IndexLink"/>
                <w:rtl w:val="true"/>
              </w:rPr>
              <w:t>اشارة</w:t>
            </w:r>
            <w:r>
              <w:rPr>
                <w:rStyle w:val="IndexLink"/>
                <w:rtl w:val="true"/>
              </w:rPr>
              <w:tab/>
            </w:r>
            <w:r>
              <w:rPr>
                <w:rStyle w:val="IndexLink"/>
              </w:rPr>
              <w:t>492</w:t>
            </w:r>
          </w:hyperlink>
        </w:p>
        <w:p>
          <w:pPr>
            <w:pStyle w:val="Contents5"/>
            <w:tabs>
              <w:tab w:val="clear" w:pos="7892"/>
              <w:tab w:val="right" w:pos="9026" w:leader="dot"/>
            </w:tabs>
            <w:rPr/>
          </w:pPr>
          <w:hyperlink w:anchor="__RefHeading___Toc2354841_3650668749">
            <w:r>
              <w:rPr>
                <w:webHidden/>
                <w:rStyle w:val="IndexLink"/>
                <w:rtl w:val="true"/>
              </w:rPr>
              <w:t>التنبيه الأوّل</w:t>
            </w:r>
            <w:r>
              <w:rPr>
                <w:rStyle w:val="IndexLink"/>
                <w:rtl w:val="true"/>
              </w:rPr>
              <w:t xml:space="preserve">: </w:t>
            </w:r>
            <w:r>
              <w:rPr>
                <w:rStyle w:val="IndexLink"/>
                <w:rtl w:val="true"/>
              </w:rPr>
              <w:t>في تعميم عدم ثبوت اليمين في الحدّ للتعزير</w:t>
            </w:r>
            <w:r>
              <w:rPr>
                <w:rStyle w:val="IndexLink"/>
                <w:rtl w:val="true"/>
              </w:rPr>
              <w:tab/>
            </w:r>
            <w:r>
              <w:rPr>
                <w:rStyle w:val="IndexLink"/>
              </w:rPr>
              <w:t>496</w:t>
            </w:r>
          </w:hyperlink>
        </w:p>
        <w:p>
          <w:pPr>
            <w:pStyle w:val="Contents5"/>
            <w:tabs>
              <w:tab w:val="clear" w:pos="7892"/>
              <w:tab w:val="right" w:pos="9026" w:leader="dot"/>
            </w:tabs>
            <w:rPr/>
          </w:pPr>
          <w:hyperlink w:anchor="__RefHeading___Toc2354843_3650668749">
            <w:r>
              <w:rPr>
                <w:webHidden/>
                <w:rStyle w:val="IndexLink"/>
                <w:rtl w:val="true"/>
              </w:rPr>
              <w:t>التنبيه الثاني</w:t>
            </w:r>
            <w:r>
              <w:rPr>
                <w:rStyle w:val="IndexLink"/>
                <w:rtl w:val="true"/>
              </w:rPr>
              <w:t xml:space="preserve">: </w:t>
            </w:r>
            <w:r>
              <w:rPr>
                <w:rStyle w:val="IndexLink"/>
                <w:rtl w:val="true"/>
              </w:rPr>
              <w:t>سماع الدعوى من المحتسبين في حقوق الله عزّ وجلّ‌</w:t>
            </w:r>
            <w:r>
              <w:rPr>
                <w:rStyle w:val="IndexLink"/>
                <w:rtl w:val="true"/>
              </w:rPr>
              <w:tab/>
            </w:r>
            <w:r>
              <w:rPr>
                <w:rStyle w:val="IndexLink"/>
              </w:rPr>
              <w:t>497</w:t>
            </w:r>
          </w:hyperlink>
        </w:p>
        <w:p>
          <w:pPr>
            <w:pStyle w:val="Contents5"/>
            <w:tabs>
              <w:tab w:val="clear" w:pos="7892"/>
              <w:tab w:val="right" w:pos="9026" w:leader="dot"/>
            </w:tabs>
            <w:rPr/>
          </w:pPr>
          <w:hyperlink w:anchor="__RefHeading___Toc2354845_3650668749">
            <w:r>
              <w:rPr>
                <w:webHidden/>
                <w:rStyle w:val="IndexLink"/>
                <w:rtl w:val="true"/>
              </w:rPr>
              <w:t>التنبيه الثالث</w:t>
            </w:r>
            <w:r>
              <w:rPr>
                <w:rStyle w:val="IndexLink"/>
                <w:rtl w:val="true"/>
              </w:rPr>
              <w:t xml:space="preserve">: </w:t>
            </w:r>
            <w:r>
              <w:rPr>
                <w:rStyle w:val="IndexLink"/>
                <w:rtl w:val="true"/>
              </w:rPr>
              <w:t>في سماع الدعوى في حقوق الله من الزوج‌</w:t>
            </w:r>
            <w:r>
              <w:rPr>
                <w:rStyle w:val="IndexLink"/>
                <w:rtl w:val="true"/>
              </w:rPr>
              <w:tab/>
            </w:r>
            <w:r>
              <w:rPr>
                <w:rStyle w:val="IndexLink"/>
              </w:rPr>
              <w:t>498</w:t>
            </w:r>
          </w:hyperlink>
        </w:p>
        <w:p>
          <w:pPr>
            <w:pStyle w:val="Contents5"/>
            <w:tabs>
              <w:tab w:val="clear" w:pos="7892"/>
              <w:tab w:val="right" w:pos="9026" w:leader="dot"/>
            </w:tabs>
            <w:rPr/>
          </w:pPr>
          <w:hyperlink w:anchor="__RefHeading___Toc2354847_3650668749">
            <w:r>
              <w:rPr>
                <w:webHidden/>
                <w:rStyle w:val="IndexLink"/>
                <w:rtl w:val="true"/>
              </w:rPr>
              <w:t>ترجيح حقّ الله على حقّ الناس في الحقّ المشترك‌</w:t>
            </w:r>
            <w:r>
              <w:rPr>
                <w:rStyle w:val="IndexLink"/>
                <w:rtl w:val="true"/>
              </w:rPr>
              <w:tab/>
            </w:r>
            <w:r>
              <w:rPr>
                <w:rStyle w:val="IndexLink"/>
              </w:rPr>
              <w:t>499</w:t>
            </w:r>
          </w:hyperlink>
        </w:p>
        <w:p>
          <w:pPr>
            <w:pStyle w:val="Contents4"/>
            <w:tabs>
              <w:tab w:val="clear" w:pos="8176"/>
              <w:tab w:val="right" w:pos="9026" w:leader="dot"/>
            </w:tabs>
            <w:rPr/>
          </w:pPr>
          <w:hyperlink w:anchor="__RefHeading___Toc2354849_3650668749">
            <w:r>
              <w:rPr>
                <w:webHidden/>
                <w:rStyle w:val="IndexLink"/>
                <w:rtl w:val="true"/>
              </w:rPr>
              <w:t>ثبوت اليمين في السرقة بالنسبة إلى ردّ المال دون القطع‌</w:t>
            </w:r>
            <w:r>
              <w:rPr>
                <w:rStyle w:val="IndexLink"/>
                <w:rtl w:val="true"/>
              </w:rPr>
              <w:tab/>
            </w:r>
            <w:r>
              <w:rPr>
                <w:rStyle w:val="IndexLink"/>
              </w:rPr>
              <w:t>501</w:t>
            </w:r>
          </w:hyperlink>
        </w:p>
        <w:p>
          <w:pPr>
            <w:pStyle w:val="Contents3"/>
            <w:tabs>
              <w:tab w:val="clear" w:pos="8459"/>
              <w:tab w:val="right" w:pos="9026" w:leader="dot"/>
            </w:tabs>
            <w:rPr/>
          </w:pPr>
          <w:hyperlink w:anchor="__RefHeading___Toc2354851_3650668749">
            <w:r>
              <w:rPr>
                <w:webHidden/>
                <w:rStyle w:val="IndexLink"/>
                <w:rtl w:val="true"/>
              </w:rPr>
              <w:t>القول</w:t>
            </w:r>
            <w:r>
              <w:rPr>
                <w:rStyle w:val="IndexLink"/>
                <w:rtl w:val="true"/>
              </w:rPr>
              <w:t xml:space="preserve">: </w:t>
            </w:r>
            <w:r>
              <w:rPr>
                <w:rStyle w:val="IndexLink"/>
                <w:rtl w:val="true"/>
              </w:rPr>
              <w:t>في أحكام اليد</w:t>
            </w:r>
            <w:r>
              <w:rPr>
                <w:rStyle w:val="IndexLink"/>
                <w:rtl w:val="true"/>
              </w:rPr>
              <w:tab/>
            </w:r>
            <w:r>
              <w:rPr>
                <w:rStyle w:val="IndexLink"/>
              </w:rPr>
              <w:t>504</w:t>
            </w:r>
          </w:hyperlink>
        </w:p>
        <w:p>
          <w:pPr>
            <w:pStyle w:val="Contents4"/>
            <w:tabs>
              <w:tab w:val="clear" w:pos="8176"/>
              <w:tab w:val="right" w:pos="9026" w:leader="dot"/>
            </w:tabs>
            <w:rPr/>
          </w:pPr>
          <w:hyperlink w:anchor="__RefHeading___Toc2354853_3650668749">
            <w:r>
              <w:rPr>
                <w:webHidden/>
                <w:rStyle w:val="IndexLink"/>
                <w:rtl w:val="true"/>
              </w:rPr>
              <w:t>اشارة</w:t>
            </w:r>
            <w:r>
              <w:rPr>
                <w:rStyle w:val="IndexLink"/>
                <w:rtl w:val="true"/>
              </w:rPr>
              <w:tab/>
            </w:r>
            <w:r>
              <w:rPr>
                <w:rStyle w:val="IndexLink"/>
              </w:rPr>
              <w:t>504</w:t>
            </w:r>
          </w:hyperlink>
        </w:p>
        <w:p>
          <w:pPr>
            <w:pStyle w:val="Contents4"/>
            <w:tabs>
              <w:tab w:val="clear" w:pos="8176"/>
              <w:tab w:val="right" w:pos="9026" w:leader="dot"/>
            </w:tabs>
            <w:rPr/>
          </w:pPr>
          <w:hyperlink w:anchor="__RefHeading___Toc2354855_3650668749">
            <w:r>
              <w:rPr>
                <w:webHidden/>
                <w:rStyle w:val="IndexLink"/>
                <w:rtl w:val="true"/>
              </w:rPr>
              <w:t>[</w:t>
            </w:r>
            <w:r>
              <w:rPr>
                <w:rStyle w:val="IndexLink"/>
                <w:rtl w:val="true"/>
              </w:rPr>
              <w:t>يقع البحث من جهات</w:t>
            </w:r>
            <w:r>
              <w:rPr>
                <w:rStyle w:val="IndexLink"/>
                <w:rtl w:val="true"/>
              </w:rPr>
              <w:t>:]</w:t>
              <w:tab/>
            </w:r>
            <w:r>
              <w:rPr>
                <w:rStyle w:val="IndexLink"/>
              </w:rPr>
              <w:t>505</w:t>
            </w:r>
          </w:hyperlink>
        </w:p>
        <w:p>
          <w:pPr>
            <w:pStyle w:val="Contents5"/>
            <w:tabs>
              <w:tab w:val="clear" w:pos="7892"/>
              <w:tab w:val="right" w:pos="9026" w:leader="dot"/>
            </w:tabs>
            <w:rPr/>
          </w:pPr>
          <w:hyperlink w:anchor="__RefHeading___Toc2354857_3650668749">
            <w:r>
              <w:rPr>
                <w:webHidden/>
                <w:rStyle w:val="IndexLink"/>
                <w:rtl w:val="true"/>
              </w:rPr>
              <w:t>الاولى</w:t>
            </w:r>
            <w:r>
              <w:rPr>
                <w:rStyle w:val="IndexLink"/>
                <w:rtl w:val="true"/>
              </w:rPr>
              <w:t xml:space="preserve">: </w:t>
            </w:r>
            <w:r>
              <w:rPr>
                <w:rStyle w:val="IndexLink"/>
                <w:rtl w:val="true"/>
              </w:rPr>
              <w:t>في مدرك القاعدة ودليل اعتبارها</w:t>
            </w:r>
            <w:r>
              <w:rPr>
                <w:rStyle w:val="IndexLink"/>
                <w:rtl w:val="true"/>
              </w:rPr>
              <w:tab/>
            </w:r>
            <w:r>
              <w:rPr>
                <w:rStyle w:val="IndexLink"/>
              </w:rPr>
              <w:t>505</w:t>
            </w:r>
          </w:hyperlink>
        </w:p>
        <w:p>
          <w:pPr>
            <w:pStyle w:val="Contents5"/>
            <w:tabs>
              <w:tab w:val="clear" w:pos="7892"/>
              <w:tab w:val="right" w:pos="9026" w:leader="dot"/>
            </w:tabs>
            <w:rPr/>
          </w:pPr>
          <w:hyperlink w:anchor="__RefHeading___Toc2354859_3650668749">
            <w:r>
              <w:rPr>
                <w:webHidden/>
                <w:rStyle w:val="IndexLink"/>
                <w:rtl w:val="true"/>
              </w:rPr>
              <w:t>الثانية</w:t>
            </w:r>
            <w:r>
              <w:rPr>
                <w:rStyle w:val="IndexLink"/>
                <w:rtl w:val="true"/>
              </w:rPr>
              <w:t xml:space="preserve">: </w:t>
            </w:r>
            <w:r>
              <w:rPr>
                <w:rStyle w:val="IndexLink"/>
                <w:rtl w:val="true"/>
              </w:rPr>
              <w:t>هل اعتبار اليد، هو من باب أنّها أصل أو أمارة</w:t>
            </w:r>
            <w:r>
              <w:rPr>
                <w:rStyle w:val="IndexLink"/>
                <w:rtl w:val="true"/>
              </w:rPr>
              <w:tab/>
            </w:r>
            <w:r>
              <w:rPr>
                <w:rStyle w:val="IndexLink"/>
              </w:rPr>
              <w:t>514</w:t>
            </w:r>
          </w:hyperlink>
        </w:p>
        <w:p>
          <w:pPr>
            <w:pStyle w:val="Contents6"/>
            <w:tabs>
              <w:tab w:val="clear" w:pos="7609"/>
              <w:tab w:val="right" w:pos="9026" w:leader="dot"/>
            </w:tabs>
            <w:rPr/>
          </w:pPr>
          <w:hyperlink w:anchor="__RefHeading___Toc2354861_3650668749">
            <w:r>
              <w:rPr>
                <w:webHidden/>
                <w:rStyle w:val="IndexLink"/>
                <w:rtl w:val="true"/>
              </w:rPr>
              <w:t>اشارة</w:t>
            </w:r>
            <w:r>
              <w:rPr>
                <w:rStyle w:val="IndexLink"/>
                <w:rtl w:val="true"/>
              </w:rPr>
              <w:tab/>
            </w:r>
            <w:r>
              <w:rPr>
                <w:rStyle w:val="IndexLink"/>
              </w:rPr>
              <w:t>514</w:t>
            </w:r>
          </w:hyperlink>
        </w:p>
        <w:p>
          <w:pPr>
            <w:pStyle w:val="Contents6"/>
            <w:tabs>
              <w:tab w:val="clear" w:pos="7609"/>
              <w:tab w:val="right" w:pos="9026" w:leader="dot"/>
            </w:tabs>
            <w:rPr/>
          </w:pPr>
          <w:hyperlink w:anchor="__RefHeading___Toc2354863_3650668749">
            <w:r>
              <w:rPr>
                <w:webHidden/>
                <w:rStyle w:val="IndexLink"/>
                <w:rtl w:val="true"/>
              </w:rPr>
              <w:t>المناقشة في ما استظهره البجنوردي من الأخبار</w:t>
            </w:r>
            <w:r>
              <w:rPr>
                <w:rStyle w:val="IndexLink"/>
                <w:rtl w:val="true"/>
              </w:rPr>
              <w:tab/>
            </w:r>
            <w:r>
              <w:rPr>
                <w:rStyle w:val="IndexLink"/>
              </w:rPr>
              <w:t>516</w:t>
            </w:r>
          </w:hyperlink>
        </w:p>
        <w:p>
          <w:pPr>
            <w:pStyle w:val="Contents5"/>
            <w:tabs>
              <w:tab w:val="clear" w:pos="7892"/>
              <w:tab w:val="right" w:pos="9026" w:leader="dot"/>
            </w:tabs>
            <w:rPr/>
          </w:pPr>
          <w:hyperlink w:anchor="__RefHeading___Toc2354865_3650668749">
            <w:r>
              <w:rPr>
                <w:webHidden/>
                <w:rStyle w:val="IndexLink"/>
                <w:rtl w:val="true"/>
              </w:rPr>
              <w:t>الثالثة</w:t>
            </w:r>
            <w:r>
              <w:rPr>
                <w:rStyle w:val="IndexLink"/>
                <w:rtl w:val="true"/>
              </w:rPr>
              <w:t xml:space="preserve">: </w:t>
            </w:r>
            <w:r>
              <w:rPr>
                <w:rStyle w:val="IndexLink"/>
                <w:rtl w:val="true"/>
              </w:rPr>
              <w:t>ما هو المراد من اليد؟</w:t>
            </w:r>
            <w:r>
              <w:rPr>
                <w:rStyle w:val="IndexLink"/>
                <w:rtl w:val="true"/>
              </w:rPr>
              <w:tab/>
            </w:r>
            <w:r>
              <w:rPr>
                <w:rStyle w:val="IndexLink"/>
              </w:rPr>
              <w:t>517</w:t>
            </w:r>
          </w:hyperlink>
        </w:p>
        <w:p>
          <w:pPr>
            <w:pStyle w:val="Contents5"/>
            <w:tabs>
              <w:tab w:val="clear" w:pos="7892"/>
              <w:tab w:val="right" w:pos="9026" w:leader="dot"/>
            </w:tabs>
            <w:rPr/>
          </w:pPr>
          <w:hyperlink w:anchor="__RefHeading___Toc2354867_3650668749">
            <w:r>
              <w:rPr>
                <w:webHidden/>
                <w:rStyle w:val="IndexLink"/>
                <w:rtl w:val="true"/>
              </w:rPr>
              <w:t>الرابعة</w:t>
            </w:r>
            <w:r>
              <w:rPr>
                <w:rStyle w:val="IndexLink"/>
                <w:rtl w:val="true"/>
              </w:rPr>
              <w:t xml:space="preserve">: </w:t>
            </w:r>
            <w:r>
              <w:rPr>
                <w:rStyle w:val="IndexLink"/>
                <w:rtl w:val="true"/>
              </w:rPr>
              <w:t>أنّ قاعدة اليد هل تجري في المنافع أم تختصّ بالأعيان‌</w:t>
            </w:r>
            <w:r>
              <w:rPr>
                <w:rStyle w:val="IndexLink"/>
                <w:rtl w:val="true"/>
              </w:rPr>
              <w:tab/>
            </w:r>
            <w:r>
              <w:rPr>
                <w:rStyle w:val="IndexLink"/>
              </w:rPr>
              <w:t>518</w:t>
            </w:r>
          </w:hyperlink>
        </w:p>
        <w:p>
          <w:pPr>
            <w:pStyle w:val="Contents6"/>
            <w:tabs>
              <w:tab w:val="clear" w:pos="7609"/>
              <w:tab w:val="right" w:pos="9026" w:leader="dot"/>
            </w:tabs>
            <w:rPr/>
          </w:pPr>
          <w:hyperlink w:anchor="__RefHeading___Toc2354869_3650668749">
            <w:r>
              <w:rPr>
                <w:webHidden/>
                <w:rStyle w:val="IndexLink"/>
                <w:rtl w:val="true"/>
              </w:rPr>
              <w:t>اشارة</w:t>
            </w:r>
            <w:r>
              <w:rPr>
                <w:rStyle w:val="IndexLink"/>
                <w:rtl w:val="true"/>
              </w:rPr>
              <w:tab/>
            </w:r>
            <w:r>
              <w:rPr>
                <w:rStyle w:val="IndexLink"/>
              </w:rPr>
              <w:t>518</w:t>
            </w:r>
          </w:hyperlink>
        </w:p>
        <w:p>
          <w:pPr>
            <w:pStyle w:val="Contents6"/>
            <w:tabs>
              <w:tab w:val="clear" w:pos="7609"/>
              <w:tab w:val="right" w:pos="9026" w:leader="dot"/>
            </w:tabs>
            <w:rPr/>
          </w:pPr>
          <w:hyperlink w:anchor="__RefHeading___Toc2354871_3650668749">
            <w:r>
              <w:rPr>
                <w:webHidden/>
                <w:rStyle w:val="IndexLink"/>
                <w:rtl w:val="true"/>
              </w:rPr>
              <w:t>جريان قاعدة اليد في الحقوق‌</w:t>
            </w:r>
            <w:r>
              <w:rPr>
                <w:rStyle w:val="IndexLink"/>
                <w:rtl w:val="true"/>
              </w:rPr>
              <w:tab/>
            </w:r>
            <w:r>
              <w:rPr>
                <w:rStyle w:val="IndexLink"/>
              </w:rPr>
              <w:t>525</w:t>
            </w:r>
          </w:hyperlink>
        </w:p>
        <w:p>
          <w:pPr>
            <w:pStyle w:val="Contents6"/>
            <w:tabs>
              <w:tab w:val="clear" w:pos="7609"/>
              <w:tab w:val="right" w:pos="9026" w:leader="dot"/>
            </w:tabs>
            <w:rPr/>
          </w:pPr>
          <w:hyperlink w:anchor="__RefHeading___Toc2354873_3650668749">
            <w:r>
              <w:rPr>
                <w:webHidden/>
                <w:rStyle w:val="IndexLink"/>
                <w:rtl w:val="true"/>
              </w:rPr>
              <w:t>جريان قاعدة اليد في الأنساب والأعراض‌</w:t>
            </w:r>
            <w:r>
              <w:rPr>
                <w:rStyle w:val="IndexLink"/>
                <w:rtl w:val="true"/>
              </w:rPr>
              <w:tab/>
            </w:r>
            <w:r>
              <w:rPr>
                <w:rStyle w:val="IndexLink"/>
              </w:rPr>
              <w:t>528</w:t>
            </w:r>
          </w:hyperlink>
        </w:p>
        <w:p>
          <w:pPr>
            <w:pStyle w:val="Contents4"/>
            <w:tabs>
              <w:tab w:val="clear" w:pos="8176"/>
              <w:tab w:val="right" w:pos="9026" w:leader="dot"/>
            </w:tabs>
            <w:rPr/>
          </w:pPr>
          <w:hyperlink w:anchor="__RefHeading___Toc2354875_3650668749">
            <w:r>
              <w:rPr>
                <w:webHidden/>
                <w:rStyle w:val="IndexLink"/>
                <w:rtl w:val="true"/>
              </w:rPr>
              <w:t>في أمارية اليد المشتركة على الملك‌</w:t>
            </w:r>
            <w:r>
              <w:rPr>
                <w:rStyle w:val="IndexLink"/>
                <w:rtl w:val="true"/>
              </w:rPr>
              <w:tab/>
            </w:r>
            <w:r>
              <w:rPr>
                <w:rStyle w:val="IndexLink"/>
              </w:rPr>
              <w:t>534</w:t>
            </w:r>
          </w:hyperlink>
        </w:p>
        <w:p>
          <w:pPr>
            <w:pStyle w:val="Contents4"/>
            <w:tabs>
              <w:tab w:val="clear" w:pos="8176"/>
              <w:tab w:val="right" w:pos="9026" w:leader="dot"/>
            </w:tabs>
            <w:rPr/>
          </w:pPr>
          <w:hyperlink w:anchor="__RefHeading___Toc2354877_3650668749">
            <w:r>
              <w:rPr>
                <w:webHidden/>
                <w:rStyle w:val="IndexLink"/>
                <w:rtl w:val="true"/>
              </w:rPr>
              <w:t>الفروض في تنازع اليدين في العين‌</w:t>
            </w:r>
            <w:r>
              <w:rPr>
                <w:rStyle w:val="IndexLink"/>
                <w:rtl w:val="true"/>
              </w:rPr>
              <w:tab/>
            </w:r>
            <w:r>
              <w:rPr>
                <w:rStyle w:val="IndexLink"/>
              </w:rPr>
              <w:t>538</w:t>
            </w:r>
          </w:hyperlink>
        </w:p>
        <w:p>
          <w:pPr>
            <w:pStyle w:val="Contents4"/>
            <w:tabs>
              <w:tab w:val="clear" w:pos="8176"/>
              <w:tab w:val="right" w:pos="9026" w:leader="dot"/>
            </w:tabs>
            <w:rPr/>
          </w:pPr>
          <w:hyperlink w:anchor="__RefHeading___Toc2354879_3650668749">
            <w:r>
              <w:rPr>
                <w:webHidden/>
                <w:rStyle w:val="IndexLink"/>
                <w:rtl w:val="true"/>
              </w:rPr>
              <w:t>إقامة البيّنة من المدّعى عليه بعد حكم الحاكم عليه‌</w:t>
            </w:r>
            <w:r>
              <w:rPr>
                <w:rStyle w:val="IndexLink"/>
                <w:rtl w:val="true"/>
              </w:rPr>
              <w:tab/>
            </w:r>
            <w:r>
              <w:rPr>
                <w:rStyle w:val="IndexLink"/>
              </w:rPr>
              <w:t>554</w:t>
            </w:r>
          </w:hyperlink>
        </w:p>
        <w:p>
          <w:pPr>
            <w:pStyle w:val="Contents4"/>
            <w:tabs>
              <w:tab w:val="clear" w:pos="8176"/>
              <w:tab w:val="right" w:pos="9026" w:leader="dot"/>
            </w:tabs>
            <w:rPr/>
          </w:pPr>
          <w:hyperlink w:anchor="__RefHeading___Toc2354881_3650668749">
            <w:r>
              <w:rPr>
                <w:webHidden/>
                <w:rStyle w:val="IndexLink"/>
                <w:rtl w:val="true"/>
              </w:rPr>
              <w:t>في تنازع الزوج والزوجة في متاع البيت‌</w:t>
            </w:r>
            <w:r>
              <w:rPr>
                <w:rStyle w:val="IndexLink"/>
                <w:rtl w:val="true"/>
              </w:rPr>
              <w:tab/>
            </w:r>
            <w:r>
              <w:rPr>
                <w:rStyle w:val="IndexLink"/>
              </w:rPr>
              <w:t>559</w:t>
            </w:r>
          </w:hyperlink>
        </w:p>
        <w:p>
          <w:pPr>
            <w:pStyle w:val="Contents5"/>
            <w:tabs>
              <w:tab w:val="clear" w:pos="7892"/>
              <w:tab w:val="right" w:pos="9026" w:leader="dot"/>
            </w:tabs>
            <w:rPr/>
          </w:pPr>
          <w:hyperlink w:anchor="__RefHeading___Toc2354883_3650668749">
            <w:r>
              <w:rPr>
                <w:webHidden/>
                <w:rStyle w:val="IndexLink"/>
                <w:rtl w:val="true"/>
              </w:rPr>
              <w:t>اشارة</w:t>
            </w:r>
            <w:r>
              <w:rPr>
                <w:rStyle w:val="IndexLink"/>
                <w:rtl w:val="true"/>
              </w:rPr>
              <w:tab/>
            </w:r>
            <w:r>
              <w:rPr>
                <w:rStyle w:val="IndexLink"/>
              </w:rPr>
              <w:t>559</w:t>
            </w:r>
          </w:hyperlink>
        </w:p>
        <w:p>
          <w:pPr>
            <w:pStyle w:val="Contents5"/>
            <w:tabs>
              <w:tab w:val="clear" w:pos="7892"/>
              <w:tab w:val="right" w:pos="9026" w:leader="dot"/>
            </w:tabs>
            <w:rPr/>
          </w:pPr>
          <w:hyperlink w:anchor="__RefHeading___Toc2354885_3650668749">
            <w:r>
              <w:rPr>
                <w:webHidden/>
                <w:rStyle w:val="IndexLink"/>
                <w:rtl w:val="true"/>
              </w:rPr>
              <w:t>الجهة الاولى‌</w:t>
            </w:r>
            <w:r>
              <w:rPr>
                <w:rStyle w:val="IndexLink"/>
                <w:rtl w:val="true"/>
              </w:rPr>
              <w:tab/>
            </w:r>
            <w:r>
              <w:rPr>
                <w:rStyle w:val="IndexLink"/>
              </w:rPr>
              <w:t>559</w:t>
            </w:r>
          </w:hyperlink>
        </w:p>
        <w:p>
          <w:pPr>
            <w:pStyle w:val="Contents5"/>
            <w:tabs>
              <w:tab w:val="clear" w:pos="7892"/>
              <w:tab w:val="right" w:pos="9026" w:leader="dot"/>
            </w:tabs>
            <w:rPr/>
          </w:pPr>
          <w:hyperlink w:anchor="__RefHeading___Toc2354887_3650668749">
            <w:r>
              <w:rPr>
                <w:webHidden/>
                <w:rStyle w:val="IndexLink"/>
                <w:rtl w:val="true"/>
              </w:rPr>
              <w:t>الجهة الثانية</w:t>
            </w:r>
            <w:r>
              <w:rPr>
                <w:rStyle w:val="IndexLink"/>
                <w:rtl w:val="true"/>
              </w:rPr>
              <w:tab/>
            </w:r>
            <w:r>
              <w:rPr>
                <w:rStyle w:val="IndexLink"/>
              </w:rPr>
              <w:t>565</w:t>
            </w:r>
          </w:hyperlink>
        </w:p>
        <w:p>
          <w:pPr>
            <w:pStyle w:val="Contents4"/>
            <w:tabs>
              <w:tab w:val="clear" w:pos="8176"/>
              <w:tab w:val="right" w:pos="9026" w:leader="dot"/>
            </w:tabs>
            <w:rPr/>
          </w:pPr>
          <w:hyperlink w:anchor="__RefHeading___Toc2354889_3650668749">
            <w:r>
              <w:rPr>
                <w:webHidden/>
                <w:rStyle w:val="IndexLink"/>
                <w:rtl w:val="true"/>
              </w:rPr>
              <w:t>تعارض اليد الحالية واليد السابقه أو الملكية السابقه‌</w:t>
            </w:r>
            <w:r>
              <w:rPr>
                <w:rStyle w:val="IndexLink"/>
                <w:rtl w:val="true"/>
              </w:rPr>
              <w:tab/>
            </w:r>
            <w:r>
              <w:rPr>
                <w:rStyle w:val="IndexLink"/>
              </w:rPr>
              <w:t>566</w:t>
            </w:r>
          </w:hyperlink>
        </w:p>
        <w:p>
          <w:pPr>
            <w:pStyle w:val="Contents4"/>
            <w:tabs>
              <w:tab w:val="clear" w:pos="8176"/>
              <w:tab w:val="right" w:pos="9026" w:leader="dot"/>
            </w:tabs>
            <w:rPr/>
          </w:pPr>
          <w:hyperlink w:anchor="__RefHeading___Toc2354891_3650668749">
            <w:r>
              <w:rPr>
                <w:webHidden/>
                <w:rStyle w:val="IndexLink"/>
                <w:rtl w:val="true"/>
              </w:rPr>
              <w:t>تعارض البيّنات‌</w:t>
            </w:r>
            <w:r>
              <w:rPr>
                <w:rStyle w:val="IndexLink"/>
                <w:rtl w:val="true"/>
              </w:rPr>
              <w:tab/>
            </w:r>
            <w:r>
              <w:rPr>
                <w:rStyle w:val="IndexLink"/>
              </w:rPr>
              <w:t>571</w:t>
            </w:r>
          </w:hyperlink>
        </w:p>
        <w:p>
          <w:pPr>
            <w:pStyle w:val="Contents5"/>
            <w:tabs>
              <w:tab w:val="clear" w:pos="7892"/>
              <w:tab w:val="right" w:pos="9026" w:leader="dot"/>
            </w:tabs>
            <w:rPr/>
          </w:pPr>
          <w:hyperlink w:anchor="__RefHeading___Toc2354893_3650668749">
            <w:r>
              <w:rPr>
                <w:webHidden/>
                <w:rStyle w:val="IndexLink"/>
                <w:rtl w:val="true"/>
              </w:rPr>
              <w:t>اشارة</w:t>
            </w:r>
            <w:r>
              <w:rPr>
                <w:rStyle w:val="IndexLink"/>
                <w:rtl w:val="true"/>
              </w:rPr>
              <w:tab/>
            </w:r>
            <w:r>
              <w:rPr>
                <w:rStyle w:val="IndexLink"/>
              </w:rPr>
              <w:t>571</w:t>
            </w:r>
          </w:hyperlink>
        </w:p>
        <w:p>
          <w:pPr>
            <w:pStyle w:val="Contents5"/>
            <w:tabs>
              <w:tab w:val="clear" w:pos="7892"/>
              <w:tab w:val="right" w:pos="9026" w:leader="dot"/>
            </w:tabs>
            <w:rPr/>
          </w:pPr>
          <w:hyperlink w:anchor="__RefHeading___Toc2354895_3650668749">
            <w:r>
              <w:rPr>
                <w:webHidden/>
                <w:rStyle w:val="IndexLink"/>
                <w:rtl w:val="true"/>
              </w:rPr>
              <w:t>الصور الموجودة في تعارض البينات‌</w:t>
            </w:r>
            <w:r>
              <w:rPr>
                <w:rStyle w:val="IndexLink"/>
                <w:rtl w:val="true"/>
              </w:rPr>
              <w:tab/>
            </w:r>
            <w:r>
              <w:rPr>
                <w:rStyle w:val="IndexLink"/>
              </w:rPr>
              <w:t>572</w:t>
            </w:r>
          </w:hyperlink>
        </w:p>
        <w:p>
          <w:pPr>
            <w:pStyle w:val="Contents3"/>
            <w:tabs>
              <w:tab w:val="clear" w:pos="8459"/>
              <w:tab w:val="right" w:pos="9026" w:leader="dot"/>
            </w:tabs>
            <w:rPr/>
          </w:pPr>
          <w:hyperlink w:anchor="__RefHeading___Toc2354897_3650668749">
            <w:r>
              <w:rPr>
                <w:webHidden/>
                <w:rStyle w:val="IndexLink"/>
                <w:rtl w:val="true"/>
              </w:rPr>
              <w:t>خاتمة فيها فصلان</w:t>
            </w:r>
            <w:r>
              <w:rPr>
                <w:rStyle w:val="IndexLink"/>
                <w:rtl w:val="true"/>
              </w:rPr>
              <w:t>:</w:t>
              <w:tab/>
            </w:r>
            <w:r>
              <w:rPr>
                <w:rStyle w:val="IndexLink"/>
              </w:rPr>
              <w:t>592</w:t>
            </w:r>
          </w:hyperlink>
        </w:p>
        <w:p>
          <w:pPr>
            <w:pStyle w:val="Contents4"/>
            <w:tabs>
              <w:tab w:val="clear" w:pos="8176"/>
              <w:tab w:val="right" w:pos="9026" w:leader="dot"/>
            </w:tabs>
            <w:rPr/>
          </w:pPr>
          <w:hyperlink w:anchor="__RefHeading___Toc2354899_3650668749">
            <w:r>
              <w:rPr>
                <w:webHidden/>
                <w:rStyle w:val="IndexLink"/>
                <w:rtl w:val="true"/>
              </w:rPr>
              <w:t>اشارة</w:t>
            </w:r>
            <w:r>
              <w:rPr>
                <w:rStyle w:val="IndexLink"/>
                <w:rtl w:val="true"/>
              </w:rPr>
              <w:tab/>
            </w:r>
            <w:r>
              <w:rPr>
                <w:rStyle w:val="IndexLink"/>
              </w:rPr>
              <w:t>592</w:t>
            </w:r>
          </w:hyperlink>
        </w:p>
        <w:p>
          <w:pPr>
            <w:pStyle w:val="Contents4"/>
            <w:tabs>
              <w:tab w:val="clear" w:pos="8176"/>
              <w:tab w:val="right" w:pos="9026" w:leader="dot"/>
            </w:tabs>
            <w:rPr/>
          </w:pPr>
          <w:hyperlink w:anchor="__RefHeading___Toc2354901_3650668749">
            <w:r>
              <w:rPr>
                <w:webHidden/>
                <w:rStyle w:val="IndexLink"/>
                <w:rtl w:val="true"/>
              </w:rPr>
              <w:t>الأوّل</w:t>
            </w:r>
            <w:r>
              <w:rPr>
                <w:rStyle w:val="IndexLink"/>
                <w:rtl w:val="true"/>
              </w:rPr>
              <w:t xml:space="preserve">: </w:t>
            </w:r>
            <w:r>
              <w:rPr>
                <w:rStyle w:val="IndexLink"/>
                <w:rtl w:val="true"/>
              </w:rPr>
              <w:t>في كتاب قاضٍ إلى قاضٍ‌</w:t>
            </w:r>
            <w:r>
              <w:rPr>
                <w:rStyle w:val="IndexLink"/>
                <w:rtl w:val="true"/>
              </w:rPr>
              <w:tab/>
            </w:r>
            <w:r>
              <w:rPr>
                <w:rStyle w:val="IndexLink"/>
              </w:rPr>
              <w:t>592</w:t>
            </w:r>
          </w:hyperlink>
        </w:p>
        <w:p>
          <w:pPr>
            <w:pStyle w:val="Contents5"/>
            <w:tabs>
              <w:tab w:val="clear" w:pos="7892"/>
              <w:tab w:val="right" w:pos="9026" w:leader="dot"/>
            </w:tabs>
            <w:rPr/>
          </w:pPr>
          <w:hyperlink w:anchor="__RefHeading___Toc2354903_3650668749">
            <w:r>
              <w:rPr>
                <w:webHidden/>
                <w:rStyle w:val="IndexLink"/>
                <w:rtl w:val="true"/>
              </w:rPr>
              <w:t>اشارة</w:t>
            </w:r>
            <w:r>
              <w:rPr>
                <w:rStyle w:val="IndexLink"/>
                <w:rtl w:val="true"/>
              </w:rPr>
              <w:tab/>
            </w:r>
            <w:r>
              <w:rPr>
                <w:rStyle w:val="IndexLink"/>
              </w:rPr>
              <w:t>592</w:t>
            </w:r>
          </w:hyperlink>
        </w:p>
        <w:p>
          <w:pPr>
            <w:pStyle w:val="Contents5"/>
            <w:tabs>
              <w:tab w:val="clear" w:pos="7892"/>
              <w:tab w:val="right" w:pos="9026" w:leader="dot"/>
            </w:tabs>
            <w:rPr/>
          </w:pPr>
          <w:hyperlink w:anchor="__RefHeading___Toc2354905_3650668749">
            <w:r>
              <w:rPr>
                <w:webHidden/>
                <w:rStyle w:val="IndexLink"/>
                <w:rtl w:val="true"/>
              </w:rPr>
              <w:t>وجوب إنشاء الحكم للقاضي وكونه باللفظ فقط</w:t>
            </w:r>
            <w:r>
              <w:rPr>
                <w:rStyle w:val="IndexLink"/>
                <w:rtl w:val="true"/>
              </w:rPr>
              <w:tab/>
            </w:r>
            <w:r>
              <w:rPr>
                <w:rStyle w:val="IndexLink"/>
              </w:rPr>
              <w:t>592</w:t>
            </w:r>
          </w:hyperlink>
        </w:p>
        <w:p>
          <w:pPr>
            <w:pStyle w:val="Contents5"/>
            <w:tabs>
              <w:tab w:val="clear" w:pos="7892"/>
              <w:tab w:val="right" w:pos="9026" w:leader="dot"/>
            </w:tabs>
            <w:rPr/>
          </w:pPr>
          <w:hyperlink w:anchor="__RefHeading___Toc2354907_3650668749">
            <w:r>
              <w:rPr>
                <w:webHidden/>
                <w:rStyle w:val="IndexLink"/>
                <w:rtl w:val="true"/>
              </w:rPr>
              <w:t>في كتاب قاضٍ إلى قاضٍ وبيان الوجه فيه‌</w:t>
            </w:r>
            <w:r>
              <w:rPr>
                <w:rStyle w:val="IndexLink"/>
                <w:rtl w:val="true"/>
              </w:rPr>
              <w:tab/>
            </w:r>
            <w:r>
              <w:rPr>
                <w:rStyle w:val="IndexLink"/>
              </w:rPr>
              <w:t>598</w:t>
            </w:r>
          </w:hyperlink>
        </w:p>
        <w:p>
          <w:pPr>
            <w:pStyle w:val="Contents6"/>
            <w:tabs>
              <w:tab w:val="clear" w:pos="7609"/>
              <w:tab w:val="right" w:pos="9026" w:leader="dot"/>
            </w:tabs>
            <w:rPr/>
          </w:pPr>
          <w:hyperlink w:anchor="__RefHeading___Toc2354909_3650668749">
            <w:r>
              <w:rPr>
                <w:webHidden/>
                <w:rStyle w:val="IndexLink"/>
                <w:rtl w:val="true"/>
              </w:rPr>
              <w:t>اشارة</w:t>
            </w:r>
            <w:r>
              <w:rPr>
                <w:rStyle w:val="IndexLink"/>
                <w:rtl w:val="true"/>
              </w:rPr>
              <w:tab/>
            </w:r>
            <w:r>
              <w:rPr>
                <w:rStyle w:val="IndexLink"/>
              </w:rPr>
              <w:t>598</w:t>
            </w:r>
          </w:hyperlink>
        </w:p>
        <w:p>
          <w:pPr>
            <w:pStyle w:val="Contents6"/>
            <w:tabs>
              <w:tab w:val="clear" w:pos="7609"/>
              <w:tab w:val="right" w:pos="9026" w:leader="dot"/>
            </w:tabs>
            <w:rPr/>
          </w:pPr>
          <w:hyperlink w:anchor="__RefHeading___Toc2354911_3650668749">
            <w:r>
              <w:rPr>
                <w:webHidden/>
                <w:rStyle w:val="IndexLink"/>
                <w:rtl w:val="true"/>
              </w:rPr>
              <w:t>في عدم جواز الحكم من الثاني باستناد حكم الأوّل‌</w:t>
            </w:r>
            <w:r>
              <w:rPr>
                <w:rStyle w:val="IndexLink"/>
                <w:rtl w:val="true"/>
              </w:rPr>
              <w:tab/>
            </w:r>
            <w:r>
              <w:rPr>
                <w:rStyle w:val="IndexLink"/>
              </w:rPr>
              <w:t>601</w:t>
            </w:r>
          </w:hyperlink>
        </w:p>
        <w:p>
          <w:pPr>
            <w:pStyle w:val="Contents6"/>
            <w:tabs>
              <w:tab w:val="clear" w:pos="7609"/>
              <w:tab w:val="right" w:pos="9026" w:leader="dot"/>
            </w:tabs>
            <w:rPr/>
          </w:pPr>
          <w:hyperlink w:anchor="__RefHeading___Toc2354913_3650668749">
            <w:r>
              <w:rPr>
                <w:webHidden/>
                <w:rStyle w:val="IndexLink"/>
                <w:rtl w:val="true"/>
              </w:rPr>
              <w:t>عدم الثمرة في البحث عن طرق إنهاء حكم الحاكم إلى حاكم آخر</w:t>
            </w:r>
            <w:r>
              <w:rPr>
                <w:rStyle w:val="IndexLink"/>
                <w:rtl w:val="true"/>
              </w:rPr>
              <w:tab/>
            </w:r>
            <w:r>
              <w:rPr>
                <w:rStyle w:val="IndexLink"/>
              </w:rPr>
              <w:t>603</w:t>
            </w:r>
          </w:hyperlink>
        </w:p>
        <w:p>
          <w:pPr>
            <w:pStyle w:val="Contents4"/>
            <w:tabs>
              <w:tab w:val="clear" w:pos="8176"/>
              <w:tab w:val="right" w:pos="9026" w:leader="dot"/>
            </w:tabs>
            <w:rPr/>
          </w:pPr>
          <w:hyperlink w:anchor="__RefHeading___Toc2354915_3650668749">
            <w:r>
              <w:rPr>
                <w:webHidden/>
                <w:rStyle w:val="IndexLink"/>
                <w:rtl w:val="true"/>
              </w:rPr>
              <w:t>الفصل الثاني</w:t>
            </w:r>
            <w:r>
              <w:rPr>
                <w:rStyle w:val="IndexLink"/>
                <w:rtl w:val="true"/>
              </w:rPr>
              <w:t xml:space="preserve">: </w:t>
            </w:r>
            <w:r>
              <w:rPr>
                <w:rStyle w:val="IndexLink"/>
                <w:rtl w:val="true"/>
              </w:rPr>
              <w:t>في المقاصّة</w:t>
            </w:r>
            <w:r>
              <w:rPr>
                <w:rStyle w:val="IndexLink"/>
                <w:rtl w:val="true"/>
              </w:rPr>
              <w:tab/>
            </w:r>
            <w:r>
              <w:rPr>
                <w:rStyle w:val="IndexLink"/>
              </w:rPr>
              <w:t>605</w:t>
            </w:r>
          </w:hyperlink>
        </w:p>
        <w:p>
          <w:pPr>
            <w:pStyle w:val="Contents5"/>
            <w:tabs>
              <w:tab w:val="clear" w:pos="7892"/>
              <w:tab w:val="right" w:pos="9026" w:leader="dot"/>
            </w:tabs>
            <w:rPr/>
          </w:pPr>
          <w:hyperlink w:anchor="__RefHeading___Toc2354917_3650668749">
            <w:r>
              <w:rPr>
                <w:webHidden/>
                <w:rStyle w:val="IndexLink"/>
                <w:rtl w:val="true"/>
              </w:rPr>
              <w:t>اشارة</w:t>
            </w:r>
            <w:r>
              <w:rPr>
                <w:rStyle w:val="IndexLink"/>
                <w:rtl w:val="true"/>
              </w:rPr>
              <w:tab/>
            </w:r>
            <w:r>
              <w:rPr>
                <w:rStyle w:val="IndexLink"/>
              </w:rPr>
              <w:t>605</w:t>
            </w:r>
          </w:hyperlink>
        </w:p>
        <w:p>
          <w:pPr>
            <w:pStyle w:val="Contents5"/>
            <w:tabs>
              <w:tab w:val="clear" w:pos="7892"/>
              <w:tab w:val="right" w:pos="9026" w:leader="dot"/>
            </w:tabs>
            <w:rPr/>
          </w:pPr>
          <w:hyperlink w:anchor="__RefHeading___Toc2354919_3650668749">
            <w:r>
              <w:rPr>
                <w:webHidden/>
                <w:rStyle w:val="IndexLink"/>
                <w:rtl w:val="true"/>
              </w:rPr>
              <w:t>القسم الأوّل</w:t>
            </w:r>
            <w:r>
              <w:rPr>
                <w:rStyle w:val="IndexLink"/>
                <w:rtl w:val="true"/>
              </w:rPr>
              <w:t xml:space="preserve">: </w:t>
            </w:r>
            <w:r>
              <w:rPr>
                <w:rStyle w:val="IndexLink"/>
                <w:rtl w:val="true"/>
              </w:rPr>
              <w:t>فيما إذا كان الحقّ عقوبة</w:t>
            </w:r>
            <w:r>
              <w:rPr>
                <w:rStyle w:val="IndexLink"/>
                <w:rtl w:val="true"/>
              </w:rPr>
              <w:tab/>
            </w:r>
            <w:r>
              <w:rPr>
                <w:rStyle w:val="IndexLink"/>
              </w:rPr>
              <w:t>606</w:t>
            </w:r>
          </w:hyperlink>
        </w:p>
        <w:p>
          <w:pPr>
            <w:pStyle w:val="Contents6"/>
            <w:tabs>
              <w:tab w:val="clear" w:pos="7609"/>
              <w:tab w:val="right" w:pos="9026" w:leader="dot"/>
            </w:tabs>
            <w:rPr/>
          </w:pPr>
          <w:hyperlink w:anchor="__RefHeading___Toc2354921_3650668749">
            <w:r>
              <w:rPr>
                <w:webHidden/>
                <w:rStyle w:val="IndexLink"/>
                <w:rtl w:val="true"/>
              </w:rPr>
              <w:t>اشارة</w:t>
            </w:r>
            <w:r>
              <w:rPr>
                <w:rStyle w:val="IndexLink"/>
                <w:rtl w:val="true"/>
              </w:rPr>
              <w:tab/>
            </w:r>
            <w:r>
              <w:rPr>
                <w:rStyle w:val="IndexLink"/>
              </w:rPr>
              <w:t>606</w:t>
            </w:r>
          </w:hyperlink>
        </w:p>
        <w:p>
          <w:pPr>
            <w:pStyle w:val="Contents6"/>
            <w:tabs>
              <w:tab w:val="clear" w:pos="7609"/>
              <w:tab w:val="right" w:pos="9026" w:leader="dot"/>
            </w:tabs>
            <w:rPr/>
          </w:pPr>
          <w:hyperlink w:anchor="__RefHeading___Toc2354923_3650668749">
            <w:r>
              <w:rPr>
                <w:webHidden/>
                <w:rStyle w:val="IndexLink"/>
                <w:rtl w:val="true"/>
              </w:rPr>
              <w:t>في موارد الاستثناء عن الضابطة</w:t>
            </w:r>
            <w:r>
              <w:rPr>
                <w:rStyle w:val="IndexLink"/>
                <w:rtl w:val="true"/>
              </w:rPr>
              <w:tab/>
            </w:r>
            <w:r>
              <w:rPr>
                <w:rStyle w:val="IndexLink"/>
              </w:rPr>
              <w:t>607</w:t>
            </w:r>
          </w:hyperlink>
        </w:p>
        <w:p>
          <w:pPr>
            <w:pStyle w:val="Contents5"/>
            <w:tabs>
              <w:tab w:val="clear" w:pos="7892"/>
              <w:tab w:val="right" w:pos="9026" w:leader="dot"/>
            </w:tabs>
            <w:rPr/>
          </w:pPr>
          <w:hyperlink w:anchor="__RefHeading___Toc2354925_3650668749">
            <w:r>
              <w:rPr>
                <w:webHidden/>
                <w:rStyle w:val="IndexLink"/>
                <w:rtl w:val="true"/>
              </w:rPr>
              <w:t>القسم الثاني</w:t>
            </w:r>
            <w:r>
              <w:rPr>
                <w:rStyle w:val="IndexLink"/>
                <w:rtl w:val="true"/>
              </w:rPr>
              <w:t xml:space="preserve">: </w:t>
            </w:r>
            <w:r>
              <w:rPr>
                <w:rStyle w:val="IndexLink"/>
                <w:rtl w:val="true"/>
              </w:rPr>
              <w:t>فيما إذا كان الحقّ ديناً</w:t>
            </w:r>
            <w:r>
              <w:rPr>
                <w:rStyle w:val="IndexLink"/>
                <w:rtl w:val="true"/>
              </w:rPr>
              <w:tab/>
            </w:r>
            <w:r>
              <w:rPr>
                <w:rStyle w:val="IndexLink"/>
              </w:rPr>
              <w:t>609</w:t>
            </w:r>
          </w:hyperlink>
        </w:p>
        <w:p>
          <w:pPr>
            <w:pStyle w:val="Contents6"/>
            <w:tabs>
              <w:tab w:val="clear" w:pos="7609"/>
              <w:tab w:val="right" w:pos="9026" w:leader="dot"/>
            </w:tabs>
            <w:rPr/>
          </w:pPr>
          <w:hyperlink w:anchor="__RefHeading___Toc2354927_3650668749">
            <w:r>
              <w:rPr>
                <w:webHidden/>
                <w:rStyle w:val="IndexLink"/>
                <w:rtl w:val="true"/>
              </w:rPr>
              <w:t>اشارة</w:t>
            </w:r>
            <w:r>
              <w:rPr>
                <w:rStyle w:val="IndexLink"/>
                <w:rtl w:val="true"/>
              </w:rPr>
              <w:tab/>
            </w:r>
            <w:r>
              <w:rPr>
                <w:rStyle w:val="IndexLink"/>
              </w:rPr>
              <w:t>609</w:t>
            </w:r>
          </w:hyperlink>
        </w:p>
        <w:p>
          <w:pPr>
            <w:pStyle w:val="Contents6"/>
            <w:tabs>
              <w:tab w:val="clear" w:pos="7609"/>
              <w:tab w:val="right" w:pos="9026" w:leader="dot"/>
            </w:tabs>
            <w:rPr/>
          </w:pPr>
          <w:hyperlink w:anchor="__RefHeading___Toc2354929_3650668749">
            <w:r>
              <w:rPr>
                <w:webHidden/>
                <w:rStyle w:val="IndexLink"/>
                <w:rtl w:val="true"/>
              </w:rPr>
              <w:t>في بيان الأدلّة الدالّة على مشروعية المقاصّة</w:t>
            </w:r>
            <w:r>
              <w:rPr>
                <w:rStyle w:val="IndexLink"/>
                <w:rtl w:val="true"/>
              </w:rPr>
              <w:tab/>
            </w:r>
            <w:r>
              <w:rPr>
                <w:rStyle w:val="IndexLink"/>
              </w:rPr>
              <w:t>609</w:t>
            </w:r>
          </w:hyperlink>
        </w:p>
        <w:p>
          <w:pPr>
            <w:pStyle w:val="Contents5"/>
            <w:tabs>
              <w:tab w:val="clear" w:pos="7892"/>
              <w:tab w:val="right" w:pos="9026" w:leader="dot"/>
            </w:tabs>
            <w:rPr/>
          </w:pPr>
          <w:hyperlink w:anchor="__RefHeading___Toc2354931_3650668749">
            <w:r>
              <w:rPr>
                <w:webHidden/>
                <w:rStyle w:val="IndexLink"/>
                <w:rtl w:val="true"/>
              </w:rPr>
              <w:t>القسم الثالث</w:t>
            </w:r>
            <w:r>
              <w:rPr>
                <w:rStyle w:val="IndexLink"/>
                <w:rtl w:val="true"/>
              </w:rPr>
              <w:t xml:space="preserve">: </w:t>
            </w:r>
            <w:r>
              <w:rPr>
                <w:rStyle w:val="IndexLink"/>
                <w:rtl w:val="true"/>
              </w:rPr>
              <w:t>فيما إذا كان الحقّ الذي على غيره عيناً</w:t>
            </w:r>
            <w:r>
              <w:rPr>
                <w:rStyle w:val="IndexLink"/>
                <w:rtl w:val="true"/>
              </w:rPr>
              <w:tab/>
            </w:r>
            <w:r>
              <w:rPr>
                <w:rStyle w:val="IndexLink"/>
              </w:rPr>
              <w:t>617</w:t>
            </w:r>
          </w:hyperlink>
        </w:p>
        <w:p>
          <w:pPr>
            <w:pStyle w:val="Contents6"/>
            <w:tabs>
              <w:tab w:val="clear" w:pos="7609"/>
              <w:tab w:val="right" w:pos="9026" w:leader="dot"/>
            </w:tabs>
            <w:rPr/>
          </w:pPr>
          <w:hyperlink w:anchor="__RefHeading___Toc2354933_3650668749">
            <w:r>
              <w:rPr>
                <w:webHidden/>
                <w:rStyle w:val="IndexLink"/>
                <w:rtl w:val="true"/>
              </w:rPr>
              <w:t>اشارة</w:t>
            </w:r>
            <w:r>
              <w:rPr>
                <w:rStyle w:val="IndexLink"/>
                <w:rtl w:val="true"/>
              </w:rPr>
              <w:tab/>
            </w:r>
            <w:r>
              <w:rPr>
                <w:rStyle w:val="IndexLink"/>
              </w:rPr>
              <w:t>617</w:t>
            </w:r>
          </w:hyperlink>
        </w:p>
        <w:p>
          <w:pPr>
            <w:pStyle w:val="Contents6"/>
            <w:tabs>
              <w:tab w:val="clear" w:pos="7609"/>
              <w:tab w:val="right" w:pos="9026" w:leader="dot"/>
            </w:tabs>
            <w:rPr/>
          </w:pPr>
          <w:hyperlink w:anchor="__RefHeading___Toc2354935_3650668749">
            <w:r>
              <w:rPr>
                <w:webHidden/>
                <w:rStyle w:val="IndexLink"/>
                <w:rtl w:val="true"/>
              </w:rPr>
              <w:t>براءة ذمّة المقتصّ منه من الدين بعد التقاصّ‌</w:t>
            </w:r>
            <w:r>
              <w:rPr>
                <w:rStyle w:val="IndexLink"/>
                <w:rtl w:val="true"/>
              </w:rPr>
              <w:tab/>
            </w:r>
            <w:r>
              <w:rPr>
                <w:rStyle w:val="IndexLink"/>
              </w:rPr>
              <w:t>626</w:t>
            </w:r>
          </w:hyperlink>
        </w:p>
        <w:p>
          <w:pPr>
            <w:pStyle w:val="Contents6"/>
            <w:tabs>
              <w:tab w:val="clear" w:pos="7609"/>
              <w:tab w:val="right" w:pos="9026" w:leader="dot"/>
            </w:tabs>
            <w:rPr/>
          </w:pPr>
          <w:hyperlink w:anchor="__RefHeading___Toc2354937_3650668749">
            <w:r>
              <w:rPr>
                <w:webHidden/>
                <w:rStyle w:val="IndexLink"/>
                <w:rtl w:val="true"/>
              </w:rPr>
              <w:t>جواز المقاصّة من الوديعة على كراهية</w:t>
            </w:r>
            <w:r>
              <w:rPr>
                <w:rStyle w:val="IndexLink"/>
                <w:rtl w:val="true"/>
              </w:rPr>
              <w:tab/>
            </w:r>
            <w:r>
              <w:rPr>
                <w:rStyle w:val="IndexLink"/>
              </w:rPr>
              <w:t>630</w:t>
            </w:r>
          </w:hyperlink>
        </w:p>
        <w:p>
          <w:pPr>
            <w:pStyle w:val="Contents6"/>
            <w:tabs>
              <w:tab w:val="clear" w:pos="7609"/>
              <w:tab w:val="right" w:pos="9026" w:leader="dot"/>
            </w:tabs>
            <w:rPr/>
          </w:pPr>
          <w:hyperlink w:anchor="__RefHeading___Toc2354939_3650668749">
            <w:r>
              <w:rPr>
                <w:webHidden/>
                <w:rStyle w:val="IndexLink"/>
                <w:rtl w:val="true"/>
              </w:rPr>
              <w:t>حكم التقاصّ فيما لو كان اعتقاد المحقّية لحجّة شرعية</w:t>
            </w:r>
            <w:r>
              <w:rPr>
                <w:rStyle w:val="IndexLink"/>
                <w:rtl w:val="true"/>
              </w:rPr>
              <w:tab/>
            </w:r>
            <w:r>
              <w:rPr>
                <w:rStyle w:val="IndexLink"/>
              </w:rPr>
              <w:t>634</w:t>
            </w:r>
          </w:hyperlink>
        </w:p>
        <w:p>
          <w:pPr>
            <w:pStyle w:val="Contents6"/>
            <w:tabs>
              <w:tab w:val="clear" w:pos="7609"/>
              <w:tab w:val="right" w:pos="9026" w:leader="dot"/>
            </w:tabs>
            <w:rPr/>
          </w:pPr>
          <w:hyperlink w:anchor="__RefHeading___Toc2354941_3650668749">
            <w:r>
              <w:rPr>
                <w:webHidden/>
                <w:rStyle w:val="IndexLink"/>
                <w:rtl w:val="true"/>
              </w:rPr>
              <w:t>عدم جواز التقاصّ من مال المشترك‌</w:t>
            </w:r>
            <w:r>
              <w:rPr>
                <w:rStyle w:val="IndexLink"/>
                <w:rtl w:val="true"/>
              </w:rPr>
              <w:tab/>
            </w:r>
            <w:r>
              <w:rPr>
                <w:rStyle w:val="IndexLink"/>
              </w:rPr>
              <w:t>636</w:t>
            </w:r>
          </w:hyperlink>
        </w:p>
        <w:p>
          <w:pPr>
            <w:pStyle w:val="Contents6"/>
            <w:tabs>
              <w:tab w:val="clear" w:pos="7609"/>
              <w:tab w:val="right" w:pos="9026" w:leader="dot"/>
            </w:tabs>
            <w:rPr/>
          </w:pPr>
          <w:hyperlink w:anchor="__RefHeading___Toc2354943_3650668749">
            <w:r>
              <w:rPr>
                <w:webHidden/>
                <w:rStyle w:val="IndexLink"/>
                <w:rtl w:val="true"/>
              </w:rPr>
              <w:t>عدم جواز التقاصّ من مال تعلّق به حقّ الغير</w:t>
            </w:r>
            <w:r>
              <w:rPr>
                <w:rStyle w:val="IndexLink"/>
                <w:rtl w:val="true"/>
              </w:rPr>
              <w:tab/>
            </w:r>
            <w:r>
              <w:rPr>
                <w:rStyle w:val="IndexLink"/>
              </w:rPr>
              <w:t>639</w:t>
            </w:r>
          </w:hyperlink>
        </w:p>
        <w:p>
          <w:pPr>
            <w:pStyle w:val="Contents6"/>
            <w:tabs>
              <w:tab w:val="clear" w:pos="7609"/>
              <w:tab w:val="right" w:pos="9026" w:leader="dot"/>
            </w:tabs>
            <w:rPr/>
          </w:pPr>
          <w:hyperlink w:anchor="__RefHeading___Toc2354945_3650668749">
            <w:r>
              <w:rPr>
                <w:webHidden/>
                <w:rStyle w:val="IndexLink"/>
                <w:rtl w:val="true"/>
              </w:rPr>
              <w:t>عدم جواز التقاصّ لغير صاحب الحقّ إلا إذا كان وكيلًا أو وليّاً</w:t>
            </w:r>
            <w:r>
              <w:rPr>
                <w:rStyle w:val="IndexLink"/>
                <w:rtl w:val="true"/>
              </w:rPr>
              <w:tab/>
            </w:r>
            <w:r>
              <w:rPr>
                <w:rStyle w:val="IndexLink"/>
              </w:rPr>
              <w:t>641</w:t>
            </w:r>
          </w:hyperlink>
        </w:p>
        <w:p>
          <w:pPr>
            <w:pStyle w:val="Contents6"/>
            <w:tabs>
              <w:tab w:val="clear" w:pos="7609"/>
              <w:tab w:val="right" w:pos="9026" w:leader="dot"/>
            </w:tabs>
            <w:rPr/>
          </w:pPr>
          <w:hyperlink w:anchor="__RefHeading___Toc2354947_3650668749">
            <w:r>
              <w:rPr>
                <w:webHidden/>
                <w:rStyle w:val="IndexLink"/>
                <w:rtl w:val="true"/>
              </w:rPr>
              <w:t>بيان في الخطاء في الموضوع أو الحكم‌</w:t>
            </w:r>
            <w:r>
              <w:rPr>
                <w:rStyle w:val="IndexLink"/>
                <w:rtl w:val="true"/>
              </w:rPr>
              <w:tab/>
            </w:r>
            <w:r>
              <w:rPr>
                <w:rStyle w:val="IndexLink"/>
              </w:rPr>
              <w:t>648</w:t>
            </w:r>
          </w:hyperlink>
        </w:p>
        <w:p>
          <w:pPr>
            <w:pStyle w:val="Contents6"/>
            <w:tabs>
              <w:tab w:val="clear" w:pos="7609"/>
              <w:tab w:val="right" w:pos="9026" w:leader="dot"/>
            </w:tabs>
            <w:rPr/>
          </w:pPr>
          <w:hyperlink w:anchor="__RefHeading___Toc2354949_3650668749">
            <w:r>
              <w:rPr>
                <w:webHidden/>
                <w:rStyle w:val="IndexLink"/>
                <w:rtl w:val="true"/>
              </w:rPr>
              <w:t>حكم الدعاء عند التقاصّ‌</w:t>
            </w:r>
            <w:r>
              <w:rPr>
                <w:rStyle w:val="IndexLink"/>
                <w:rtl w:val="true"/>
              </w:rPr>
              <w:tab/>
            </w:r>
            <w:r>
              <w:rPr>
                <w:rStyle w:val="IndexLink"/>
              </w:rPr>
              <w:t>653</w:t>
            </w:r>
          </w:hyperlink>
        </w:p>
        <w:p>
          <w:pPr>
            <w:pStyle w:val="Contents6"/>
            <w:tabs>
              <w:tab w:val="clear" w:pos="7609"/>
              <w:tab w:val="right" w:pos="9026" w:leader="dot"/>
            </w:tabs>
            <w:rPr/>
          </w:pPr>
          <w:hyperlink w:anchor="__RefHeading___Toc2354951_3650668749">
            <w:r>
              <w:rPr>
                <w:webHidden/>
                <w:rStyle w:val="IndexLink"/>
                <w:rtl w:val="true"/>
              </w:rPr>
              <w:t>حكم مقاصّة الشريكين في العين أو الدين‌</w:t>
            </w:r>
            <w:r>
              <w:rPr>
                <w:rStyle w:val="IndexLink"/>
                <w:rtl w:val="true"/>
              </w:rPr>
              <w:tab/>
            </w:r>
            <w:r>
              <w:rPr>
                <w:rStyle w:val="IndexLink"/>
              </w:rPr>
              <w:t>656</w:t>
            </w:r>
          </w:hyperlink>
        </w:p>
        <w:p>
          <w:pPr>
            <w:pStyle w:val="Contents2"/>
            <w:tabs>
              <w:tab w:val="clear" w:pos="8743"/>
              <w:tab w:val="right" w:pos="9026" w:leader="dot"/>
            </w:tabs>
            <w:rPr/>
          </w:pPr>
          <w:hyperlink w:anchor="__RefHeading___Toc2354953_3650668749">
            <w:r>
              <w:rPr>
                <w:webHidden/>
                <w:rStyle w:val="IndexLink"/>
                <w:rtl w:val="true"/>
              </w:rPr>
              <w:t>فهرس المصادر</w:t>
            </w:r>
            <w:r>
              <w:rPr>
                <w:rStyle w:val="IndexLink"/>
                <w:rtl w:val="true"/>
              </w:rPr>
              <w:tab/>
            </w:r>
            <w:r>
              <w:rPr>
                <w:rStyle w:val="IndexLink"/>
              </w:rPr>
              <w:t>660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91_15248"/>
      <w:bookmarkStart w:id="1" w:name="pg1791_15248"/>
      <w:bookmarkEnd w:id="1"/>
    </w:p>
    <w:p>
      <w:pPr>
        <w:pStyle w:val="Heading2"/>
        <w:numPr>
          <w:ilvl w:val="1"/>
          <w:numId w:val="1"/>
        </w:numPr>
        <w:rPr/>
      </w:pPr>
      <w:bookmarkStart w:id="2" w:name="pg1791_15248"/>
      <w:bookmarkStart w:id="3" w:name="__RefHeading___Toc2354409_3650668749"/>
      <w:bookmarkStart w:id="4" w:name="_Toc1"/>
      <w:bookmarkEnd w:id="2"/>
      <w:bookmarkEnd w:id="3"/>
      <w:r>
        <w:rPr>
          <w:rtl w:val="true"/>
        </w:rPr>
        <w:t>اشارة</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مقتدايي، مرتضي، </w:t>
      </w:r>
      <w:r>
        <w:rPr>
          <w:rFonts w:ascii="Amiri" w:hAnsi="Amiri" w:eastAsia="Amiri" w:cs="Amiri"/>
          <w:color w:val="111111"/>
          <w:sz w:val="28"/>
          <w:sz w:val="28"/>
          <w:szCs w:val="28"/>
          <w:lang w:bidi="ar-SA"/>
        </w:rPr>
        <w:t>۱۳۱۴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قراردادي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تحرير‌الوسيله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مفتاح‌الهداية في شرح تحريرالوسيلة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مرتضي المقتدائي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موسسة تنظيم و نشر تراث‌الامام‌الخميني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موسسةالعروج، </w:t>
      </w:r>
      <w:r>
        <w:rPr>
          <w:rFonts w:ascii="Amiri" w:hAnsi="Amiri" w:eastAsia="Amiri" w:cs="Amiri"/>
          <w:color w:val="111111"/>
          <w:sz w:val="28"/>
          <w:sz w:val="28"/>
          <w:szCs w:val="28"/>
          <w:lang w:bidi="ar-SA"/>
        </w:rPr>
        <w:t>۱۳۹۲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ascii="Amiri" w:hAnsi="Amiri" w:eastAsia="Amiri" w:cs="Amiri"/>
          <w:color w:val="111111"/>
          <w:sz w:val="28"/>
          <w:sz w:val="28"/>
          <w:szCs w:val="28"/>
          <w:lang w:bidi="ar-SA"/>
        </w:rPr>
        <w:t>۶۷۵</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۳۰۰۰۰۰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خميني، روح‌الله، رهبر انقلاب و بنيانگذار جمهوري اسلامي ايران، </w:t>
      </w: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تحرير‌الوسيله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عمليه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خميني، روح‌الله، رهبر انقلاب و بنيانگذار جمهوري اسلامي ايران، </w:t>
      </w: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تحرير‌الوسيله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چاپ و نشر عروج</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۳۰۲۳۷۷۴۶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۳۴۲۲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۳۳۱۰۳۱۴</w:t>
      </w:r>
    </w:p>
    <w:p>
      <w:pPr>
        <w:pStyle w:val="Heading2"/>
        <w:numPr>
          <w:ilvl w:val="1"/>
          <w:numId w:val="1"/>
        </w:numPr>
        <w:rPr/>
      </w:pPr>
      <w:bookmarkStart w:id="5" w:name="__RefHeading___Toc2354411_3650668749"/>
      <w:bookmarkStart w:id="6" w:name="_Toc2"/>
      <w:bookmarkEnd w:id="5"/>
      <w:r>
        <w:rPr>
          <w:rtl w:val="true"/>
        </w:rPr>
        <w:t>مقدّمة الناشر</w:t>
      </w:r>
      <w:bookmarkEnd w:id="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الكتب المعدّة لبيان الفتاوى من جانب فقهائنا وإن كانت كثيرة من الصدر الأوّل إلى يومنا هذا، لكن من المعلوم أنّها ليست في مرتبة واحدة في صيرورتها محلًا للاعتناء التامّ ومركزاً للتوجّه العامّ من جانب الفقهاء والباحثين في أبحاثهم الدراسية والاستدلالية ونشاطاتهم التعليمية والفقهية؛ فإنّ قليلًا منها قد حاز هذه الرتبة وصار مداراً للشروح والتعاليق من جانب فقهاء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القرون الماضية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القرن الأخير؛ فإنّ هذه الكتب قد أصبحت محوراً للشروح والتعاليق بما لا يعدّ ولا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أنّه لايصل تأريخ كتابته إلى نصف قرن، قد أقبل إليه كثير من الفقهاء في أبحاثهم الفقهية، فجعلوه متناً لدراساتهم العليا وشروحهم الاستدلالية وتعاليقهم الفقهية والحمد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علّق أوّلًا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للفقيه آية الله السيّد أبوالحسن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النهج المعروف بين الفقهاء، ثمّ أخذ في إدخال هذه التعاليق في متن الكتاب عند ما نفى إلى تركيا، وأكمل ذلك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منفاه الثاني وهو النجف الأشرف وسمّاه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تحرير الوسيلة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أضاف إليه بعض الأبحاث التي لم تكن في ذلك، فأصبح بحمد الله كتاباً حافلًا لكلّ أبواب الفقه المحتاج إليها الآن من الطهارة إلى الديات بما فيها كثير من المسائل المستجدّة التي أضافها إليه في الصفحات الأخيرة منه، حتّى يكون الكتاب شاهداً لشمولية الفقه لحياة الإنسان بكلّ أبعادها، ودليلًا للاتّجاه الحيّ والفعّال لفقه الشيعة وفقهاء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المسائل المستجدّة والمواضيع الحديثة في حياة الإنسان ومجتمعه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مؤسّسة تنظيم ونشر آثار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قامت لحدّ الآن بإعداد كثير من الشروح والتعاليق التي ألّفها الفقهاء والمجتهدون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ونشرها، حيث إنّ هذه المؤسّسة تعتبر هذا الأمر خطوة كبيرة وأساسية في العمل لفقه الشيعة والاهتمام به وكذا في توسعة المباني الفقهية والاجتهادية للإمام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وتثبيتها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الهداية في شرح تحرير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هذه الشروح الاستدلالية وهي لم تتمّ بعد، وما نقدّمه إليكم الآن هو الشرح على كتاب القضاء وقد قام بتأليفه الفاضل المحقّق سماحة آية الله الشيخ مرتضى المقتدائي، والمؤسّسة تأمّل‌وترجو من الله تبارك وتعالى أن يوفقه لاستمرار العمل وإكمال الشرح والحمد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 تنظيم ونشر آثار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 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البحوث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Heading2"/>
        <w:numPr>
          <w:ilvl w:val="1"/>
          <w:numId w:val="1"/>
        </w:numPr>
        <w:rPr/>
      </w:pPr>
      <w:bookmarkStart w:id="7" w:name="__RefHeading___Toc2354413_3650668749"/>
      <w:bookmarkStart w:id="8" w:name="_Toc3"/>
      <w:bookmarkEnd w:id="7"/>
      <w:r>
        <w:rPr>
          <w:rtl w:val="true"/>
        </w:rPr>
        <w:t>مقدّمة المؤلّف‌</w:t>
      </w:r>
      <w:bookmarkEnd w:id="8"/>
    </w:p>
    <w:p>
      <w:pPr>
        <w:pStyle w:val="BookText"/>
        <w:rPr/>
      </w:pPr>
      <w:r>
        <w:rPr>
          <w:rFonts w:ascii="Amiri" w:hAnsi="Amiri" w:eastAsia="Amiri" w:cs="Amiri"/>
          <w:color w:val="111111"/>
          <w:sz w:val="28"/>
          <w:sz w:val="28"/>
          <w:szCs w:val="28"/>
          <w:rtl w:val="true"/>
          <w:lang w:bidi="ar-SA"/>
        </w:rPr>
        <w:t>الحمد لله الذي جعل الحمد شكراً لنعمائه، والصلاة على محمّد وآله وسيلة للنيل إلى محبّة الرسول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كنت افكّر في سالف الزمان أن آخذ ذريعة لأتوصّل بها إلى التوفيق في نشر الفقه الإمامي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أنّي تلمّذت أيّامي الدراسية عند الفقهاء والمجتهدين خاصّة فقيه المتألّه والاصولي الكامل ووحيد الدهر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قليل من فيوضاته، في قم المقدّسة؛ أبعده جور الزمان وفتن السلطان الجائر عن امّته الإيرانية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ابتلائه بالبلاء صار سبباً لفوائد كثيرة للُامّة الإسلامية في كافّة أقطار العالم خاصّة العالم الإسلامي؛ في توفيقه لقيادة الثورة الإسلامية في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جملتها أيضاً أن سمحه الفرصة إلى إدخال حواشيه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منضمّاً إلى المتن كفتاواه في الفقه الإمامية، التي سمّاها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تحرير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حرّرها على 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منفى في تركيا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بحمد الله بعد أن استقرّت الحكومة الإسلامية في إيران بيده الشريف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وفّقني الله أن أكون أحد الأشخاص الذين أدّوا وظيفتهم تحت راية الجمهورية الإسلامية في الدولة الكريمة وذلك كانت في الامور القضائية وفصل الخصومة بين الناس وبما أنّي كنت في بعض الأزمان من سنوات خدمتي في مصادر القوّة القضائية وأخذت أسفاراً حقوقية وقضائية إلى أنحاء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الإسلامية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طيلة أكثر من عشرين سنة وباحثت فنّياً مع العلماء وخبراء القضاء والأخصّائيين في البلاد الإسلامية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كانت ببركة ما اذخرته عند أساتذتي الفقهاء في حلقات الدروس الخارج في الحوزات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صممت أن احرّر بحوثاً تطبيقية في الفقه خاصّة الفقه القضائي ورأيت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ألّفها سيّدنا الاستاذ، قائد الثورة الإسلامية،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جامعاً يليق للشرح عليه وجعلته متناً لحلقة درس الخارج في الفقه في الحوزة العلمية في قم المقدّسة وألقيتها على كثير من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نفس الزمان كتبت شرحاً كاملًا على بعض الكتب من ذلك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بأيديكم كتحفة قليلة نفيسة ثمينة قيمة من سلسلة كتب الفقهية التي سمّيتها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مفتاح الهداية في شرح تحرير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الآن بحمد الله تمّ شرح كتاب القضاء، والشهادات، والحدود، والقصاص، وإلقائها الدراسي أيضاً، على كثير من الفضلاء، وفي قليل من الزمان سيتمّ شرح كتاب الديات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المعروض بأيديكم، شرح مبحث القضاء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وبوسعي حاولت للجمع بين ما فهمت من الحلقات الدراسية لسيّدنا الاستاذ قبل الثورة الإسلامية وأيضاً ما أثبته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ما جربته في سنوات الخدمة في القوّة القضائية في جمهورية إيران الإسلامية وكنت أودّ 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أهدى إلى ساحة فقه الشيعة والأخصّائيين والمشتاقين في تحقيق التفصيلي في فقه الإسلامي من القرّاء الكرام أهمّ تجربتي في سالف الزمان في القضاء وفصل 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باحثت بحثاً جامعاً تطبيقياً؛ مع أنّي ربما غيّرت ترتيب البحث في قليل من المسائل مع ما أوردت من المناقشات في بعض من فتاواه الشريفة وأخذت رأياً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كثير من المسائل بعد البحث وطرح المناقشات والدفاع عن الإيرادات وافقت رأيه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واللازم عليّ في ختام هذه المقدّمة، هو الشكر لسماحة حجة الاسلام والمسلمين نامدار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دامت تأييداته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أتعب نفسه لتخريج المصادر التكميلية، وفّقه الله لخدمة فقه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وأسئل الله تعالى أن يكون سعيي مقبولًا عنده ومفيداً للفضلاء الباحثين في الفقه الإسلامي إن شاء الله</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مرتضى المقتدائي</w:t>
      </w:r>
      <w:bookmarkStart w:id="9" w:name="pg1791_15251"/>
    </w:p>
    <w:p>
      <w:pPr>
        <w:pStyle w:val="Heading2"/>
        <w:numPr>
          <w:ilvl w:val="1"/>
          <w:numId w:val="1"/>
        </w:numPr>
        <w:rPr/>
      </w:pPr>
      <w:bookmarkStart w:id="10" w:name="__RefHeading___Toc2354415_3650668749"/>
      <w:bookmarkStart w:id="11" w:name="_Toc4"/>
      <w:bookmarkEnd w:id="9"/>
      <w:bookmarkEnd w:id="10"/>
      <w:r>
        <w:rPr>
          <w:rtl w:val="true"/>
        </w:rPr>
        <w:t>كتاب القضاء</w:t>
      </w:r>
      <w:bookmarkEnd w:id="11"/>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2354417_3650668749"/>
      <w:bookmarkStart w:id="13" w:name="_Toc5"/>
      <w:bookmarkEnd w:id="12"/>
      <w:r>
        <w:rPr>
          <w:rtl w:val="true"/>
        </w:rPr>
        <w:t>اشارة</w:t>
      </w:r>
      <w:bookmarkStart w:id="14" w:name="pg1791_15252"/>
      <w:bookmarkEnd w:id="13"/>
    </w:p>
    <w:p>
      <w:pPr>
        <w:pStyle w:val="BookText"/>
        <w:rPr/>
      </w:pPr>
      <w:bookmarkEnd w:id="14"/>
      <w:r>
        <w:rPr>
          <w:rFonts w:ascii="IRNazanin" w:hAnsi="IRNazanin" w:eastAsia="IRNazanin"/>
          <w:color w:val="111111"/>
          <w:sz w:val="28"/>
          <w:sz w:val="28"/>
          <w:szCs w:val="28"/>
          <w:rtl w:val="true"/>
          <w:lang w:bidi="fa-IR"/>
        </w:rPr>
        <w:t>وهو</w:t>
      </w:r>
      <w:r>
        <w:rPr>
          <w:rStyle w:val="FootnoteAnchor"/>
          <w:rtl w:val="true"/>
        </w:rPr>
        <w:footnoteReference w:id="2"/>
      </w:r>
      <w:r>
        <w:rPr>
          <w:rFonts w:ascii="Amiri" w:hAnsi="Amiri" w:eastAsia="Amiri" w:cs="Amiri"/>
          <w:color w:val="111111"/>
          <w:sz w:val="28"/>
          <w:sz w:val="28"/>
          <w:szCs w:val="28"/>
          <w:rtl w:val="true"/>
          <w:lang w:bidi="ar-SA"/>
        </w:rPr>
        <w:t>الحكم بين الناس لرفع التنازع بينهم، بالشرائط الآتية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2354419_3650668749"/>
      <w:bookmarkStart w:id="16" w:name="_Toc6"/>
      <w:bookmarkEnd w:id="15"/>
      <w:r>
        <w:rPr>
          <w:rtl w:val="true"/>
        </w:rPr>
        <w:t>[</w:t>
      </w:r>
      <w:r>
        <w:rPr>
          <w:rtl w:val="true"/>
        </w:rPr>
        <w:t>القضاء</w:t>
      </w:r>
      <w:r>
        <w:rPr>
          <w:rtl w:val="true"/>
        </w:rPr>
        <w:t>]</w:t>
      </w:r>
      <w:bookmarkEnd w:id="16"/>
    </w:p>
    <w:p>
      <w:pPr>
        <w:pStyle w:val="Heading4"/>
        <w:numPr>
          <w:ilvl w:val="3"/>
          <w:numId w:val="1"/>
        </w:numPr>
        <w:rPr/>
      </w:pPr>
      <w:bookmarkStart w:id="17" w:name="__RefHeading___Toc2354421_3650668749"/>
      <w:bookmarkStart w:id="18" w:name="_Toc7"/>
      <w:bookmarkEnd w:id="17"/>
      <w:r>
        <w:rPr>
          <w:rtl w:val="true"/>
        </w:rPr>
        <w:t>معنى القضاء</w:t>
      </w:r>
      <w:bookmarkEnd w:id="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مصدراً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يقضي، قضاءً وقضياً</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يقضي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قضياً، وقضاءً، وقضية</w:t>
      </w:r>
      <w:r>
        <w:rPr>
          <w:rFonts w:eastAsia="Amiri" w:cs="Amiri" w:ascii="Amiri" w:hAnsi="Amiri"/>
          <w:color w:val="111111"/>
          <w:sz w:val="28"/>
          <w:szCs w:val="28"/>
          <w:rtl w:val="true"/>
          <w:lang w:bidi="ar-SA"/>
        </w:rPr>
        <w:t>»</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ذكروا في كتب اللغة له معاني متعدّدة، تزيد على العشرة، وعليه شواهد وأمثلة في القرآن وكلمات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ويقال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يَقْضِي بِالْحَقِ</w:t>
      </w:r>
      <w:r>
        <w:rPr>
          <w:rStyle w:val="FootnoteAnchor"/>
          <w:rtl w:val="true"/>
        </w:rPr>
        <w:footnoteReference w:id="5"/>
      </w:r>
      <w:r>
        <w:rPr>
          <w:rFonts w:ascii="Amiri" w:hAnsi="Amiri" w:eastAsia="Amiri" w:cs="Amiri"/>
          <w:color w:val="111111"/>
          <w:sz w:val="28"/>
          <w:sz w:val="28"/>
          <w:szCs w:val="28"/>
          <w:rtl w:val="true"/>
          <w:lang w:bidi="ar-SA"/>
        </w:rPr>
        <w:t>أي يحكم</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فَقَضَهُنَّ سَبْعَ سَمَوَاتٍ</w:t>
      </w:r>
      <w:r>
        <w:rPr>
          <w:rStyle w:val="FootnoteAnchor"/>
          <w:rtl w:val="true"/>
        </w:rPr>
        <w:footnoteReference w:id="6"/>
      </w:r>
      <w:r>
        <w:rPr>
          <w:rFonts w:ascii="Amiri" w:hAnsi="Amiri" w:eastAsia="Amiri" w:cs="Amiri"/>
          <w:color w:val="111111"/>
          <w:sz w:val="28"/>
          <w:sz w:val="28"/>
          <w:szCs w:val="28"/>
          <w:rtl w:val="true"/>
          <w:lang w:bidi="ar-SA"/>
        </w:rPr>
        <w:t>، أي خلقهنّ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الإتمام،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قَضَيْتُمْ مناسِكَكُمْ</w:t>
      </w:r>
      <w:r>
        <w:rPr>
          <w:rStyle w:val="FootnoteAnchor"/>
          <w:rtl w:val="true"/>
        </w:rPr>
        <w:footnoteReference w:id="7"/>
      </w:r>
      <w:r>
        <w:rPr>
          <w:rFonts w:ascii="Amiri" w:hAnsi="Amiri" w:eastAsia="Amiri" w:cs="Amiri"/>
          <w:color w:val="111111"/>
          <w:sz w:val="28"/>
          <w:sz w:val="28"/>
          <w:szCs w:val="28"/>
          <w:rtl w:val="true"/>
          <w:lang w:bidi="ar-SA"/>
        </w:rPr>
        <w:t>أي أتممتم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 رَبُّكَ ألا تَعْبُدُواْ إلا إيّاهُ</w:t>
      </w:r>
      <w:r>
        <w:rPr>
          <w:rStyle w:val="FootnoteAnchor"/>
          <w:rtl w:val="true"/>
        </w:rPr>
        <w:footnoteReference w:id="8"/>
      </w:r>
      <w:r>
        <w:rPr>
          <w:rFonts w:ascii="Amiri" w:hAnsi="Amiri" w:eastAsia="Amiri" w:cs="Amiri"/>
          <w:color w:val="111111"/>
          <w:sz w:val="28"/>
          <w:sz w:val="28"/>
          <w:szCs w:val="28"/>
          <w:rtl w:val="true"/>
          <w:lang w:bidi="ar-SA"/>
        </w:rPr>
        <w:t>أي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الحتم،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قضية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قَضَيْنَا عَلَيْهِ الْمَوْتَ</w:t>
      </w:r>
      <w:r>
        <w:rPr>
          <w:rStyle w:val="FootnoteAnchor"/>
          <w:rtl w:val="true"/>
        </w:rPr>
        <w:footnoteReference w:id="9"/>
      </w:r>
      <w:r>
        <w:rPr>
          <w:rFonts w:ascii="Amiri" w:hAnsi="Amiri" w:eastAsia="Amiri" w:cs="Amiri"/>
          <w:color w:val="111111"/>
          <w:sz w:val="28"/>
          <w:sz w:val="28"/>
          <w:szCs w:val="28"/>
          <w:rtl w:val="true"/>
          <w:lang w:bidi="ar-SA"/>
        </w:rPr>
        <w:t>، أي حتمنا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فَاقْضِ مَآ أنْتَ قَاضٍ</w:t>
      </w:r>
      <w:r>
        <w:rPr>
          <w:rStyle w:val="FootnoteAnchor"/>
          <w:rtl w:val="true"/>
        </w:rPr>
        <w:footnoteReference w:id="10"/>
      </w:r>
      <w:r>
        <w:rPr>
          <w:rFonts w:ascii="Amiri" w:hAnsi="Amiri" w:eastAsia="Amiri" w:cs="Amiri"/>
          <w:color w:val="111111"/>
          <w:sz w:val="28"/>
          <w:sz w:val="28"/>
          <w:szCs w:val="28"/>
          <w:rtl w:val="true"/>
          <w:lang w:bidi="ar-SA"/>
        </w:rPr>
        <w:t>، أي 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الفراغ،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قضية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الأمْرُ الّذِي فِيهِ تَسْتَفْتِيَانِ</w:t>
      </w:r>
      <w:r>
        <w:rPr>
          <w:rStyle w:val="FootnoteAnchor"/>
          <w:rtl w:val="true"/>
        </w:rPr>
        <w:footnoteReference w:id="11"/>
      </w:r>
      <w:r>
        <w:rPr>
          <w:rFonts w:ascii="Amiri" w:hAnsi="Amiri" w:eastAsia="Amiri" w:cs="Amiri"/>
          <w:color w:val="111111"/>
          <w:sz w:val="28"/>
          <w:sz w:val="28"/>
          <w:szCs w:val="28"/>
          <w:rtl w:val="true"/>
          <w:lang w:bidi="ar-SA"/>
        </w:rPr>
        <w:t>، أي فرغ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فَقَضى عَلَيْهِ</w:t>
      </w:r>
      <w:r>
        <w:rPr>
          <w:rStyle w:val="FootnoteAnchor"/>
          <w:rtl w:val="true"/>
        </w:rPr>
        <w:footnoteReference w:id="12"/>
      </w:r>
      <w:r>
        <w:rPr>
          <w:rFonts w:ascii="Amiri" w:hAnsi="Amiri" w:eastAsia="Amiri" w:cs="Amiri"/>
          <w:color w:val="111111"/>
          <w:sz w:val="28"/>
          <w:sz w:val="28"/>
          <w:szCs w:val="28"/>
          <w:rtl w:val="true"/>
          <w:lang w:bidi="ar-SA"/>
        </w:rPr>
        <w:t>، أي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الأداء،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صلاته</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xml:space="preserve">،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دينه</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أي أدّاه</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هل اللفظ حقيقة في الجميع، بأنّ وضع لكلّ واحد من المعاني مستقلًا فيكون اللفظ مشتركاً؟ أو وضع لمعنى جامع بين تلك المعاني، وهو الأحكام والإتقان والإنقاذ كما قيل ثمّ استعمل في جميع المعاني المذكورة لما فيها من الأحكام والإتقان؟ أو يكون حقيقة في أحدها، ومجازاً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حقيقة في الحكم فقط؟ وجوه، لا حاجة إلى إضاعة الوقت في تحقيقها؛ لأنّه</w:t>
      </w:r>
      <w:bookmarkStart w:id="19" w:name="pg1791_15256"/>
    </w:p>
    <w:p>
      <w:pPr>
        <w:pStyle w:val="BookText"/>
        <w:rPr/>
      </w:pPr>
      <w:bookmarkEnd w:id="19"/>
      <w:r>
        <w:rPr>
          <w:rFonts w:ascii="Amiri" w:hAnsi="Amiri" w:eastAsia="Amiri" w:cs="Amiri"/>
          <w:color w:val="111111"/>
          <w:sz w:val="28"/>
          <w:sz w:val="28"/>
          <w:szCs w:val="28"/>
          <w:rtl w:val="true"/>
          <w:lang w:bidi="ar-SA"/>
        </w:rPr>
        <w:t>مرتبط بفقه اللغة، وهو خارج عمّا نحن بصدده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المعلوم استعماله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معروف ومشهور، وهذا المقدار كافٍ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معنى القضاء لغة</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2354423_3650668749"/>
      <w:bookmarkStart w:id="21" w:name="_Toc8"/>
      <w:bookmarkEnd w:id="20"/>
      <w:r>
        <w:rPr>
          <w:rtl w:val="true"/>
        </w:rPr>
        <w:t>تحديد المعنى الاصطلاحي للقضاء</w:t>
      </w:r>
      <w:bookmarkEnd w:id="21"/>
    </w:p>
    <w:p>
      <w:pPr>
        <w:pStyle w:val="BookText"/>
        <w:rPr/>
      </w:pPr>
      <w:r>
        <w:rPr>
          <w:rFonts w:ascii="Amiri" w:hAnsi="Amiri" w:eastAsia="Amiri" w:cs="Amiri"/>
          <w:color w:val="111111"/>
          <w:sz w:val="28"/>
          <w:sz w:val="28"/>
          <w:szCs w:val="28"/>
          <w:rtl w:val="true"/>
          <w:lang w:bidi="ar-SA"/>
        </w:rPr>
        <w:t>وأمّا اصطلاحاً فقد عرّف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وهو أنّه ولاية الحكم شرعاً لمن له أهليه الفتوى بجزئيات القوانين الشرعية على أشخاص معيّنين من البرّية؛ بإثبات الحقوق واستيفائها للمستحقّ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ولاية شرعية على الحكم في المصالح العامّة من قبل الإمام</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السيّد الطباطبائي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الحكم بين الناس عند التنازع والتشاجر، ورفع الخصومة وفصل الأمر بينهم</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فصل الخصومة بين المتخاصمين؛ والحكم بثبوت دعوى المدّعى، أو بعدم حقّ له على المدّعى عليه</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الوسيلة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الحكم بين الناس لرفع</w:t>
      </w:r>
    </w:p>
    <w:p>
      <w:pPr>
        <w:pStyle w:val="BookText"/>
        <w:rPr/>
      </w:pPr>
      <w:r>
        <w:rPr>
          <w:rFonts w:ascii="Amiri" w:hAnsi="Amiri" w:eastAsia="Amiri" w:cs="Amiri"/>
          <w:color w:val="111111"/>
          <w:sz w:val="28"/>
          <w:sz w:val="28"/>
          <w:szCs w:val="28"/>
          <w:rtl w:val="true"/>
          <w:lang w:bidi="ar-SA"/>
        </w:rPr>
        <w:t>التنازع بينهم بالشرائط الآتية</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الحقيقة يشتمل التعريف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بين الناس وفصل 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المراد بذكرهم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العلم بعدم كون القضاء عبارة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أنّ القضاء الصحيح من المراتب، والمناصب، كالإمارة، وهو غصن من شجرة الرئاسة العامّة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وخلفائه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أخذ الولاية في المفهوم من جهة تصحيح إطلاق القاضي على من نصب للقضاء ولم يحكم بعد، ولم يفصل الخصومة، فإنّه على التعريف الثاني لا يصدق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الوجهين لا يوجبان أخذ الولاية في المفهوم؛ فإنّ كونه منصباً يعلم من احتياجه إلى النصب، والإذن، والتصحيح المذكور يتحقّق بإطلاق القضاء على الحرفة، لا الفعل الخارجي</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وجه لأخذ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التعريف، بل الولاية مصحّح ومجوّز للحكم وفصل الخصومة، فإنّه بعد نصبه وإعطاء الولاية له، يجوز له الحكم، ويكون حكمه نافذاً، فتكون الولاية من مصحّحات القضاء، لا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القضاء هي الحرفة لا الفعل وبهذا يرتفع محذور عدم التلبّس بالقضاء بعد أخذ المجوّز للقضاء كما أنّه لا بأس في القول</w:t>
      </w:r>
      <w:bookmarkStart w:id="22" w:name="pg1791_15260"/>
    </w:p>
    <w:p>
      <w:pPr>
        <w:pStyle w:val="BookText"/>
        <w:rPr/>
      </w:pPr>
      <w:bookmarkEnd w:id="22"/>
      <w:r>
        <w:rPr>
          <w:rFonts w:ascii="Amiri" w:hAnsi="Amiri" w:eastAsia="Amiri" w:cs="Amiri"/>
          <w:color w:val="111111"/>
          <w:sz w:val="28"/>
          <w:sz w:val="28"/>
          <w:szCs w:val="28"/>
          <w:rtl w:val="true"/>
          <w:lang w:bidi="ar-SA"/>
        </w:rPr>
        <w:t>بأنّ هذا هو الطبيب مع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يعالج أيّ مريض</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2354425_3650668749"/>
      <w:bookmarkStart w:id="24" w:name="_Toc9"/>
      <w:bookmarkEnd w:id="23"/>
      <w:r>
        <w:rPr>
          <w:rtl w:val="true"/>
        </w:rPr>
        <w:t>المختار في تعريف القضاء</w:t>
      </w:r>
      <w:bookmarkEnd w:id="24"/>
    </w:p>
    <w:p>
      <w:pPr>
        <w:pStyle w:val="BookText"/>
        <w:rPr/>
      </w:pPr>
      <w:r>
        <w:rPr>
          <w:rFonts w:ascii="Amiri" w:hAnsi="Amiri" w:eastAsia="Amiri" w:cs="Amiri"/>
          <w:color w:val="111111"/>
          <w:sz w:val="28"/>
          <w:sz w:val="28"/>
          <w:szCs w:val="28"/>
          <w:rtl w:val="true"/>
          <w:lang w:bidi="ar-SA"/>
        </w:rPr>
        <w:t xml:space="preserve">فالتعريف الصحيح للقضاء يتحقّق بالأمر الثاني،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 تكملة بإضافة ما يعد من شؤون القاضي، سواء كان غاية للحكم كإثبات حقّ، أو نفيه، أو إجراء الحدود والتعزيرات، أو ما يعدّ من مصالح المسلمين، كالحكم بالهلال، والنسب، أو ما هو من مقدّمات الحكم، مثل ملاحقة المجرم، وجلبه إلى المحكمة، وإحضار الشهود وتوقيف الأموال، أو الحكم بجمع القرائن والشواهد وغيرها</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2354427_3650668749"/>
      <w:bookmarkStart w:id="26" w:name="_Toc10"/>
      <w:bookmarkEnd w:id="25"/>
      <w:r>
        <w:rPr>
          <w:rtl w:val="true"/>
        </w:rPr>
        <w:t>آثار حكم القاضي‌</w:t>
      </w:r>
      <w:bookmarkEnd w:id="26"/>
    </w:p>
    <w:p>
      <w:pPr>
        <w:pStyle w:val="BookText"/>
        <w:rPr/>
      </w:pPr>
      <w:r>
        <w:rPr>
          <w:rFonts w:ascii="Amiri" w:hAnsi="Amiri" w:eastAsia="Amiri" w:cs="Amiri"/>
          <w:color w:val="111111"/>
          <w:sz w:val="28"/>
          <w:sz w:val="28"/>
          <w:szCs w:val="28"/>
          <w:rtl w:val="true"/>
          <w:lang w:bidi="ar-SA"/>
        </w:rPr>
        <w:t>ثمّ إنّ الحكم الصادر من القاضي له آثار وأحكام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نقضه من القاضي الآخر إلا في موارد خاصّة ستأتي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نافذاً في حقّ الكلّ حتّى المجتهد الآخر المخالف له في اجتهاده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ضمانه لو ظهر خطأه لو لم يكن مقصّراً، بل تدارك الضرر، يكون على بيت المال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قلناه من عدم جواز نقض حكم القاضي، مبنيّ على كون القاضي مجتهداً مطلقاً، ويقضي مستنداً إلى نصبه العامّ في زمن الغيبة من قبل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لم يكن القاضي مجتهداً، أو كان، ولكنّه في زمن قيام الحكومة الإسلامية مع زعامة ولاية وليّ الأمر، بحيث يحتاج القضاء إلى الإذن منه، فيكون حكمه تابعاً لما يؤذن فيه، فإنّه قد يؤذن له في أن يقضي في الحقوق المدنيّة، دون</w:t>
      </w:r>
      <w:bookmarkStart w:id="27" w:name="pg1791_15262"/>
    </w:p>
    <w:p>
      <w:pPr>
        <w:pStyle w:val="BookText"/>
        <w:rPr/>
      </w:pPr>
      <w:bookmarkEnd w:id="27"/>
      <w:r>
        <w:rPr>
          <w:rFonts w:ascii="Amiri" w:hAnsi="Amiri" w:eastAsia="Amiri" w:cs="Amiri"/>
          <w:color w:val="111111"/>
          <w:sz w:val="28"/>
          <w:sz w:val="28"/>
          <w:szCs w:val="28"/>
          <w:rtl w:val="true"/>
          <w:lang w:bidi="ar-SA"/>
        </w:rPr>
        <w:t xml:space="preserve">ومنصب القضاء من المناصب الجليلة، الثابتة من قبل الله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قبله للأئمّة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قبلهم للفقيه الجامع للشرائط الآتية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الجنائيّة، أو بالعكس، أو ينصبه للمحكمة البدويّة، أو الاستئنافيّة، وكذا يؤذن له في القضاء بكيفيّة خاصّة مدوّنة، بأن يقضي، ولكن إن اعترض المحكوم عليه خلال مدّة معيّنة ترفع القضيّة إلى محكمة الاستئناف، وربما ينقض حكمه في هذه المحكمة</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2354429_3650668749"/>
      <w:bookmarkStart w:id="29" w:name="_Toc11"/>
      <w:bookmarkEnd w:id="28"/>
      <w:r>
        <w:rPr>
          <w:rtl w:val="true"/>
        </w:rPr>
        <w:t>الفرق بين الفتوى والحكم‌</w:t>
      </w:r>
      <w:bookmarkEnd w:id="29"/>
    </w:p>
    <w:p>
      <w:pPr>
        <w:pStyle w:val="BookText"/>
        <w:rPr/>
      </w:pPr>
      <w:r>
        <w:rPr>
          <w:rFonts w:ascii="Amiri" w:hAnsi="Amiri" w:eastAsia="Amiri" w:cs="Amiri"/>
          <w:color w:val="111111"/>
          <w:sz w:val="28"/>
          <w:sz w:val="28"/>
          <w:szCs w:val="28"/>
          <w:rtl w:val="true"/>
          <w:lang w:bidi="ar-SA"/>
        </w:rPr>
        <w:t>ثمّ إنّ الفرق بين الفتوى وحكم القاضي، هو أنّ الفتوى إخبار عن الحكم الكلّي الإلهي، وهي حجّة على نفس المفتي، ومن قلّده، وأمّا القضاء فهو إنشاء حكم جزئي في مورد خاصّ، مثل أن يحكم بأنّ المال الكذائي لزيد، وهذه المرأة زوجة فلان، ويكون حكمه نافذاً على نفسه وعلى غيره ولو كان مجتهداً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ولاية أحد على الآخر أو عدم نفوذ حكم شخص على الآخر، إلا أن تثبت الولاية أو حجّية الحكم بدليل؛ من غير فرق بين كون القضاء ولاية على الأشخاص، أو حكماً نافذاً في حقّهم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يستفاد من القرآن الكريم عدم جواز القضاء لمن ليس أهلًا له، ولم يكن مأذوناً، كما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دَاوُودُ إِنَّا جَعَلْنَاكَ خَلِيفَةً فِى الأرْضِ فَاحْكُمْ بَيْنَ النَّاسِ بِالْحَقِ</w:t>
      </w:r>
      <w:r>
        <w:rPr>
          <w:rStyle w:val="FootnoteAnchor"/>
          <w:rtl w:val="true"/>
        </w:rPr>
        <w:footnoteReference w:id="22"/>
      </w:r>
      <w:r>
        <w:rPr>
          <w:rFonts w:ascii="Amiri" w:hAnsi="Amiri" w:eastAsia="Amiri" w:cs="Amiri"/>
          <w:color w:val="111111"/>
          <w:sz w:val="28"/>
          <w:sz w:val="28"/>
          <w:szCs w:val="28"/>
          <w:rtl w:val="true"/>
          <w:lang w:bidi="ar-SA"/>
        </w:rPr>
        <w:t>فإنّ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الحظر، ولذا يدلّ</w:t>
      </w:r>
      <w:bookmarkStart w:id="30" w:name="pg1791_15264"/>
    </w:p>
    <w:p>
      <w:pPr>
        <w:pStyle w:val="BookText"/>
        <w:rPr/>
      </w:pPr>
      <w:bookmarkEnd w:id="30"/>
      <w:r>
        <w:rPr>
          <w:rFonts w:ascii="Amiri" w:hAnsi="Amiri" w:eastAsia="Amiri" w:cs="Amiri"/>
          <w:color w:val="111111"/>
          <w:sz w:val="28"/>
          <w:sz w:val="28"/>
          <w:szCs w:val="28"/>
          <w:rtl w:val="true"/>
          <w:lang w:bidi="ar-SA"/>
        </w:rPr>
        <w:t>الأمر بالحكم على الجواز وجواز الحكم متفرّع على جعل الخليفة، فيستفاد منه أنّه مع انتفاء جعل الخليفة يرتفع الجواز؛ يعني أنّه لا يجوز لمن ليس بخليفة من قبل الله عزّ وجلّ أن يحكم، فالقضاء الصحيح يحتاج إلى الإذن، وإعطاء منصب القضاء إنّما يكون ممّن له أن يأذن وله إعطاء المنصب، وهو الله عزّ وجلّ فإنّه الخالق والمالك على الإطلاق، وهو الربّ والمدبّر، كما جاء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لَهُ الْحُكْمُ وَهُوَ أسْرَعُ الْحاسِبينَ</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إِلا للهِ يَقُصُّ الْحَقَّ وَهُوَ خَيْرُ الْفَاصِلِينَ</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فَاطِرَ السَّمَوَاتِ وَالأَرْضِ عَالِمَ الْغَيْبِ وَالشَّهَادَةِ</w:t>
      </w:r>
      <w:r>
        <w:rPr>
          <w:rStyle w:val="FootnoteAnchor"/>
          <w:rtl w:val="true"/>
        </w:rPr>
        <w:footnoteReference w:id="25"/>
      </w:r>
      <w:r>
        <w:rPr>
          <w:rFonts w:ascii="Amiri" w:hAnsi="Amiri" w:eastAsia="Amiri" w:cs="Amiri"/>
          <w:color w:val="111111"/>
          <w:sz w:val="28"/>
          <w:sz w:val="28"/>
          <w:szCs w:val="28"/>
          <w:rtl w:val="true"/>
          <w:lang w:bidi="ar-SA"/>
        </w:rPr>
        <w:t>وكقوله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تَحْكُمُ بَيْنَ عِبَادِكَ فِيمَا كَانُوا فِيهِ يَخْتَلِفُونَ</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ولذلك لا يجوز للناس في بلد أن يجتمعوا وينتخبوا قاضياً لبلدهم لأنّهم عبيد ومملوكون ولا يكون لهم ولاية، حتّى يعطوا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لهم انتخاب رجل لرئاسة البلد وإدارة شؤون الدولة، أو انتخاب نائب لمجلس الشورى مثلًا، وأمّا انتخاب رجل يكون حكمه نافذاً في حقّ الكلّ، فلا</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2354431_3650668749"/>
      <w:bookmarkStart w:id="32" w:name="_Toc12"/>
      <w:bookmarkEnd w:id="31"/>
      <w:r>
        <w:rPr>
          <w:rtl w:val="true"/>
        </w:rPr>
        <w:t xml:space="preserve">ثبوت الرئاسة العامّة للنبيّ </w:t>
      </w:r>
      <w:r>
        <w:rPr>
          <w:rtl w:val="true"/>
        </w:rPr>
        <w:t>(</w:t>
      </w:r>
      <w:r>
        <w:rPr>
          <w:rtl w:val="true"/>
        </w:rPr>
        <w:t>ص</w:t>
      </w:r>
      <w:r>
        <w:rPr>
          <w:rtl w:val="true"/>
        </w:rPr>
        <w:t xml:space="preserve">) </w:t>
      </w:r>
      <w:r>
        <w:rPr>
          <w:rtl w:val="true"/>
        </w:rPr>
        <w:t xml:space="preserve">والأئمّة </w:t>
      </w:r>
      <w:r>
        <w:rPr>
          <w:rtl w:val="true"/>
        </w:rPr>
        <w:t>(</w:t>
      </w:r>
      <w:r>
        <w:rPr>
          <w:rtl w:val="true"/>
        </w:rPr>
        <w:t>عليهم السلام</w:t>
      </w:r>
      <w:r>
        <w:rPr>
          <w:rtl w:val="true"/>
        </w:rPr>
        <w:t>)</w:t>
      </w:r>
      <w:bookmarkEnd w:id="32"/>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جعل الخليفة في الآية الشريفة يراد به إعطاء منصب خلافة الله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الرئاسة العامّة، والقضاء غصن من هذه الشجرة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يستفاد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إعطاء هذا المنصب أيضاً؛ فإنّ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يقوم مقام المنوب عنه، ويفعل فعله، فتصير جميع صلاحياته هي عين صلاحيات الأصيل، فكما أنّ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يحكم بين عباده فلخليفته أيضاً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الله عزّ وجلّ مخاطباً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إِلَيْكَ الْكِتَابَ بِالْحَقِّ لِتَحْكُمَ بَيْنَ النَّاسِ بِمَا أرَاكَ اللهُ</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هذه الآيات يستفاد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لنبيّه الأكرم أن يحكم بين الناس، وأعطاه هذا المنصب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وبمقتضى الوصاية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والإمامة للأئمّة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لهم ما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الولاية، والرئاسة العامّة؛ ومنها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فقد أوكل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القضاء في زمن حياته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بالقضاء، وقال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xml:space="preserve">كما تولّي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القضاء بعد زمن الرسول في زمن الخلفاء وفي حكومته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يستفاد ثبوت هذا المنصب لهم من الروايات</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جلست مجلساً لا يجلسه إلا نبيّ أو وصيّ نبيّ، أو شقيّ</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bookmarkStart w:id="33" w:name="pg1791_15267"/>
    </w:p>
    <w:p>
      <w:pPr>
        <w:pStyle w:val="BookText"/>
        <w:rPr/>
      </w:pPr>
      <w:bookmarkEnd w:id="33"/>
      <w:r>
        <w:rPr>
          <w:rFonts w:ascii="Amiri" w:hAnsi="Amiri" w:eastAsia="Amiri" w:cs="Amiri"/>
          <w:color w:val="111111"/>
          <w:sz w:val="28"/>
          <w:sz w:val="28"/>
          <w:szCs w:val="28"/>
          <w:rtl w:val="true"/>
          <w:lang w:bidi="ar-SA"/>
        </w:rPr>
        <w:t xml:space="preserve">وعن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الحكومة، إنّما هي للإمام العالم بالقضاء، العادل في المسلمين، لنبيّ، أو وصيّ نبيّ</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 w:name="__RefHeading___Toc2354433_3650668749"/>
      <w:bookmarkStart w:id="35" w:name="_Toc13"/>
      <w:bookmarkEnd w:id="34"/>
      <w:r>
        <w:rPr>
          <w:rtl w:val="true"/>
        </w:rPr>
        <w:t xml:space="preserve">ملاحظة تطبيقي فيما قال به السيّد الإمام </w:t>
      </w:r>
      <w:r>
        <w:rPr>
          <w:rtl w:val="true"/>
        </w:rPr>
        <w:t>(</w:t>
      </w:r>
      <w:r>
        <w:rPr>
          <w:rtl w:val="true"/>
        </w:rPr>
        <w:t>ره</w:t>
      </w:r>
      <w:r>
        <w:rPr>
          <w:rtl w:val="true"/>
        </w:rPr>
        <w:t xml:space="preserve">) </w:t>
      </w:r>
      <w:r>
        <w:rPr>
          <w:rtl w:val="true"/>
        </w:rPr>
        <w:t>وبعض الفقهاء</w:t>
      </w:r>
      <w:bookmarkEnd w:id="35"/>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 ثبت أنّ القضاء حقّ لنبيّ أو وصيّ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هنا نقطة لا بدّ من ملاحظتها؛ وهو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ومنصب القضاء من المناصب الجليلة، الثابتة من قبل الله تعالى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قبله للأئمّة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بعض الفقهاء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أيضاً قاضي من قبل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السيّد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مقرون بالصواب لأنّ إمام المعصوم هو الوصيّ والوصيّ يعمل بما كان يعمل الموصيّ فالإمام يأخذ الامور والمناصب،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الله يعطي الاختيار إلى الإمام لا مستقيماً، بل بواسطة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2354435_3650668749"/>
      <w:bookmarkStart w:id="37" w:name="_Toc14"/>
      <w:bookmarkEnd w:id="36"/>
      <w:r>
        <w:rPr>
          <w:rtl w:val="true"/>
        </w:rPr>
        <w:t>دليل ثبوت القضاء للفقهاء والمجتهدين‌</w:t>
      </w:r>
      <w:bookmarkEnd w:id="37"/>
    </w:p>
    <w:p>
      <w:pPr>
        <w:pStyle w:val="BookText"/>
        <w:rPr/>
      </w:pPr>
      <w:r>
        <w:rPr>
          <w:rFonts w:ascii="Amiri" w:hAnsi="Amiri" w:eastAsia="Amiri" w:cs="Amiri"/>
          <w:color w:val="111111"/>
          <w:sz w:val="28"/>
          <w:sz w:val="28"/>
          <w:szCs w:val="28"/>
          <w:rtl w:val="true"/>
          <w:lang w:bidi="ar-SA"/>
        </w:rPr>
        <w:t>وأمّا لثبوت هذا المنصب للفقهاء والمجتهدين، فهناك روايات دالّة على نصبهم للقضاء بنحو عامّ، فإنّ النصب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وعامّ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النصب الخاصّ؛ فهو نصب شخص خاصّ للقضاء، كنصب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الأسود وغيره للقضاء، ولا بأس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النصب العامّ؛ فهو أن ينصب كلّ من كان واجداً لصفات خاصّة، فكلّ من هو واجد للصفات، فهو منصوب؛ فالفقهاء منصوبون بنصب عامّ، بدلالة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مقبولة عمر بن حنظلة قال 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رجلين من أصحابنا بينهما منازعة في دين أو ميراث، فتحا كما إلى السلطان، وإلى القضاة، أيحِلُّ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يصنعان؟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ينظران من كان منكم ممّن قد روي حديثنا، ونظر في حلالنا وحرامنا، وعرف أحكامنا، فليرضوا به حكماً فإنّي قد جعلته عليكم حاكماً</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أبي خديجة،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نهيهم عن المراجعة إلى حكّام الجور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اجعلوا بينكم رجلًا قد عرف حلالنا وحرامنا، فإنّي قد جعلته عليكم قاضياً</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فيستفاد منهما أنّ من كان واجداً للصفات المذكورة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راوياً لأحاديثهم وناظراً وباحثاً في حلالهم وحرامهم وعارفاً فقيهاً 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منصوب منهم للحكومة والقضاء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والمستفاد منهما إعطاء المنصب والإذن في إعمال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وهذا هو النصب العامّ، كما تقدّم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القضاء منصب إلهي أعطاه الله عزّ وجلّ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يقضي بما أنّه خليفة الله على الأرض، أو ينصب أشخاصاً</w:t>
      </w:r>
      <w:bookmarkStart w:id="38" w:name="pg1791_15271"/>
    </w:p>
    <w:p>
      <w:pPr>
        <w:pStyle w:val="BookText"/>
        <w:rPr/>
      </w:pPr>
      <w:bookmarkEnd w:id="38"/>
      <w:r>
        <w:rPr>
          <w:rFonts w:ascii="Amiri" w:hAnsi="Amiri" w:eastAsia="Amiri" w:cs="Amiri"/>
          <w:color w:val="111111"/>
          <w:sz w:val="28"/>
          <w:sz w:val="28"/>
          <w:szCs w:val="28"/>
          <w:rtl w:val="true"/>
          <w:lang w:bidi="ar-SA"/>
        </w:rPr>
        <w:t xml:space="preserve">لذلك؛ ثمّ 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فكلّ واحد منهم بما أنّه 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فوّض إليه ما كان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الفقهاء بما هم نوّاب إمام العصر، لهم القضاء بين الناس أو نصب القاضي، فهم منصوبون لذلك بالنصب العامّ</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2354437_3650668749"/>
      <w:bookmarkStart w:id="40" w:name="_Toc15"/>
      <w:bookmarkEnd w:id="39"/>
      <w:r>
        <w:rPr>
          <w:rtl w:val="true"/>
        </w:rPr>
        <w:t>الوجه في نصب الفقهاء بالنصب العامّ‌</w:t>
      </w:r>
      <w:bookmarkEnd w:id="40"/>
    </w:p>
    <w:p>
      <w:pPr>
        <w:pStyle w:val="BookText"/>
        <w:rPr/>
      </w:pPr>
      <w:r>
        <w:rPr>
          <w:rFonts w:ascii="Amiri" w:hAnsi="Amiri" w:eastAsia="Amiri" w:cs="Amiri"/>
          <w:color w:val="111111"/>
          <w:sz w:val="28"/>
          <w:sz w:val="28"/>
          <w:szCs w:val="28"/>
          <w:rtl w:val="true"/>
          <w:lang w:bidi="ar-SA"/>
        </w:rPr>
        <w:t>بقي هنا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ما الوجه في نصب الفقهاء للقضاء بنحو النصب العامّ مع أنّه لا يشابهه نصب؛ في أيّة مسؤولية ومنصب ومقام من المسؤوليات المدنية أو العسكرية؟</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نهوا الشيعة ومتابعيهم، عن الرجوع إلى قضاة الجور، والمنصوبين من قبل الخلفاء الغاصبين والظلمة، ومنعوهم من التحاكم إليهم بأشدّ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ورد في مقبولة عمر بن حنظلة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تحاكم إليهم في حقّ أو باطل فإنّما تحاكم إلى الطاغوت، وما يحكم له فإنّما يأخذ سحتاً، وإن كان حقّاً ثابتاً له، لأنّه أخذه بحكم الطاغوت، وما أمر الله أن يكفر به</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وكما في صحيحة أبي خديجة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إذا وقعت بينكم خصومة أو تداري في شي‌ء من الأخذ والعطاء، أن تحاكموا إلى أحد من هؤلاء الفسّاق</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بدّ حينئذٍ من تعيين بديل لهم؛ فإنّ التنازع والتشاجر، أمر طبيعي، يتّفق</w:t>
      </w:r>
      <w:bookmarkStart w:id="41" w:name="pg1791_15273"/>
    </w:p>
    <w:p>
      <w:pPr>
        <w:pStyle w:val="BookText"/>
        <w:rPr/>
      </w:pPr>
      <w:bookmarkEnd w:id="41"/>
      <w:r>
        <w:rPr>
          <w:rFonts w:ascii="Amiri" w:hAnsi="Amiri" w:eastAsia="Amiri" w:cs="Amiri"/>
          <w:color w:val="111111"/>
          <w:sz w:val="28"/>
          <w:sz w:val="28"/>
          <w:szCs w:val="28"/>
          <w:rtl w:val="true"/>
          <w:lang w:bidi="ar-SA"/>
        </w:rPr>
        <w:t xml:space="preserve">بينهم كثيراً ولا مخلّص لهم عنه، واللازم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إرائة الطريق وهدايتهم إلى بديل يراجعونه لرفع التنازع، وفصل الخصومة، ولا يمكن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أشخاص محدّدين لذلك؛ فإنّهم يصيرون حينئذٍ معروفين ومشخّصين عند الخلفاء ومورداً للبغض والأخذ والحبس والقتل بلا شبهة، فالأئمّة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نصبوا بالنصب العامّ من كان واجداً لصفات خاصّة وجعلوه قاضياً، فالواجد للصفات لم يكن معيّناً ومشخّصاً، حتّى يلاحق من قبل خلفاء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مراجعة الشيعة إليهم كانت سهلة أيضاً؛ من جهة كونهم متفرّقين في بلاد الشيعة وقراهم، وكان الوصول إليهم سهلًا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تامّ في زمن الغيبة وعدم حضور إمام العصر وعدم قيام الحكومة بقيادة فقيه عادل، يرفع المشكل عن الشيعة</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2354439_3650668749"/>
      <w:bookmarkStart w:id="43" w:name="_Toc16"/>
      <w:bookmarkEnd w:id="42"/>
      <w:r>
        <w:rPr>
          <w:rtl w:val="true"/>
        </w:rPr>
        <w:t>عدم جواز استقلال القاضي بالقضاء عند قيام الحكومة الإسلامية</w:t>
      </w:r>
      <w:bookmarkEnd w:id="4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قامت الحكومة الإسلامية وكان في رأسها فقيه عادل اوكلت إليه قيادة الامّة، وزمام امور المسلمين، وإدارة شؤونهم؛ فهل لكلّ من كان واجداً للأوصاف ومشمولًا بالنصب العامّ، الجلوس في دكّة القضاء للحكم بين الناس؟ وإنّ لكلّ واحد منهم التصدّي للقضاء في نقطة خاصّة، أو لا؟ لأنّه لا يصحّ هذا للفقهاء الواجدين للصفات والمشمولين بنصب القضاة عامّاً؟ بأنّه يوجب الفوضي واختلال النظم في المجتمع؛ وهذا ما نعلم بعدم رضى الشارع الأقدس به فإنّ الشارع المقدّس إنّما أوجب إقامة الحكومة الشرعية لرفع الفوضي واختلال النظام؛ فكيف يرضى بأمر يوجب ذلك بعد إقامة الحكومة؟ أليس هذا إلا نقضاً لغرض الشارع؟</w:t>
      </w:r>
      <w:bookmarkStart w:id="44" w:name="pg1791_15275"/>
    </w:p>
    <w:p>
      <w:pPr>
        <w:pStyle w:val="BookText"/>
        <w:rPr/>
      </w:pPr>
      <w:bookmarkEnd w:id="44"/>
      <w:r>
        <w:rPr>
          <w:rFonts w:ascii="Amiri" w:hAnsi="Amiri" w:eastAsia="Amiri" w:cs="Amiri"/>
          <w:color w:val="111111"/>
          <w:sz w:val="28"/>
          <w:sz w:val="28"/>
          <w:szCs w:val="28"/>
          <w:rtl w:val="true"/>
          <w:lang w:bidi="ar-SA"/>
        </w:rPr>
        <w:t>وهذا يوجب تقييد إطلاق أدلّة النصب وصرفها إلى زمن لم تتحقّق فيه الحكومة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القدر المتيقّن من الأدلّة هو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جواز القضاء لهم ليس من جهة وجود نقص فيهم، لعدم أهليتهم، بل لوجود المانع وهو استلزامه الفوضي والهرج والمرج والاختلال في 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يصحّ لهم القضاء مع إذن الوليّ الفقيه؛ فإنّ الفقيه الذي قام بالأمر، له ولاية مطلقة فوّضها إليه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له تمام ما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أدلّة ولاية الفقيه، ومنها القضاء بنفسه بالمباشرة أو بنصب من يتصدّى للقضاء ولو كان مجتهداً آخر</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2354441_3650668749"/>
      <w:bookmarkStart w:id="46" w:name="_Toc17"/>
      <w:bookmarkEnd w:id="45"/>
      <w:r>
        <w:rPr>
          <w:rtl w:val="true"/>
        </w:rPr>
        <w:t>كلام تطبيقي مع دستور الجمهورية الإسلامية في إيران‌</w:t>
      </w:r>
      <w:bookmarkEnd w:id="46"/>
    </w:p>
    <w:p>
      <w:pPr>
        <w:pStyle w:val="BookText"/>
        <w:rPr/>
      </w:pPr>
      <w:r>
        <w:rPr>
          <w:rFonts w:ascii="Amiri" w:hAnsi="Amiri" w:eastAsia="Amiri" w:cs="Amiri"/>
          <w:color w:val="111111"/>
          <w:sz w:val="28"/>
          <w:sz w:val="28"/>
          <w:szCs w:val="28"/>
          <w:rtl w:val="true"/>
          <w:lang w:bidi="ar-SA"/>
        </w:rPr>
        <w:t>وبناء على هذا الأساس والمبنى الصحيح الفقهي الحقّ، جاء في مادّة الخامسة من دستور الجمهورية الإسلامية في إيران</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المدوّن من قبل مجلس الخبراء المتشكّل من جمع من المجتهدين والعلماء قديماً وحديثاً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ولاية الأمر وإمامة الامّة في زمن غيبة حضرة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للفقيه العادل الواجد لصفات خاصّة مذكورة فيه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جاء أنّ طريق انتخابه سيأتي في المادّة سبع ومأة</w:t>
      </w:r>
      <w:r>
        <w:rPr>
          <w:rStyle w:val="FootnoteAnchor"/>
          <w:rtl w:val="true"/>
        </w:rPr>
        <w:footnoteReference w:id="38"/>
      </w:r>
      <w:r>
        <w:rPr>
          <w:rFonts w:ascii="Amiri" w:hAnsi="Amiri" w:eastAsia="Amiri" w:cs="Amiri"/>
          <w:color w:val="111111"/>
          <w:sz w:val="28"/>
          <w:sz w:val="28"/>
          <w:szCs w:val="28"/>
          <w:rtl w:val="true"/>
          <w:lang w:bidi="ar-SA"/>
        </w:rPr>
        <w:t>وقد ورد ذيلها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خطره عظيم، وقد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القاضي على شفير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شريح قد جلست مجلساً لا يجلسه إلا نبيّ أو وصيّ نبيّ أو شقيّ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الحكومة، فإنّ الحكومة إنّما هي للإمام العالم بالقضاء العادل في المسلمين؛ لنبيّ أو وصيّ 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حكم في درهمين بغير 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القاضي بين جمرتين من نار حتّى يقضي بين الناس؛ فإمّا في الجنّة، وإمّا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انتخب من هذا الطريق يتعيّن للولاية العامّة وعلى عهدته زعامة الامّة وإمامتهم، وجميع مسؤوليات مقام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حيث لا تبقى له فرصة لأن يقضي بين الناس؛ فعليه أن يعيّن مجتهدين عدولًا لإدارة أمر القضاء ورئاسة السلطة القضائية، فبيده نصب القضاة وعزلهم وارتقائهم ونقلهم من محلّ إلى محلّ آخر وغير ذلك، ممّا هو مبيّن في وظائفه؛ فمن عينه للقضاء فهو قاض ومنصوب ومأذون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جانب إمام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يلزم كونهم مجتهدين؟ أو يجوز أن ينصب غير المجتهدين؟ فيه كلام يأتي إن شاء الله تعالى</w:t>
      </w:r>
      <w:r>
        <w:rPr>
          <w:rFonts w:eastAsia="Amiri" w:cs="Amiri" w:ascii="Amiri" w:hAnsi="Amiri"/>
          <w:color w:val="111111"/>
          <w:sz w:val="28"/>
          <w:szCs w:val="28"/>
          <w:rtl w:val="true"/>
          <w:lang w:bidi="ar-SA"/>
        </w:rPr>
        <w:t>.</w:t>
      </w:r>
      <w:bookmarkStart w:id="47" w:name="pg1791_15279"/>
    </w:p>
    <w:p>
      <w:pPr>
        <w:pStyle w:val="BookText"/>
        <w:rPr/>
      </w:pPr>
      <w:bookmarkEnd w:id="47"/>
      <w:r>
        <w:rPr>
          <w:rFonts w:ascii="Amiri" w:hAnsi="Amiri" w:eastAsia="Amiri" w:cs="Amiri"/>
          <w:color w:val="111111"/>
          <w:sz w:val="28"/>
          <w:sz w:val="28"/>
          <w:szCs w:val="28"/>
          <w:rtl w:val="true"/>
          <w:lang w:bidi="ar-SA"/>
        </w:rPr>
        <w:t xml:space="preserve">وعن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القضاة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في النار وواحد في الجنّة، رجل قضى بجور وهو يعلم فهو في النار، ورجل قضى بجور وهو لا يعلم فهو في النار، ورجل قضى بالحقّ وهو لا يعلم فهو في النار، ورجل قضى بالحقّ وهو يعلم فهو في الجنّة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2354443_3650668749"/>
      <w:bookmarkStart w:id="49" w:name="_Toc18"/>
      <w:bookmarkEnd w:id="48"/>
      <w:r>
        <w:rPr>
          <w:rtl w:val="true"/>
        </w:rPr>
        <w:t>الروايات الواردة في القضاء نفياً وإثباتاً</w:t>
      </w:r>
      <w:bookmarkEnd w:id="49"/>
    </w:p>
    <w:p>
      <w:pPr>
        <w:pStyle w:val="Heading5"/>
        <w:numPr>
          <w:ilvl w:val="4"/>
          <w:numId w:val="1"/>
        </w:numPr>
        <w:rPr/>
      </w:pPr>
      <w:bookmarkStart w:id="50" w:name="__RefHeading___Toc2354445_3650668749"/>
      <w:bookmarkStart w:id="51" w:name="_Toc19"/>
      <w:bookmarkEnd w:id="50"/>
      <w:r>
        <w:rPr>
          <w:rtl w:val="true"/>
        </w:rPr>
        <w:t>اشارة</w:t>
      </w:r>
      <w:bookmarkEnd w:id="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وردت في هذا الباب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دلّت على ترغيب الناس في القضاء بذكر ما يترتّب عليه من الثواب والأجر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دلّت على ترهيبهم من القضاء وتحذيرهم من تصدّيه بذكر أشدّ العذاب وما يترتّب عليه من العقوبات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القسم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عبدالرحمان بن الحجّاج،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 الأرْضَ بَعْدَ مَوْتِهَآ</w:t>
      </w:r>
      <w:r>
        <w:rPr>
          <w:rStyle w:val="FootnoteAnchor"/>
          <w:rtl w:val="true"/>
        </w:rPr>
        <w:footnoteReference w:id="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يحييها بالقطر، ولكن يبعث الله رجالًا فيحيون العدل، فتحيى الأرض لإحياء العدل</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سلمة بن كهيل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والتضجّر والتأذّي في مجلس القضاء، الذي أوجب الله فيه‌الأجر، ويحسن فيه الذخر لمن قضى بالحقّ</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 فوق رأس الحاكم ترفرف بالرحمة، فإذا حاف وكّله الله إلى نفسه</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معقل بن يسار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 القاضي ما لم يحف عمداً</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 القاضي ما لم يجر، فإذا جار تخلّي عنه ولزمه الشيطان</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مسعود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أجلس يوماً فاقضي بين الناس أحبّ إليّ من عبادة سنة</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القسم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جعل قاضياً فقد ذبح بغير سكّين</w:t>
      </w:r>
      <w:r>
        <w:rPr>
          <w:rFonts w:eastAsia="Amiri" w:cs="Amiri" w:ascii="Amiri" w:hAnsi="Amiri"/>
          <w:color w:val="111111"/>
          <w:sz w:val="28"/>
          <w:szCs w:val="28"/>
          <w:rtl w:val="true"/>
          <w:lang w:bidi="ar-SA"/>
        </w:rPr>
        <w:t>»</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وما الذبح قال نار جهنّم</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حكم في درهمين بغير ما أنزل الله عزّ وجلّ فهو كافر بالله العظيم</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bookmarkStart w:id="52" w:name="pg1791_15283"/>
    </w:p>
    <w:p>
      <w:pPr>
        <w:pStyle w:val="BookText"/>
        <w:rPr/>
      </w:pPr>
      <w:bookmarkEnd w:id="52"/>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قاض قضى بين اثنين فأخطأ سقط أبعد من السماء</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النواويس شكت إلى الله عزّ وجلّ شدّة حرّها، فقال لها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اسكني فإنّ مواضع القضاة أشدّ حرّاً منك</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الهامش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النواويس موضع جهنّم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القاضي بين جمرتين من نار حتّى يقضي بين الناس، فإمّا إلى الجنّة، وإمّا إلى النار</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وردت من طرق العامّة أيضاً روايات مرهبة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يؤتي بالقاضي العدل يوم القيامة فيلقي من شدّة الحساب ما يتمنّى أنّه لم يقض بين اثنين في تمرة قطّ</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 w:name="__RefHeading___Toc2354447_3650668749"/>
      <w:bookmarkStart w:id="54" w:name="_Toc20"/>
      <w:bookmarkEnd w:id="53"/>
      <w:r>
        <w:rPr>
          <w:rtl w:val="true"/>
        </w:rPr>
        <w:t>الجمع بين الطائفتين من الروايات‌</w:t>
      </w:r>
      <w:bookmarkEnd w:id="5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الجمع بين القسمين من الروايات أنّ الواجد للشروط المعيّنة في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 والعدالة والتقوى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إطمأنّ بقضائه بالعدل وأنّه لا يؤثّر في نفسه وجود القرابة بينه وبين أحد المتخاصمين في الصداقة أو العداوة، وكذا لا يقع تحت تأثير التهديد أو التطميع وغير ذلك، فهو مصداق للقسم الأوّل من الروايات وينبغي له القبول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فيه إحقاق الحقّ والأمر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موقوفاً على الفتوى يلحقه خطر الفتوى أيضاً، ففي الصحيح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أفتى الناس بغير علم ولا هدى من الله، لعنه ملائكة الرحمة وملائكة العذاب، ولحقه وزر من عمل بفتياه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يقدس امّة ليس فيهم من يأخذ للضعيف حقّه من القوي</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فإذا قصد القربة في عمله يصير عبادة ويكون مأجوراً إن شاء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لم يكن واجداً للشروط أو كان واجداً ولكن لم يطمئنّ بإجرائه العدل والحقّ فعليه التحذّر والتحرّز والاجتناب من قبوله خوفاً من الوقوع والسقوط في النار،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القاضي على شفير جهنّم</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ولأجل هذه الروايات استنكف بعض الأعلام من الدخول في أمر القضاء وأخذوا طريق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أقوى الدليل على رجحانه وشرفه تصدّي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لأمر القضاء خصوصاً إذا علم أنّه إذا ترك أمر القضاء لتصدّاه من لا يراعي الحقّ والعدل، ولذا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الاحتياط في ترك هذا الاحتياط لوجود شبهة التعيّن عليه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قضى في الواقعة على حسب فتواه؛ فإنّه إذا لم يكن واجداً للشروط وجامعاً لما يعتبر في الإفتاء استحقّ عقوبة من لم يكن أهلًا للإفتاء، وكذا عقوبة من لم يكن أهلًا للقضاء، وفي الصحيح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bookmarkStart w:id="55" w:name="pg1791_15287"/>
    </w:p>
    <w:p>
      <w:pPr>
        <w:pStyle w:val="BookText"/>
        <w:rPr/>
      </w:pPr>
      <w:bookmarkEnd w:id="55"/>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القضاء بين الناس ولو في الأشياء الحقيرة إذا لم يكن من أهله، فلو لم ير نفسه مجتهداً عادلًا جامعاً لشرائط الفتيا والحكم، حرم عليه تصدّيه وإن اعتقد الناس أهليته، ويجب كفايةً على أهله، وقد يتعيّن إذا لم يكن في البلد أو ما يقرب منه ممّا لا يتعسّر الرفع إليه من به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يتعيّن القضاء على الفقيه إذا كان من به الكفاية ولو اختاره المترافعان أو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تصدّي القضاء لمن يثق بنفسه القيام بوظائفه، والأولى تركه مع وجود من به الكفاية؛ لما فيه من الخطر والتهمة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أفتى الناس بغير علم ولا هدى من الله لعنته ملائكة الرحمة وملائكة العذاب ولحقه وزر من عمل بفتياه</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 w:name="__RefHeading___Toc2354449_3650668749"/>
      <w:bookmarkStart w:id="57" w:name="_Toc21"/>
      <w:bookmarkEnd w:id="56"/>
      <w:r>
        <w:rPr>
          <w:rtl w:val="true"/>
        </w:rPr>
        <w:t>فروع في حكم القضاء التكليفي‌</w:t>
      </w:r>
      <w:bookmarkEnd w:id="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ثلاث مسائل وفيها ستّة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القضاء على من لم يكن أهلًا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 كفاية على من له أهليته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 عيناً عليه عند عدم من به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تعيّن القضاء على الفقيه عند وجود من به الكفاية ولو اختاره المترافعان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تصدّي القضاء لمن يثق من نفسه القيام بوظائفه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أولوية ترك التصدّي مع وجود من به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جميع هذه الفروع مرتبطة بزمان حكومة الطاغوت وانعزال الفقهاء عن شؤون الدولة، مع وجودهم في ذلك الظرف ونصبهم بالنصب العامّ لهذا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بحّثوا على هذه الطريقة، ولهم أقوال 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بوجوب القضاء عيناً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القضاء كفاية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استحبابه عيناً مع كونه واجباً كفائياً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استدلّوا على كلّ واحد بالآيات والأخبار ووجوه آخر كما بحّثوا في الجمع بين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كفائياً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الاستحباب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لنا أن نلتفت إلى زماننا الذي قامت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بحمدالله والمنّة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 الإسلامية الإلهية بقيادة الفقيه العادل، ولذا فسنبحث في الفروع الستّة بناء على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مقدّمة على بيان الفروع الستّة نقول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على الوليّ الفقيه القائد للحكومة، نصب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الاحتياج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البلاد التي تحت حكومته وجوباً عينياً، وذلك لوجوب حفظ النظام، وسدّ أبواب الاختلال، والفوضي في المجتمع، فإنّه من الواجبات الأكيدة في الشرع المقدّس؛ وكذا يكون إقامة القسط واستيفاء الحقوق مطلوباً أكيداً للشرع، ولا يتمّ ذلك إلا</w:t>
      </w:r>
    </w:p>
    <w:p>
      <w:pPr>
        <w:pStyle w:val="BookText"/>
        <w:rPr/>
      </w:pPr>
      <w:r>
        <w:rPr>
          <w:rFonts w:ascii="Amiri" w:hAnsi="Amiri" w:eastAsia="Amiri" w:cs="Amiri"/>
          <w:color w:val="111111"/>
          <w:sz w:val="28"/>
          <w:sz w:val="28"/>
          <w:szCs w:val="28"/>
          <w:rtl w:val="true"/>
          <w:lang w:bidi="ar-SA"/>
        </w:rPr>
        <w:t>بنصب القضاة بمقدار الاحتياج في كلّ بلد وناحية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القضاء على من لم يكن أهلًا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يحرم القضاء على من لم يكن أهلًا وإن اعتقد الوليّ الفقيه أو المنصوب من قبله واجديته وأهليته ونصبه للقضاء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لفقدان الشرط وعدم تغيّر الواقع من جهة اعتقادهم بأهليته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رواية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أقضي بينكم بالبيّنات والأيمان، وبعضكم ألحن بحجّته من بعض، فأيّما رجل قطعت له من مال أخيه شيئاً، فإنّما قطعت له به قطعة من النار</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فكما أنّ قضاء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يغيّر الواقع، كما إذا لم يكن لشخص مال على عهدة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أقام الشهود، فقضى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بنفعه وأخذ المال وأعطاه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قطعت له به قطعة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يكون غصباً وحراماً وحكمه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يغيّر الواقع، فكذلك هنا إذا لم يكن واجداً للشروط؛ بأن لم يكن عادلًا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مجتهداً فإنّ 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يجلسه إلا نبيّ أو وصيّ نبيّ أوشقيّ</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فإنّ ظاهره أو صريحه أنّه لا بدّ أن يكون أهلًا وواجداً لما يشترط فيه؛ فمن يؤذن له ولم يكن أهلًا فهو شقيّ ومن الواضح حرمة إشقاء الإنسان‌نفسه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الحكومة، فإنّ الحكومة إنّما هي للإمام العالم</w:t>
      </w:r>
    </w:p>
    <w:p>
      <w:pPr>
        <w:pStyle w:val="BookText"/>
        <w:rPr/>
      </w:pPr>
      <w:r>
        <w:rPr>
          <w:rFonts w:ascii="Amiri" w:hAnsi="Amiri" w:eastAsia="Amiri" w:cs="Amiri"/>
          <w:color w:val="111111"/>
          <w:sz w:val="28"/>
          <w:sz w:val="28"/>
          <w:szCs w:val="28"/>
          <w:rtl w:val="true"/>
          <w:lang w:bidi="ar-SA"/>
        </w:rPr>
        <w:t>بالقضاء، العادل في المسلمين لنبيّ أو وصيّ 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فإنّه أيضاً يدلّ على أنّ الفاقد للشروط لا بدّ له أن يتّقى و ي جتنب الحكوم 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 كفاية على من له أهليته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يجب على المسلمين كفاية أن يكون فيهم خبراء وعلماء بأمر القضاء، كما يجب كفاية، أن يكون فيهم الطبيب وأصحاب أنواع الحرف، ممّا هو من واجبات حفظ النظام وممّا يحتاج بقاء حياة الإنسان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لو كان الواجدون لشروط القضاء في المجتمع أكثر ممّن به الكفاية فيجب عليهم كفاية أن يعلنوا عن تهيّئهم لتصدّي أمر القضاء وتعريف أنفسهم لدى وليّ الأمر أو من كان منصوباً من جانبه لذلك؛ فإذا انتخبوا بالمقدار اللازم وانتصبوا له يسقط الوجوب عن 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كانوا أقلّ ممّن به الكفاية يتعيّن عليهم الإقدام ويجب عليهم عيناً على قول، وإن كان الحقّ أنّه يجب عليهم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يتعيّن عليهم حسبما ذكر في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الواجب الكفائي لا ينقلب إلى العيني ولكنّه عند عدم من به الكفاية يتعيّن على الموجودين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 عيناً عليه عند عدم من به الكفاية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طلب الوليّ الفقيه أو المنصوب من قبله للسلطة القضائية، من الواجدين للشروط، المشاركة في أمر القضاء، وأمرهم بذلك يتأكّد الوجوب الكفائي عليهم، إذا كانوا أكثر ممّن به الكفاية؛ فإنّ أمره أيضاً على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كانوا أقلّ يتعيّن الوجوب الكفائي بناء على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أمر شخصاً خاصّاً تجب عليه الإطاعة ولو كان الوجوب على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تعيّن القضاء على الفقيه عند وجود من به الكفاية ولو اختاره المترافعان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تصدي القضاء لمن يثق من نفسه القيام بوظائفه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اشتغل من به الكفاية بأمر القضاء وسقط الوجوب عن بقية الواجدين لشروط القضاء، يستحبّ للمؤهل والواجد للشروط أن يطلب من الوليّ الفقيه أن ينصبه للقضاء، وذلك لعظم ما يترتّب عليه من الفوائد المعلوم رجحانها عقلًا وشرعاً؛ فإنّه من القيام بالقسط فيشمله 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كُونُوا قَوَّامِينَ بِالْقِسْطِ</w:t>
      </w:r>
      <w:r>
        <w:rPr>
          <w:rStyle w:val="FootnoteAnchor"/>
          <w:rtl w:val="true"/>
        </w:rPr>
        <w:footnoteReference w:id="60"/>
      </w:r>
      <w:r>
        <w:rPr>
          <w:rFonts w:ascii="Amiri" w:hAnsi="Amiri" w:eastAsia="Amiri" w:cs="Amiri"/>
          <w:color w:val="111111"/>
          <w:sz w:val="28"/>
          <w:sz w:val="28"/>
          <w:szCs w:val="28"/>
          <w:rtl w:val="true"/>
          <w:lang w:bidi="ar-SA"/>
        </w:rPr>
        <w:t>وهو من التعاون على البرّ، المأمور به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تَعَاوَنُوا عَلَى الْبِرِّ وَالتَّقْوَى</w:t>
      </w:r>
      <w:r>
        <w:rPr>
          <w:rStyle w:val="FootnoteAnchor"/>
          <w:rtl w:val="true"/>
        </w:rPr>
        <w:footnoteReference w:id="61"/>
      </w:r>
      <w:r>
        <w:rPr>
          <w:rFonts w:ascii="Amiri" w:hAnsi="Amiri" w:eastAsia="Amiri" w:cs="Amiri"/>
          <w:color w:val="111111"/>
          <w:sz w:val="28"/>
          <w:sz w:val="28"/>
          <w:szCs w:val="28"/>
          <w:rtl w:val="true"/>
          <w:lang w:bidi="ar-SA"/>
        </w:rPr>
        <w:t xml:space="preserve">وهو مقدّمة تحصيل الأجر والثواب في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أوجب الله فيه الأجر، ويحسن فيه الذخر لمن قضى بالحقّ</w:t>
      </w:r>
      <w:r>
        <w:rPr>
          <w:rFonts w:eastAsia="Amiri" w:cs="Amiri" w:ascii="Amiri" w:hAnsi="Amiri"/>
          <w:color w:val="111111"/>
          <w:sz w:val="28"/>
          <w:szCs w:val="28"/>
          <w:rtl w:val="true"/>
          <w:lang w:bidi="ar-SA"/>
        </w:rPr>
        <w:t>»</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القضاء من مصاديق الأمر بالمعروف والنهي عن المنكر</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ما 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القاضي</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فوق رأس الحاكم ترفرف بالرحمة</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وكلّ ذلك كافٍ للدلالة على الاستحباب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تصدّي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تصدّي القضاء لمن يثق بنفسه القيام</w:t>
      </w:r>
    </w:p>
    <w:p>
      <w:pPr>
        <w:pStyle w:val="BookText"/>
        <w:rPr/>
      </w:pPr>
      <w:r>
        <w:rPr>
          <w:rFonts w:ascii="IRNazanin" w:hAnsi="IRNazanin" w:eastAsia="IRNazanin"/>
          <w:color w:val="111111"/>
          <w:sz w:val="28"/>
          <w:sz w:val="28"/>
          <w:szCs w:val="28"/>
          <w:rtl w:val="true"/>
          <w:lang w:bidi="fa-IR"/>
        </w:rPr>
        <w:t>بوظائفه</w:t>
      </w:r>
      <w:r>
        <w:rPr>
          <w:rFonts w:eastAsia="IRNazanin" w:cs="IRNazanin"/>
          <w:color w:val="111111"/>
          <w:sz w:val="28"/>
          <w:szCs w:val="28"/>
          <w:rtl w:val="true"/>
          <w:lang w:bidi="fa-IR"/>
        </w:rPr>
        <w:t>»</w:t>
      </w:r>
      <w:r>
        <w:rPr>
          <w:rStyle w:val="FootnoteAnchor"/>
          <w:rtl w:val="true"/>
        </w:rPr>
        <w:footnoteReference w:id="65"/>
      </w:r>
      <w:r>
        <w:rPr>
          <w:rFonts w:ascii="Amiri" w:hAnsi="Amiri" w:eastAsia="Amiri" w:cs="Amiri"/>
          <w:color w:val="111111"/>
          <w:sz w:val="28"/>
          <w:sz w:val="28"/>
          <w:szCs w:val="28"/>
          <w:rtl w:val="true"/>
          <w:lang w:bidi="ar-SA"/>
        </w:rPr>
        <w:t>فإنّه لا فرق بين استحباب تصدّي القضاء واستحباب طلبه من الوليّ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يوجد واحد تعيّن ولو وجد غيره ففي استحباب تعرّضه للولاية نظر؛ من حيث الخطر وعظم الثواب إذا سلم والأقرب ثبوته لمن يثق من نفسه القيام به</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أولوية ترك التصدّي مع وجود من به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بعدم الاستحباب بل أولويّة تركه، لما فيه من الخطر العظيم لقول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القاضي على شفير جهنّم</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xml:space="preserve">وكذا ما تقدّم من الروايات المحذرة والمرهبة وقد اختاره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والأولى تركه مع وجود من به الكفاية، لما فيه من الخطر والتهمة</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ملحقات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الأولى تركه ممّن لا يثق من نفسه مع وجود من به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فإنّه قيد أولوية الترك بمن لا يثق من نفسه ويحتمل أن ينزلق في العمل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فلعلّ هذا، مراد سائر من قال بأولويّة الترك لما تقدّم من عظم فوائده وترتّب الأجر والثواب عليه؛ فمع اطمئنان الإنسان ووثوقه من نفسه بالحفظ من الخطر لا يترك لاحتمال الخطر إن كان الخطر عظيماً</w:t>
      </w:r>
      <w:r>
        <w:rPr>
          <w:rFonts w:eastAsia="Amiri" w:cs="Amiri" w:ascii="Amiri" w:hAnsi="Amiri"/>
          <w:color w:val="111111"/>
          <w:sz w:val="28"/>
          <w:szCs w:val="28"/>
          <w:rtl w:val="true"/>
          <w:lang w:bidi="ar-SA"/>
        </w:rPr>
        <w:t>.</w:t>
      </w:r>
      <w:bookmarkStart w:id="58" w:name="pg1791_15299"/>
    </w:p>
    <w:p>
      <w:pPr>
        <w:pStyle w:val="BookText"/>
        <w:rPr/>
      </w:pPr>
      <w:bookmarkEnd w:id="58"/>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الترافع إلى قضاة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لم يجتمع فيهم شرائط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ترافع إليهم كان عاصياً، وما أخذ بحكمهم حرام إذا كان ديناً، وفي العين إشكال إلا إذا توقّف استيفاء حقّه على الترافع إليهم، فلا يبعد جوازه، سيّما إذا كان في تركه حرج عليه، وكذا لو توقّف ذلك على الحلف كاذباً جاز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2354451_3650668749"/>
      <w:bookmarkStart w:id="60" w:name="_Toc22"/>
      <w:bookmarkEnd w:id="59"/>
      <w:r>
        <w:rPr>
          <w:rtl w:val="true"/>
        </w:rPr>
        <w:t>حرمة الترافع إلى قضاة الجور</w:t>
      </w:r>
      <w:bookmarkEnd w:id="60"/>
    </w:p>
    <w:p>
      <w:pPr>
        <w:pStyle w:val="Heading5"/>
        <w:numPr>
          <w:ilvl w:val="4"/>
          <w:numId w:val="1"/>
        </w:numPr>
        <w:rPr/>
      </w:pPr>
      <w:bookmarkStart w:id="61" w:name="__RefHeading___Toc2354453_3650668749"/>
      <w:bookmarkStart w:id="62" w:name="_Toc23"/>
      <w:bookmarkEnd w:id="61"/>
      <w:r>
        <w:rPr>
          <w:rtl w:val="true"/>
        </w:rPr>
        <w:t>اشارة</w:t>
      </w:r>
      <w:bookmarkEnd w:id="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الترافع إلى قضاة الجور، وأنّ من ترافع إليهم كان عاصياً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بيان المراد من قضاة الجور وهل هم المنصوبون من قبل خلفاء الجور أو يشمل من لم يكن أهلًا للقضاء، وإن كان مسلماً إمامياً مثل أن يكون فاسقاً؟</w:t>
      </w:r>
    </w:p>
    <w:p>
      <w:pPr>
        <w:pStyle w:val="BookText"/>
        <w:rPr/>
      </w:pPr>
      <w:r>
        <w:rPr>
          <w:rFonts w:ascii="Amiri" w:hAnsi="Amiri" w:eastAsia="Amiri" w:cs="Amiri"/>
          <w:color w:val="111111"/>
          <w:sz w:val="28"/>
          <w:sz w:val="28"/>
          <w:szCs w:val="28"/>
          <w:rtl w:val="true"/>
          <w:lang w:bidi="ar-SA"/>
        </w:rPr>
        <w:t>أمّا الدليل على حرمة الترافع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الّذِينَ يَزْعُمُونَ أنَّهُمْ آمَنُوا بِمَا أنزلَ إِلَيْكَ وَمَا انزِلَ مِنْ قَبْلِكَ يُرِيدُونَ أنْ يَتَحَاكَمُوا إِلَى الطّاغُوتِ وَقَدْ امِرُوا أنْ يَكْفُرُوا بِهِ وَيُرِيدُ الشَّيْطَانُ أنْ يُضِلّهُمْ ضَلالًا بَعِيداً</w:t>
      </w:r>
      <w:r>
        <w:rPr>
          <w:rStyle w:val="FootnoteAnchor"/>
          <w:rtl w:val="true"/>
        </w:rPr>
        <w:footnoteReference w:id="70"/>
      </w:r>
      <w:r>
        <w:rPr>
          <w:rFonts w:ascii="Amiri" w:hAnsi="Amiri" w:eastAsia="Amiri" w:cs="Amiri"/>
          <w:color w:val="111111"/>
          <w:sz w:val="28"/>
          <w:sz w:val="28"/>
          <w:szCs w:val="28"/>
          <w:rtl w:val="true"/>
          <w:lang w:bidi="ar-SA"/>
        </w:rPr>
        <w:t>حيث يدلّ على حرمة التحاكم إلى الطاغوت لأنّهم مأمورون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يكفروا به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الروايات مقبولة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رجلين من</w:t>
      </w:r>
    </w:p>
    <w:p>
      <w:pPr>
        <w:pStyle w:val="BookText"/>
        <w:rPr/>
      </w:pPr>
      <w:r>
        <w:rPr>
          <w:rFonts w:ascii="Amiri" w:hAnsi="Amiri" w:eastAsia="Amiri" w:cs="Amiri"/>
          <w:color w:val="111111"/>
          <w:sz w:val="28"/>
          <w:sz w:val="28"/>
          <w:szCs w:val="28"/>
          <w:rtl w:val="true"/>
          <w:lang w:bidi="ar-SA"/>
        </w:rPr>
        <w:t>أصحابنا يكون بينهما منازعة في دين أو ميراث، فتحاكما إلى السلطان وإلى القضاة، أيحلّ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تحاكم إليهم في حقّ أو باطل فإنّما تحاكم إلى الطاغوت، وما يحكم له فإنّما يأخذ سحتاً، وإن كان حقّاً ثابتاً له، لأنّه أخذه بحكم الطاغوت، ما أمر الله أن يكفر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يصنعان؟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ينظران من كان منكم ممّن قد روى حديثنا ونظر في حلالنا، وحرامنا، وعرف أحكامنا فليرضوا به حكماً فإنّي قد جعلته عليكم حاكماً، فإذا حكم بحكمنا فلم يقبل منه، فإنّما استخفّ بحكم الله، وعليه ردّ، والرادّ علينا الرادّ على الله، وهو على حدّ الشرك بالله</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مؤمن قدم مؤمناً في خصومة إلى قاض أو سلطان جائر فقضى عليه بغير حكم الله، فقد شركه في الإثم</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رواها المشايخ الثلاثة، أي الكليني</w:t>
      </w:r>
      <w:r>
        <w:rPr>
          <w:rStyle w:val="FootnoteAnchor"/>
          <w:rtl w:val="true"/>
        </w:rPr>
        <w:footnoteReference w:id="73"/>
      </w:r>
      <w:r>
        <w:rPr>
          <w:rFonts w:ascii="IRNazanin" w:hAnsi="IRNazanin" w:eastAsia="IRNazanin"/>
          <w:color w:val="111111"/>
          <w:sz w:val="28"/>
          <w:sz w:val="28"/>
          <w:szCs w:val="28"/>
          <w:rtl w:val="true"/>
          <w:lang w:bidi="fa-IR"/>
        </w:rPr>
        <w:t>، والصدوق</w:t>
      </w:r>
      <w:r>
        <w:rPr>
          <w:rStyle w:val="FootnoteAnchor"/>
          <w:rtl w:val="true"/>
        </w:rPr>
        <w:footnoteReference w:id="74"/>
      </w:r>
      <w:r>
        <w:rPr>
          <w:rFonts w:ascii="Amiri" w:hAnsi="Amiri" w:eastAsia="Amiri" w:cs="Amiri"/>
          <w:color w:val="111111"/>
          <w:sz w:val="28"/>
          <w:sz w:val="28"/>
          <w:szCs w:val="28"/>
          <w:rtl w:val="true"/>
          <w:lang w:bidi="ar-SA"/>
        </w:rPr>
        <w:t>، والطوسي</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كان بينه وبين أخ له مماراة</w:t>
      </w:r>
      <w:r>
        <w:rPr>
          <w:rStyle w:val="FootnoteAnchor"/>
          <w:rtl w:val="true"/>
        </w:rPr>
        <w:footnoteReference w:id="77"/>
      </w:r>
      <w:r>
        <w:rPr>
          <w:rFonts w:ascii="Amiri" w:hAnsi="Amiri" w:eastAsia="Amiri" w:cs="Amiri"/>
          <w:color w:val="111111"/>
          <w:sz w:val="28"/>
          <w:sz w:val="28"/>
          <w:szCs w:val="28"/>
          <w:rtl w:val="true"/>
          <w:lang w:bidi="ar-SA"/>
        </w:rPr>
        <w:t>في حقّ، فدعاه إلى رجل من إخوانه ليحكم بينه وبينه، فأبى إلا</w:t>
      </w:r>
    </w:p>
    <w:p>
      <w:pPr>
        <w:pStyle w:val="BookText"/>
        <w:rPr/>
      </w:pPr>
      <w:r>
        <w:rPr>
          <w:rFonts w:ascii="Amiri" w:hAnsi="Amiri" w:eastAsia="Amiri" w:cs="Amiri"/>
          <w:color w:val="111111"/>
          <w:sz w:val="28"/>
          <w:sz w:val="28"/>
          <w:szCs w:val="28"/>
          <w:rtl w:val="true"/>
          <w:lang w:bidi="ar-SA"/>
        </w:rPr>
        <w:t>أن يرافعه إلى هؤلاء كان بمنزلة الذين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إِلَى الّذِينَ يَزْعُمُونَ أنَّهُمْ آمَنُوا بِمَا انزِلَ إِلَيْكَ وَمَا انزِلَ مِنْ قَبْلِكَ يُرِيدُونَ أنْ يَتَحَاكَمُوا إِلَى الطّاغُوتِ وَقَدْ امِرُوا أنْ يَكْفُرُوا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رواها المشايخ الثلاثة أيضاً</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أبي بصير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تَأكُلُوا أمْوَالَكُمْ بَيْنَكُمْ بِالْبَاطِلِ وَتُدْلُوا بِهَا إِلَى الْحُكَّامِ</w:t>
      </w:r>
      <w:r>
        <w:rPr>
          <w:rStyle w:val="FootnoteAnchor"/>
          <w:rtl w:val="true"/>
        </w:rPr>
        <w:footnoteReference w:id="8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بصير إنّ الله عزّ وجلّ قد علم أنّ في الامّة حكّاماً يجوزون، أما إنّه لم يُعن حكّام أهل العدل ولكنّه عنّي حكّام أهل الجور، 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لك على رجل حقّ، فدعوته إلى حكّام أهل العدل، فأبى عليك إلا أن يرافعك إلى حكّام أهل الجور ليقضوا له، لكان ممن حاكم إلى الطاغوت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الّذِينَ يَزْعُمُونَ أنَّهُمْ آمَنُوا بِمَا انزِلَ إِلَيْكَ وَمَا انزِلَ مِنْ قَبْلِكَ يُرِيدُونَ أنْ يَتَحَاكَمُوا إِلَى الطّاغُوتِ</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
      </w:r>
      <w:r>
        <w:rPr>
          <w:rFonts w:ascii="Amiri" w:hAnsi="Amiri" w:eastAsia="Amiri" w:cs="Amiri"/>
          <w:color w:val="111111"/>
          <w:sz w:val="28"/>
          <w:sz w:val="28"/>
          <w:szCs w:val="28"/>
          <w:rtl w:val="true"/>
          <w:lang w:bidi="ar-SA"/>
        </w:rPr>
        <w:t xml:space="preserve">والظاهر من الآية الشريفة والروايات هو حرمة الترافع إلى قضاة الجور الذين نصبوا من قبل السلطان الجائر والخلفاء الغاصبين، فإنّهم من مصاديق الطاغوت الذي أمروا أن يكفروا به واستشهاد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الروايات بالآية يدلّ على ذلك فلا دلالة لها على حرمة الترافع إلى من ليس واجداً للعدالة، وإن كان مأذوناً ومنصوباً من</w:t>
      </w:r>
    </w:p>
    <w:p>
      <w:pPr>
        <w:pStyle w:val="BookText"/>
        <w:rPr/>
      </w:pPr>
      <w:r>
        <w:rPr>
          <w:rFonts w:ascii="Amiri" w:hAnsi="Amiri" w:eastAsia="Amiri" w:cs="Amiri"/>
          <w:color w:val="111111"/>
          <w:sz w:val="28"/>
          <w:sz w:val="28"/>
          <w:szCs w:val="28"/>
          <w:rtl w:val="true"/>
          <w:lang w:bidi="ar-SA"/>
        </w:rPr>
        <w:t xml:space="preserve">السلطان العادل في الحكومة الحقّة، فإنّه لا يصدق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فعله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الوجه في حرمة الترافع إليهم كونه حماية لهم، واعترافاً بنصبهم وإقراراً به؛ لكونهم جزء من الحكومة الظالمة الغاصبة الطاغية، فيكون حراماً من هذه الجهة وهذا الوجه غير متحقّق بالنسبة للمنصوب من قبل السلطان العادل، ولكنّه غير واجد للشرط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أن يستدلّ على حرمة الترافع إلى من لم يكن واجداً للشروط مطلقاً بما 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حكم الجائر بينهما فعل محرّم والترافع إليه يقتضي ذلك، فيكون إعانة على الإثم وهي منهي عنها</w:t>
      </w:r>
      <w:r>
        <w:rPr>
          <w:rFonts w:eastAsia="Amiri" w:cs="Amiri" w:ascii="Amiri" w:hAnsi="Amiri"/>
          <w:color w:val="111111"/>
          <w:sz w:val="28"/>
          <w:szCs w:val="28"/>
          <w:rtl w:val="true"/>
          <w:lang w:bidi="ar-SA"/>
        </w:rPr>
        <w:t>»</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ونتيجته كون الترافع إليه محرّماً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لا يكون إعانة أوّلًا وبمنع حرمتها ثانياً</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مراده من منع كون الترافع عنده إعانة، أنّ حكم القاضي يصدر عنه اختياراً ولا يؤثّر الترافع في تحقّق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نظير إعطاء العصا بيد من يريد الضرب، فإنّه أيضاً لا يكون مضطرّاً إلى الضرب، بل بعد إعطائه العصا، له أن لا يضرب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منع حرمة الإعانة على فرض صدقها فلعلّه من جهة أنّه يريد أخذ حقّه نظير من تمسّك بظالم لإنقاذ حقّه من يد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أن يأخذ حقّه بطريق آخر كما سيجي‌ء</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يستدلّ على حرمة الترافع مطلقاً، بعدم القول بالفصل بين المراجعة إلى</w:t>
      </w:r>
      <w:bookmarkStart w:id="63" w:name="pg1791_15307"/>
    </w:p>
    <w:p>
      <w:pPr>
        <w:pStyle w:val="BookText"/>
        <w:rPr/>
      </w:pPr>
      <w:bookmarkEnd w:id="63"/>
      <w:r>
        <w:rPr>
          <w:rFonts w:ascii="Amiri" w:hAnsi="Amiri" w:eastAsia="Amiri" w:cs="Amiri"/>
          <w:color w:val="111111"/>
          <w:sz w:val="28"/>
          <w:sz w:val="28"/>
          <w:szCs w:val="28"/>
          <w:rtl w:val="true"/>
          <w:lang w:bidi="ar-SA"/>
        </w:rPr>
        <w:t>قضاة الجور ومن لم يكن جامعاً للشروط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في كلماتهم على التعميم أي مطلق من يكون فاقداً للشروط، بل الظاهر من عباراتهم التخصيص؛ وهو ما يستفاد من ظاهر الآية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القول بالفصل ليس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ثبت القول بعدم الفصل أي ادّعى شخص القول بعدم الفصل؛ فبهذا ينعقد الإجماع، ولو انعقد الإجماع به لا يمكن إثبات صغرى القضية مضافاً إلى أنّ القول بعدم الفصل لا يفيد بالنسبة إلى زمن صدور الرواية</w:t>
      </w:r>
      <w:r>
        <w:rPr>
          <w:rFonts w:eastAsia="Amiri" w:cs="Amiri" w:ascii="Amiri" w:hAnsi="Amiri"/>
          <w:color w:val="111111"/>
          <w:sz w:val="28"/>
          <w:szCs w:val="28"/>
          <w:rtl w:val="true"/>
          <w:lang w:bidi="ar-SA"/>
        </w:rPr>
        <w:t>.</w:t>
      </w:r>
    </w:p>
    <w:p>
      <w:pPr>
        <w:pStyle w:val="Heading5"/>
        <w:numPr>
          <w:ilvl w:val="4"/>
          <w:numId w:val="1"/>
        </w:numPr>
        <w:rPr/>
      </w:pPr>
      <w:bookmarkStart w:id="64" w:name="__RefHeading___Toc2354455_3650668749"/>
      <w:bookmarkStart w:id="65" w:name="_Toc24"/>
      <w:bookmarkEnd w:id="64"/>
      <w:r>
        <w:rPr>
          <w:rtl w:val="true"/>
        </w:rPr>
        <w:t>متى يحرم الترافع إلى قضاة الجور؟</w:t>
      </w:r>
      <w:bookmarkEnd w:id="65"/>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حرمة الترافع إلى قضاة الجور تختصّ بمن تمكّن من المراجعة إلى قضاة الحقّ، واستيفاء حقّه من خصمه، ولكنّه مع ذلك يرجع إلى قضاة الجور، أو تشمل ما إذا توقّف استيفاء حقّه على الترافع إليهم، ولو من جهة امتناع خصمه من الترافع إلا إليه؟ ظاهر كلام جمع من المحقّقين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إذا توقّف استيفاء حقّه على الترافع إليهم، فلا يبعد جوازه، سيّما إذا كان في تركه حرج عليه، وكذا لو توقّف ذلك على الحلف كاذباً جاز</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ويستثنى منه ما لو توقّف حصول حقّه عليه، فيجوز كما يجوز الاستعانة على تحصيل الحقّ بغير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والنهي في هذه الأخبار وغيرها، محمول على الترافع إليهم اختياراً مع إمكان تحصيل الغرض بأهل الحقّ</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توقّف حصول حقّه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لامتناع</w:t>
      </w:r>
    </w:p>
    <w:p>
      <w:pPr>
        <w:pStyle w:val="BookText"/>
        <w:rPr/>
      </w:pPr>
      <w:r>
        <w:rPr>
          <w:rFonts w:ascii="Amiri" w:hAnsi="Amiri" w:eastAsia="Amiri" w:cs="Amiri"/>
          <w:color w:val="111111"/>
          <w:sz w:val="28"/>
          <w:sz w:val="28"/>
          <w:szCs w:val="28"/>
          <w:rtl w:val="true"/>
          <w:lang w:bidi="ar-SA"/>
        </w:rPr>
        <w:t>خصمه عن المرافعة إلا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كما يجوز الاستعانة بالظالم على تحصيل حقّه المتوقّف على ذلك، والإثم حينئذٍ على الممتنع كما هو ظاهر ما سمعته، من النصوص الظاهرة</w:t>
      </w:r>
      <w:r>
        <w:rPr>
          <w:rStyle w:val="FootnoteAnchor"/>
          <w:rtl w:val="true"/>
        </w:rPr>
        <w:footnoteReference w:id="87"/>
      </w:r>
      <w:r>
        <w:rPr>
          <w:rFonts w:ascii="Amiri" w:hAnsi="Amiri" w:eastAsia="Amiri" w:cs="Amiri"/>
          <w:color w:val="111111"/>
          <w:sz w:val="28"/>
          <w:sz w:val="28"/>
          <w:szCs w:val="28"/>
          <w:rtl w:val="true"/>
          <w:lang w:bidi="ar-SA"/>
        </w:rPr>
        <w:t>في اختصاصه بالإثم</w:t>
      </w:r>
      <w:r>
        <w:rPr>
          <w:rFonts w:eastAsia="Amiri" w:cs="Amiri" w:ascii="Amiri" w:hAnsi="Amiri"/>
          <w:color w:val="111111"/>
          <w:sz w:val="28"/>
          <w:szCs w:val="28"/>
          <w:rtl w:val="true"/>
          <w:lang w:bidi="ar-SA"/>
        </w:rPr>
        <w:t>»</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والدليل على الجواز، ظهور الآية الكريمة، والأخبار في اختصاص الحرمة بما إذا أمكنت المراجعة إلى قضاة العدل، مع امتناع الخصم، فلذا كان الإثم على الممتنع، وأمّا من توقّف استيفاء حقّه على الترافع إلى قاضي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التوقّف من جهة امتناع خصمه عن المراجعة إلا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مشمولًا لهذه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يستفاد من الآية الشريفة حيث نقل في شأن نزولها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اختلاف بين أحد المنافقين، ويهودي، ورضي اليهودي بقضاء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لاعتقاده بأمانته، وصدقه، فامتنع المنافق من ذلك، وعين واحداً من أكابر اليهود، لعلمه بإمكان إعطائه الرشوة، حتّى يقضي له، فمورد الآية إمكان الترافع إلى قاضي العدل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أيضاً ظاهر رواية ابن سنان</w:t>
      </w:r>
      <w:r>
        <w:rPr>
          <w:rStyle w:val="FootnoteAnchor"/>
          <w:rtl w:val="true"/>
        </w:rPr>
        <w:footnoteReference w:id="90"/>
      </w:r>
      <w:r>
        <w:rPr>
          <w:rFonts w:ascii="Amiri" w:hAnsi="Amiri" w:eastAsia="Amiri" w:cs="Amiri"/>
          <w:color w:val="111111"/>
          <w:sz w:val="28"/>
          <w:sz w:val="28"/>
          <w:szCs w:val="28"/>
          <w:rtl w:val="true"/>
          <w:lang w:bidi="ar-SA"/>
        </w:rPr>
        <w:t>، وروايتي أبي بصير</w:t>
      </w:r>
      <w:r>
        <w:rPr>
          <w:rStyle w:val="FootnoteAnchor"/>
          <w:rtl w:val="true"/>
        </w:rPr>
        <w:footnoteReference w:id="91"/>
      </w:r>
      <w:r>
        <w:rPr>
          <w:rFonts w:ascii="Amiri" w:hAnsi="Amiri" w:eastAsia="Amiri" w:cs="Amiri"/>
          <w:color w:val="111111"/>
          <w:sz w:val="28"/>
          <w:sz w:val="28"/>
          <w:szCs w:val="28"/>
          <w:rtl w:val="true"/>
          <w:lang w:bidi="ar-SA"/>
        </w:rPr>
        <w:t>وعلي بن جعفر</w:t>
      </w:r>
      <w:r>
        <w:rPr>
          <w:rStyle w:val="FootnoteAnchor"/>
          <w:rtl w:val="true"/>
        </w:rPr>
        <w:footnoteReference w:id="92"/>
      </w:r>
      <w:r>
        <w:rPr>
          <w:rFonts w:ascii="Amiri" w:hAnsi="Amiri" w:eastAsia="Amiri" w:cs="Amiri"/>
          <w:color w:val="111111"/>
          <w:sz w:val="28"/>
          <w:sz w:val="28"/>
          <w:szCs w:val="28"/>
          <w:rtl w:val="true"/>
          <w:lang w:bidi="ar-SA"/>
        </w:rPr>
        <w:t>المتقدّمان</w:t>
      </w:r>
      <w:r>
        <w:rPr>
          <w:rFonts w:eastAsia="Amiri" w:cs="Amiri" w:ascii="Amiri" w:hAnsi="Amiri"/>
          <w:color w:val="111111"/>
          <w:sz w:val="28"/>
          <w:szCs w:val="28"/>
          <w:rtl w:val="true"/>
          <w:lang w:bidi="ar-SA"/>
        </w:rPr>
        <w:t>.</w:t>
      </w:r>
      <w:bookmarkStart w:id="66" w:name="pg1791_15311"/>
    </w:p>
    <w:p>
      <w:pPr>
        <w:pStyle w:val="BookText"/>
        <w:rPr/>
      </w:pPr>
      <w:bookmarkEnd w:id="66"/>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الشريفة وثلاثة من الروايات الأربعة المذكورة مقيّدة بالتمكين من الترافع إلى حاكم العدل؛ ومع ذلك يراجعان إلى حاكم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المقبولة مطلقة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فتحاكما إلى السلطان أو إلى القضاة </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وهو مطلق من جهة إمكان المراجعة إلى غيرهم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نحملها على مورد عدم توقّف استيفاء الحقّ، على الترافع إليهم، بقرينة تلك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تعبير الإمام الخميني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يبعد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إطلاق المقبولة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إذا كان عدم المراجعة وصرف النظر عن حقّه حرجاً، أو ضررياً، فجاز بلا إشكال، من جهة حكومة قاعدتي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المقبولة، فإنّ حرمة الترافع إليهم، تكون حينئذٍ حرجاً عليه، ويوجب المشقّة أو الضرر عليه، فينتفي الحكم بقاعدتي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2354457_3650668749"/>
      <w:bookmarkStart w:id="68" w:name="_Toc25"/>
      <w:bookmarkEnd w:id="67"/>
      <w:r>
        <w:rPr>
          <w:rtl w:val="true"/>
        </w:rPr>
        <w:t>ما أخذ بحكم حاكم الجور</w:t>
      </w:r>
      <w:bookmarkEnd w:id="68"/>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أخذ بحكمهم حرام إذا كان ديناً، وفي العين إشكال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الترافع إلى قضاة الجور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فيما إذا أمكنه الترافع إلى قاضي العدل وراجع إلى قاضي الجور، وحكم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ما أخذ بحكمهم حرام مطلقاً، أي سواء كان ديناً، أو عيناً، أو فيه تفصيل، ففي الدين حرام بخلاف العين؟</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مقبولة عمر بن حنظلة حرمته مطلقاً، ديناً كان، أو عيناً،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تحاكم إليهم في حقّ أو باطل فإنّما تحاكم إلى طاغوت وما يحكم له فإنّما يأخذ سحتاً وإن كان حقّاً ثابتاً، لأنّه أخذه بحكم الطاغوت</w:t>
      </w:r>
      <w:r>
        <w:rPr>
          <w:rFonts w:eastAsia="Amiri" w:cs="Amiri" w:ascii="Amiri" w:hAnsi="Amiri"/>
          <w:color w:val="111111"/>
          <w:sz w:val="28"/>
          <w:szCs w:val="28"/>
          <w:rtl w:val="true"/>
          <w:lang w:bidi="ar-SA"/>
        </w:rPr>
        <w:t>»</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المراد بالميراث في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بينهما منازعة في دين أو 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مقابل الدين أي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ترك الاستفصال في الرواية، بل هو مقتضى عموم التعليل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أخذه بحكم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فرّق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بين الدين والعين ففي الدين حكم بحرمة ما أخذ، بخلاف العين، ولعلّه من جهة أنّ الدين كلّي في الذمّة، وتعيّنه في الشخص بحكم الحاكم وإلزامه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رضا المديون لا أثر لحكم الحاكم حينئذٍ، فيكون المال للغير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والتصرّف فيه حراماً بخلاف العين، فإنّها مملوكة للمالك، وحكم الحاكم يكون موجباً لرفع المنع عن التصرّف في ملكه، فلا إشكال في أخذه، ولذا استشكل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العين، من جهة عموم الحكم في المقبولة، ومن جهة عدم خروج العين عن ملكه، بل هي باقية في ملكيته، فلا وجه لحرمتها وإن أخذت بحكم الطاغوت</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يأخذه حرام مطلقاً سواء في الدين، أو في العين، بمقتضى دلالة المقبولة، وهي آبية عن الحمل على ما قيل، مثل ما قاله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Style w:val="FootnoteAnchor"/>
          <w:rtl w:val="true"/>
        </w:rPr>
        <w:footnoteReference w:id="96"/>
      </w:r>
      <w:bookmarkStart w:id="69" w:name="pg1791_15315"/>
    </w:p>
    <w:p>
      <w:pPr>
        <w:pStyle w:val="BookText"/>
        <w:rPr/>
      </w:pPr>
      <w:bookmarkEnd w:id="69"/>
      <w:r>
        <w:rPr>
          <w:rFonts w:ascii="Amiri" w:hAnsi="Amiri" w:eastAsia="Amiri" w:cs="Amiri"/>
          <w:color w:val="111111"/>
          <w:sz w:val="28"/>
          <w:sz w:val="28"/>
          <w:szCs w:val="28"/>
          <w:rtl w:val="true"/>
          <w:lang w:bidi="ar-SA"/>
        </w:rPr>
        <w:t>من حمله على أنّه بمنزلة السحت في العقاب،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كونه حراماً لا ينافي كونه ملكاً له، فإنّ الأخذ بحكم حاكم الجورينطبق عليه عنوان محرّم، فيوجب حرمة التصرّف فيه، وإن كان ملكاً له، فما استقرّبه بعض؛ من عدم خروج المال عن ملكه، فلا وجه للحرمة؛ في غير محلّه</w:t>
      </w:r>
      <w:r>
        <w:rPr>
          <w:rFonts w:eastAsia="Amiri" w:cs="Amiri" w:ascii="Amiri" w:hAnsi="Amiri"/>
          <w:color w:val="111111"/>
          <w:sz w:val="28"/>
          <w:szCs w:val="28"/>
          <w:rtl w:val="true"/>
          <w:lang w:bidi="ar-SA"/>
        </w:rPr>
        <w:t>.</w:t>
      </w:r>
    </w:p>
    <w:p>
      <w:pPr>
        <w:pStyle w:val="Heading5"/>
        <w:numPr>
          <w:ilvl w:val="4"/>
          <w:numId w:val="1"/>
        </w:numPr>
        <w:rPr/>
      </w:pPr>
      <w:bookmarkStart w:id="70" w:name="__RefHeading___Toc2354459_3650668749"/>
      <w:bookmarkStart w:id="71" w:name="_Toc26"/>
      <w:bookmarkEnd w:id="70"/>
      <w:r>
        <w:rPr>
          <w:rtl w:val="true"/>
        </w:rPr>
        <w:t>ما أخذ بحكم من لا أهلية له‌</w:t>
      </w:r>
      <w:bookmarkEnd w:id="71"/>
    </w:p>
    <w:p>
      <w:pPr>
        <w:pStyle w:val="BookText"/>
        <w:rPr/>
      </w:pPr>
      <w:r>
        <w:rPr>
          <w:rFonts w:ascii="Amiri" w:hAnsi="Amiri" w:eastAsia="Amiri" w:cs="Amiri"/>
          <w:color w:val="111111"/>
          <w:sz w:val="28"/>
          <w:sz w:val="28"/>
          <w:szCs w:val="28"/>
          <w:rtl w:val="true"/>
          <w:lang w:bidi="ar-SA"/>
        </w:rPr>
        <w:t>هذا كلّه فيما إذا أخذ المال بحكم قضاة الجور، المنصوبين من قبل السلطان الجائر، في الحكومة الطاغية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أخذ المال بحكم من لم يكن أهلًا ومستجمعاً لشروط القضاء، فلا يكون التصرّف فيه حراماً، وإن كان الترافع إليهم حراماً أيضاً، كما تقدّم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بالنسبة إلى ما أخذ بالترافع إلى قضاة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المأخوذ بالترافع إلى غيرهم ممّن ليس من أهل الحكم؛ فإنّه وإن فعل حراماً إلا أنّ حرمة ما يأخذه من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أو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معلومة، فيعاقب على فعله لا على التصرّف في المأخوذ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مختصّ بقضاة الجور، بل المنصوبين منهم للقضاء، وشموله لغيرهم غير معلوم</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bookmarkStart w:id="72" w:name="pg1791_15317"/>
    </w:p>
    <w:p>
      <w:pPr>
        <w:pStyle w:val="BookText"/>
        <w:rPr/>
      </w:pPr>
      <w:bookmarkEnd w:id="72"/>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لمن لم يتعيّن عليه القضاء الارتزاق من بيت المال ولو كان غنيّاً، وإن كان الأولى الترك مع الغنى، ويجوز مع تعيّنه عليه إذا كان محتاجاً، ومع كونه غنيّاً لا يخلو من إشكال؛ وإن كان الأقوى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أخذ الجعل من المتخاصمين أو أحدهما، فالأحوط الترك حتّى مع عدم التعيّن عليه، ولو كان محتاجاً يأخذ الجعل أو الأجر على بعض المقدّمات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ثلاث 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ارتزاق القاضي 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أخذ الاجرة على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الجعل من المتخاصمين، أو من أحدهما، أو من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للقاضي أربع حالات، فإنّه قد يتعيّن عليه القضاء، فيكون القضاء واجباً عينيّاً عليه، وقد لا يتعيّن عليه، بل يجب عليه كفاية، وعلى الحالتين؛ قد يكون غنيّاً وله كفاية من ماله، وقد يكون محتاجاً ولو من جهة اشتغاله بالقضاء فلا تبقى له فرصة للاكتساب</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2354461_3650668749"/>
      <w:bookmarkStart w:id="74" w:name="_Toc27"/>
      <w:bookmarkEnd w:id="73"/>
      <w:r>
        <w:rPr>
          <w:rtl w:val="true"/>
        </w:rPr>
        <w:t>ارتزاق القاضي من بيت المال‌</w:t>
      </w:r>
      <w:bookmarkEnd w:id="74"/>
    </w:p>
    <w:p>
      <w:pPr>
        <w:pStyle w:val="Heading5"/>
        <w:numPr>
          <w:ilvl w:val="4"/>
          <w:numId w:val="1"/>
        </w:numPr>
        <w:rPr/>
      </w:pPr>
      <w:bookmarkStart w:id="75" w:name="__RefHeading___Toc2354463_3650668749"/>
      <w:bookmarkStart w:id="76" w:name="_Toc28"/>
      <w:bookmarkEnd w:id="75"/>
      <w:r>
        <w:rPr>
          <w:rtl w:val="true"/>
        </w:rPr>
        <w:t>اشارة</w:t>
      </w:r>
      <w:bookmarkEnd w:id="76"/>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ارتزاق القاضي من بيت المال وفيها أقوال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مطلقاً، أي مع تعيّن القضاة عليه وعدمه ومع غنائه واحتياجه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الجواز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عدم تعيّن القضاء عليه، يجوز له الارتزاق وإن كان غنيّاً ومع التعيّن وغناه، لا يجوز له الارتزاق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بيت المال هو البيت أو الصندوق الذي يجمع فيه ما يصرف في مصالح الإسلام والمسلمين، وليس له مصرف خاصّ كالأنفال، والجزية؛ والخراج؛ والمقاسمة؛ والمال الموصي صرفه في وجوه البرّ، والقسم الخاصّ من الزكاة؛ الذي يصرف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 بالجواز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الارتزاق من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اختاره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xml:space="preserve">والسيّد الطباطبائي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العروة</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xml:space="preserve">والعلامة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 xml:space="preserve">والسيّد الخوئي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مباني تكملة المنهاج</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والدليل عليه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بيت المال معدّ لمصالح المسلمين وهذا منها لتوقّف انتظام امور المسلمين عليه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استقرّت السيرة بين المسلمين عليه من صدر الإسلام، وفي زمن الخلفاء؛ حيث إنّ القضاة كانوا يرتزقون من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قدامة</w:t>
      </w:r>
      <w:r>
        <w:rPr>
          <w:rFonts w:eastAsia="Amiri" w:cs="Amiri" w:ascii="Amiri" w:hAnsi="Amiri"/>
          <w:color w:val="111111"/>
          <w:sz w:val="28"/>
          <w:szCs w:val="28"/>
          <w:rtl w:val="true"/>
          <w:lang w:bidi="ar-SA"/>
        </w:rPr>
        <w:t>:</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عمر أنه استعمل زيد بن ثابت على القضاء وفرض له رزقاً ورزق شريحاً في كلّ شهر 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استمرّت السيرة في عهد خلافة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الظاهرية،</w:t>
      </w:r>
    </w:p>
    <w:p>
      <w:pPr>
        <w:pStyle w:val="BookText"/>
        <w:rPr/>
      </w:pPr>
      <w:r>
        <w:rPr>
          <w:rFonts w:ascii="Amiri" w:hAnsi="Amiri" w:eastAsia="Amiri" w:cs="Amiri"/>
          <w:color w:val="111111"/>
          <w:sz w:val="28"/>
          <w:sz w:val="28"/>
          <w:szCs w:val="28"/>
          <w:rtl w:val="true"/>
          <w:lang w:bidi="ar-SA"/>
        </w:rPr>
        <w:t xml:space="preserve">فجعل لشريح من بيت المال شيئاً أقلّ ممّا كان في زمن عمر حيث جعل له في‌كلّ سنة خمس مائة درهم، أي في كلّ شهر ما يقرب من واحد وأربعين درهماً ونصفاً،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القضاء</w:t>
      </w:r>
      <w:r>
        <w:rPr>
          <w:rFonts w:eastAsia="Amiri" w:cs="Amiri" w:ascii="Amiri" w:hAnsi="Amiri"/>
          <w:color w:val="111111"/>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104"/>
      </w:r>
      <w:r>
        <w:rPr>
          <w:rFonts w:ascii="Amiri" w:hAnsi="Amiri" w:eastAsia="Amiri" w:cs="Amiri"/>
          <w:color w:val="111111"/>
          <w:sz w:val="28"/>
          <w:sz w:val="28"/>
          <w:szCs w:val="28"/>
          <w:rtl w:val="true"/>
          <w:lang w:bidi="ar-SA"/>
        </w:rPr>
        <w:t>، ولم يفرّقوا بين تعيّنه عليه وعدمه ولم يعهد منهم السؤال عن كفايته وغناه وعدمها، ولا دليل على كون بيت المال لذوي الحاجة أصلًا، بل هو معدّ للمصالح العامّة، بل الأدلّة مطلقة كمايأتي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 به السيّد</w:t>
      </w:r>
      <w:r>
        <w:rPr>
          <w:rStyle w:val="FootnoteAnchor"/>
          <w:rtl w:val="true"/>
        </w:rPr>
        <w:footnoteReference w:id="105"/>
      </w:r>
      <w:r>
        <w:rPr>
          <w:rFonts w:ascii="Amiri" w:hAnsi="Amiri" w:eastAsia="Amiri" w:cs="Amiri"/>
          <w:color w:val="111111"/>
          <w:sz w:val="28"/>
          <w:sz w:val="28"/>
          <w:szCs w:val="28"/>
          <w:rtl w:val="true"/>
          <w:lang w:bidi="ar-SA"/>
        </w:rPr>
        <w:t xml:space="preserve">أيضاً وهو إطلاق مرسلة حمّاد بن عيسى الطويلة الواردة في الخمس، والأنفال، والغنائم، والأرضين التي أخذت عنوة، والزكاة، وفيها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ويؤخذ الباقي، فيكون بعد ذلك أرزاق أعوانه على دين الله، وفي مصلحة ما ينوبه من تقوية الإسلام، وتقوية الدين في وجوه الجهاد، وغير ذلك ممّا فيه مصلحة العامّة</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 يظهر منه جواز الرزق للقاضي من بيت المال وهو تامّ لأنّ القضاء من أوضح مصاديق ما فيه مصلحة العامّة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الرواية وإن كانت مرسلة، ولكنّها منجبرة بعمل الأصحاب، كما قاله الفاضل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ولذا ذهب إلى جواز الارتزاق من بيت المال ولو مع التعيين وعدم الحاجة، كما حكي عن بعضهم عليه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الجواز بالحاجة ولا وجه له بعد عموم الرواية المنجبرة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استدلّ به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xml:space="preserve">من إطلاق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من إمارة ورزق للأمير، ولا بدّ من عريف ورزق للعريف، ولا بدّ من حاسب ورزق للحاسب، ولا بدّ من قاضٍ ورزق للقاضي، وكره أن يكون رزق القاضي على الناس الذين يقضي لهم، ولكن من بيت المال</w:t>
      </w:r>
      <w:r>
        <w:rPr>
          <w:rFonts w:eastAsia="Amiri" w:cs="Amiri" w:ascii="Amiri" w:hAnsi="Amiri"/>
          <w:color w:val="111111"/>
          <w:sz w:val="28"/>
          <w:szCs w:val="28"/>
          <w:rtl w:val="true"/>
          <w:lang w:bidi="ar-SA"/>
        </w:rPr>
        <w:t>»</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يدلّ على جواز رزق القاضي من بيت المال بنحو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الارتزاق غير أخذ الاجرة فإنّ الاجرة في مقابل العمل، فيأخذها الأجير في قبال عمله وأمّا الارتزاق فيكون للشخص بما أنّه قاض أو مؤذّن أو غيرهما لا في مقابل القضاء أو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إلى مالك الأشتر عامله على مصر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واختر للحكم بين الناس أفضل رعيّتك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صفات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وأكثر تعاهد قضائه وافسح له في البذل ما يزيح علّته، وتقلّ معه حاجته إلى الناس</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ومعلوم أنّه أمر بالبذل إلى القاضي من بيت المال، فإنّه ليس عند عامله غيره، وهو أيضاً لا إشكال في إطلاقه بالنسبة إلى الجهات المذكورة من وجوبه عليه عيناً وكفاية وغناه أو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الارتزاق من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فقد اختاره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وغيره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له بصحيحة عبدالله بن سنان قال 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قاض بين قريتين أو فريقين، يأخذ من السلطان على القضاء الرزق،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السحت</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وقد رواها المحمّدون الثلاثة</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لعلّه من جهة أخذه من السلطان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قلنا إنّ ما يؤخذ من السلطان بما أنّه مأخوذ من السلطان سحت أو بما أنّه مأخوذ بإزاء القضاء 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الاستدلال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القول بالتفصيل فممّن قال به هو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ولّى من لا يتعيّن عليه القضاء فإن كان له كفاية من ماله، فالأفضل أن لا يطلب الرزق من بيت المال</w:t>
      </w:r>
      <w:r>
        <w:rPr>
          <w:rFonts w:eastAsia="Amiri" w:cs="Amiri" w:ascii="Amiri" w:hAnsi="Amiri"/>
          <w:color w:val="111111"/>
          <w:sz w:val="28"/>
          <w:szCs w:val="28"/>
          <w:rtl w:val="true"/>
          <w:lang w:bidi="ar-SA"/>
        </w:rPr>
        <w:t>»</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توفيراً لغيره من المصالح ولو طلب جاز لأنّه من المصالح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تعيّن عليه القضاء ولم يكن له كفاية، جاز له أخذ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له كفاية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أخذ الرزق، لأنّه يؤدّي فرضاً</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أنّه اكتفى بنقل عدم الجواز والتعليل له، يستظهر أنّه قَبِلَه، فعمدة استدلاله وكذا استدلال غيره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القضاء عيناً، ولا ضرورة له من</w:t>
      </w:r>
      <w:bookmarkStart w:id="77" w:name="pg1791_15325"/>
    </w:p>
    <w:p>
      <w:pPr>
        <w:pStyle w:val="BookText"/>
        <w:rPr/>
      </w:pPr>
      <w:bookmarkEnd w:id="77"/>
      <w:r>
        <w:rPr>
          <w:rFonts w:ascii="Amiri" w:hAnsi="Amiri" w:eastAsia="Amiri" w:cs="Amiri"/>
          <w:color w:val="111111"/>
          <w:sz w:val="28"/>
          <w:sz w:val="28"/>
          <w:szCs w:val="28"/>
          <w:rtl w:val="true"/>
          <w:lang w:bidi="ar-SA"/>
        </w:rPr>
        <w:t>جهة الإعاشة فارتزاقه من بيت المال وأخذ الرزق، ينافي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فرقنا بين الارتزاق وأخذ الاجرة والعوض على القضاء، فلو سلّمنا التنافي بين الوجوب وأخذ العوض لم ينطبق على الارتزاق من بيت المال بلا شبهة</w:t>
      </w:r>
      <w:r>
        <w:rPr>
          <w:rFonts w:eastAsia="Amiri" w:cs="Amiri" w:ascii="Amiri" w:hAnsi="Amiri"/>
          <w:color w:val="111111"/>
          <w:sz w:val="28"/>
          <w:szCs w:val="28"/>
          <w:rtl w:val="true"/>
          <w:lang w:bidi="ar-SA"/>
        </w:rPr>
        <w:t>.</w:t>
      </w:r>
    </w:p>
    <w:p>
      <w:pPr>
        <w:pStyle w:val="Heading5"/>
        <w:numPr>
          <w:ilvl w:val="4"/>
          <w:numId w:val="1"/>
        </w:numPr>
        <w:rPr/>
      </w:pPr>
      <w:bookmarkStart w:id="78" w:name="__RefHeading___Toc2354465_3650668749"/>
      <w:bookmarkStart w:id="79" w:name="_Toc29"/>
      <w:bookmarkEnd w:id="78"/>
      <w:r>
        <w:rPr>
          <w:rtl w:val="true"/>
        </w:rPr>
        <w:t>أخذ الاجرة أو الجعل في القضاء</w:t>
      </w:r>
      <w:bookmarkEnd w:id="79"/>
    </w:p>
    <w:p>
      <w:pPr>
        <w:pStyle w:val="BookText"/>
        <w:rPr/>
      </w:pPr>
      <w:r>
        <w:rPr>
          <w:rFonts w:ascii="Amiri" w:hAnsi="Amiri" w:eastAsia="Amiri" w:cs="Amiri"/>
          <w:color w:val="111111"/>
          <w:sz w:val="28"/>
          <w:sz w:val="28"/>
          <w:szCs w:val="28"/>
          <w:rtl w:val="true"/>
          <w:lang w:bidi="ar-SA"/>
        </w:rPr>
        <w:t>مسألتا الثانية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الاجرة؛ أو الجعل على القضاء من المتخاصمين، أو من أحدهما، أو من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في المسألتين واحد، فإن حكم أخذ الجعل مثل حكم أخذ الاجرة بلا تفاوت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المتعارف اليوم، هو توظيف القضاة في السلطة القضائية وتعيين الأجر لهم فحينئذٍ لا وجه لأخذ الجعل من المتخاصمين، بل لا يجوز بلا شبهة، فلذا نمحّض البحث في الاجرة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البحث عن ارتزاق القاضي من بيت المال، فهو وإن لم يكن محلًا للابتلاء فعلًا، لكنّا سنبحث عنه لأجل توضيح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مصارفه</w:t>
      </w:r>
      <w:r>
        <w:rPr>
          <w:rFonts w:eastAsia="Amiri" w:cs="Amiri" w:ascii="Amiri" w:hAnsi="Amiri"/>
          <w:color w:val="111111"/>
          <w:sz w:val="28"/>
          <w:szCs w:val="28"/>
          <w:rtl w:val="true"/>
          <w:lang w:bidi="ar-SA"/>
        </w:rPr>
        <w:t>.</w:t>
      </w:r>
    </w:p>
    <w:p>
      <w:pPr>
        <w:pStyle w:val="Heading5"/>
        <w:numPr>
          <w:ilvl w:val="4"/>
          <w:numId w:val="1"/>
        </w:numPr>
        <w:rPr/>
      </w:pPr>
      <w:bookmarkStart w:id="80" w:name="__RefHeading___Toc2354467_3650668749"/>
      <w:bookmarkStart w:id="81" w:name="_Toc30"/>
      <w:bookmarkEnd w:id="80"/>
      <w:r>
        <w:rPr>
          <w:rtl w:val="true"/>
        </w:rPr>
        <w:t>أخذ الاجرة على القضاء من بيت المال‌</w:t>
      </w:r>
      <w:bookmarkEnd w:id="81"/>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جواز أخذ الاجرة على القضاء على أقوال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مطلقاً، قال به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ونقله عن جماعة</w:t>
      </w:r>
      <w:r>
        <w:rPr>
          <w:rStyle w:val="FootnoteAnchor"/>
          <w:rtl w:val="true"/>
        </w:rPr>
        <w:footnoteReference w:id="119"/>
      </w:r>
      <w:r>
        <w:rPr>
          <w:rFonts w:ascii="IRNazanin" w:hAnsi="IRNazanin" w:eastAsia="IRNazanin"/>
          <w:color w:val="111111"/>
          <w:sz w:val="28"/>
          <w:sz w:val="28"/>
          <w:szCs w:val="28"/>
          <w:rtl w:val="true"/>
          <w:lang w:bidi="fa-IR"/>
        </w:rPr>
        <w:t>، بل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واستظهره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مباني التكملة</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الجواز مطلقاً، كما عن جماعة، منهم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عندنا لا يجوز بحال</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وظاهره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أخذ الجعل من المتخاصمين أو أحدهما، فالأحوط الترك حتّى مع عدم التعيّن عليه</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من لا يتعيّن عليه القضاء أو مع الحاجة أيضاً فيجوز، وبين من يتعيّن عليه أو مع الكفاية، فلا يجوز، كما قال به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وأقواها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الجواز مطلقاً لعدم الدليل على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جواز أخذ الاجرة على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الروايات؛ وكلاهما ممنوع، فإذا لم يكن دليل على المنع فالوجه الجواز؛ للأصل والإطلاقات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دليل عدم جواز أخذ الاجرة على الواجبات فقالوا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التنافي بين وجوب عمل على شخص، وأخذ الاجرة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التنافي بين قصد القربة المعتبرة في العبادات وبين أخذ الاجرة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الاولى، فلأنّه يعتبر في صحّة الإجارة أن يكون متعلّقها مملوكاً للموجر حتّى يصحّ نقله إلى المستأجر، سواء كان اعتبار المملوكية ثابتاً له قبل العقد كمنافع الدار المملوكة قبل الإجارة، أو كان اعتبار المملوكية بعد العقد كعمل</w:t>
      </w:r>
    </w:p>
    <w:p>
      <w:pPr>
        <w:pStyle w:val="BookText"/>
        <w:rPr/>
      </w:pPr>
      <w:r>
        <w:rPr>
          <w:rFonts w:ascii="Amiri" w:hAnsi="Amiri" w:eastAsia="Amiri" w:cs="Amiri"/>
          <w:color w:val="111111"/>
          <w:sz w:val="28"/>
          <w:sz w:val="28"/>
          <w:szCs w:val="28"/>
          <w:rtl w:val="true"/>
          <w:lang w:bidi="ar-SA"/>
        </w:rPr>
        <w:t>الحرّ فإنّه وإن لم يعتبر مملوكاً لعامله قبل العقد إلا أنّه بالعقد يعتبر مملوكاً للمستأجر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تعلّق الوجوب بعمل، يوجب أن لا يكون مملوكاً للفاعل حتّى يصحّ نقله بالإجارة لأنّه يصير حينئذٍ مملوكاً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ومستحقّاً له، فعلى عهدته أن يعمل‌هذا العمل لله تعالى، فلا يمكن أن ينقله إلى المستأجر ويأخذ الاجرة عليه‌ويعمله له فإنّه نظير أن يؤاجر نفسه لرجلين لعمل مثل الحجّ في سنة واحدة عنهما وليس ذلك إلا من جهة أنّ الفعل صار مملوكاً للأوّل، ومستحقّاً له فلا معنى لتمليكه ثانياً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تقريره في الواجب الكفائي أيضاً، فإنّ العمل قبل صدوره من العامل، وإن لم يتّصف بكونه مملوكاً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تعيّنه عليه؛ إلا أنّه بعد أن أراد إصداره يتّصف بكونه مملوكاً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صدر العمل مملوكاً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يمكن أن تتعلّق به الإجارة المقتضية لكون العمل صادراً مملوكاً للمستأجر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أقوى الوجوه التي استدلّ بها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لو تمّ، لكان مقتضاه عدم جواز أخذ الاجرة على القضاء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من جانب الله عزّ وجلّ إذا تعلّق بفعل، يوجب البعث وتحريك العبد إلى إتيان ذلك الفعل، وغاية ما يدلّ عليه أنّ الفعل كان مطلوباً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وأراد من عبده صدوره، أمّا دلالته على كونه مملوكاً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بل ولا يستفاد من أيّ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حقّق في الاصول أنّ متعلّق الأحكام، إنّما هي نفس الطبائع، لا الأفراد، ولا معنى لكون الطبيعة مملوكة أصلًا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أجاب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مانع من اجتماع المالكين إذا كانت إحدى</w:t>
      </w:r>
    </w:p>
    <w:p>
      <w:pPr>
        <w:pStyle w:val="BookText"/>
        <w:rPr/>
      </w:pPr>
      <w:r>
        <w:rPr>
          <w:rFonts w:ascii="Amiri" w:hAnsi="Amiri" w:eastAsia="Amiri" w:cs="Amiri"/>
          <w:color w:val="111111"/>
          <w:sz w:val="28"/>
          <w:sz w:val="28"/>
          <w:szCs w:val="28"/>
          <w:rtl w:val="true"/>
          <w:lang w:bidi="ar-SA"/>
        </w:rPr>
        <w:t>الملكيتين في طول الاخرى فإنّ الله عزّ وجلّ مالك لذلك الفعل، والمستأجر أيضاً مالك له</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الثانية، فلأنّ في الواجبات العبادية يلزم العبد أن يأتي بها بداعي القربة، وبداعي امتثال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ينافي الداعي الآخر، وهو أن يأتي بها بإزاء الاجرة المأخوذة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جمع من المحقّقين بأنّ الاجرة داعية في طول داعي القربة لا في عرضه، وما يضرّ بالإخلاص إنّما هو الداعي الدنيوي الذي هو في عرض داعي الامتثال، كالرياء، وسائر الدواعي النفسانية، وأمّا إذا كان في طوله فلا بأس، كما في المقام، فإنّ الداعي لنفس العمل هو امتثال الأمر المتعلّق به، وأمّا الداعي لإتيان العمل بداعي امتثال أمره، فهو عرض آخر دنيوي أو اخروي لا يرجع إلى الله عزّ وجلّ، ولا بأس به، لأنّه لا دليل على لزوم أن يكون سلسلة العلل كلّها راجعة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ولازمه الحكم ببطلان عبادة جلّ الناس بل كلّهم، عدا من عصمه الله عزّ وجلّ منهم، لأنّ داعيهم إلى امتثال أوامر الله عزّ وجلّ إنّما هو الخوف من العقاب أو الطمع في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تنافي بين الداعيين أي قصد القربة، وأخذ الاجرة على الواجبات العبادية، وكذا لا تنافي بين الوجوب وأخذ الاجرة، فما قيل من عدم جواز أخذ الاجرة على الواجبات في غير محلّه، ولا وجه له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قام الدليل على أنّ بعض الواجبات، لابدّ أن يؤتي بها مجّاناً وبلا عوض مثل العباديات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لم‌يكن 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الواجبات الكفائية المتوقّفة</w:t>
      </w:r>
    </w:p>
    <w:p>
      <w:pPr>
        <w:pStyle w:val="BookText"/>
        <w:rPr/>
      </w:pPr>
      <w:r>
        <w:rPr>
          <w:rFonts w:ascii="Amiri" w:hAnsi="Amiri" w:eastAsia="Amiri" w:cs="Amiri"/>
          <w:color w:val="111111"/>
          <w:sz w:val="28"/>
          <w:sz w:val="28"/>
          <w:szCs w:val="28"/>
          <w:rtl w:val="true"/>
          <w:lang w:bidi="ar-SA"/>
        </w:rPr>
        <w:t>حفظ النظام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أخذ الاجرة عليها، ومنها القضاء، والطبابة، وأمثالهما لعدم احتياجها إلى 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على عدم الجواز بصحيحة عمّار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غُلَ</w:t>
      </w:r>
      <w:r>
        <w:rPr>
          <w:rStyle w:val="FootnoteAnchor"/>
          <w:rtl w:val="true"/>
        </w:rPr>
        <w:footnoteReference w:id="1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غلّ شيئاً من المغنم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 منه خفية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خان في شئ خفية فقد 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الحقد والغش، أغلّه أي نسبه إلى الخيانة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الإمام فهو سحت، والسحت أنواع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اصيب من أعمال الولاة الظلمة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اجور القضاة واجور الفواجر، وثمن الخمر والنبيذ المسكر، والربا بعد البيّنة، فأمّا الرشا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الأحكام، فإنّ ذلك الكفر بالله العظيم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منها أنّ اجور القضاة سحت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محلّى بالألف واللام، فيدلّ على العموم، أي أنّ كلّ ما يأخذه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منصوباً من قبل السلطان العادل أو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الأجر فهو سحت</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عنه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الظاهر منها أنّ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 اجور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الموصول في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اصيب من أعمال 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عدم تكرار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اجور الفواجر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 فيصير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الأموال التي تصاب من أعمال 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منها اجور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سحت، فلا دلالة فيها على أنّ الأجر على القضاة محرّم مطلقاً حتّى إذا لم يكن من عمّال ولاة الجور، كان قضاؤه حقّاً</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يرد على استدلال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تكرار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اجور القضاة وما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دليلًا على عدم جواز إرجاع الضمير في منها إلى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يراجع الضمير إلى الموصول في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اصيب من أعمال الولاة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يصحّ أن يتكرّر كلمة منها في بيان تمام الأقسام؛ ويقال منها فلان، ومنها فلان، ومنها فلان؛ واخرى لا يتكرّر أصلًا بأن قال ذلك وذلك وذلك وثالثة يصحّ أن يتكرّر في مورد، أو موردين، ولا يتكرّر في الباقي، فإنّه أمر متعارف وليس فيه إبهام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يوافق القواعد العربية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 مذكّر، ولا بدّ من إرجاع ضمير المذكّر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بلحاظ المعنى مؤنّث، فإنّه بمعنى الأموال، فمع هذا لا يجوز أيضاً إرجاع ضمير المؤنّث إليه، لإرجاع ضمير المذكّر في اصيب إليه ولا يصحّ لحاظ اللفظ في واحد ولحاظ المعنى في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الاستدلال بالرواية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القضاة الذين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اجورهم من السحت هم الذين كانوا مشتغلين بالقضاء ومتصدّين له من قِبَلِ ولاة الجور، وعلى الأقلّ فإنّ القدر المتيقّن منهم ذلك، وإطلاق الرواية أيضاً منصرف إليه فلا تشمل القضاة الذين ليس لهم تلك الخصوصية بلا إشكال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يستدلّ على عدم الجواز بصحيحة عبدالله بن سِنان المتقدّمة،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قاض بين قريتين، يأخذ من السلطان على القضاء الرزق،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السحت</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bookmarkStart w:id="82" w:name="pg1791_15338"/>
    </w:p>
    <w:p>
      <w:pPr>
        <w:pStyle w:val="BookText"/>
        <w:rPr/>
      </w:pPr>
      <w:bookmarkEnd w:id="82"/>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القضاء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على الاجرة،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السحت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كونه سحتاً، إنّما هو من جهة الأخذ من السلطان الجائر، كما تقدّم، ولا يشمل غيره</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2354469_3650668749"/>
      <w:bookmarkStart w:id="84" w:name="_Toc31"/>
      <w:bookmarkEnd w:id="83"/>
      <w:r>
        <w:rPr>
          <w:rtl w:val="true"/>
        </w:rPr>
        <w:t>حاصل الكلام في أخذ الاجرة للقاضي من بيت المال‌</w:t>
      </w:r>
      <w:bookmarkEnd w:id="84"/>
    </w:p>
    <w:p>
      <w:pPr>
        <w:pStyle w:val="BookText"/>
        <w:rPr/>
      </w:pPr>
      <w:r>
        <w:rPr>
          <w:rFonts w:ascii="Amiri" w:hAnsi="Amiri" w:eastAsia="Amiri" w:cs="Amiri"/>
          <w:color w:val="111111"/>
          <w:sz w:val="28"/>
          <w:sz w:val="28"/>
          <w:szCs w:val="28"/>
          <w:rtl w:val="true"/>
          <w:lang w:bidi="ar-SA"/>
        </w:rPr>
        <w:t>ثمّ إنّه بعد ما تبيّن عدم تمامية عمدة ما استدلّ به على المنع مطلقاً، فالمستفاد من الأصل وإطلاقات أدلّة الإجارة هو الجواز مطلقاً، فإنّ عمل الإنسان محترم، وينتفع منه المجتمع فإذا كان واجداً لبقية شروط الإجارة فلا وجه للمنع عنه، فمقتضى الأصل، صحّة أخذ الاجرة في مقابل عمل القاضي، كما تشمله إطلاقات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إحتاط لزوماً في عدم جواز أخذ الاجره على القضاء مطلقاً؛ حتّى في صورة عدم التعيّن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الوجه فيه ما يستفاد من بعض الكلمات والاستدلالات لصاحب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كان من القائلين بعدم جواز أخذ الاجرة على القضاء مطلقاً وعدم جواز ارتزاق القاضي من بيت المال مطلقاً، لكنّه أجاز له عند الحاجة الارتزاق من بيت المال، لكونه أحد المحتاجين والفقراء الذين يمكن ارتزاقهم من بيت المال لا بعنوان القاضي</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عليه بوجوه في كتاب التجارة،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من مناصب السلطان الذي أمرالله عزّ وجلّ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w:t>
      </w:r>
      <w:r>
        <w:rPr>
          <w:rStyle w:val="FootnoteAnchor"/>
          <w:rtl w:val="true"/>
        </w:rPr>
        <w:footnoteReference w:id="128"/>
      </w:r>
      <w:r>
        <w:rPr>
          <w:rFonts w:ascii="Amiri" w:hAnsi="Amiri" w:eastAsia="Amiri" w:cs="Amiri"/>
          <w:color w:val="111111"/>
          <w:sz w:val="28"/>
          <w:sz w:val="28"/>
          <w:szCs w:val="28"/>
          <w:rtl w:val="true"/>
          <w:lang w:bidi="ar-SA"/>
        </w:rPr>
        <w:t>وأوجب التأسي</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لَكُمْ فِى رَسُولِ اللهِ اسْوَةٌ حَسَنَةٌ لِمَنْ كَانَ يَرْجُو اللهَ وَالْيَوْمَ الآخِرَ وَذَكَرَ اللهَ كَثِيراً</w:t>
      </w:r>
      <w:r>
        <w:rPr>
          <w:rStyle w:val="FootnoteAnchor"/>
          <w:rtl w:val="true"/>
        </w:rPr>
        <w:footnoteReference w:id="130"/>
      </w:r>
      <w:r>
        <w:rPr>
          <w:rFonts w:ascii="Amiri" w:hAnsi="Amiri" w:eastAsia="Amiri" w:cs="Amiri"/>
          <w:color w:val="111111"/>
          <w:sz w:val="28"/>
          <w:sz w:val="28"/>
          <w:szCs w:val="28"/>
          <w:rtl w:val="true"/>
          <w:lang w:bidi="ar-SA"/>
        </w:rPr>
        <w:t>لكنّ الظاهر عدم تمامية الاستدلال بالآية، فإنّ الآية راجعة إلى أمر تبليغ الرسالة وهداية الناس المأمور به من جانب الله عزّ وجلّ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فَأنذِرْ</w:t>
      </w:r>
      <w:r>
        <w:rPr>
          <w:rStyle w:val="FootnoteAnchor"/>
          <w:rtl w:val="true"/>
        </w:rPr>
        <w:footnoteReference w:id="131"/>
      </w: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فَاصْدَعْ بِمَا تُؤْمَرُ</w:t>
      </w:r>
      <w:r>
        <w:rPr>
          <w:rStyle w:val="FootnoteAnchor"/>
          <w:rtl w:val="true"/>
        </w:rPr>
        <w:footnoteReference w:id="132"/>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فَاسْتَقِمْ كَمَا امِرْتَ</w:t>
      </w:r>
      <w:r>
        <w:rPr>
          <w:rStyle w:val="FootnoteAnchor"/>
          <w:rtl w:val="true"/>
        </w:rPr>
        <w:footnoteReference w:id="133"/>
      </w:r>
      <w:r>
        <w:rPr>
          <w:rFonts w:ascii="Amiri" w:hAnsi="Amiri" w:eastAsia="Amiri" w:cs="Amiri"/>
          <w:color w:val="111111"/>
          <w:sz w:val="28"/>
          <w:sz w:val="28"/>
          <w:szCs w:val="28"/>
          <w:rtl w:val="true"/>
          <w:lang w:bidi="ar-SA"/>
        </w:rPr>
        <w:t>فلا تكون مرتبطة بباب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وجه احتياط الإمام هو ما يستفاد من صدر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من مناصب السلطان الذي أمر الله عزّ وجلّ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الّذِينَ آتَيْنَاهُمُ الْكِتَابَ وَالْحُكْمَ وَالنُّبُوَّةَ فَإِنْ يَكْفُرْ بِهَا هَؤُلاءِ فَقَدْ وَكَّلْنَا بِهَا قَوْماً لَيْسُوا بِهَا بِكَافِرِينَ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الّذِينَ هَدَى اللهُ فَبِهُدَاهُمْ اقْتَدِهِ قُلْ لا أسْألُكُمْ عَلَيْهِ أجْراً إِنْ هُوَ إِلا ذِكْرَى لِلْعَالَمِينَ</w:t>
      </w:r>
      <w:r>
        <w:rPr>
          <w:rStyle w:val="FootnoteAnchor"/>
          <w:rtl w:val="true"/>
        </w:rPr>
        <w:footnoteReference w:id="134"/>
      </w:r>
      <w:r>
        <w:rPr>
          <w:rFonts w:ascii="Amiri" w:hAnsi="Amiri" w:eastAsia="Amiri" w:cs="Amiri"/>
          <w:color w:val="111111"/>
          <w:sz w:val="28"/>
          <w:sz w:val="28"/>
          <w:szCs w:val="28"/>
          <w:rtl w:val="true"/>
          <w:lang w:bidi="ar-SA"/>
        </w:rPr>
        <w:t xml:space="preserve">ولهذا في توجيه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أصل كون منصب القضاء من مناصب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إلا أنّ هذا المنصب الجليل ممّا فوّضه الله عزّ وجلّ إلى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ليحكم بين الناس بما أنزل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وَرَبِّكَ لا يُؤْمِنُونَ حَتَّى يُحَكِّمُوكَ فِيمَا شَجَرَ بَيْنَهُمْ ثمّ لا يَجِدُوا فِى أنفُسِهِمْ حَرَجاً مِمَّا قَضَيْتَ وَيُسَلّمُوا تَسْلِيماً</w:t>
      </w:r>
      <w:r>
        <w:rPr>
          <w:rStyle w:val="FootnoteAnchor"/>
          <w:rtl w:val="true"/>
        </w:rPr>
        <w:footnoteReference w:id="135"/>
      </w: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لشريح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جلست مجلساً لا يجلسه إلا نبيّ، أو وصيّ نبيّ، أو شقيّ</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xml:space="preserve">، فلا ينبغي لمن إتّكأ على هذا المتّكأ وجلس هذا المجلس العظيم للحكم بين عباده، أن يأخذ منهم الاجرة، بل مناسبة الحكم والموضوع تقتضي أن يكون القضاء مجّاناً؛ وليس قابلًا لأن تقع عليه الإجارة؛ لأنّه من المناصب الإلهية 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هذه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احتاط في المقام لزوماً، لما كان في ذهنه الشريف من أنّ المنصب ينافي أخذ الاجرة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يصحّ الالتزام بهذه المقالة فيما لو كان مجتهداً جامعاً للشروط وفقيهاً منصوباً من قبل الإمام عموماً، وقد يتّفق مراجعة بعض الناس إليه لفصل الخصومة في كلّ يوم مرّة، ومرّتين؛ فحينئذٍ يأتي إلى الذهن أنّ أخذه الاجرة على هذا الأمر العظيم غير مناسب لمقامه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أنّ له خصوصيات كخصوصيات قضاء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الاعتراض عليه، ووجوب القبول، كما كان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يَجِدُوا فِى أنفُسِهِمْ حَرَجاً مِمَّا قَضَيْتَ وَيُسَلّمُوا تَسْلِيماً</w:t>
      </w:r>
      <w:r>
        <w:rPr>
          <w:rStyle w:val="FootnoteAnchor"/>
          <w:rtl w:val="true"/>
        </w:rPr>
        <w:footnoteReference w:id="137"/>
      </w:r>
      <w:r>
        <w:rPr>
          <w:rFonts w:ascii="Amiri" w:hAnsi="Amiri" w:eastAsia="Amiri" w:cs="Amiri"/>
          <w:color w:val="111111"/>
          <w:sz w:val="28"/>
          <w:sz w:val="28"/>
          <w:szCs w:val="28"/>
          <w:rtl w:val="true"/>
          <w:lang w:bidi="ar-SA"/>
        </w:rPr>
        <w:t>ولما في مقبولة عمر بن حنظلة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حكم بحكمنا فلم يقبل منه، فإنّما استخفّ بحكم الله، وعليه ردّ، والرادّ علينا الرادّ على الله، وهو على حدّ الشرك بالله عزّ وجلّ</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طرح الدعوى عند قاض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نقض الحكم من قبل قاض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غيرها، فمن هذه الخصوصيّات يستفاد لزوم كون قضائه مجّاناً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لا يمكن تطبيقه على ما هو المبتلى به في هذا الزمان، حيث رفعت اليد عن اعتبار الاجتهاد المطلق في القاضي، إلى مَن أمكنه القضاء تقليداً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لكثرة القضايا بحيث صار القضاء من الوظائف الرسمية في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أجازه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ولايته، في الجمهورية الإسلامية في إيران مع أنّه كان معتقداً قبل ذلك اشتراط الاجتهاد المطلق في القاضي، كما لم يعترض على توظيف القضاة؛ وأخذهم الاجرة على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قاله في ذيل كلامه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لوكان محتاجاً يأخذ الجعل أو الأجر على بعض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قويّ على ما في ذهنه الشريف من الفرض، وإلا ففي هذه الأزمنة يتصدّى أعوان القاضي جميع المقدّمات كرئيس مكتبة أو المشاور أو غيرها؛ وليست المقدّمات على عهدة القاضي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المقدّمات على قسمين كما ذكرهما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فبعضها داخل في أمر القضاء، كسماع الشهادة، والجرح، والتعديل، ونحوهما؛ فتكون كالقضاء في تحريم العوض، وبعضها خارج عن القضاء ومقدّماته، كالكتابة ونحوها، وهذه يجوز أخذ الاجرة عليها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بقي أمران متعارفان ومتداولان اليوم في النظام القضائي في الجمهورية الإسلامية، وفي جميع المحاكم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تأخذه المحكمة من مال المدّعى متناسباً مع المدّعى‌به</w:t>
      </w:r>
    </w:p>
    <w:p>
      <w:pPr>
        <w:pStyle w:val="BookText"/>
        <w:rPr/>
      </w:pPr>
      <w:r>
        <w:rPr>
          <w:rFonts w:ascii="Amiri" w:hAnsi="Amiri" w:eastAsia="Amiri" w:cs="Amiri"/>
          <w:color w:val="111111"/>
          <w:sz w:val="28"/>
          <w:sz w:val="28"/>
          <w:szCs w:val="28"/>
          <w:rtl w:val="true"/>
          <w:lang w:bidi="ar-SA"/>
        </w:rPr>
        <w:t>بحسب النسبة المئوية وما تلزمه به المدّعى من دفع قيمة بعض الطوابع المالية حتّى تقدّم على قبول دعواه وكتابتها في سجلات المحكمة؛ بحيث لو امتنع المدّعى من أدائه لامتنعت المحكمة من قبول دعواه، واستماعها، وإثباتها في سجلاتها، فهل يجوز إعطاء هذا المبلغ وأخذه أم لا؟</w:t>
      </w:r>
    </w:p>
    <w:p>
      <w:pPr>
        <w:pStyle w:val="BookText"/>
        <w:rPr/>
      </w:pPr>
      <w:r>
        <w:rPr>
          <w:rFonts w:ascii="Amiri" w:hAnsi="Amiri" w:eastAsia="Amiri" w:cs="Amiri"/>
          <w:color w:val="111111"/>
          <w:sz w:val="28"/>
          <w:sz w:val="28"/>
          <w:szCs w:val="28"/>
          <w:rtl w:val="true"/>
          <w:lang w:bidi="ar-SA"/>
        </w:rPr>
        <w:t>لا إشكال في أنّ هذا المبلغ، لايرتبط بأمر القضاء أصلًا، ولا يكون في مقابل قضاء القاضي، بل الوجه فيه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جهة ردع؛ فإنّه لو قبلت الدعوى من كلّ أحد مجّاناً، لادّعى كلّ أحد دعوى على غيره ولو كانت واهية، ومن غير دليل، ولصار هذا سبباً لتراكم الدعاوي واشتغال المحاكم بامور تافهة ولتأخّرت الدعاوي المهمّة، ولتضرّر المتخاصمان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أحد المنابع المالية للدولة والحكومة لتأمين ما يلزم صرفه في إدارة شؤون النظام، ودفع نفقات المشاريع التي تستحدثها، كما أنّ أحدها أيضاً الضرائب، ولذا يجعل المأخوذ في بيت المال أي الخزانة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أمر حكومي، وللحاكم أن يأخذ هذا المبلغ بعد أن يدوَّن له قانون خاصّ، فلا وجه لعدم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المدّعى معسراً وعاجزاً عن أداء هذا المبلغ، فليس للحاكم الامتناع عن قبول دعواه، والنظر فيها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تغريم المحكوم عليه، كلّ ما أنفقه المحكوم له من المبالغ التي أنفقها على الدعوى، فإذا أثبت المدّعى دعواه عند الحاكم، وحكم له على طبقها، وألزم المدّعى عليه بأداء ما كان على ذمّته وأنكره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من الديون، أو الأعيان الخارجيه المملوكة للمدّعي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له أن يطلب من الحاكم</w:t>
      </w:r>
      <w:bookmarkStart w:id="85" w:name="pg1791_15347"/>
    </w:p>
    <w:p>
      <w:pPr>
        <w:pStyle w:val="BookText"/>
        <w:rPr/>
      </w:pPr>
      <w:bookmarkEnd w:id="85"/>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الرشوة وإعطاؤها حرام إن توصّل بها إلى الحكم له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توقّف التوصّل إلى حقّه عليها جاز للدافع وإن حرم على الآخذ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يجوز الدفع إذا كان محقّاً ولم يتوقّف التوصّل إليه عليها؟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والأحوط الترك، بل لا يخلو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على المرتشي إعادتها إلى صاحبها؛ من غير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يكون الرشى بعنوانه أو بعنوان الهبة أو الهديّة أو البيع المحاباتي ونحو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يحكم على المدّعى‌عليه بأداء كلّ ما صرفه المدّعي لاستيفاء حقّه، من المبلغ الذي دفعه للمحكمة لقبول دعواه واستماعها اجرة المحامي واجرة الخبراء والمقوّمين وغيرها، كما هو المتعارف اليوم، أم لا؟</w:t>
      </w:r>
    </w:p>
    <w:p>
      <w:pPr>
        <w:pStyle w:val="BookText"/>
        <w:rPr/>
      </w:pPr>
      <w:r>
        <w:rPr>
          <w:rFonts w:ascii="Amiri" w:hAnsi="Amiri" w:eastAsia="Amiri" w:cs="Amiri"/>
          <w:color w:val="111111"/>
          <w:sz w:val="28"/>
          <w:sz w:val="28"/>
          <w:szCs w:val="28"/>
          <w:rtl w:val="true"/>
          <w:lang w:bidi="ar-SA"/>
        </w:rPr>
        <w:t xml:space="preserve">الظاهر الجواز؛ وذلك لأنّ الموجب لصرف هذه المبالغ، هو المدّعى‌عليه في الأعمّ الأغلب؛ فإنّه بإنكاره صار موجباً، لأن يتوقّف استيفاء حقّ المدّعي، على صرف هذه النفقة، وصرفها ضرر عليه، ومنشأ الضرر هو المدّعى‌عليه، فلا محيص له من جبران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بقاعدة لا ضرر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أيضاً غير مرتبط بأخذ الاجرة على القضاء</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2354471_3650668749"/>
      <w:bookmarkStart w:id="87" w:name="_Toc32"/>
      <w:bookmarkEnd w:id="86"/>
      <w:r>
        <w:rPr>
          <w:rtl w:val="true"/>
        </w:rPr>
        <w:t>جهات في أخذ الرشوة في القضاء</w:t>
      </w:r>
      <w:bookmarkEnd w:id="87"/>
    </w:p>
    <w:p>
      <w:pPr>
        <w:pStyle w:val="Heading5"/>
        <w:numPr>
          <w:ilvl w:val="4"/>
          <w:numId w:val="1"/>
        </w:numPr>
        <w:rPr/>
      </w:pPr>
      <w:bookmarkStart w:id="88" w:name="__RefHeading___Toc2354473_3650668749"/>
      <w:bookmarkStart w:id="89" w:name="_Toc33"/>
      <w:bookmarkEnd w:id="88"/>
      <w:r>
        <w:rPr>
          <w:rtl w:val="true"/>
        </w:rPr>
        <w:t>اشارة</w:t>
      </w:r>
      <w:bookmarkEnd w:id="8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بحّث الفقهاء عن الرشوة في بابين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المكاسب المحرّمة، وفي كتاب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لا بدّ لنا أن نبحث من جهات</w:t>
      </w:r>
      <w:r>
        <w:rPr>
          <w:rFonts w:eastAsia="Amiri" w:cs="Amiri" w:ascii="Amiri" w:hAnsi="Amiri"/>
          <w:color w:val="111111"/>
          <w:sz w:val="28"/>
          <w:szCs w:val="28"/>
          <w:rtl w:val="true"/>
          <w:lang w:bidi="ar-SA"/>
        </w:rPr>
        <w:t>:</w:t>
      </w:r>
      <w:bookmarkStart w:id="90" w:name="pg1791_15349"/>
    </w:p>
    <w:p>
      <w:pPr>
        <w:pStyle w:val="Heading5"/>
        <w:numPr>
          <w:ilvl w:val="4"/>
          <w:numId w:val="1"/>
        </w:numPr>
        <w:rPr/>
      </w:pPr>
      <w:bookmarkStart w:id="91" w:name="__RefHeading___Toc2354475_3650668749"/>
      <w:bookmarkStart w:id="92" w:name="_Toc34"/>
      <w:bookmarkEnd w:id="90"/>
      <w:bookmarkEnd w:id="91"/>
      <w:r>
        <w:rPr>
          <w:rtl w:val="true"/>
        </w:rPr>
        <w:t>الجهة الاولى</w:t>
      </w:r>
      <w:r>
        <w:rPr>
          <w:rtl w:val="true"/>
        </w:rPr>
        <w:t xml:space="preserve">: </w:t>
      </w:r>
      <w:r>
        <w:rPr>
          <w:rtl w:val="true"/>
        </w:rPr>
        <w:t>في ماهية الرشوة وأنّ الرشوة ما هي؟</w:t>
      </w:r>
      <w:bookmarkEnd w:id="92"/>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الرشوة ما يبذله للقاضي ليحكم له بالباطل،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والرشوة قلّ ما تستعمل إلا فيما يتوصّل به إلى إبطال حقّ أو تمشية باطل</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الرشوة ما يبذله للقاضي ليحكم له؛ حقّاً كان أو باطلًا، أو لغير القاضي كموظّف الدولة مثلًا،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ما يعطيه الشخص للحاكم أو غيره؛ ليحكم له، أو يحمله على ما يريد</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الرشوة الوصلة إلى الحاجة بالمصانعة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فالراشي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يعطي الذي يعينه على الباطل، والمرتشي الآخذ، والرائش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يسعى بينهما يستزيد لهذا، ويستنقص لهذا</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فيستفاد من كلمات اللغويين استعمالها في المعنى الخاصّ عند بعض، وفي المعنى العامّ عن آخر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الحال عند الفقهاء حيث تستعمل في 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المشهور هو المعنى العامّ؛ أي ما يبذل للقاضي أو للموظّف للحكم بالحقّ، أو بالباطل، أو لحمله على ما يريده وهو الذي يستفاد من الأدلّة؛ على ما يأتي، قال المحقّق الأردبيلي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والظاهر أنّ المراد بها هنا، ما يعطى للحكم؛ حقّاً، أو باطلًا، لأنّه المفهوم الموافق للّغة والخبر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فتخصيص البعض بأنّها التي يشترط</w:t>
      </w:r>
      <w:bookmarkStart w:id="93" w:name="pg1791_15351"/>
    </w:p>
    <w:p>
      <w:pPr>
        <w:pStyle w:val="BookText"/>
        <w:rPr/>
      </w:pPr>
      <w:bookmarkEnd w:id="93"/>
      <w:r>
        <w:rPr>
          <w:rFonts w:ascii="Amiri" w:hAnsi="Amiri" w:eastAsia="Amiri" w:cs="Amiri"/>
          <w:color w:val="111111"/>
          <w:sz w:val="28"/>
          <w:sz w:val="28"/>
          <w:szCs w:val="28"/>
          <w:rtl w:val="true"/>
          <w:lang w:bidi="ar-SA"/>
        </w:rPr>
        <w:t>بإزائها الحكم بغير الحقّ، والامتناع من الحكم بالحقّ، غير جيد</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الأعظم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Style w:val="FootnoteAnchor"/>
          <w:rtl w:val="true"/>
        </w:rPr>
        <w:footnoteReference w:id="1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لا تختصّ بما يبذل على خصوص الباطل، بل تعمّ ما يبذل لحصول غرضه؛ وهو الحكم له، حقّاً كان أو باطلًا، وهو ظاهر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الرشوة كما تتحقّق بإعطائها إلى القاضي للحكم بالباطل، تتحقّق بإعطائها للحكم بالحقّ، وأنّها لا تختصّ بباب القضاء، بل تعمّ العامل الذي وظف ليعمل العمل على حسب وظيفته ولكنّه يأخذ مالًا، من المراجعين ليعمل لهم، حقّاً، أو باطلًا</w:t>
      </w:r>
      <w:r>
        <w:rPr>
          <w:rFonts w:eastAsia="Amiri" w:cs="Amiri" w:ascii="Amiri" w:hAnsi="Amiri"/>
          <w:color w:val="111111"/>
          <w:sz w:val="28"/>
          <w:szCs w:val="28"/>
          <w:rtl w:val="true"/>
          <w:lang w:bidi="ar-SA"/>
        </w:rPr>
        <w:t>.</w:t>
      </w:r>
    </w:p>
    <w:p>
      <w:pPr>
        <w:pStyle w:val="Heading5"/>
        <w:numPr>
          <w:ilvl w:val="4"/>
          <w:numId w:val="1"/>
        </w:numPr>
        <w:rPr/>
      </w:pPr>
      <w:bookmarkStart w:id="94" w:name="__RefHeading___Toc2354477_3650668749"/>
      <w:bookmarkStart w:id="95" w:name="_Toc35"/>
      <w:bookmarkEnd w:id="94"/>
      <w:r>
        <w:rPr>
          <w:rtl w:val="true"/>
        </w:rPr>
        <w:t>الجهة الثانية</w:t>
      </w:r>
      <w:r>
        <w:rPr>
          <w:rtl w:val="true"/>
        </w:rPr>
        <w:t xml:space="preserve">: </w:t>
      </w:r>
      <w:r>
        <w:rPr>
          <w:rtl w:val="true"/>
        </w:rPr>
        <w:t>في حكم الرشوة في الإسلام‌</w:t>
      </w:r>
      <w:bookmarkEnd w:id="95"/>
    </w:p>
    <w:p>
      <w:pPr>
        <w:pStyle w:val="BookText"/>
        <w:rPr/>
      </w:pPr>
      <w:r>
        <w:rPr>
          <w:rFonts w:ascii="Amiri" w:hAnsi="Amiri" w:eastAsia="Amiri" w:cs="Amiri"/>
          <w:color w:val="111111"/>
          <w:sz w:val="28"/>
          <w:sz w:val="28"/>
          <w:szCs w:val="28"/>
          <w:rtl w:val="true"/>
          <w:lang w:bidi="ar-SA"/>
        </w:rPr>
        <w:t>لا إشكال في حرمتها، وتدلّ عليها الأدلّة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 والسنّة، والإجماع، والعقل، بل ضرورة المذهب، أو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الإجماع، فقال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اتّفق المسلمون على تحريم الرشوة على القاضي والعامل</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حرمتها على القاضي، فهي من ضروريات المذهب، بل الدين، والأخبار المستفيضة</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الكتاب، فقد استدلّ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تَأكُلُوا أمْوَالَكُمْ بَيْنَكُمْ</w:t>
      </w:r>
    </w:p>
    <w:p>
      <w:pPr>
        <w:pStyle w:val="BookText"/>
        <w:rPr/>
      </w:pPr>
      <w:r>
        <w:rPr>
          <w:rFonts w:ascii="Amiri" w:hAnsi="Amiri" w:eastAsia="Amiri" w:cs="Amiri"/>
          <w:color w:val="111111"/>
          <w:sz w:val="28"/>
          <w:sz w:val="28"/>
          <w:szCs w:val="28"/>
          <w:rtl w:val="true"/>
          <w:lang w:bidi="ar-SA"/>
        </w:rPr>
        <w:t>بِالْبَاطِلِ وَتُدْلُوا بِهَا إِلَى الْحُكَّامِ لِتَأكُلُوا فَرِيقاً مِنْ أمْوَالِ النَّاسِ بِالإِثْمِ وَأنْتُمْ تَعْلَمُونَ</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يأكل بعضكم مال بعض بالغصب والظلم والوجوه التي لا تحلّ، وتلقوا بالأموال إلى القضاة، لتأكلوا طائفة من أموال الناس بالعمل الموجب للإثم، وأنتم تعلمون أنّ ذلك الفريق من المال، ليس بحقّ لكم وأنتم مبطلون</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الطباطبائي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إرسال الدلو في البئر لنزح الماء، كني به عن مطلق تقريب المال إلى الحكّام ليحكموا كما يريده الراشي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كناية لطيفة تشير إلى استبطان حكمهم المطلوب بالرشوة، الممثّل لحال الماء الذي في البئر بالنسبة إلى من يريده</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صدر الآية يدلّ على حرمة مطلق أكل المال بالباطل، وذيلها يدلّ على حرمة قسم خاصّ منه؛ وهو إعطاء الرشوة للحاكم؛ ليحكم الراشي بقطعة من أموال الناس، فكما أنّ الرشوة للحاكم أكل للمال بالباطل، كذلك أخذ المحكوم له مالًا من المحكوم عليه بالإثم هو أيضاً أكل للمال بالباطل، فالخطاب في الآية وإن كان متوجّهاً إلى الراشي، ويدلّ على حرمة إعطاء الرشوة، إلا أنّه يدلّ بالملازمة على حرمة أخذها على الحاكم؛ فإنّه أكل للمال بالباطل أيضاً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منها أيضاً حرمة إعطاء الرشوة للحكم بالباطل، ولكنّه لا يظهر منها</w:t>
      </w:r>
    </w:p>
    <w:p>
      <w:pPr>
        <w:pStyle w:val="BookText"/>
        <w:rPr/>
      </w:pPr>
      <w:r>
        <w:rPr>
          <w:rFonts w:ascii="Amiri" w:hAnsi="Amiri" w:eastAsia="Amiri" w:cs="Amiri"/>
          <w:color w:val="111111"/>
          <w:sz w:val="28"/>
          <w:sz w:val="28"/>
          <w:szCs w:val="28"/>
          <w:rtl w:val="true"/>
          <w:lang w:bidi="ar-SA"/>
        </w:rPr>
        <w:t>الاختصاص، بل تدلّ على حرمة هذا القسم منها فحسب، فلو دلّ دليل على حرمة أخذ الرشوة وإعطائها للحكم بالحقّ أيضاً، لما ينافي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الآية تدلّ على الحرمة في مورد ومع هذا لا تدلّ على الحرمة في مورد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يقال في تفسير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وارد في مورد الغالب؛ ولا يكون القيد احترازياً فإنّ أكثر موارد إعطائها، للحكم بالباطل، فنفس الآية أيضاً تدلّ على حرمة الرشوة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تدلّ على حرمة الرشوة للحكم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السنّة، فقد وردت روايات كثيرة متواترة من طرق الخاصّة والعامّة على حرمتها وفيها عناوين الأربعة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عمّار بن مروان،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بعد أن عدّ أنواع السحت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الرشا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الأحكام، فإنّ ذلك الكفر بالله العظيم وبرسوله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السحت أنواع كثيرة، وأمّا الرشا في الحكم، فهو الكفر بالله العظيم</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 كلّ هذه الروايات جاء التعبير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الرشا في الحكم هو الكفر بالله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عدّت الرشوة من السحت</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عن الأصبغ بن نباتة،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والٍ احتجب من حوائج الناس، احتجب الله عنه يوم القيامة، وعن</w:t>
      </w:r>
    </w:p>
    <w:p>
      <w:pPr>
        <w:pStyle w:val="BookText"/>
        <w:rPr/>
      </w:pPr>
      <w:r>
        <w:rPr>
          <w:rFonts w:ascii="Amiri" w:hAnsi="Amiri" w:eastAsia="Amiri" w:cs="Amiri"/>
          <w:color w:val="111111"/>
          <w:sz w:val="28"/>
          <w:sz w:val="28"/>
          <w:szCs w:val="28"/>
          <w:rtl w:val="true"/>
          <w:lang w:bidi="ar-SA"/>
        </w:rPr>
        <w:t>حوائجه وإن أخذ هدية كان غلولًا، وإن أخذ الرشوة فهو مشرك</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عبّر عن الرشوة بالشرك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روايات كثيرة عبّر عنها بالسحت وإليك الآن تقديم نموذجان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البخس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الرشا في الحكم</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جرّاح المدائني،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السحت، الرشوة في الحكم</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الراشي، والمرتشي والرائش</w:t>
      </w:r>
      <w:r>
        <w:rPr>
          <w:rFonts w:eastAsia="Amiri" w:cs="Amiri" w:ascii="Amiri" w:hAnsi="Amiri"/>
          <w:color w:val="111111"/>
          <w:sz w:val="28"/>
          <w:szCs w:val="28"/>
          <w:rtl w:val="true"/>
          <w:lang w:bidi="ar-SA"/>
        </w:rPr>
        <w:t>»</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الراشي والمرتشي</w:t>
      </w:r>
      <w:r>
        <w:rPr>
          <w:rFonts w:eastAsia="Amiri" w:cs="Amiri" w:ascii="Amiri" w:hAnsi="Amiri"/>
          <w:color w:val="111111"/>
          <w:sz w:val="28"/>
          <w:szCs w:val="28"/>
          <w:rtl w:val="true"/>
          <w:lang w:bidi="ar-SA"/>
        </w:rPr>
        <w:t>»</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فسألهم الرشوة</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طرق العامّة أيضاً وردت روايات</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لعنة الله على الراشي والمرتشي</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فيستفاد من الروايات 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فيها الصحيح والموثّق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الرشوة مطلقاً، خصوصاً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المتبادر منه من يعطي للحكم له، ومن يأخذ للحكم له، وكذا للحكم بالحقّ، أو الباطل؛ فإنّ نطاق الروايات آبٍ عن الاختصاص بما كان للباطل فقط، لأنّ أخذ الحاكم الرشوة هتك لحرمة القضاء، وإفساد في المجتمع، وتلاعب بالموازين؛ من غير فرق بين أن تكون الرشوة لاحقاق حقّ، أو لإثبات باطل، ولذا فالتعبير عن أخذها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خلاف الارتكاز العرفي، فالصحيح أنّ إعطاء الرشوة للقاضي وأخذ القاضي لها حرام مطلقاً، وهذا ما يستفاد من الآية، ومن الروايات، وإطلاق كلمات الفقهاء، بل صريح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العقل، فهو حاكم بأنّ الرشوة من أقوى مصاديق الظلم والعدوان، وتصرّف في مال الغير بغير حقّ، وقبيحة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من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قائل بحرمة الرشوة على المرتشي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الآخذ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توصّل بها إلى الحكم له بالباطل، أو الحقّ، إلا أنّه أفتى في الأوّل من غير شبهة، وقال 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والأحوط الترك، بل لا يخلو من قوّة</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استثني من ذلك مورداً واحداً، وهو ما لو توقّف التوصّل إلى حقّه على الرشوة، فتجوز للدافع وإن حرمت على الآخذ</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واستثنى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كان مكرها على الدفع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bookmarkStart w:id="96" w:name="pg1791_15361"/>
    </w:p>
    <w:p>
      <w:pPr>
        <w:pStyle w:val="BookText"/>
        <w:rPr/>
      </w:pPr>
      <w:bookmarkEnd w:id="96"/>
      <w:r>
        <w:rPr>
          <w:rFonts w:ascii="Amiri" w:hAnsi="Amiri" w:eastAsia="Amiri" w:cs="Amiri"/>
          <w:color w:val="111111"/>
          <w:sz w:val="28"/>
          <w:sz w:val="28"/>
          <w:szCs w:val="28"/>
          <w:rtl w:val="true"/>
          <w:lang w:bidi="ar-SA"/>
        </w:rPr>
        <w:t>لو توقّف استنقاذ حقّه على ذلك</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الفاضل النراقي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يخصّ الجواز للراشي إذا كان محقّاً ولا يمكن وصوله إلى حقّه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جمع كثير؛ منهم الوالد الماجد، وهو حسن</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عليه بدليل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اضطرّوا إليه</w:t>
      </w:r>
      <w:r>
        <w:rPr>
          <w:rFonts w:eastAsia="Amiri" w:cs="Amiri" w:ascii="Amiri" w:hAnsi="Amiri"/>
          <w:color w:val="111111"/>
          <w:sz w:val="28"/>
          <w:szCs w:val="28"/>
          <w:rtl w:val="true"/>
          <w:lang w:bidi="ar-SA"/>
        </w:rPr>
        <w:t>»</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فإنّها مقدّمة على الإطلاقات الدالّة على حرمة الرشوة على الرايش كما أنّه ضرورة والضرورات تبيح المحظورات</w:t>
      </w:r>
      <w:r>
        <w:rPr>
          <w:rFonts w:eastAsia="Amiri" w:cs="Amiri" w:ascii="Amiri" w:hAnsi="Amiri"/>
          <w:color w:val="111111"/>
          <w:sz w:val="28"/>
          <w:szCs w:val="28"/>
          <w:rtl w:val="true"/>
          <w:lang w:bidi="ar-SA"/>
        </w:rPr>
        <w:t>.</w:t>
      </w:r>
    </w:p>
    <w:p>
      <w:pPr>
        <w:pStyle w:val="Heading5"/>
        <w:numPr>
          <w:ilvl w:val="4"/>
          <w:numId w:val="1"/>
        </w:numPr>
        <w:rPr/>
      </w:pPr>
      <w:bookmarkStart w:id="97" w:name="__RefHeading___Toc2354479_3650668749"/>
      <w:bookmarkStart w:id="98" w:name="_Toc36"/>
      <w:bookmarkEnd w:id="97"/>
      <w:r>
        <w:rPr>
          <w:rtl w:val="true"/>
        </w:rPr>
        <w:t>الجهة الثالثة</w:t>
      </w:r>
      <w:r>
        <w:rPr>
          <w:rtl w:val="true"/>
        </w:rPr>
        <w:t xml:space="preserve">: </w:t>
      </w:r>
      <w:r>
        <w:rPr>
          <w:rtl w:val="true"/>
        </w:rPr>
        <w:t>في موارد الرشوة ومصاديقها</w:t>
      </w:r>
      <w:bookmarkEnd w:id="98"/>
    </w:p>
    <w:p>
      <w:pPr>
        <w:pStyle w:val="BookText"/>
        <w:rPr/>
      </w:pPr>
      <w:r>
        <w:rPr>
          <w:rFonts w:ascii="Amiri" w:hAnsi="Amiri" w:eastAsia="Amiri" w:cs="Amiri"/>
          <w:color w:val="111111"/>
          <w:sz w:val="28"/>
          <w:sz w:val="28"/>
          <w:szCs w:val="28"/>
          <w:rtl w:val="true"/>
          <w:lang w:bidi="ar-SA"/>
        </w:rPr>
        <w:t>قد تكون الرشوة مالًا عيناً، أو 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تكون عملًا يعمل للقاضي مجّاناً كخياطة ثوبه، أو بناء داره، أو تعميرها، أو إصلاح سيارته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تكون قولًا كمدحه والثناء عليه بالشعر والنثر على المنبر، أو بالنشر في الصحف، أو في مجلس حضوره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تكون فعلًا يفعله لقضاء حاجته، أو تكريمه وتجليله كالقيام عند دخوله،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والرشوة تصدق على كلّها عرفاً، فيشملها ما تقدّم من الأدلّة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الآية الكريمة، فظاهرها وإن كان الأموال، بل صريحها؛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عزّ</w:t>
      </w:r>
      <w:bookmarkStart w:id="99" w:name="pg1791_15363"/>
    </w:p>
    <w:p>
      <w:pPr>
        <w:pStyle w:val="BookText"/>
        <w:rPr/>
      </w:pPr>
      <w:bookmarkEnd w:id="99"/>
      <w:r>
        <w:rPr>
          <w:rFonts w:ascii="Amiri" w:hAnsi="Amiri" w:eastAsia="Amiri" w:cs="Amiri"/>
          <w:color w:val="111111"/>
          <w:sz w:val="28"/>
          <w:sz w:val="28"/>
          <w:szCs w:val="28"/>
          <w:rtl w:val="true"/>
          <w:lang w:bidi="ar-SA"/>
        </w:rPr>
        <w:t>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وَتُدْلُوا بِهَا إِلَى الْحُكّامِ</w:t>
      </w:r>
      <w:r>
        <w:rPr>
          <w:rStyle w:val="FootnoteAnchor"/>
          <w:rtl w:val="true"/>
        </w:rPr>
        <w:footnoteReference w:id="164"/>
      </w:r>
      <w:r>
        <w:rPr>
          <w:rFonts w:ascii="Amiri" w:hAnsi="Amiri" w:eastAsia="Amiri" w:cs="Amiri"/>
          <w:color w:val="111111"/>
          <w:sz w:val="28"/>
          <w:sz w:val="28"/>
          <w:szCs w:val="28"/>
          <w:rtl w:val="true"/>
          <w:lang w:bidi="ar-SA"/>
        </w:rPr>
        <w:t>أي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المعلوم عدم خصوصيته للمال، بل كلّ ما يصير وسيلة وسبباً للحكم وأخذ مال الغير بالإثم فهو محرّم ومنهي عنه، فيصحّ إلغاء الخصوصية من المال، فينتج أنّ كلّ شي‌ء تسبّب للغاية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أكل مال الغير بالإثم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محرم بلا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الروايات فتشملها، لصدق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الكلّ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قلنا جاء به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الرشوة قد تكون مالًا، من عين، أو منفعة، وقد تكون عملًا للقاضي كخياطة ثوبه أو تعمير داره أو نحوهما وقد تكون قولًا كمدحه والثناء عليه لإمالة قلبه إلى نفسه ليحكم، وقد تكون فعلًا من الأفعال كالسعي في حوائجه وإظهار تعظيمه وتبجيله، ونحو ذلك، فكلّ ذلك محرّم إمّا لصدق الرشوة عليها، أو للإلحاق بها</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 w:name="__RefHeading___Toc2354481_3650668749"/>
      <w:bookmarkStart w:id="101" w:name="_Toc37"/>
      <w:bookmarkEnd w:id="100"/>
      <w:r>
        <w:rPr>
          <w:rtl w:val="true"/>
        </w:rPr>
        <w:t>الجهة الرابعة</w:t>
      </w:r>
      <w:r>
        <w:rPr>
          <w:rtl w:val="true"/>
        </w:rPr>
        <w:t xml:space="preserve">: </w:t>
      </w:r>
      <w:r>
        <w:rPr>
          <w:rtl w:val="true"/>
        </w:rPr>
        <w:t>في حكم الهدية ونحوها</w:t>
      </w:r>
      <w:bookmarkEnd w:id="101"/>
    </w:p>
    <w:p>
      <w:pPr>
        <w:pStyle w:val="BookText"/>
        <w:rPr/>
      </w:pPr>
      <w:r>
        <w:rPr>
          <w:rFonts w:ascii="Amiri" w:hAnsi="Amiri" w:eastAsia="Amiri" w:cs="Amiri"/>
          <w:color w:val="111111"/>
          <w:sz w:val="28"/>
          <w:sz w:val="28"/>
          <w:szCs w:val="28"/>
          <w:rtl w:val="true"/>
          <w:lang w:bidi="ar-SA"/>
        </w:rPr>
        <w:t>لو بذل مالًا للقاضي بعنوان الهدية، أو وهبه مالًا، أو باعه محاباة فما هو حكمه، وهل يكون ذلك من الرشوة أم لا؟</w:t>
      </w:r>
    </w:p>
    <w:p>
      <w:pPr>
        <w:pStyle w:val="BookText"/>
        <w:rPr/>
      </w:pPr>
      <w:r>
        <w:rPr>
          <w:rFonts w:ascii="Amiri" w:hAnsi="Amiri" w:eastAsia="Amiri" w:cs="Amiri"/>
          <w:color w:val="111111"/>
          <w:sz w:val="28"/>
          <w:sz w:val="28"/>
          <w:szCs w:val="28"/>
          <w:rtl w:val="true"/>
          <w:lang w:bidi="ar-SA"/>
        </w:rPr>
        <w:t>الفرق بين الرشوة والهدية</w:t>
      </w:r>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بين الرشوة والهدية ماهوي ذاتي، لا بالقصد والنيّة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الرشو 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يبذل للقاضي في قبال الحكم له بالباطل، أو بالحقّ، إذا لم يحكم له بدونها، سواء صرّح بذلك أو كان معلوماً ولو بالقرائن، وسواء كان</w:t>
      </w:r>
    </w:p>
    <w:p>
      <w:pPr>
        <w:pStyle w:val="BookText"/>
        <w:rPr/>
      </w:pPr>
      <w:r>
        <w:rPr>
          <w:rFonts w:ascii="Amiri" w:hAnsi="Amiri" w:eastAsia="Amiri" w:cs="Amiri"/>
          <w:color w:val="111111"/>
          <w:sz w:val="28"/>
          <w:sz w:val="28"/>
          <w:szCs w:val="28"/>
          <w:rtl w:val="true"/>
          <w:lang w:bidi="ar-SA"/>
        </w:rPr>
        <w:t>البذل قبل طرح الدعوى أو بعده، وسواء كان في موضع قضائه أو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يبذل له مالًا في سفر الحجّ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الهدية فإنّها يبذله بقصد القربة إكراماً له، لقرابته، أو صداقته، أو لعلمه، أو إيمانه، من دون ترقّب القاضي لعوض على عمله أصلًا ولو يمكن أن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أكثر ما نسمّيه هدية هي رشوة حقيقة وإن أظهر بعنوان الهدية فبالحقيقة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وغطاء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قلنا جاء به السيّد اليزدي أيضاً؛ 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1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 بين الرشوة والهدية أنّ الغرض من الرشوة جلب قلبه ليحكم له ومن الهدية الصحيحة، القربة، أو إيراث المودّة لا لداعٍ، أو الداعي عليها حبّه له؛ لوجود صفة كمال فيه من علم أو ورع أو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ثبت الفرق بين الهدية والرشوة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جوهري فالظاهر حلية الهدية للقاضي؛ فإذا أهدي إليه صديقه هدية وكان من عادته الهدية إليه، أو كان رحماً له، ولم تكن لدي القاضي دعوى للمهدي، ولم يحتمل وقوع منازعة بينه وبين غيره حتّى يحتاج إلى مراجعة القاضي في المستقبل، والقرائن ممحّضة في أنّ القصد لله والإهداء للقربة ولم تكن أيّة قرينة على أن يكون الإهداء لأجل الحكم والقضاء له أصلًا؛ فيجوز للقاضي قبولها وتحلّ له وإن كان الأولى والأحوط عدم قبولها والتنزّه عنها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الأردبيلي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الفائدة</w:t>
      </w:r>
      <w:r>
        <w:rPr>
          <w:rFonts w:eastAsia="Amiri" w:cs="Amiri" w:ascii="Amiri" w:hAnsi="Amiri"/>
          <w:color w:val="111111"/>
          <w:sz w:val="28"/>
          <w:szCs w:val="28"/>
          <w:rtl w:val="true"/>
          <w:lang w:bidi="ar-SA"/>
        </w:rPr>
        <w:t>»</w:t>
      </w:r>
      <w:r>
        <w:rPr>
          <w:rStyle w:val="FootnoteAnchor"/>
          <w:rtl w:val="true"/>
        </w:rPr>
        <w:footnoteReference w:id="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أنّه يجوز له قبول الهدية</w:t>
      </w:r>
    </w:p>
    <w:p>
      <w:pPr>
        <w:pStyle w:val="BookText"/>
        <w:rPr/>
      </w:pPr>
      <w:r>
        <w:rPr>
          <w:rFonts w:ascii="Amiri" w:hAnsi="Amiri" w:eastAsia="Amiri" w:cs="Amiri"/>
          <w:color w:val="111111"/>
          <w:sz w:val="28"/>
          <w:sz w:val="28"/>
          <w:szCs w:val="28"/>
          <w:rtl w:val="true"/>
          <w:lang w:bidi="ar-SA"/>
        </w:rPr>
        <w:t xml:space="preserve">فإنّه مستحبّ في الأصل، إلا أنّه يمكن أن يكون مكروهاً لاحتمال كونها رشوة، إلا أن يعلم باليقين أنّها ليست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لا شكّ أنّ الأحوط هو الاجتناب في وقت يمكن أو يحتمل احتمالًا بعيداً لكونها رشوة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النراقي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تعارضت القرينتان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يكون ذلك ممّن جرت عادته بذلك قبل حصول الخصومة كالقريب، والصديق الملاطف، فبذل بعد حضورها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عدم القبول</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نقطة مهمّة في كلام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الأحوط للقاضي سدّ باب الهدايا مطلقاً، بل حكم جمع بكراهتها له ولا بأس به، لفتواهم</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وإنّك ترى أنّ المحقّق النراقي لم يذكر لما اختاره من الاحتياط للقاضي في سدّ باب الهدايا مطلقاً دليلًا لفتاوى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وهاهنا روايات قد تمسّك بها للحرمة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أخذ هد ية كان غُلُولًا</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والغُلُول بمعنى الخيانة، ومعناه الأخصّ، السرقة من غنائم المسلمين، فتدلّ على الحرمة بلا إشكال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واستشكل عليها السيّد الخوئي</w:t>
      </w:r>
      <w:r>
        <w:rPr>
          <w:rStyle w:val="FootnoteAnchor"/>
          <w:rtl w:val="true"/>
        </w:rPr>
        <w:footnoteReference w:id="171"/>
      </w:r>
      <w:r>
        <w:rPr>
          <w:rFonts w:ascii="Amiri" w:hAnsi="Amiri" w:eastAsia="Amiri" w:cs="Amiri"/>
          <w:color w:val="111111"/>
          <w:sz w:val="28"/>
          <w:sz w:val="28"/>
          <w:szCs w:val="28"/>
          <w:rtl w:val="true"/>
          <w:lang w:bidi="ar-SA"/>
        </w:rPr>
        <w:t>سنداً،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السند فلوجود أبي الجارود، وسعد الإسكاف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الدلالة فلأنّها واردة في هدايا الولاة، لا القضاة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الجارود ثقة؛ على ما قاله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عدّه من الرؤساء الذين يؤخذ عنهم الحلال والحرام، والذين لا مطعن عليهم، ولا سبيل إلى طعن واحد منهم</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سعد الإسكاف فهو ثقة أيضاً، لرواية ابن أبي عمير؛ عنه وهو ممّن لا يروي ولا يرسل إلا عن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 في الدلالة، فيندفع بأنّه لا خصوصية للوالي في نظر العرف، بل القاضي أيضاً له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سنخ ولايته تختلف عن سنخ ولاية الوالي وكلاهما حاكمان على الناس فيتعدّي منه إلى القاضي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هد ية الامراء غلول</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ولكنّها ضعيفة السند</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أكّالُونَ لِلسُّحْتِ</w:t>
      </w:r>
      <w:r>
        <w:rPr>
          <w:rStyle w:val="FootnoteAnchor"/>
          <w:rtl w:val="true"/>
        </w:rPr>
        <w:footnoteReference w:id="1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الرجل يقضي لأخيه الحاجة، ثمّ يقبل هديته</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يستشكل على الروايات بأنّها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واردة في الهدية التي تبذل للعمّال بما أنّه عامل أو أمير فتكون رشوة ومحرّمة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يراد بها ما يبذل لهم لأمر باطل، كما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وإطلاق النصوص أنّ هدايا العمّال غُلول وسُحت ونحو ذلك، يمكن إرادة المدفوعة لهم دفعاً للباطل ونحوه منهم، وهو شي‌ء آخر غير الرشوة التي هي محرّمة وإن كانت للحكم بالحقّ على الأصحّ، ودليله ما يستفاد من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ممّا تقدّم في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إرادة بيان حرمة استئثار العمّال بها</w:t>
      </w:r>
      <w:r>
        <w:rPr>
          <w:rStyle w:val="FootnoteAnchor"/>
          <w:rtl w:val="true"/>
        </w:rPr>
        <w:footnoteReference w:id="176"/>
      </w:r>
      <w:r>
        <w:rPr>
          <w:rFonts w:ascii="Amiri" w:hAnsi="Amiri" w:eastAsia="Amiri" w:cs="Amiri"/>
          <w:color w:val="111111"/>
          <w:sz w:val="28"/>
          <w:sz w:val="28"/>
          <w:szCs w:val="28"/>
          <w:rtl w:val="true"/>
          <w:lang w:bidi="ar-SA"/>
        </w:rPr>
        <w:t>، بل مرجعها إلى بيت مال المسلمين؛ لأنّه من توابع عمل المسلمين</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لذلك خبر أبي حميد الساعدي على ما نقله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والمحقّق النراقي</w:t>
      </w:r>
      <w:r>
        <w:rPr>
          <w:rStyle w:val="FootnoteAnchor"/>
          <w:rtl w:val="true"/>
        </w:rPr>
        <w:footnoteReference w:id="179"/>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ابن اللتبية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الصدقة، فلمّا 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لكم، وهذا أهدي لي، فقام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 العامل نبعثه على أعمالنا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لكم وهذا أهدي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جلس في قعب بيته أو في بيت امّه فينظر أيهدي له أم لا؟ والذي نفسي بيده، لا يأخذ أحد منها شيئاً، إلا جاء يوم القيامة يحمله على رقبته</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وسند هذه الرواية عامّي في أغلب كتبنا الروائية وكذا في الكتب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السعادات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دلالتها،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جامع السعادات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الرواية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هذا فينبغي لكلّ والٍ أو حاكم أو قاض وغيرهم من عمّال السلاطين أن يقدّر نفسه في بيت أبيه وامّه معزولًا بلا شغل فما كان يعطي حينئذٍ يجوز له أن يأخذه في ولايته أيضاً، وما لايعطي مع عزله ويعطي لولايته، يحرم أخذه، وما أشكل عليه من عطايا أصدقائه فهو شبهة وطريق الاحتياط فيها واضح</w:t>
      </w:r>
      <w:r>
        <w:rPr>
          <w:rFonts w:eastAsia="Amiri" w:cs="Amiri" w:ascii="Amiri" w:hAnsi="Amiri"/>
          <w:color w:val="111111"/>
          <w:sz w:val="28"/>
          <w:szCs w:val="28"/>
          <w:rtl w:val="true"/>
          <w:lang w:bidi="ar-SA"/>
        </w:rPr>
        <w:t>»</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استظهر منه أنّ هدية العامل ترجع إلى بيت المال، ولا يجوز له التصرّف فيها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مجموع هذه الروايات، لا تنافي ما دلّ على أصل محبوبية الهدية شرعاً واستحبابها فقد كان رسول الله يقبل الهدية، بل يأمر الامّة بالتهادي؛ للتحابّ والتوادّ، كقول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اهدي إليّ كراع لقبلته</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أهدي لأخي المسلم هدية تنفعه، أحبّ إليّ من أن أتصدّق بمثلها</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تهادوا تحابّوا؛ فإنّها تذهب بالضغائن</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كان عنوان الهدية ستراً وغطاء للرشوة، فهو في الحقيقة رشوة لا هدية، فتكون محرّمة بخلاف الهدية الحقيقية للحاكم فإنّها حلال وإن كان</w:t>
      </w:r>
    </w:p>
    <w:p>
      <w:pPr>
        <w:pStyle w:val="BookText"/>
        <w:rPr/>
      </w:pPr>
      <w:r>
        <w:rPr>
          <w:rFonts w:ascii="Amiri" w:hAnsi="Amiri" w:eastAsia="Amiri" w:cs="Amiri"/>
          <w:color w:val="111111"/>
          <w:sz w:val="28"/>
          <w:sz w:val="28"/>
          <w:szCs w:val="28"/>
          <w:rtl w:val="true"/>
          <w:lang w:bidi="ar-SA"/>
        </w:rPr>
        <w:t>الأحوط تركها، بل حكم جمع بكراهتها،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تحمل على ذلك ما عن أمير المؤمنين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قضية إهداء الأشعث بن قيس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قاله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ردّها، وذلك بعد أن نقل قضية عقيل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ثكلتك الثواكل يا عقيل؛ أتئنّ من حديدة أحماها إنسانها لِلعبة، وتجرني إلى نار سجرها جبّارها لغضبه؟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أَتَئِنُّ مِن الأذي، ولا أئنّ من لظي؟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وأعجب من ذلك طارق طرقنا بملفوفة في وعائها، ومعجونة شنئتُها، كأنّما عجّنت بريق حيّة أو قيئها،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أصِلة، أم زكاة، أم صدقة؟ فذلك محرّم علينا أهل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 ولا ذاك، ولكنّها هدية، فقلت هبلتك الهبول، أعَن دين الله أتيتني لتخدعني، أمختبط أنت أم ذو جنّه أم تَهجُر؟ والله لو اعطيت الأقاليم السبعة بما تحت أفلاكها على أن أعصي الله في نملة أسلبها جلبَ شعيرة؛ ما فعلت وإنّ دنياكم عندي لأَهوَنُ من ورقة في فم جرادة تقضمها، ما لعلي ولنعيم يفنى، ولذّة لا تبقى</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الهبة والبيع المحاباتي فكلّ واحد منها وإن كان عقداً من العقود الصحيحة ولكنّه إذا قصد بهما أمالة قلب الحاكم ليحكم له، يكونان من مصاديق الرشوة فيحرمان ويفسد العقد، كما قاله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والمحقّق الأنصاري</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ردّ مال الذي أخذ رشوة</w:t>
      </w:r>
    </w:p>
    <w:p>
      <w:p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ويجب على المرتشي إعادتها إلى صاحبها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يقع الكلام في الحكم التكليفي، وقد يقع في الحكم الوضعي، أي الضمان عند التلف أو 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عليه ردّ المال إلى الراشي فوراً لبقائه على ملكه، سواء أعطاه بعنوان الرشوة، أو بعنوان الهبة، أو البيع المحاباتي، لما عرفت من 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ضامناً وعليه أداء مثلها أو قيمتها؛ وذلك بدليل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على المرتشي إعادة الرشوة إلى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تلفت قبل وصولها إليه ضمنها له</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قول بعض العامّة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والأظهر ما ذكره المصنّف من عدم ملكها ووجوب ردّها إلى المالك، ويضمنها إلى أن تصل</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 بعدم ضمان المرتشي عند التلف من جهة أنّ الراشي مع علمه بحرمة إعطاء الرشوة وعدم ملكية المرتشي لها، قد سلّطه على ماله مجّاناً، ورضي</w:t>
      </w:r>
      <w:bookmarkStart w:id="102" w:name="pg1791_15379"/>
    </w:p>
    <w:p>
      <w:pPr>
        <w:pStyle w:val="BookText"/>
        <w:rPr/>
      </w:pPr>
      <w:bookmarkEnd w:id="102"/>
      <w:r>
        <w:rPr>
          <w:rFonts w:ascii="Amiri" w:hAnsi="Amiri" w:eastAsia="Amiri" w:cs="Amiri"/>
          <w:color w:val="111111"/>
          <w:sz w:val="28"/>
          <w:sz w:val="28"/>
          <w:szCs w:val="28"/>
          <w:rtl w:val="true"/>
          <w:lang w:bidi="ar-SA"/>
        </w:rPr>
        <w:t>بإتلافه، ففي الحقيقة هو الهاتك لحرمة ماله، فلا يكون المرتشي ضامناً له بعد التلف، ورضاه وإن كان مقيّداً بالعوض وهو الحكم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المفروض تحقّق قيده وهو حكم القاضي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يحكم له، لأمكن القول بضمانه؛ لأنّ الرضا كان مقيّداً بالحكم، ولم يحصل، فبانتفاء القيد ينتفي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رضا الراشي يحصل في ضمن التمليك بعنوان الرشوة أو بعنوان الهبة والهدية وإذا لم يمض الشارع هذا التمليك، لحرمته؛ فلا يحصل الرضا أيضاً، ولا رضا غيره حتّى يؤثّر في جواز التصرّف على الفرض فيصير مقتضى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يتعرّض للحكم الوضعي والضمان في المسألة</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2354483_3650668749"/>
      <w:bookmarkStart w:id="104" w:name="_Toc38"/>
      <w:bookmarkEnd w:id="103"/>
      <w:r>
        <w:rPr>
          <w:rtl w:val="true"/>
        </w:rPr>
        <w:t>بقي هنا فرعان‌</w:t>
      </w:r>
      <w:bookmarkEnd w:id="104"/>
    </w:p>
    <w:p>
      <w:pPr>
        <w:pStyle w:val="Heading5"/>
        <w:numPr>
          <w:ilvl w:val="4"/>
          <w:numId w:val="1"/>
        </w:numPr>
        <w:rPr/>
      </w:pPr>
      <w:bookmarkStart w:id="105" w:name="__RefHeading___Toc2354485_3650668749"/>
      <w:bookmarkStart w:id="106" w:name="_Toc39"/>
      <w:bookmarkEnd w:id="105"/>
      <w:r>
        <w:rPr>
          <w:rtl w:val="true"/>
        </w:rPr>
        <w:t>اشارة</w:t>
      </w:r>
      <w:bookmarkEnd w:id="106"/>
    </w:p>
    <w:p>
      <w:pPr>
        <w:pStyle w:val="BookText"/>
        <w:rPr/>
      </w:pPr>
      <w:r>
        <w:rPr>
          <w:rFonts w:ascii="Amiri" w:hAnsi="Amiri" w:eastAsia="Amiri" w:cs="Amiri"/>
          <w:color w:val="111111"/>
          <w:sz w:val="28"/>
          <w:sz w:val="28"/>
          <w:szCs w:val="28"/>
          <w:rtl w:val="true"/>
          <w:lang w:bidi="ar-SA"/>
        </w:rPr>
        <w:t xml:space="preserve">لم يتعرّض لهما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التعرّض لها</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2354487_3650668749"/>
      <w:bookmarkStart w:id="108" w:name="_Toc40"/>
      <w:bookmarkEnd w:id="107"/>
      <w:r>
        <w:rPr>
          <w:rtl w:val="true"/>
        </w:rPr>
        <w:t>الفرع الأوّل</w:t>
      </w:r>
      <w:r>
        <w:rPr>
          <w:rtl w:val="true"/>
        </w:rPr>
        <w:t xml:space="preserve">: </w:t>
      </w:r>
      <w:r>
        <w:rPr>
          <w:rtl w:val="true"/>
        </w:rPr>
        <w:t>في إعطاء الخمس أو الزكاة بعنوان الرشوة</w:t>
      </w:r>
      <w:bookmarkEnd w:id="108"/>
    </w:p>
    <w:p>
      <w:pPr>
        <w:pStyle w:val="BookText"/>
        <w:rPr/>
      </w:pPr>
      <w:r>
        <w:rPr>
          <w:rFonts w:ascii="Amiri" w:hAnsi="Amiri" w:eastAsia="Amiri" w:cs="Amiri"/>
          <w:color w:val="111111"/>
          <w:sz w:val="28"/>
          <w:sz w:val="28"/>
          <w:szCs w:val="28"/>
          <w:rtl w:val="true"/>
          <w:lang w:bidi="ar-SA"/>
        </w:rPr>
        <w:t xml:space="preserve">قال السيّد الطباطبائي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دفع إلى الحاكم خمساً أو زكاة بقصد الرشوة لم تبرأ ذمّته منها لاعتبار القربة فيهما</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أكثر من هم بصدد جلب محبّة القاضي وإمالة قلبه حتّى يحكم لهم يتوسّلون بطرق مختلفة من الحيلة والخدعة والمكر والشيطنة لأنّه يعلم أنّه لو أعلن أنّه يعطي شيئاً للرشوة يجعل نفسه والقاضي ومقام القضاء معرضاً للإهانة، ولهذا يفحص عن مجالات مناسبة لهذا حتّى يجلب محبّة</w:t>
      </w:r>
      <w:bookmarkStart w:id="109" w:name="pg1791_15380"/>
    </w:p>
    <w:p>
      <w:pPr>
        <w:pStyle w:val="BookText"/>
        <w:rPr/>
      </w:pPr>
      <w:bookmarkEnd w:id="109"/>
      <w:r>
        <w:rPr>
          <w:rFonts w:ascii="Amiri" w:hAnsi="Amiri" w:eastAsia="Amiri" w:cs="Amiri"/>
          <w:color w:val="111111"/>
          <w:sz w:val="28"/>
          <w:sz w:val="28"/>
          <w:szCs w:val="28"/>
          <w:rtl w:val="true"/>
          <w:lang w:bidi="ar-SA"/>
        </w:rPr>
        <w:t>القاضي ويتوسّل إلى حيل الدقيقة ليتقرّب إلى القاضي إذن على القاضي أن يتّقي الله ويحذر، لنفسه عن الورود في أمر قبيح، وصوناً وحفظاً لمرتبة القضاء وشخص القاضي عن التلوّث بها وهتك الحرمة، فقد يبذل المال بعنوان الهدية، كما تقدّم، أو الهبة مع قيام القرائن الواضحة على أنّ غرضه المعاوضة والمقابلة بأن يبذل ليحكم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يحضر عند القاضي للمحاسبة معه وإعطاء المال بعنوان الخمس أو الزكاة أو وجوه الخير ويكلها إلى نظر القاضي، مع أنّ واقعة الرشوة وأمّا ظاهره فهو الخمس أو الزكاة أو الهدية كما تقدّم، فيكون حراماً وغير مبرئٍ لذمّة الباذل كما قاله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2354489_3650668749"/>
      <w:bookmarkStart w:id="111" w:name="_Toc41"/>
      <w:bookmarkEnd w:id="110"/>
      <w:r>
        <w:rPr>
          <w:rtl w:val="true"/>
        </w:rPr>
        <w:t>الفرع الثاني</w:t>
      </w:r>
      <w:r>
        <w:rPr>
          <w:rtl w:val="true"/>
        </w:rPr>
        <w:t xml:space="preserve">: </w:t>
      </w:r>
      <w:r>
        <w:rPr>
          <w:rtl w:val="true"/>
        </w:rPr>
        <w:t>في انعزال القاضي المرتشي‌</w:t>
      </w:r>
      <w:bookmarkEnd w:id="111"/>
    </w:p>
    <w:p>
      <w:pPr>
        <w:pStyle w:val="BookText"/>
        <w:rPr/>
      </w:pPr>
      <w:r>
        <w:rPr>
          <w:rFonts w:ascii="Amiri" w:hAnsi="Amiri" w:eastAsia="Amiri" w:cs="Amiri"/>
          <w:color w:val="111111"/>
          <w:sz w:val="28"/>
          <w:sz w:val="28"/>
          <w:szCs w:val="28"/>
          <w:rtl w:val="true"/>
          <w:lang w:bidi="ar-SA"/>
        </w:rPr>
        <w:t>إذا كان أخذ الرشوة للحاكم المرتشي حراماً وفي حدّ الشرك أو الكفر بالله العظيم، فيخرج عن العدالة بأخذه ولا يصلح للقضاء ولا يكون حكمه صحيحاً ونافذاً ويصير معزولًا ومنفصلًا بذلك لاشتراط العدالة في القاضي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تاب وصلح وأدّى ما أخذه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مع وجوده، ومثلًا أو قيمة مع 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لجاز له القضاء والتصدّي لمنصبه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ينفذ حكم الحاكم الآخذ للرشوة وإن كان على القاعدة وبالحقّ، لصيرورته فاسقاً بأخذها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تاب بعد الأخذ ثمّ حكم بالحقّ بعد التوبة صحّ ونفذ</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bookmarkStart w:id="112" w:name="pg1791_15382"/>
    </w:p>
    <w:p>
      <w:pPr>
        <w:pStyle w:val="BookText"/>
        <w:rPr/>
      </w:pPr>
      <w:bookmarkEnd w:id="112"/>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يقبل شهادته لشخص أو عليه لا ينفذ حكمه كذلك، كشهادة الولد على والده والخصم على خصمه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نفوذه وإن قلنا بعدم قبول شهادته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2354491_3650668749"/>
      <w:bookmarkStart w:id="114" w:name="_Toc42"/>
      <w:bookmarkEnd w:id="113"/>
      <w:r>
        <w:rPr>
          <w:rtl w:val="true"/>
        </w:rPr>
        <w:t>شرائط نفوذ حكم القاضي‌</w:t>
      </w:r>
      <w:bookmarkEnd w:id="1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الشهادات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موارد ردّ الشهادة شهادةالولد على والده</w:t>
      </w:r>
      <w:r>
        <w:rPr>
          <w:rStyle w:val="FootnoteAnchor"/>
          <w:rtl w:val="true"/>
        </w:rPr>
        <w:footnoteReference w:id="193"/>
      </w:r>
      <w:r>
        <w:rPr>
          <w:rFonts w:ascii="Amiri" w:hAnsi="Amiri" w:eastAsia="Amiri" w:cs="Amiri"/>
          <w:color w:val="111111"/>
          <w:sz w:val="28"/>
          <w:sz w:val="28"/>
          <w:szCs w:val="28"/>
          <w:rtl w:val="true"/>
          <w:lang w:bidi="ar-SA"/>
        </w:rPr>
        <w:t>، وكذا شهادة العدوّ على عدوّه وخصمه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تقبل شهادة الولد لوالده، وكذا شهادة الوالد لولده، وعليه، وكذا تقبل شهادة العدوّ لعدوّه</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قيل هنا في كتاب القضاء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يقبل شهادته لشخص أو عليه لا ينفذ حكمه له أو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لا ينفذ حكم الولد على والده، وكذا حكم القاضي على من بينهما عداوة 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بذلك جماعة، منهم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 xml:space="preserve">والعلامة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وغيره</w:t>
      </w:r>
      <w:r>
        <w:rPr>
          <w:rStyle w:val="FootnoteAnchor"/>
          <w:rtl w:val="true"/>
        </w:rPr>
        <w:footnoteReference w:id="197"/>
      </w:r>
      <w:r>
        <w:rPr>
          <w:rFonts w:ascii="Amiri" w:hAnsi="Amiri" w:eastAsia="Amiri" w:cs="Amiri"/>
          <w:color w:val="111111"/>
          <w:sz w:val="28"/>
          <w:sz w:val="28"/>
          <w:szCs w:val="28"/>
          <w:rtl w:val="true"/>
          <w:lang w:bidi="ar-SA"/>
        </w:rPr>
        <w:t>من كتبه، وبعض آخر</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واستدلّوا لذلك بكون الحكم شهادة وزيادة؛ فإنّ الحاكم لا يحكم حتّى يثبت</w:t>
      </w:r>
    </w:p>
    <w:p>
      <w:pPr>
        <w:pStyle w:val="BookText"/>
        <w:rPr/>
      </w:pPr>
      <w:r>
        <w:rPr>
          <w:rFonts w:ascii="Amiri" w:hAnsi="Amiri" w:eastAsia="Amiri" w:cs="Amiri"/>
          <w:color w:val="111111"/>
          <w:sz w:val="28"/>
          <w:sz w:val="28"/>
          <w:szCs w:val="28"/>
          <w:rtl w:val="true"/>
          <w:lang w:bidi="ar-SA"/>
        </w:rPr>
        <w:t>له الموضوع؛ بحيث لو أراد أن يشهد به لجازت له الشهادة ففي الحقيقة يكون شاهداً وحاكماً فيلحقه حكم الشهادة فكلّ مورد لا تقبل الشهادة فيه، لا ينفذ الحكم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كلام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إشعار باتّفاقية المسألة، وردّ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والأقوى نفوذه وإن قلنا بعدم قبول شهادته</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عدم قبول شهادة الولد على والده، أو شهادة الخصم على‌خصمه؛ فإنّ القائل بردّ شهادة الولد على والده استدلّ بوجوه غير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شهادته على والده إيذاء له فإنّه يستلزم نسبة الكذب وغصب أموال‌الناس إليه، ونحو ذلك، وذلك محرّم بما يدلّ على تحريم أذي الوالد وعقوقه من الآيات، والأخبار، والإجماع، ولا شكّ أنّه أشدّ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تَقُلْ لَهُمَا افٍ</w:t>
      </w:r>
      <w:r>
        <w:rPr>
          <w:rStyle w:val="FootnoteAnchor"/>
          <w:rtl w:val="true"/>
        </w:rPr>
        <w:footnoteReference w:id="200"/>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وَصَاحِبْهُمَا فِي الدُّنْيَا مَعْرُوفاً</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شبهة في أنّ الشهادة عليه إحسان له، وتخليص له من حقّ لازم عليه، وتفريغ لذمّته من الاشتغال بمال الغير وحقّه، وليس ذلك حراماً وعقوقاً بلا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أيضاً المصاحبة لهما بالمعروف فإنّ الشهادة عليه من أقوى المصاحبة بالمعروف؛ فإنّه نجاة له من الهلكة ومن عذاب النار، مع أنّ لازمه عدم</w:t>
      </w:r>
    </w:p>
    <w:p>
      <w:pPr>
        <w:pStyle w:val="BookText"/>
        <w:rPr/>
      </w:pPr>
      <w:r>
        <w:rPr>
          <w:rFonts w:ascii="Amiri" w:hAnsi="Amiri" w:eastAsia="Amiri" w:cs="Amiri"/>
          <w:color w:val="111111"/>
          <w:sz w:val="28"/>
          <w:sz w:val="28"/>
          <w:szCs w:val="28"/>
          <w:rtl w:val="true"/>
          <w:lang w:bidi="ar-SA"/>
        </w:rPr>
        <w:t>قبول شهادة الولد على الوالدة أيضاً، ولم يقل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وجه عدم قبول شهادة العدوّ على عدوّه فهو سرور أحدهما بمساءة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والمساءة بسروره؛ وهذا مقتضى للفسق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أنّ الفرح بمساءة المؤمن والحزن بمسرته معصية</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 فالوجه في عدم قبول الشهادة هو الفسق لا وجود العداوة فيرجع إلى اشتراط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تسليم ردّ الشهادة فيما ذكر فلا نسلم عدم نفوذ الحكم في هذه الموارد، لعدم كون الحكم شهادة، على وجه يلحقه حكمها المعلّق عليها من حيث كونها شهادة ويؤيّده اختلاف القاضي والشاهد في الشروط المعتبرة فيهما، كالاجتهاد وعدمه والرجولة والانوثة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 مقتضى إطلاقات نفوذ الحكم، التعميم وشمول الحكم للجميع، خصوصاً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قد جعلته عليكم حاكماً</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حجّتي عليكم</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والرادّ عليهم كالرادّ علينا</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الإجماع في المسألة، فغير ثابت، ولذا حكي عن بعضهم اختصاص المنع بقاضي التحكيم</w:t>
      </w:r>
      <w:r>
        <w:rPr>
          <w:rFonts w:eastAsia="Amiri" w:cs="Amiri" w:ascii="Amiri" w:hAnsi="Amiri"/>
          <w:color w:val="111111"/>
          <w:sz w:val="28"/>
          <w:szCs w:val="28"/>
          <w:rtl w:val="true"/>
          <w:lang w:bidi="ar-SA"/>
        </w:rPr>
        <w:t>.</w:t>
      </w:r>
      <w:bookmarkStart w:id="115" w:name="pg1791_15388"/>
    </w:p>
    <w:p>
      <w:pPr>
        <w:pStyle w:val="BookText"/>
        <w:rPr/>
      </w:pPr>
      <w:bookmarkEnd w:id="115"/>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رفع المتداعيان اختصامهما إلى فقيه جامع للشرائط، فنظر في الواقعة وحكم على موازين القضاء، لا يجوز لهما الرفع إلى حاكم آخر، وليس للحاكم الثاني النظر فيه ونقضه، بل لو تراضى الخصمان على ذلك فالمتّجه عدم الجواز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2354493_3650668749"/>
      <w:bookmarkStart w:id="117" w:name="_Toc43"/>
      <w:bookmarkEnd w:id="116"/>
      <w:r>
        <w:rPr>
          <w:rtl w:val="true"/>
        </w:rPr>
        <w:t>حكم الترافع إلى المحكمة الاستئنافية</w:t>
      </w:r>
      <w:bookmarkEnd w:id="1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قضى وحكم القاضي في واقعة، هل يجوز للمتخاصمين عدم قبول حكمه؛ والاعتراض عليه؛ وطرح الدعوى عند حاكم آخر؟</w:t>
      </w:r>
    </w:p>
    <w:p>
      <w:pPr>
        <w:pStyle w:val="BookText"/>
        <w:rPr/>
      </w:pPr>
      <w:r>
        <w:rPr>
          <w:rFonts w:ascii="Amiri" w:hAnsi="Amiri" w:eastAsia="Amiri" w:cs="Amiri"/>
          <w:color w:val="111111"/>
          <w:sz w:val="28"/>
          <w:sz w:val="28"/>
          <w:szCs w:val="28"/>
          <w:rtl w:val="true"/>
          <w:lang w:bidi="ar-SA"/>
        </w:rPr>
        <w:t>وهل يجوز للحاكم الثاني النظر فيها ونقض حكم الأوّل أم لا؟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محطّ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الأصحاب الذين تعرّضوا للمسألة، هو ما إذا لم تقم حكومة إسلامية بزعامة الولي الفقيه، بل كانت بيد الطاغوت وكانت القضاة عمّال الجائرين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نهي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الشيعة وتابعيهم عن المراجعة إلى قضاة الجور وأكّدوا عليه؛ بحيث حكموا بالسحت على المال المأخوذ بحكم قضاة الجور وإن كان حقّاً، لأنّه أخذه بحكم الطاغوت، ومعلوم أنّ الشيعة أيضاً قد يقع بينهم التنازع والمخاصمة فيحتاجون إلى قضاة لرفع المنازعة وفصل الخصومة، والقضاء بينهم، ولذا نصبوا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الفقهاء الواجدين لشروط الإفتاء، قضاة بنصب عامّ،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مقبولة عمر بن حنظلة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قد جعلته عليكم حاكماً</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 xml:space="preserve">ولهذا فقد جرى ديدن الشيعة من زمن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p>
    <w:p>
      <w:pPr>
        <w:pStyle w:val="BookText"/>
        <w:rPr/>
      </w:pPr>
      <w:r>
        <w:rPr>
          <w:rFonts w:ascii="Amiri" w:hAnsi="Amiri" w:eastAsia="Amiri" w:cs="Amiri"/>
          <w:color w:val="111111"/>
          <w:sz w:val="28"/>
          <w:sz w:val="28"/>
          <w:szCs w:val="28"/>
          <w:rtl w:val="true"/>
          <w:lang w:bidi="ar-SA"/>
        </w:rPr>
        <w:t>المراجعة إلى المجتهدين لفصل الخصومة، الحاصلة بينهم، كما جرى ديدن العلماء والمجتهدين على قبول الترافع عندهم، والتصدّي للقضاء، بل كان بعضهم مبسوط اليد، بحيث أجرى القِصاص والحدود والتعزيرات وغيرها، فعندئذٍ إذا ترافعوا إلى مجتهد جامع للشروط، ونظر في الواقعة، وقضى بينهم على موازين القضاء شرعاً، فهل للمتخاصمين عدم قبوله والاعتراض عليه، وطرح الدعوى عنده ثانياً، أو عند حاكم آخر، أم لا؟</w:t>
      </w:r>
    </w:p>
    <w:p>
      <w:pPr>
        <w:pStyle w:val="BookText"/>
        <w:rPr/>
      </w:pPr>
      <w:r>
        <w:rPr>
          <w:rFonts w:ascii="Amiri" w:hAnsi="Amiri" w:eastAsia="Amiri" w:cs="Amiri"/>
          <w:color w:val="111111"/>
          <w:sz w:val="28"/>
          <w:sz w:val="28"/>
          <w:szCs w:val="28"/>
          <w:rtl w:val="true"/>
          <w:lang w:bidi="ar-SA"/>
        </w:rPr>
        <w:t>ثمّ هل للمجتهد الثاني النظر فيه ونقضه أم لا؟</w:t>
      </w:r>
    </w:p>
    <w:p>
      <w:p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الجواز في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ولتوضيح المطلب نقدّم اموراً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الهدف والغاية من تشريع القضاء في الإسلام، هو فصل الخصومة، ورفع المنازعة، وهذا لا يتحقّق إلا بعد أن يتمتّع الحكم بقوّة وصلابة واستحكام، بحيث لا يتزلزل برفضهم له واعتراضهم عليه، وإلا لما حصل المطلوب والغرض، بل ينتهي الأمر إلى الهرج والمرج في النظام، ولما بقيت أية قوّة وصلابة للقاضي وحكمه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تجد أنّ هذه القدرة والقوّة للأحكام القضائية ثابتة في جميع الدول والمجتمعات، والكلّ يراعون هذا الاستحكام فإنّه بمصالح الحكومة وإدارة الدولة، بلا إشكال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اللازم من نصبهم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المجتهدين للقضاء وجوب إطاعتهم، وقبول حكمهم، والرضا به، وحرمة ردّه، ونقضه، والا لزمت لغوية التنصيب، ولذا نصبهم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قد جعلته عليكم 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حكم بحكمنا فلم يقبل منه، فإنّما استخفّ بحكم الله، وعليه ردّ،</w:t>
      </w:r>
    </w:p>
    <w:p>
      <w:pPr>
        <w:pStyle w:val="BookText"/>
        <w:rPr/>
      </w:pPr>
      <w:r>
        <w:rPr>
          <w:rFonts w:ascii="Amiri" w:hAnsi="Amiri" w:eastAsia="Amiri" w:cs="Amiri"/>
          <w:color w:val="111111"/>
          <w:sz w:val="28"/>
          <w:sz w:val="28"/>
          <w:szCs w:val="28"/>
          <w:rtl w:val="true"/>
          <w:lang w:bidi="ar-SA"/>
        </w:rPr>
        <w:t>والرادّ علينا الرادّ على الله، وهو في حدّ الشّرك بالله</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فجعل حكم المنصوب من قبلهم بمنزلة حكمهم وهو بمنزلة حكم الله، وعدم قبوله وردّه بمنزله ردّ حكم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أيضاً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Style w:val="FootnoteAnchor"/>
          <w:rtl w:val="true"/>
        </w:rPr>
        <w:footnoteReference w:id="208"/>
      </w:r>
      <w:r>
        <w:rPr>
          <w:rFonts w:ascii="Amiri" w:hAnsi="Amiri" w:eastAsia="Amiri" w:cs="Amiri"/>
          <w:color w:val="111111"/>
          <w:sz w:val="28"/>
          <w:sz w:val="28"/>
          <w:szCs w:val="28"/>
          <w:rtl w:val="true"/>
          <w:lang w:bidi="ar-SA"/>
        </w:rPr>
        <w:t>فإنّ هذا الخطاب وإن كان للنبي لكنّه من باب حكم القضاء وأدب القضاء، لا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القضاء وإنشاء الحكم أو نقضه فرع وجود المنازعة والمخاصمة فإذا لم تكن مخاصمة فلا موضوع للقضاء ولا يكون مشروعاً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اتّضحت هذه الامور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 المتخاصمان نزاعهما إلى مجتهد جامع للشروط فنظر في الواقعة وقضى بينهما على وفق موازين الحقّ والشرع، فبمقتضى الأمرين الأوّلين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الهدف من تشريع القضاء،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من نصبهم وجوب إطاعتهم لا يجوز لهما الترافع إلى مجتهد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يجوز للحاكم الثاني النظر فيها بلا إشكال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وبمقتضى 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إنشاء الحكم فرع وجود المنازعة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الأمران من جهة اخرى، وهي عدم وجود المخاصمة، فإنّه إذا قضى الأوّل بالحقّ، وكان واجداً للشروط فصلت الخصومة، وارتفع التنازع، فلا تنازع، حتّى</w:t>
      </w:r>
    </w:p>
    <w:p>
      <w:pPr>
        <w:pStyle w:val="BookText"/>
        <w:rPr/>
      </w:pPr>
      <w:r>
        <w:rPr>
          <w:rFonts w:ascii="Amiri" w:hAnsi="Amiri" w:eastAsia="Amiri" w:cs="Amiri"/>
          <w:color w:val="111111"/>
          <w:sz w:val="28"/>
          <w:sz w:val="28"/>
          <w:szCs w:val="28"/>
          <w:rtl w:val="true"/>
          <w:lang w:bidi="ar-SA"/>
        </w:rPr>
        <w:t>يقضي الثاني ليرفعه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حرمة تجديد المرافعة والنقض من القضايا التي قياساتها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المحقّق الرشتي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حرمة النقض لا يحتاج في إثباتها إلى دليل آخر، غير ما دلّ على وجوب الرضا بالحكم، فإنّ الحكم عبارة عن فصل الخصومة وقطع المنازعة، فإذا تحقّق الفصل عند حاكم لم يبق أمر قابل للفصل شرعاً بعد؛ سواء رضي الخصمان بتجديد المراجعة أم لا</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القول بجواز النقض برضى المتخاصمين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ربما يوهم عدم محلّ للدعوى أنّ تراضي الخصمان بتجديدها عند الحاكم الثاني وإن كان الأقوى خلافه</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الحقّ عدم الجواز ولو برضاهما كما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تغيير الحكم الشرعي برضاهما فإنّه لا يوجد موضوعاً للطرح عند الحاكم الثاني كما قلنا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موافقاً 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للمحكوم عليه بعد تمام المرافعة والحكم مطالبة تجديدها عند حاكم آخر أو عند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يجوز ذلك برضى الطرفين أو لا؟ قولان أقواهما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الظاهر عدم صدق ردّ الحكم خصوصاً إذا كان لاحتمال خطاء الحاكم؛ لا سيّما إذا كان الحاكم أيضاً أراد تجديد النظر في مقدّمات الحكم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اختار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bookmarkStart w:id="118" w:name="pg1791_15395"/>
    </w:p>
    <w:p>
      <w:pPr>
        <w:pStyle w:val="BookText"/>
        <w:rPr/>
      </w:pPr>
      <w:bookmarkEnd w:id="118"/>
      <w:r>
        <w:rPr>
          <w:rFonts w:ascii="Amiri" w:hAnsi="Amiri" w:eastAsia="Amiri" w:cs="Amiri"/>
          <w:color w:val="111111"/>
          <w:sz w:val="28"/>
          <w:sz w:val="28"/>
          <w:szCs w:val="28"/>
          <w:rtl w:val="true"/>
          <w:lang w:bidi="ar-SA"/>
        </w:rPr>
        <w:t>نعم، لو ادّعى أحد الخصمين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الحاكم الأوّل لم يكن جامعاً للشرائط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ادّعى عدم اجتهاده أو عدالته حال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مسموعة يجوز للحاكم الثاني النظر فيها، فإذا ثبت عدم صلوحه للقضاء نقض حكمه، كما يجوز النقض لو كان مخالفاً لضروري الفقه؛ بحيث لو تنبّه الأوّل يرجع بمجرّده لظهور غفلته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النقض فيما يكون نظرياً اجتهادياً فلا يجوز، ولا تسمع دعوى المدّعي ولو ادّعى خطأه في اجتهاده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صدق الردّ بصرف عدم قبولهما الحكم ورضاهما بتجديد النظر مع كون الأوّل فقيهاً جامعاً للشرائط وقضى على موازين الحقّ ولو كان رضاهما بتجديد النظر وطرح الدعوى عند الآخر، لاحتمال خطاء الحاكم الأوّل، فإنّ في كلّ 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الخطاء، فجواز التجديد برضاهما يوجب الوهن للأحكام ونقض الغرض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ادّعيا خطأه جزماً فهو دعوى مسموع فيترتّب عليه الأثر كما سيجي‌ء</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2354495_3650668749"/>
      <w:bookmarkStart w:id="120" w:name="_Toc44"/>
      <w:bookmarkEnd w:id="119"/>
      <w:r>
        <w:rPr>
          <w:rtl w:val="true"/>
        </w:rPr>
        <w:t>موارد جواز الاستئناف‌</w:t>
      </w:r>
      <w:bookmarkEnd w:id="120"/>
    </w:p>
    <w:p>
      <w:pPr>
        <w:pStyle w:val="Heading5"/>
        <w:numPr>
          <w:ilvl w:val="4"/>
          <w:numId w:val="1"/>
        </w:numPr>
        <w:rPr/>
      </w:pPr>
      <w:bookmarkStart w:id="121" w:name="__RefHeading___Toc2354497_3650668749"/>
      <w:bookmarkStart w:id="122" w:name="_Toc45"/>
      <w:bookmarkEnd w:id="121"/>
      <w:r>
        <w:rPr>
          <w:rtl w:val="true"/>
        </w:rPr>
        <w:t>اشارة</w:t>
      </w:r>
      <w:bookmarkEnd w:id="1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استثني من عدم جواز تجديد النظر في الأحكام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ادّعى أحد الخصمين عدم كون الحاكم واجداً للشروط، مثل عدم كونه مجتهداً أو عادلًا حال القضاء</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ادّعى عدم كون القضاء على طبق الموازين الشرعية، وأنّه</w:t>
      </w:r>
    </w:p>
    <w:p>
      <w:pPr>
        <w:pStyle w:val="BookText"/>
        <w:rPr/>
      </w:pPr>
      <w:r>
        <w:rPr>
          <w:rFonts w:ascii="Amiri" w:hAnsi="Amiri" w:eastAsia="Amiri" w:cs="Amiri"/>
          <w:color w:val="111111"/>
          <w:sz w:val="28"/>
          <w:sz w:val="28"/>
          <w:szCs w:val="28"/>
          <w:rtl w:val="true"/>
          <w:lang w:bidi="ar-SA"/>
        </w:rPr>
        <w:t>كان مخالفاً لضروري الفقه ولما كان متّفقاً عليه عند الكلّ، مثل أن أحلف المدّعي مكان المنكر، أو قضى بشهادة النساء فيما لا تقبل شهادتين أو بشهادة عدلين فيما يلزم شهادة الأربعة، وغير ذلك؛ بحيث لو تنبّه الأوّل يرجع بمجرّده، لظهور غفلته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الجواز في الموردين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فلكونه مشمولًا لأدلّة سماع الدعوى، فإنَّ المقتضى للسماع موجود، والمانع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يتنافي ذلك مع المقبولة الدالّة على وجوب القبول وحرمة الردّ، فإنّ موردها المجتهد الجامع للشروط، والمقام ليس كذلك، لأنّهما يدّعيان عدم كونه صالحاً للقضاء فلا يصدق حينئذٍ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فلأنّ الحكم المخالف لموازين الشرع ليس حكماً شرعياً حتّى يصدق عليه أنّه حكمهم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المقبولة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حكم‌بحكمنا ولم يقبل منه فيجوز للمتنازعين طرح الدعوى عند حاكم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أنّ هذين الموردين، ليسا بمستثنيين حقيقة من عدم جواز النظر في حكم الحاكم الأوّل، أو عدم جواز الترافع عند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هما خارجان منهما تخصّصاً فيجوز الترافع فيهما عند حاكم آخر واجد للشروط حتّى يقضي على مقتضى القواعد في الدعاوي بينهما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بناءً على تصدّي الفقهاء للقضاء باعتبار نصبهم عموماً من جانب الإمام من دون قيام حكومة إسلامية بزعامة الوليّ الفقيه</w:t>
      </w:r>
      <w:r>
        <w:rPr>
          <w:rFonts w:eastAsia="Amiri" w:cs="Amiri" w:ascii="Amiri" w:hAnsi="Amiri"/>
          <w:color w:val="111111"/>
          <w:sz w:val="28"/>
          <w:szCs w:val="28"/>
          <w:rtl w:val="true"/>
          <w:lang w:bidi="ar-SA"/>
        </w:rPr>
        <w:t>.</w:t>
      </w:r>
      <w:bookmarkStart w:id="123" w:name="pg1791_15399"/>
    </w:p>
    <w:p>
      <w:pPr>
        <w:pStyle w:val="Heading5"/>
        <w:numPr>
          <w:ilvl w:val="4"/>
          <w:numId w:val="1"/>
        </w:numPr>
        <w:rPr/>
      </w:pPr>
      <w:bookmarkStart w:id="124" w:name="__RefHeading___Toc2354499_3650668749"/>
      <w:bookmarkStart w:id="125" w:name="_Toc46"/>
      <w:bookmarkEnd w:id="123"/>
      <w:bookmarkEnd w:id="124"/>
      <w:r>
        <w:rPr>
          <w:rtl w:val="true"/>
        </w:rPr>
        <w:t>حكم الترافع عند محكمة اخرى إذا كانت بزعامة الوليّ الفقيه‌</w:t>
      </w:r>
      <w:bookmarkEnd w:id="125"/>
    </w:p>
    <w:p>
      <w:pPr>
        <w:pStyle w:val="BookText"/>
        <w:rPr/>
      </w:pPr>
      <w:r>
        <w:rPr>
          <w:rFonts w:ascii="Amiri" w:hAnsi="Amiri" w:eastAsia="Amiri" w:cs="Amiri"/>
          <w:color w:val="111111"/>
          <w:sz w:val="28"/>
          <w:sz w:val="28"/>
          <w:szCs w:val="28"/>
          <w:rtl w:val="true"/>
          <w:lang w:bidi="ar-SA"/>
        </w:rPr>
        <w:t>إذا قامت الحكومة الإسلامية بزعامة الفقيه الجامع للشروط وكان قد استقرّ في نظامها، السلطة القضائية وقام بتدوين الاسس القضائية والإدارية، فهل يجوز إعادة المرافعة في محكمة اخرى؟</w:t>
      </w:r>
    </w:p>
    <w:p>
      <w:pPr>
        <w:pStyle w:val="BookText"/>
        <w:rPr/>
      </w:pPr>
      <w:r>
        <w:rPr>
          <w:rFonts w:ascii="Amiri" w:hAnsi="Amiri" w:eastAsia="Amiri" w:cs="Amiri"/>
          <w:color w:val="111111"/>
          <w:sz w:val="28"/>
          <w:sz w:val="28"/>
          <w:szCs w:val="28"/>
          <w:rtl w:val="true"/>
          <w:lang w:bidi="ar-SA"/>
        </w:rPr>
        <w:t xml:space="preserve">لا إشكال في أنّ الوليّ الفقيه وزعيم النظام الإسلامي هو من مصاديق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قد جعلته عليكم 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له القضاء بنفسه كما يلزمه الإذن فيه ونصب القضاة في المحاكم الإسلامية، ولا بدّ له من رعاية المصالح وتسهيل الأمر على المراجعين، ولذا فقد قسّمت المنازعات والمرافعات، إلى أقسام، مدنية، وجزائية، وأحوال شخصية، وعسكرية، وغيرها، وأوجدت المحاكم، لكلّ قسم من الأقسام، كما قسّموا الأحكام الصادرة من المحاكم، إلى قطعي غير قابل للتمييز والاعتراض، وما هو قابل للتمييز والاعتراض إلى عشرين يوماً من صدوره، فاللازم على قضاة المحاكم، أن يحكموا على طبق موازين القانون المدوّن، من حيث قطعية الحكم وعدمها، وعلى حسب إذن الوليّ الفقيه لهم، فله أن ينصب بعض القضاة لا للقضاء، بل لتهيئة مقدّمات صدور الحكم خاصّة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يستنبط من بعض الروايات، كقول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لشريح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أن تنفذ قضية في قصاص، أو حدّ من حدود الله، أو حقّ من حقوق المسلمين حتّى تعرض ذلك على إن شاء الله</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bookmarkStart w:id="126" w:name="pg1791_15401"/>
    </w:p>
    <w:p>
      <w:pPr>
        <w:pStyle w:val="BookText"/>
        <w:rPr/>
      </w:pPr>
      <w:bookmarkEnd w:id="126"/>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افتقر الحاكم إلى مترجم لسماع الدعوى أو جواب المدّعى عليه أو الشهادة، يعتبر أن يكون شاهدين عدلين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ذلك لا ينافي المقبولة، فإنّها ليست مستند صحّة أحكامهم، بل المستند إذن الفقيه لهم، فيلزمهم العمل في دائرة إذنه ولا إشكال‌فيه</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2354501_3650668749"/>
      <w:bookmarkStart w:id="128" w:name="_Toc47"/>
      <w:bookmarkEnd w:id="127"/>
      <w:r>
        <w:rPr>
          <w:rtl w:val="true"/>
        </w:rPr>
        <w:t>استخدام المترجم للقاضي‌</w:t>
      </w:r>
      <w:bookmarkEnd w:id="1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يعرف الحاكم لغة أحد الخصمين أو الشهود، فاحتاج إلى مترجم يطّلعه على مفاد ادّعاء المدّعي، أو جواب المدّعى عليه، أو شهادة الشهود فهل يعتبر في المترجم التعدّد، أو يكفي الواحد؟ فيه أقوال؛ منشؤها أنّ ترجمته هل هي شهادة من المترجم، فيعتبر فيها التعدّد والعدالة أو أنّها رواية وإخبار عن معاني الألفاظ الصادرة من الشخص فيكفي فيها خبر الثقه؟</w:t>
      </w:r>
    </w:p>
    <w:p>
      <w:p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اشترط في المترجم العدالة والتكليف والعدد، لأنّه ينقل قولًا إلى القاضي لا يعرفه القاضي، فكان في معنى الشهادة، بل فرداً من أفرادها</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عن بعض العامّة</w:t>
      </w:r>
      <w:r>
        <w:rPr>
          <w:rStyle w:val="FootnoteAnchor"/>
          <w:rtl w:val="true"/>
        </w:rPr>
        <w:footnoteReference w:id="215"/>
      </w:r>
      <w:r>
        <w:rPr>
          <w:rFonts w:ascii="Amiri" w:hAnsi="Amiri" w:eastAsia="Amiri" w:cs="Amiri"/>
          <w:color w:val="111111"/>
          <w:sz w:val="28"/>
          <w:sz w:val="28"/>
          <w:szCs w:val="28"/>
          <w:rtl w:val="true"/>
          <w:lang w:bidi="ar-SA"/>
        </w:rPr>
        <w:t>كفاية مترجم واحد، جعلًا له من باب الخبر، وقال به بعض الخاصّة</w:t>
      </w:r>
      <w:r>
        <w:rPr>
          <w:rStyle w:val="FootnoteAnchor"/>
          <w:rtl w:val="true"/>
        </w:rPr>
        <w:footnoteReference w:id="216"/>
      </w:r>
      <w:r>
        <w:rPr>
          <w:rFonts w:ascii="Amiri" w:hAnsi="Amiri" w:eastAsia="Amiri" w:cs="Amiri"/>
          <w:color w:val="111111"/>
          <w:sz w:val="28"/>
          <w:sz w:val="28"/>
          <w:szCs w:val="28"/>
          <w:rtl w:val="true"/>
          <w:lang w:bidi="ar-SA"/>
        </w:rPr>
        <w:t>أيضاً؛ لأجل حجّية خبر الواحد الثقة في الموضوعات الخارجية</w:t>
      </w:r>
    </w:p>
    <w:p>
      <w:pPr>
        <w:pStyle w:val="BookText"/>
        <w:rPr/>
      </w:pPr>
      <w:r>
        <w:rPr>
          <w:rFonts w:ascii="Amiri" w:hAnsi="Amiri" w:eastAsia="Amiri" w:cs="Amiri"/>
          <w:color w:val="111111"/>
          <w:sz w:val="28"/>
          <w:sz w:val="28"/>
          <w:szCs w:val="28"/>
          <w:rtl w:val="true"/>
          <w:lang w:bidi="ar-SA"/>
        </w:rPr>
        <w:t>فلا يحتاج إلى التعدّد والعدالة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يحرز كون الترجمة شهادة أو خبراً وشككنا في ذلك، وكان في المقام أصل ينقّح الموضوع، رجع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ادّعي أنّ الأصل هو الخبر فإنّ الشهادة قسم من الخبر يراد بها إثبات أمر عند الحاكم، ليترتّب عليه الحكم فيعتبر فيها التعدّد، ولو لم يحرز ذلك الواحد؛ استناداً إلى عموم ما دلّ على قبول خبر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بوضوح التباين بين الرواية والشهادة في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المرجع في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معلومية عدم الوضع الشرعي فيهما</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 مراده أنّه تارة يكون الشخص في مقام نقل ما سمعه من الآخر، كنقل محمّد بن يعقوب الكليني عن علي بن إبراهيم، عن أبيه، أو نقل ما رآه من واقعة، أو سمعه، كقوله جاء زيد أو قتل عمرو فهو عند العرف خبر أو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 يكون في مقام بيان ما رآه وسمعه للقاضي ليحكم على طبقه، وهذا شهادة عند العرف تباين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وليسا من قبيل العامّ والخاصّ، فلا أصل في البين ينقّح الموضوع فعند ذلك لا بدّ من الاحتياط ورعاية التعدّد من باب أنّه المتيقّن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اختاره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افتقر الحاكم إلى مترجم، لم يقبل إلا شاهدان عدلان، ولا يقتنع بالواحد؛ عملًا بالمتّفق عليه</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 xml:space="preserve">كما اختاره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 xml:space="preserve">أيضاً، بل 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اعتبرناه</w:t>
      </w:r>
    </w:p>
    <w:p>
      <w:pPr>
        <w:pStyle w:val="BookText"/>
        <w:rPr/>
      </w:pPr>
      <w:r>
        <w:rPr>
          <w:rFonts w:ascii="Amiri" w:hAnsi="Amiri" w:eastAsia="Amiri" w:cs="Amiri"/>
          <w:color w:val="111111"/>
          <w:sz w:val="28"/>
          <w:sz w:val="28"/>
          <w:szCs w:val="28"/>
          <w:rtl w:val="true"/>
          <w:lang w:bidi="ar-SA"/>
        </w:rPr>
        <w:t>مجمع على قبوله، وما ادّعوه ليس عليه دليل</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ومرادهم من كونه المتيقّن، إنّ الحاكم إذا استند في حكمه إلى قول مترجمين اثنين، يكون مجزئاً قطعاً، وإن استند إلى قول واحد، يكون محلّ خلاف وموضع 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المسألة أقوالًا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التعدّد في المترجم، لأنّها شهادة؛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وعدمه لكونه خبراً؛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ومرجعه أيضاً إلى التعدّد لكونه قدراً متيقّناً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الترجمة ليست من باب الشهادة، ولا الخبر، بل هي من باب الرجوع إلى أهل الخبرة، فإنّ المترجم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معنى هذا اللفظ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يكون شهادة، ولا خبراً، بل يوضّح ويبيّن معنى الألفاظ الصادرة من المدّعي، أو المدّعى عليه، أو الشهود، وهذا نظير ما إذا وقع الاشتباه في خطّ أو ادّعى تزوير التوقيع، فارجع الأمر إلى الخبير في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ليس شبيه خطّ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شهادة، أو خبراً، ينقله؛ بل هو بيان لنظره وتشخيصه، 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في الترجمة إلى التعدّد، أو العدالة فإنّ قول أهل الخبرة الموثوق بهم حجّة، لبناء العقلاء على الاكتفاء بالواحد منهم في امورهم</w:t>
      </w:r>
      <w:r>
        <w:rPr>
          <w:rFonts w:eastAsia="Amiri" w:cs="Amiri" w:ascii="Amiri" w:hAnsi="Amiri"/>
          <w:color w:val="111111"/>
          <w:sz w:val="28"/>
          <w:szCs w:val="28"/>
          <w:rtl w:val="true"/>
          <w:lang w:bidi="ar-SA"/>
        </w:rPr>
        <w:t>.</w:t>
      </w:r>
      <w:bookmarkStart w:id="129" w:name="pg1791_15407"/>
    </w:p>
    <w:p>
      <w:pPr>
        <w:pStyle w:val="Heading3"/>
        <w:numPr>
          <w:ilvl w:val="2"/>
          <w:numId w:val="1"/>
        </w:numPr>
        <w:rPr/>
      </w:pPr>
      <w:bookmarkStart w:id="130" w:name="__RefHeading___Toc2354503_3650668749"/>
      <w:bookmarkStart w:id="131" w:name="_Toc48"/>
      <w:bookmarkEnd w:id="129"/>
      <w:bookmarkEnd w:id="130"/>
      <w:r>
        <w:rPr>
          <w:rtl w:val="true"/>
        </w:rPr>
        <w:t>القول</w:t>
      </w:r>
      <w:r>
        <w:rPr>
          <w:rtl w:val="true"/>
        </w:rPr>
        <w:t xml:space="preserve">: </w:t>
      </w:r>
      <w:r>
        <w:rPr>
          <w:rtl w:val="true"/>
        </w:rPr>
        <w:t>في صفات القاضي وما يناسب ذلك‌</w:t>
      </w:r>
      <w:bookmarkEnd w:id="131"/>
    </w:p>
    <w:p>
      <w:pPr>
        <w:pStyle w:val="Heading4"/>
        <w:numPr>
          <w:ilvl w:val="3"/>
          <w:numId w:val="1"/>
        </w:numPr>
        <w:rPr/>
      </w:pPr>
      <w:bookmarkStart w:id="132" w:name="__RefHeading___Toc2354505_3650668749"/>
      <w:bookmarkStart w:id="133" w:name="_Toc49"/>
      <w:bookmarkEnd w:id="132"/>
      <w:r>
        <w:rPr>
          <w:rtl w:val="true"/>
        </w:rPr>
        <w:t>اشارة</w:t>
      </w:r>
      <w:bookmarkEnd w:id="13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والعقل، والإيمان، والعدالة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4"/>
        <w:numPr>
          <w:ilvl w:val="3"/>
          <w:numId w:val="1"/>
        </w:numPr>
        <w:rPr/>
      </w:pPr>
      <w:bookmarkStart w:id="134" w:name="__RefHeading___Toc2354507_3650668749"/>
      <w:bookmarkStart w:id="135" w:name="_Toc50"/>
      <w:bookmarkEnd w:id="134"/>
      <w:r>
        <w:rPr>
          <w:rtl w:val="true"/>
        </w:rPr>
        <w:t>شروط القاضي الذي ينصبه وليّ أمر المسلمين‌</w:t>
      </w:r>
      <w:bookmarkEnd w:id="135"/>
    </w:p>
    <w:p>
      <w:pPr>
        <w:pStyle w:val="Heading5"/>
        <w:numPr>
          <w:ilvl w:val="4"/>
          <w:numId w:val="1"/>
        </w:numPr>
        <w:rPr/>
      </w:pPr>
      <w:bookmarkStart w:id="136" w:name="__RefHeading___Toc2354509_3650668749"/>
      <w:bookmarkStart w:id="137" w:name="_Toc51"/>
      <w:bookmarkEnd w:id="136"/>
      <w:r>
        <w:rPr>
          <w:rtl w:val="true"/>
        </w:rPr>
        <w:t>اشارة</w:t>
      </w:r>
      <w:bookmarkEnd w:id="1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البحث هنا في شروط القاضي الذي ينصبه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في غنىً عنه، لأنّه موكول إلى نظره الشريف، وإنّما الكلام حول شروط القاضي الذي يراد نصبه من قبل الوليّ الفقيه، وهي امور</w:t>
      </w:r>
      <w:r>
        <w:rPr>
          <w:rFonts w:eastAsia="Amiri" w:cs="Amiri" w:ascii="Amiri" w:hAnsi="Amiri"/>
          <w:color w:val="111111"/>
          <w:sz w:val="28"/>
          <w:szCs w:val="28"/>
          <w:rtl w:val="true"/>
          <w:lang w:bidi="ar-SA"/>
        </w:rPr>
        <w:t>:</w:t>
      </w:r>
    </w:p>
    <w:p>
      <w:pPr>
        <w:pStyle w:val="Heading5"/>
        <w:numPr>
          <w:ilvl w:val="4"/>
          <w:numId w:val="1"/>
        </w:numPr>
        <w:rPr/>
      </w:pPr>
      <w:bookmarkStart w:id="138" w:name="__RefHeading___Toc2354511_3650668749"/>
      <w:bookmarkStart w:id="139" w:name="_Toc52"/>
      <w:bookmarkEnd w:id="138"/>
      <w:r>
        <w:rPr>
          <w:rtl w:val="true"/>
        </w:rPr>
        <w:t>الشرط الأوّل</w:t>
      </w:r>
      <w:r>
        <w:rPr>
          <w:rtl w:val="true"/>
        </w:rPr>
        <w:t xml:space="preserve">: </w:t>
      </w:r>
      <w:r>
        <w:rPr>
          <w:rtl w:val="true"/>
        </w:rPr>
        <w:t>البلوغ‌</w:t>
      </w:r>
      <w:bookmarkEnd w:id="139"/>
    </w:p>
    <w:p>
      <w:pPr>
        <w:pStyle w:val="BookText"/>
        <w:rPr/>
      </w:pPr>
      <w:r>
        <w:rPr>
          <w:rFonts w:ascii="Amiri" w:hAnsi="Amiri" w:eastAsia="Amiri" w:cs="Amiri"/>
          <w:color w:val="111111"/>
          <w:sz w:val="28"/>
          <w:sz w:val="28"/>
          <w:szCs w:val="28"/>
          <w:rtl w:val="true"/>
          <w:lang w:bidi="ar-SA"/>
        </w:rPr>
        <w:t>فلا ينفذ قضاء الصبيّ وإن كان مراهقاً، بل ومجتهداً جامعاً لسائر الشروط عدا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ادّعى كثير من العلماء الإجماع عليه، وذكروا أنّه لم يختلف فيه أحد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 أنّه محتمل المدركية؛ فلعلّ استنادهم في ذلك على ما سيجي‌ء في الأدلّة، فلم يثبت إجماع 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على البلوغ أيضاً بالأصل، فإنّ مقتضاه عدم الولاية لأحد على أحد ولا نفوذ لحكم أحد على أحد، إلا ما خرج بالدليل، فإذا شككنا في نفوذ حكم الصبيّ وإن كان مراهقاً كان مقتضى الأصل عدم النفوذ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أيضاً بانصراف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التقييد بالرجل في خبر أبي خديجة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اجعلوا بينكم رجلًا قد عرف حلالنا وحرامنا، فإنّي قد جعلته عليكم قاضياً</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فإنّ المستفاد منه، أنّ منصب القضاء مجعول لمن فيه خصوصية الرجولية، فلا يشمل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بإلغاء الخصوصية من لفظ الرجل، كما في سائر الموارد،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صلّى فلم يدر أ في الثالثة هو أم في الرابعة؟</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حيث إنّه لا يختصّ بالرجال، بل يشمل النساء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 أنّه في تلك الموارد، يعلم بعدم الخصوصية للرجل فيها، لأنّ السؤال عن حكم الشكّ، لا شكّ الرجل، بخلاف ما نحن فيه، فإنّ من المحتمل دخالة خصوصية الرجل في القضاء، فلا يمكن إلغاء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الاستدلال بمقبولة عمر بن حنظلة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أوّلًا عن المراجعة إلى قضاء الجور، فقال الراوي فكيف يصنعان؟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ينظران من كان منكم، ممّن قد روي حديثنا فإنّي قد جعلته عليكم 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وإن شمل الصبيّ أيضاً، لكنّه منصرف إلى البالغ من جهة أهمّية المقام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أيضاً بأنّ الصبيّ مُولّى عليه، فلا يصلح لهذا المنصب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w:t>
      </w:r>
      <w:bookmarkStart w:id="140" w:name="pg1791_15411"/>
    </w:p>
    <w:p>
      <w:pPr>
        <w:pStyle w:val="BookText"/>
        <w:rPr/>
      </w:pPr>
      <w:bookmarkEnd w:id="1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الصبيّ لا ولاية له على نفسه فانتفاؤها عن غيره أولى ولا ينفذ قوله على نفسه فالأولى أن لاينفذ على غيره</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 xml:space="preserve">هذا، وأمّا قوله تعالى في مورد يحيي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يَحْيَى خُذْ الْكِتَابَ بِقُوَّةٍ وَآتَيْنَاهُ الْحُكْمَ صَبِيّاً</w:t>
      </w:r>
      <w:r>
        <w:rPr>
          <w:rStyle w:val="FootnoteAnchor"/>
          <w:rtl w:val="true"/>
        </w:rPr>
        <w:footnoteReference w:id="224"/>
      </w:r>
      <w:r>
        <w:rPr>
          <w:rFonts w:ascii="Amiri" w:hAnsi="Amiri" w:eastAsia="Amiri" w:cs="Amiri"/>
          <w:color w:val="111111"/>
          <w:sz w:val="28"/>
          <w:sz w:val="28"/>
          <w:szCs w:val="28"/>
          <w:rtl w:val="true"/>
          <w:lang w:bidi="ar-SA"/>
        </w:rPr>
        <w:t>وكذا بالنسبة إلى نبوّة عيسى أو إمامة الإمام الجواد وإمام العصر أرواحنا فداه؛ فهي على سبيل خرق العادة وإتمام الحجّة والاختبار</w:t>
      </w:r>
      <w:r>
        <w:rPr>
          <w:rFonts w:eastAsia="Amiri" w:cs="Amiri" w:ascii="Amiri" w:hAnsi="Amiri"/>
          <w:color w:val="111111"/>
          <w:sz w:val="28"/>
          <w:szCs w:val="28"/>
          <w:rtl w:val="true"/>
          <w:lang w:bidi="ar-SA"/>
        </w:rPr>
        <w:t>.</w:t>
      </w:r>
    </w:p>
    <w:p>
      <w:pPr>
        <w:pStyle w:val="Heading5"/>
        <w:numPr>
          <w:ilvl w:val="4"/>
          <w:numId w:val="1"/>
        </w:numPr>
        <w:rPr/>
      </w:pPr>
      <w:bookmarkStart w:id="141" w:name="__RefHeading___Toc2354513_3650668749"/>
      <w:bookmarkStart w:id="142" w:name="_Toc53"/>
      <w:bookmarkEnd w:id="141"/>
      <w:r>
        <w:rPr>
          <w:rtl w:val="true"/>
        </w:rPr>
        <w:t>الشرط الثاني</w:t>
      </w:r>
      <w:r>
        <w:rPr>
          <w:rtl w:val="true"/>
        </w:rPr>
        <w:t xml:space="preserve">: </w:t>
      </w:r>
      <w:r>
        <w:rPr>
          <w:rtl w:val="true"/>
        </w:rPr>
        <w:t>العقل‌</w:t>
      </w:r>
      <w:bookmarkEnd w:id="142"/>
    </w:p>
    <w:p>
      <w:pPr>
        <w:pStyle w:val="BookText"/>
        <w:rPr/>
      </w:pPr>
      <w:r>
        <w:rPr>
          <w:rFonts w:ascii="Amiri" w:hAnsi="Amiri" w:eastAsia="Amiri" w:cs="Amiri"/>
          <w:color w:val="111111"/>
          <w:sz w:val="28"/>
          <w:sz w:val="28"/>
          <w:szCs w:val="28"/>
          <w:rtl w:val="true"/>
          <w:lang w:bidi="ar-SA"/>
        </w:rPr>
        <w:t>فلا ينفذ قضاء المجنون وإن كان أدوارياً وكان في حالة صحّته وإفاقته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أيضاً، وإن ورد عليه ما 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وبالأصل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مولّى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وبانصراف الأدلّة عنه من جهة أهمّية منصب القضاء، وعلوّ مقامه، فلا يناسب المجنون بوجه</w:t>
      </w:r>
      <w:r>
        <w:rPr>
          <w:rFonts w:eastAsia="Amiri" w:cs="Amiri" w:ascii="Amiri" w:hAnsi="Amiri"/>
          <w:color w:val="111111"/>
          <w:sz w:val="28"/>
          <w:szCs w:val="28"/>
          <w:rtl w:val="true"/>
          <w:lang w:bidi="ar-SA"/>
        </w:rPr>
        <w:t>.</w:t>
      </w:r>
    </w:p>
    <w:p>
      <w:pPr>
        <w:pStyle w:val="Heading5"/>
        <w:numPr>
          <w:ilvl w:val="4"/>
          <w:numId w:val="1"/>
        </w:numPr>
        <w:rPr/>
      </w:pPr>
      <w:bookmarkStart w:id="143" w:name="__RefHeading___Toc2354515_3650668749"/>
      <w:bookmarkStart w:id="144" w:name="_Toc54"/>
      <w:bookmarkEnd w:id="143"/>
      <w:r>
        <w:rPr>
          <w:rtl w:val="true"/>
        </w:rPr>
        <w:t>الشرط الثالث</w:t>
      </w:r>
      <w:r>
        <w:rPr>
          <w:rtl w:val="true"/>
        </w:rPr>
        <w:t xml:space="preserve">: </w:t>
      </w:r>
      <w:r>
        <w:rPr>
          <w:rtl w:val="true"/>
        </w:rPr>
        <w:t>الإيمان‌</w:t>
      </w:r>
      <w:bookmarkEnd w:id="14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ينعقد لغير الإمامي فضلًا عن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الثالث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والإيمان، وهذا تصريح بعدّهما شرطين؛ ولكن اشتراط الإيمان يغني عن اشتراط</w:t>
      </w:r>
    </w:p>
    <w:p>
      <w:pPr>
        <w:pStyle w:val="BookText"/>
        <w:rPr/>
      </w:pPr>
      <w:r>
        <w:rPr>
          <w:rFonts w:ascii="Amiri" w:hAnsi="Amiri" w:eastAsia="Amiri" w:cs="Amiri"/>
          <w:color w:val="111111"/>
          <w:sz w:val="28"/>
          <w:sz w:val="28"/>
          <w:szCs w:val="28"/>
          <w:rtl w:val="true"/>
          <w:lang w:bidi="ar-SA"/>
        </w:rPr>
        <w:t>الإسلام، لأنّه أخصّ من الإسلام كما هو واضح،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على عدم انعقاده للكافر، بعدم كونه أهلًا للأمانة، فلا يصلح لأن يؤتمن على دم المسلم وماله وعرضه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بقوله تعالى وَلَنْ يَجْعَلَ اللهُ لِلْكَافِرِينَ عَلَى الْمُؤْمِنِينَ سَبِيلًا</w:t>
      </w:r>
      <w:r>
        <w:rPr>
          <w:rStyle w:val="FootnoteAnchor"/>
          <w:rtl w:val="true"/>
        </w:rPr>
        <w:footnoteReference w:id="228"/>
      </w:r>
      <w:r>
        <w:rPr>
          <w:rFonts w:ascii="Amiri" w:hAnsi="Amiri" w:eastAsia="Amiri" w:cs="Amiri"/>
          <w:color w:val="111111"/>
          <w:sz w:val="28"/>
          <w:sz w:val="28"/>
          <w:szCs w:val="28"/>
          <w:rtl w:val="true"/>
          <w:lang w:bidi="ar-SA"/>
        </w:rPr>
        <w:t>ولا شبهة في أنّ القضاء ولاية، وهي سبيل للكافر على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استدلّ فيه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يعلو ولا يعلى عليه</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فإنّ علوّ القاضي على المتخاصمين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وعلى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والمستفاد من مجموع ما تقدّم، عدم انعقاد قضاء الكافر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هل يصحّ نصب الكافر قاضياً بين الكفّار من أهل نحلته، أو وغيرهم، حتّى يقضي بينهم على حسب دينهم وعلى مقتضى عقائدهم؟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حاجة ملحّة بالنسبة إلى كفّار بلادنا، ولذا، فَهُم، يطالبون قائد الحكومة الإسلامية بأن يجعل لهم محاكم خاصّة بهم يكون قضاتها منهم؛ ليرجعوا إليها في حلّ نزاعاتهم فإنّهم جماعة كثيرون في بلادنا ويعيشون تحت لواء الإسلام والمسلمين ولهم نوّاب في مجلس الشورى الإسلامي، وقد أجازت لهم الدولة العمل بقوانينهم ومعتقداتهم في الأحوال الشخصية من النكاح والطلاق والوصيّة والإرث وغيرها فإذا كانوا مجازين في العمل بما يعتقدونه ويلتزمون به في دينهم</w:t>
      </w:r>
    </w:p>
    <w:p>
      <w:pPr>
        <w:pStyle w:val="BookText"/>
        <w:rPr/>
      </w:pPr>
      <w:r>
        <w:rPr>
          <w:rFonts w:ascii="Amiri" w:hAnsi="Amiri" w:eastAsia="Amiri" w:cs="Amiri"/>
          <w:color w:val="111111"/>
          <w:sz w:val="28"/>
          <w:sz w:val="28"/>
          <w:szCs w:val="28"/>
          <w:rtl w:val="true"/>
          <w:lang w:bidi="ar-SA"/>
        </w:rPr>
        <w:t>ووقع بينهم اختلاف في النكاح، أو الطلاق، أو الإرث، أو غيره؛ فلا بدّ من القضاء بينهم في دينهم، من القوانين المجعولة لفصل الخصومة وحلّ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شبهة في ارتكاب بعضهم الجرائم، ولا بدّ من تنفيذ الأحكام الجزائية بحقّهم لدفع الجرائم ومنعهم عن الارتكاب فإذا رفع أمرهم إلى المحاكم القضائية فالحاكم الشرعي مخيّر بين معاقبتهم على طبق موازين الإسلام، أو دفعهم إلى أهل ملّتهم، ليحاسبوهم على طبق مذهبهم، كما قال الله عزّ وجلّ في كتابه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جَاءُوكَ فَاحْكُمْ بَيْنَهُمْ أوْ أعْرِضْ عَنْهُمْ</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من الأعراض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إرجاعهم إلى أهل ملّتهم، ليحكموا عليهم على طبق موازين دينهم، فيستفاد من الآية أنّ أهل الذمّة يصحّ أن يحاكموا على ضوء 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الإسلام، وحكم أهل ملّتهم، بخلاف المسلمين، حيث لا يحاكمون إلا على وفق الدين الإسلامي الحنيف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إذا جاز لهم العمل عي طبق دينهم في الأحوال الشخصية، وجاز لهم حلّ النزاع والمخاصمة وإقامة الحدود والتعزيرات بينهم على طبق مذهبهم، وقوانينهم الدينية كان لازم ذلك أن ينشِؤوا بأنفسهم المحاكم، وأن يعينوا القضاة ولا شبهة في أنّه لا يمكن للحكومة الإسلامية أن تجيز ذلك، بل مقتضى المصلحة اللازمة هو أن يأمر الوليّ الفقيه بإقامة المحاكم المختصّة بهم، وإن يأذن بنصب قضاة منهم عليهم ليفصلوا بينهم على وفق دينهم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جاز للوليّ الفقيه أو المأذون من قبله أن ينصب القاضي الكافر للقضاء بين الكفّار على طبق معتقداتهم، فهل يجوز له أن ينصب القاضي المسلم للقضاء</w:t>
      </w:r>
    </w:p>
    <w:p>
      <w:pPr>
        <w:pStyle w:val="BookText"/>
        <w:rPr/>
      </w:pPr>
      <w:r>
        <w:rPr>
          <w:rFonts w:ascii="Amiri" w:hAnsi="Amiri" w:eastAsia="Amiri" w:cs="Amiri"/>
          <w:color w:val="111111"/>
          <w:sz w:val="28"/>
          <w:sz w:val="28"/>
          <w:szCs w:val="28"/>
          <w:rtl w:val="true"/>
          <w:lang w:bidi="ar-SA"/>
        </w:rPr>
        <w:t>بينهم على حسب معتقداتهم في الأحوال الشخصية وفي الجرائم، أم لا؟</w:t>
      </w:r>
    </w:p>
    <w:p>
      <w:pPr>
        <w:pStyle w:val="BookText"/>
        <w:rPr/>
      </w:pPr>
      <w:r>
        <w:rPr>
          <w:rFonts w:ascii="Amiri" w:hAnsi="Amiri" w:eastAsia="Amiri" w:cs="Amiri"/>
          <w:color w:val="111111"/>
          <w:sz w:val="28"/>
          <w:sz w:val="28"/>
          <w:szCs w:val="28"/>
          <w:rtl w:val="true"/>
          <w:lang w:bidi="ar-SA"/>
        </w:rPr>
        <w:t>الظاهر الجواز؛ فإنّه إذا جاز القضاء بينهم على حسب معتقداتهم، وجاز للحاكم الشرعي أن يأتمن الكافر على القضاء بينهم، فنصب القاضي المسلم لذلك أولى بالجواز، لأنّه أولى بالائتمان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القاضي المسلم يجب عليه، أن يحكم بالعدل والقسط، فكيف يجوز له أن يحكم على طبق دين اليهود، أو النصارى، مع اعتقاده أنّه باطل وغير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ويدفع بأنّ المستفاد من الآية المتقدّمة أنّ لهم 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الإسلام، وحكم دينهم، فيجوز الحكم عليهم على وفق أيّ واحد منهما، فالحكم عليهم بما في دينهم حكم بما أنزل الله عزّ وجلّ، ويجب على القاضي المسلم أن يحكم بما أنزل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المناسب أن نذكر هنا ما فهمه بعض الفقهاء، من دلالة الآية الشريفة على التخيير بين إجراء حكم الإسلام عليهم أو إرسالهم إلى أهل ملّتهم ليحكموا عليهم بما في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زنا الذمّي بذمّية دفعه الإمام إلى أهل نحلته ليقيموا الحدّ على معتقدهم وإن شاء أقام الحدّ بموجب شرع الإسلام</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كما عن بعضهم الاعتراف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الخوئي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مباني تكملة المنهاج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إذا زنى كافر بكافرة، أو لاط بمثله فالإمام مخيّر بين إقامة الحدّ عليه وبين دفعه إلى أهل ملّته، ليقيموا عليه الحدّ</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عليه بالآية الشريفة وبالجمع بين طائفتين من الأخبار، حيث دلّ بعضها على لزوم إقامة الحدّ طبق الإسلام وبعضها على بعثهم إلى أهل ملّتهم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إقامة الحدّ طبق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صحيحة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أخذوا في بلاد المسلمين وهم يعملون الفاحشة، أيقام عليهم الحدّ؟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يحكم فيهم بأحكام المسلمين</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سئل عن يهودي، أو نصراني، أو مجوسي، أخذ زانياً، أو شارب خمر؛ ما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يقام عليه حدود المسلمين، إذا فعلوا ذلك في مصر من أمصار المسلمين أو في غير أمصار المسلمين، إذا رفعوا إلى حكّام المسلمين</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بعثهم إلى أهل ملّتهم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أنّ‌محمّد بن أبي بكر كتب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الرجل زنى بالمرأة اليهودية والنصرانية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محصناً فارجمه، وإن كان بكراً</w:t>
      </w:r>
    </w:p>
    <w:p>
      <w:pPr>
        <w:pStyle w:val="BookText"/>
        <w:rPr/>
      </w:pPr>
      <w:r>
        <w:rPr>
          <w:rFonts w:ascii="Amiri" w:hAnsi="Amiri" w:eastAsia="Amiri" w:cs="Amiri"/>
          <w:color w:val="111111"/>
          <w:sz w:val="28"/>
          <w:sz w:val="28"/>
          <w:szCs w:val="28"/>
          <w:rtl w:val="true"/>
          <w:lang w:bidi="ar-SA"/>
        </w:rPr>
        <w:t>فاجلده مائة جلدة، ثمّ أنفه، وأمّا اليهودية فابعث بها إلى أهل ملّتها، فليقضوا فيها ما أحبّوا</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مقتضى الجمع بينهما، هو التخيير، ورفع اليد عن ظهور كلّ منها في الوجوب التعييني بنصّ الآخر، فتكون النتيجة هي التخيير</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المشهور أيضاً قائلون بالتخيير للقاضي بين أن يحكم بينهم على مقتضى شريعة الإسلام، أو دفعه إلى حكّامهم، ليحكموا عليه بمقتضى معتقدهم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ومستندهم في ذلك، نفس الآية، والجمع بين الروايات، فيستفاد من ذلك أنّ المراد بالإعراض في الآية ليس ترك الحكم فقط، بل المراد دفعه إلى أهل ملّته، ليقيموا عليه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جهة أنّ الإسلام دين اليسر والتسامح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القاضي العامّي، أو الشيعي، غير الإمامي، فهل يجوز نصبه للقضاء بين الشيعة أم لا؟</w:t>
      </w:r>
    </w:p>
    <w:p>
      <w:pPr>
        <w:pStyle w:val="BookText"/>
        <w:rPr/>
      </w:pPr>
      <w:r>
        <w:rPr>
          <w:rFonts w:ascii="Amiri" w:hAnsi="Amiri" w:eastAsia="Amiri" w:cs="Amiri"/>
          <w:color w:val="111111"/>
          <w:sz w:val="28"/>
          <w:sz w:val="28"/>
          <w:szCs w:val="28"/>
          <w:rtl w:val="true"/>
          <w:lang w:bidi="ar-SA"/>
        </w:rPr>
        <w:t>الظاهر من اشتراط الإيمان في القاضي بعد الإسلام، هو العدم، لأنّ المراد به الإيمان بالمعنى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لذلك بامور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كما ادّعاه غير واحد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مدركيّ كما تقدّم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القيد في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صحيحة أبي خديجة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أن يحاكم بعضكم بعضاً إلى أهل الجور، ولكن انظروا إلى</w:t>
      </w:r>
    </w:p>
    <w:p>
      <w:pPr>
        <w:pStyle w:val="BookText"/>
        <w:rPr/>
      </w:pPr>
      <w:r>
        <w:rPr>
          <w:rFonts w:ascii="Amiri" w:hAnsi="Amiri" w:eastAsia="Amiri" w:cs="Amiri"/>
          <w:color w:val="111111"/>
          <w:sz w:val="28"/>
          <w:sz w:val="28"/>
          <w:szCs w:val="28"/>
          <w:rtl w:val="true"/>
          <w:lang w:bidi="ar-SA"/>
        </w:rPr>
        <w:t>رجل منكم</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 xml:space="preserve">، فإنّ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كونه شيعياً معتقداً بولاية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ومثلها مقبولة عمر بن حنظلة،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ينظران من كان منكم</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ذكر القيد لا يدلّ على اعتبار الإيمان في القاضي، بل الظاهر منه أنّه في مقام بيان عدم جواز الرجوع إلى قضاة الجور المنصوبين من قبل سلاطين الجور، والطواغيت، فلا يدلّ على عدم جواز نصب القاضي العامّي، الذي يقضي على ضوء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الوارد في صدر المقبولة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عن رجلين من أصحابنا بينهما منازعة في دين أو ميراث، فتحاكموا إلى السلطان أو إلى القضاة، أيحلّ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تحاكم إليهم في حقّ أو باطل، فإنّما تحاكم إلى الطاغوت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ينظران من كان منكم </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يعني تحاكموا إلى من لم يكن مثل هؤلاء القضاة المنصوبين من قبل الجائر، ويكون مستندهم أيضاً، فاسداً، فلا تدلّ الرواية على نفي أهلية العامّي الموثوق به، إذا قضى بالحقّ وبمستند صحيح</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ورود هذا القيد في الصحيحة الاخرى لأبي خديجة،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بعثني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أصحابنا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لهم إيّاكم إذا وقعت بينكم خصومة أو تداري في شي‌ء من الأخذ والعطاء، أن تحاكموا إلى أحد من هؤلاء الفسّاق، اجعلوا بينكم رجلًا قد عرف حلالنا وحرامنا، فإنّي قد</w:t>
      </w:r>
    </w:p>
    <w:p>
      <w:pPr>
        <w:pStyle w:val="BookText"/>
        <w:rPr/>
      </w:pPr>
      <w:r>
        <w:rPr>
          <w:rFonts w:ascii="Amiri" w:hAnsi="Amiri" w:eastAsia="Amiri" w:cs="Amiri"/>
          <w:color w:val="111111"/>
          <w:sz w:val="28"/>
          <w:sz w:val="28"/>
          <w:szCs w:val="28"/>
          <w:rtl w:val="true"/>
          <w:lang w:bidi="ar-SA"/>
        </w:rPr>
        <w:t>جعلته عليكم قاضياً، وإيّاكم أن يخاصم بعضكم بعضاً إلى السلطان الجائر</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الصحيحة الاولى التي ذكر فيها هذا القيد، تقيد هذه الصحيحة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المنساق منها ردع أصحابهم عن الرجوع إلى الظلمة والفسّاق، والسلطان الجائر وعمّاله، وإلزامهم بالرجوع إلى من ليس من الظلمة وعمّال السلطان، وهم الشيعة الإمامية وغيرهم ممّن لا يكون ظالماً ولا جائراً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ويستند في قضائه إلى مذهب الحقّ، فعدم ذكر القيد في الصحيحة الثانية، يؤيّد ما استفدناه من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عبّر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عن روايتي أبي خديجة بالصحيحتين،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 الروايتين بعدم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غير ضائر عندنا مع وجودهما في الاصول المعتبرة، وانجبارهما بالإجماع المحقّق والمحكيّ مستفيضاً،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أنّها والمقبولة الآتية مشتهران بين الأصحاب، متّفق على العمل بمضمونهما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جيّد؛ لأنّ أولاهما، رواها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عائذ عن أبي خديجة، وطريق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أحمد صحيح كما 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وأحمد نفسه موثّق إمامّي</w:t>
      </w:r>
      <w:r>
        <w:rPr>
          <w:rStyle w:val="FootnoteAnchor"/>
          <w:rtl w:val="true"/>
        </w:rPr>
        <w:footnoteReference w:id="245"/>
      </w:r>
      <w:r>
        <w:rPr>
          <w:rFonts w:ascii="Amiri" w:hAnsi="Amiri" w:eastAsia="Amiri" w:cs="Amiri"/>
          <w:color w:val="111111"/>
          <w:sz w:val="28"/>
          <w:sz w:val="28"/>
          <w:szCs w:val="28"/>
          <w:rtl w:val="true"/>
          <w:lang w:bidi="ar-SA"/>
        </w:rPr>
        <w:t>، وأمّا أبو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سالم بن 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ضعّفه الشيخ في موضع، ولكن وثّقه في موضع آخر، ووثّقه النجاشي</w:t>
      </w:r>
      <w:r>
        <w:rPr>
          <w:rStyle w:val="FootnoteAnchor"/>
          <w:rtl w:val="true"/>
        </w:rPr>
        <w:footnoteReference w:id="246"/>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 بن علي بن الحسن كان صالحاً</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في باب الخمس روايته من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الأسترآبادي في رجاله الكبير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فالتوثيق أقوى</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الثانية فالإشكال فيها من جهة أبي الجهم الراوي عن أبي خديجة واسمه ثوير، 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ثوير بن أبي فاختة أبو الجهم الكوفي، وقد نقل الكشّي</w:t>
      </w:r>
      <w:r>
        <w:rPr>
          <w:rStyle w:val="FootnoteAnchor"/>
          <w:rtl w:val="true"/>
        </w:rPr>
        <w:footnoteReference w:id="249"/>
      </w:r>
      <w:r>
        <w:rPr>
          <w:rFonts w:ascii="Amiri" w:hAnsi="Amiri" w:eastAsia="Amiri" w:cs="Amiri"/>
          <w:color w:val="111111"/>
          <w:sz w:val="28"/>
          <w:sz w:val="28"/>
          <w:szCs w:val="28"/>
          <w:rtl w:val="true"/>
          <w:lang w:bidi="ar-SA"/>
        </w:rPr>
        <w:t>رواية عن أبي الجهم صارت منشأ لاختلاف الرجاليين في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وحاصلها أنّه صحب بعض المخالفين الذين أرادوا أن يسألوا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أربعة آلاف مسألة، قال ثوير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فغمّني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دخلت المدينة افترقنا، فنزلت أنا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ابن ذرّ وابن قيس الماصر والصلت صحبوني، وكنت أسمعهم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حرّرنا أربعة آلاف مسألة نسأل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فغمّني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يغمّك من ذلك، إذ جاؤوا فأذن لهم</w:t>
      </w:r>
      <w:r>
        <w:rPr>
          <w:rFonts w:eastAsia="Amiri" w:cs="Amiri" w:ascii="Amiri" w:hAnsi="Amiri"/>
          <w:color w:val="111111"/>
          <w:sz w:val="28"/>
          <w:szCs w:val="28"/>
          <w:rtl w:val="true"/>
          <w:lang w:bidi="ar-SA"/>
        </w:rPr>
        <w:t>»</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استدلّ بها بعض الرجاليين، على قلّة معرفة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بمقام الإمام وسعة علمه، لأنّه اغتمّ من تهيئة المخالفين لأسئلة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غمّه ما تخيله من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 يعرف بعض أجوبتها، وهذا قدح في عقيدة ثوير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توقّف بعضهم في روايته لعدم دلالة الرواية على قدح ولامدح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يكون الخبر ظاهراً في القدح لأنّ الأشفاق لعلّه من أن يتأذّى لخبثهم ورداءة لسانهم، أو لعدم تمكّنه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إظهار الحقّ تقيّة منهم فلا يجيبهم بصريح الحقّ فيجري للمعاندين في أثناء السؤال من سوء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الإشفاق لظنّه قصور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الجواب حاشاه من ذلك فلا يكون دليلًا على عدم علمه بحقيقة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ليحصل القدح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على فرض التنزّل نقول بما قاله الوحيد في التعليقته من أنّه لا تأمّل في كونه من الشيعة ومشاهيرهم، وحكاية الاشفاق لا يضرّ بالنسبة إلى الشيعة في ذلك الزمان</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فدلالة الخبر على القدح ممنوعة، بل ما ادّعاه العلامة</w:t>
      </w:r>
      <w:r>
        <w:rPr>
          <w:rStyle w:val="FootnoteAnchor"/>
          <w:rtl w:val="true"/>
        </w:rPr>
        <w:footnoteReference w:id="252"/>
      </w:r>
      <w:r>
        <w:rPr>
          <w:rFonts w:ascii="Amiri" w:hAnsi="Amiri" w:eastAsia="Amiri" w:cs="Amiri"/>
          <w:color w:val="111111"/>
          <w:sz w:val="28"/>
          <w:sz w:val="28"/>
          <w:szCs w:val="28"/>
          <w:rtl w:val="true"/>
          <w:lang w:bidi="ar-SA"/>
        </w:rPr>
        <w:t>من عدم دلالته على المدح، ممكن المنع، لأنّ نزوله على الإمام حين وصوله إلى المدينة المشرّفة بعد الحجّ وافتراقه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وإعلامه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كيد المعاندين وذهابه</w:t>
      </w:r>
    </w:p>
    <w:p>
      <w:pPr>
        <w:pStyle w:val="BookText"/>
        <w:rPr/>
      </w:pPr>
      <w:r>
        <w:rPr>
          <w:rFonts w:ascii="Amiri" w:hAnsi="Amiri" w:eastAsia="Amiri" w:cs="Amiri"/>
          <w:color w:val="111111"/>
          <w:sz w:val="28"/>
          <w:sz w:val="28"/>
          <w:szCs w:val="28"/>
          <w:rtl w:val="true"/>
          <w:lang w:bidi="ar-SA"/>
        </w:rPr>
        <w:t xml:space="preserve">بأمره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الباب ليأذن لهم بالدخول؛ دليل على أنّه من خواصّه وحواريه، وفيه مدح لا يخفى</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المتواترة المانعة من الرجوع إلى غير المؤمن في رفع التنازع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كافر</w:t>
      </w:r>
      <w:r>
        <w:rPr>
          <w:rFonts w:eastAsia="Amiri" w:cs="Amiri" w:ascii="Amiri" w:hAnsi="Amiri"/>
          <w:color w:val="111111"/>
          <w:sz w:val="28"/>
          <w:szCs w:val="28"/>
          <w:rtl w:val="true"/>
          <w:lang w:bidi="ar-SA"/>
        </w:rPr>
        <w:t>»</w:t>
      </w:r>
      <w:r>
        <w:rPr>
          <w:rStyle w:val="FootnoteAnchor"/>
          <w:rtl w:val="true"/>
        </w:rPr>
        <w:footnoteReference w:id="2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غير المؤمن الذي هو كافر في الجملة أيضاً؛ بما تواترت به النصوص في النهي عن المرافعة إلى قضاتهم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 ضروريات مذهبنا</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عقد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في وجوب الرجوع في القضاء والفتوى إلى رواة الحديث من الشيعة فيما رووه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أحكام الشريعة، لا فيما يقولونه برأيهم وفيه ثمانية وأربعون حديثاً</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ليست في هذه الأخبار، رواية واحدة دلّت على اشتراط الإيمان بهذا المعنى، بل الأخبار المتواترة تدلّ على النهي عن المراجعة إلى قضاة الجور، والموجودين في زمن الأئمّة وفيهم جهات ثلاث، لعدم جواز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 غير معتقدين بما اعتقده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 منصوبين من قبل سلاطين الجور، والخلفاء الغاصبين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 أحكامهم القضائية إلى ما لا يصحّ عند الشيعة كالقياس والاستحسان فلا تدلّ على الأوّل بالخصوص، بل لعلّ الوجه في عدم</w:t>
      </w:r>
    </w:p>
    <w:p>
      <w:pPr>
        <w:pStyle w:val="BookText"/>
        <w:rPr/>
      </w:pPr>
      <w:r>
        <w:rPr>
          <w:rFonts w:ascii="Amiri" w:hAnsi="Amiri" w:eastAsia="Amiri" w:cs="Amiri"/>
          <w:color w:val="111111"/>
          <w:sz w:val="28"/>
          <w:sz w:val="28"/>
          <w:szCs w:val="28"/>
          <w:rtl w:val="true"/>
          <w:lang w:bidi="ar-SA"/>
        </w:rPr>
        <w:t>جوازالرجوع إليهم هو الأمران الآخران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الأصحاب فلم يشترط جمع من فقهائنا العظام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ينبغي لأحد أن يتعرّض له حتّى يثق من نفسه بالقيام به، وليس يثق أحد بذلك من نفسه حتّى يكون عاقلًا كاملًا، عالماً بالكتاب</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ولم يصرّح باشتراط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صنع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25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أنّ مراد بعض من صرّح باعتبار الإيمان، هو الإسلام، لا المعنى الخاصّ منه، كالمحقّق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يشترط فيه البلوغ، وكمال العقل والإيمان والعدالة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فرّع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ينعقد القضاء لصبيّ ولا مراهق، ولا كافر</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 xml:space="preserve">، وكذا الفاسق، فمن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أنّه مقابل للمؤمن فيكون قرينة على أنّ المراد من المؤمن، هو المسلم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صفات القاضي ويشترط فيه البلوغ، والعقل، والذكورة، والإيمان، والعدالة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تفرّع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ينفذ قضاء الصبيّ، ولا المجنون، ولا الكافر، والفاسق، ولا المرأة</w:t>
      </w:r>
      <w:r>
        <w:rPr>
          <w:rFonts w:eastAsia="Amiri" w:cs="Amiri" w:ascii="Amiri" w:hAnsi="Amiri"/>
          <w:color w:val="111111"/>
          <w:sz w:val="28"/>
          <w:szCs w:val="28"/>
          <w:rtl w:val="true"/>
          <w:lang w:bidi="ar-SA"/>
        </w:rPr>
        <w:t>»</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العاملي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فمراد المصنّف بالإيمان</w:t>
      </w:r>
      <w:bookmarkStart w:id="145" w:name="pg1791_15435"/>
    </w:p>
    <w:p>
      <w:pPr>
        <w:pStyle w:val="BookText"/>
        <w:rPr/>
      </w:pPr>
      <w:bookmarkEnd w:id="145"/>
      <w:r>
        <w:rPr>
          <w:rFonts w:ascii="Amiri" w:hAnsi="Amiri" w:eastAsia="Amiri" w:cs="Amiri"/>
          <w:color w:val="111111"/>
          <w:sz w:val="28"/>
          <w:sz w:val="28"/>
          <w:szCs w:val="28"/>
          <w:rtl w:val="true"/>
          <w:lang w:bidi="ar-SA"/>
        </w:rPr>
        <w:t>الإسلام، بقرينة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الكافر</w:t>
      </w:r>
      <w:r>
        <w:rPr>
          <w:rFonts w:eastAsia="Amiri" w:cs="Amiri" w:ascii="Amiri" w:hAnsi="Amiri"/>
          <w:color w:val="111111"/>
          <w:sz w:val="28"/>
          <w:szCs w:val="28"/>
          <w:rtl w:val="true"/>
          <w:lang w:bidi="ar-SA"/>
        </w:rPr>
        <w:t>»</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المصنّف صنع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والمستفاد ممّا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المسألة غير إجماعية أيضاً، فضلًا عن كونها ضرورية، كما في كلام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فلعلّ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من ضروريات مذهبنا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ضرورية تحريم المراجعة إلى قضاتهم، وهو كذلك على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أحد العامّة واجداً للشروط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البلوغ، والعقل، والوثوق، 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واستند في قضائه إلى القوانين والموازين الشريعة المتلقّاة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دليل على عدم نفوذ قضائه، بل إطلاقات أدلّة القضاء بالحقّ، والعدل، تشمله بلا إشكال، فيصحّ نصبه للقضاء على أهل مذهبه، بل على الشيعة أيضاً، فلا يصحّ الرجوع إلى الأصل المذكور مثلًا لوجود الإطلاقات وشمولها له كما قلنا</w:t>
      </w:r>
      <w:r>
        <w:rPr>
          <w:rFonts w:eastAsia="Amiri" w:cs="Amiri" w:ascii="Amiri" w:hAnsi="Amiri"/>
          <w:color w:val="111111"/>
          <w:sz w:val="28"/>
          <w:szCs w:val="28"/>
          <w:rtl w:val="true"/>
          <w:lang w:bidi="ar-SA"/>
        </w:rPr>
        <w:t>.</w:t>
      </w:r>
    </w:p>
    <w:p>
      <w:pPr>
        <w:pStyle w:val="Heading5"/>
        <w:numPr>
          <w:ilvl w:val="4"/>
          <w:numId w:val="1"/>
        </w:numPr>
        <w:rPr/>
      </w:pPr>
      <w:bookmarkStart w:id="146" w:name="__RefHeading___Toc2354517_3650668749"/>
      <w:bookmarkStart w:id="147" w:name="_Toc55"/>
      <w:bookmarkEnd w:id="146"/>
      <w:r>
        <w:rPr>
          <w:rtl w:val="true"/>
        </w:rPr>
        <w:t>الشرط الرابع</w:t>
      </w:r>
      <w:r>
        <w:rPr>
          <w:rtl w:val="true"/>
        </w:rPr>
        <w:t xml:space="preserve">: </w:t>
      </w:r>
      <w:r>
        <w:rPr>
          <w:rtl w:val="true"/>
        </w:rPr>
        <w:t>العدالة</w:t>
      </w:r>
      <w:bookmarkEnd w:id="147"/>
    </w:p>
    <w:p>
      <w:pPr>
        <w:pStyle w:val="Heading6"/>
        <w:numPr>
          <w:ilvl w:val="5"/>
          <w:numId w:val="1"/>
        </w:numPr>
        <w:rPr/>
      </w:pPr>
      <w:bookmarkStart w:id="148" w:name="__RefHeading___Toc2354519_3650668749"/>
      <w:bookmarkStart w:id="149" w:name="_Toc56"/>
      <w:bookmarkEnd w:id="148"/>
      <w:r>
        <w:rPr>
          <w:rtl w:val="true"/>
        </w:rPr>
        <w:t>اشارة</w:t>
      </w:r>
      <w:bookmarkEnd w:id="149"/>
    </w:p>
    <w:p>
      <w:pPr>
        <w:pStyle w:val="BookText"/>
        <w:rPr/>
      </w:pPr>
      <w:r>
        <w:rPr>
          <w:rFonts w:ascii="Amiri" w:hAnsi="Amiri" w:eastAsia="Amiri" w:cs="Amiri"/>
          <w:color w:val="111111"/>
          <w:sz w:val="28"/>
          <w:sz w:val="28"/>
          <w:szCs w:val="28"/>
          <w:rtl w:val="true"/>
          <w:lang w:bidi="ar-SA"/>
        </w:rPr>
        <w:t>فلا ينفذ قضاء الفاسق؛ ولا بدّ لنا أن نبحث في امور</w:t>
      </w:r>
      <w:r>
        <w:rPr>
          <w:rFonts w:eastAsia="Amiri" w:cs="Amiri" w:ascii="Amiri" w:hAnsi="Amiri"/>
          <w:color w:val="111111"/>
          <w:sz w:val="28"/>
          <w:szCs w:val="28"/>
          <w:rtl w:val="true"/>
          <w:lang w:bidi="ar-SA"/>
        </w:rPr>
        <w:t>:</w:t>
      </w:r>
    </w:p>
    <w:p>
      <w:pPr>
        <w:pStyle w:val="Heading6"/>
        <w:numPr>
          <w:ilvl w:val="5"/>
          <w:numId w:val="1"/>
        </w:numPr>
        <w:rPr/>
      </w:pPr>
      <w:bookmarkStart w:id="150" w:name="__RefHeading___Toc2354521_3650668749"/>
      <w:bookmarkStart w:id="151" w:name="_Toc57"/>
      <w:bookmarkEnd w:id="150"/>
      <w:r>
        <w:rPr>
          <w:rtl w:val="true"/>
        </w:rPr>
        <w:t>الأمر الأوّل</w:t>
      </w:r>
      <w:r>
        <w:rPr>
          <w:rtl w:val="true"/>
        </w:rPr>
        <w:t xml:space="preserve">: </w:t>
      </w:r>
      <w:r>
        <w:rPr>
          <w:rtl w:val="true"/>
        </w:rPr>
        <w:t>فيما استدلّ به لاشتراط العدالة</w:t>
      </w:r>
      <w:bookmarkEnd w:id="15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استدلّ على اعتبار عدالة القاضي بالأدلّة الأربعة، أي الكتاب والسنّة والإجماع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تَرْكَنُوا إِلَى الّذِينَ ظَلَمُوا فَتَمَسَّكُمْ النَّارُ</w:t>
      </w:r>
      <w:r>
        <w:rPr>
          <w:rStyle w:val="FootnoteAnchor"/>
          <w:rtl w:val="true"/>
        </w:rPr>
        <w:footnoteReference w:id="266"/>
      </w:r>
      <w:r>
        <w:rPr>
          <w:rFonts w:ascii="Amiri" w:hAnsi="Amiri" w:eastAsia="Amiri" w:cs="Amiri"/>
          <w:color w:val="111111"/>
          <w:sz w:val="28"/>
          <w:sz w:val="28"/>
          <w:szCs w:val="28"/>
          <w:rtl w:val="true"/>
          <w:lang w:bidi="ar-SA"/>
        </w:rPr>
        <w:t>والركون هو الميل والسكون والرضا بفعل الشخص، ولا شكّ في أنّ الفاسق المرتكب للمعاصي ظالم إمّا لغيره بالتعدّي والتجاوز عليه، أو لنفسه لإيجاب هلاكه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ونصبه للقضاء يوجب الركون إليه والرضا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عَهْدِى الظّالِمِينَ</w:t>
      </w:r>
      <w:r>
        <w:rPr>
          <w:rStyle w:val="FootnoteAnchor"/>
          <w:rtl w:val="true"/>
        </w:rPr>
        <w:footnoteReference w:id="267"/>
      </w:r>
      <w:r>
        <w:rPr>
          <w:rFonts w:ascii="Amiri" w:hAnsi="Amiri" w:eastAsia="Amiri" w:cs="Amiri"/>
          <w:color w:val="111111"/>
          <w:sz w:val="28"/>
          <w:sz w:val="28"/>
          <w:szCs w:val="28"/>
          <w:rtl w:val="true"/>
          <w:lang w:bidi="ar-SA"/>
        </w:rPr>
        <w:t>بتقريب أنّ المراد من العهد وإن كان الإمامة، لقوله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جَاعِلُكَ لِلنَّاسِ إِمَاماً</w:t>
      </w:r>
      <w:r>
        <w:rPr>
          <w:rStyle w:val="FootnoteAnchor"/>
          <w:rtl w:val="true"/>
        </w:rPr>
        <w:footnoteReference w:id="268"/>
      </w:r>
      <w:r>
        <w:rPr>
          <w:rFonts w:ascii="Amiri" w:hAnsi="Amiri" w:eastAsia="Amiri" w:cs="Amiri"/>
          <w:color w:val="111111"/>
          <w:sz w:val="28"/>
          <w:sz w:val="28"/>
          <w:szCs w:val="28"/>
          <w:rtl w:val="true"/>
          <w:lang w:bidi="ar-SA"/>
        </w:rPr>
        <w:t xml:space="preserve">ولكن القضاء أيضاً شعبة من الولاية العامّة التي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منصب إلهي، وعهد إلهي، فلا ينال الظالمين والفاسق ظالم كما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مقبولة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كلّ واحد اختار رجلًا من أصحابنا فرضيا أن يكونا الناظرين في حقّهما واختلف فيهما حكماً، وكلاهما اختلفا في حديثكم؟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ما حكم به أعدلهما</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الظاهر منها أنّ اشتراط العدالة كان أمراً مفروضاً ومفروغاً عنه؛ لكنّهما إذا كانا عادلين اعتبر قول أعدلهما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سليمان بن خالد، عن أبي عبدالله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الحكومة، فإنّ الحكومة إنّما هي للإمام العالم بالقضاء، العادل في المسلمين لنبيّ أو وصيّ نبيّ</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كان من الفقهاء صائناً لنفسه، حافظاً لدينه مخالفاً على هواه، مطيعاً لأمر مولاه، فللعوامّ أن يقلّدوه</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مرسلة وضعيفة سنداً لكنّها متلّقاة بالقبول عند الأصحاب ومعمول بها وتدلّ على اشتراط العدالة، بل ما هو 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منها وإن كان الفتوى ولكن القضاء أيضاً نوع من الفتوى، فإنّ القاضي المجتهد يفتي في المسألة ويستند إليها في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العقل فهو الفحوى والأولوية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دلّ على اشتراط العدالةفي إمام الجماعة والمفتي والشاهد، والولاية على الصغير والمجنون والغائب، يدلّ على اعتبارها في القاضي بوجه أولى لأنّه يقضي في الدماء، والأعراض، والأموال، والحقوق، فلا بدّ أن يكون عادلًا أميناً، فالفاسق إذا كان قاصراً عن مرتبة الولاية على الصغير والمجنون فكيف يولّي هذا المقام الخطير؟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ادّعى في كتب فقهية عديدة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27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273"/>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والإشكال في الإجماع بأنّه مدركي؛ وارد 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الاستدلال بغيره صحيح</w:t>
      </w:r>
      <w:r>
        <w:rPr>
          <w:rFonts w:eastAsia="Amiri" w:cs="Amiri" w:ascii="Amiri" w:hAnsi="Amiri"/>
          <w:color w:val="111111"/>
          <w:sz w:val="28"/>
          <w:szCs w:val="28"/>
          <w:rtl w:val="true"/>
          <w:lang w:bidi="ar-SA"/>
        </w:rPr>
        <w:t>.</w:t>
      </w:r>
      <w:bookmarkStart w:id="152" w:name="pg1791_15441"/>
    </w:p>
    <w:p>
      <w:pPr>
        <w:pStyle w:val="Heading6"/>
        <w:numPr>
          <w:ilvl w:val="5"/>
          <w:numId w:val="1"/>
        </w:numPr>
        <w:rPr/>
      </w:pPr>
      <w:bookmarkStart w:id="153" w:name="__RefHeading___Toc2354523_3650668749"/>
      <w:bookmarkStart w:id="154" w:name="_Toc58"/>
      <w:bookmarkEnd w:id="152"/>
      <w:bookmarkEnd w:id="153"/>
      <w:r>
        <w:rPr>
          <w:rtl w:val="true"/>
        </w:rPr>
        <w:t>الأمر الثاني</w:t>
      </w:r>
      <w:r>
        <w:rPr>
          <w:rtl w:val="true"/>
        </w:rPr>
        <w:t xml:space="preserve">: </w:t>
      </w:r>
      <w:r>
        <w:rPr>
          <w:rtl w:val="true"/>
        </w:rPr>
        <w:t>في تحديد معنى العدالة</w:t>
      </w:r>
      <w:bookmarkEnd w:id="154"/>
    </w:p>
    <w:p>
      <w:pPr>
        <w:pStyle w:val="BookText"/>
        <w:rPr/>
      </w:pPr>
      <w:r>
        <w:rPr>
          <w:rFonts w:ascii="Amiri" w:hAnsi="Amiri" w:eastAsia="Amiri" w:cs="Amiri"/>
          <w:color w:val="111111"/>
          <w:sz w:val="28"/>
          <w:sz w:val="28"/>
          <w:szCs w:val="28"/>
          <w:rtl w:val="true"/>
          <w:lang w:bidi="ar-SA"/>
        </w:rPr>
        <w:t>في تحديد معنى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الأردبيلي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في الاصول والفروع أنّها ملكة راسخة في النفس تبعث على ملازمة التقوى بترك الكبائر وعدم الإصرار على الصغائر وضمّ البعض، المروّة أيضاً</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التعريف هو المشهور بين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أنّ العدالة من الصفات النفسانية وليست مجرّد حسن الظاهر، أو ترك المعاصي أو الاستقامة الفعلية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أصرّ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في باب صلاة الجماعة على ردّ هذا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عليه روايات كثيرة صحيحة ومعتبرة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والعمدة فيها صحيحة عبدالله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تعرف عدالة الرجل بين المسلمين، حتّى تقبل شهادته لهم وعليهم؟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تعرفوه بالستر والعفاف وكفّ البطن، والفرج، واليد، واللسان، ويعرف باجتناب الكبائر التي أوعد الله عليها النار من شرب الخمر، والزنا، والربا، وعقوق الوالدين، والفرار من الزحف، وغير ذلك</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ودلالتها على كون العدالة هي الملكة من وجهين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الستر والعفاف من الصفات النفسانية فإنّ الستر هو التقوى، والعفاف ترك الشهوات، وقد أخذا في مفهومها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 جميع ما جاء في الرواية من المعاصي لا يحصل بدون وجود الملكة الرادعة، إذ لولاها لما استقام الترك في طول حياته، ولصدرت منه المعاصي أحياناً، فالعدالة عبارة عن بلوغ الإنسان مرتبة يسهل معها، الإتيان بالواجبات، وترك المحرّمات، بل يعسر عليه الإتيان بالمحرّمات، وترك الواجبات، إلا أنّ لها مراتب، كسائر الصفات النفسانية كالجود، والشجاعة، والحلم، وغيرها، فالعدالة، في أمثال آية الله العظمى الأراكي والمقدّس الأردبيلي مرتبة، وفي الفرد العادي مرتبة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ونظيرها روايات كثيرة، تدلّ على اعتبار الملكة في العدالة وسنبحثها في كتاب الشهادات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العدالة إذا كانت عبارة عن الحالة النفسانية والكيفية الخاصّة في الباطن فبم تعرف في مقام الثبوت، ويعلم بوجودها في الأفراد؟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إنّ طريق تشخيصها مماثل لطريق العلم بوجود غيرها، من الملكات النفسانية، حيث تعرف بآثارها الظاهرة، في أعمال الإنسان وأفعاله، وحالاته، فإذاعرف شخص بأنّه مجتنب عن المحرّمات ولم يرَ مرتكباً لمعصية صغيرة ولاكبيرة وعلم بمواظبته على الفرائض، والإتيان بها، فيستكشف منه وجودالملكة فيه، ويعبّر عن ذلك بحسن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المستفاد من الصحيحةأيضاً،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والدلالة على ذلك كلّه أن يكون ساتراً لجميع عيوبه،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منه التعاهد للصلوات الخمس إذا واظب عليهنّ، وحفظمواقيتهنّ بحضور جماعة من المسلمين، وأن لا يتخلّف عن</w:t>
      </w:r>
    </w:p>
    <w:p>
      <w:pPr>
        <w:pStyle w:val="BookText"/>
        <w:rPr/>
      </w:pPr>
      <w:r>
        <w:rPr>
          <w:rFonts w:ascii="Amiri" w:hAnsi="Amiri" w:eastAsia="Amiri" w:cs="Amiri"/>
          <w:color w:val="111111"/>
          <w:sz w:val="28"/>
          <w:sz w:val="28"/>
          <w:szCs w:val="28"/>
          <w:rtl w:val="true"/>
          <w:lang w:bidi="ar-SA"/>
        </w:rPr>
        <w:t>جماعتهم في مصلاهم إلا من علّة</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الظاهر أنّ علّة تصريحه بحضور جماعة من المسلمين، وعدم التخلّف عن جماعتهم هو التعرّف على مقدار محافظته على الصلوات في أوقاتها وفي المساجد، ونفس الحضور في المساجد والمواظبة على إيقاع الصلوات فيه أوّل أوقاتها، كاشف عن الاجتناب عن المعاصي لأنّ الله عزّ 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تَنْهَى عَنْ الْفَحْشَاءِ وَالْمُنْكَرِ</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الطباطبائي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العدالة ملكة الاجتناب عن الكبائر وعن الإصرار على الصغائر، وعن منافياة المروّة، الدالّة على عدم مبالاة مرتكبها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حسن الظاهر الكاشف ظنّاً عن تلك الملكة</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علّق السيّد محمّد تقي الخونساري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الكاشف 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الأقوى كونه كاشفاً تعبّدياً وإن لم يفد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أشرنا إليه سابقاً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العدالة وإن كانت عبارة عن الملكة ويعسر الاطّلاع عليها غالباً بالعلم إلا أنّ المستفاد من الأخبار الكثيرة أنّ حسن الظاهر كاشف عنها، والاطّلاع عليه سهل</w:t>
      </w:r>
      <w:r>
        <w:rPr>
          <w:rFonts w:eastAsia="Amiri" w:cs="Amiri" w:ascii="Amiri" w:hAnsi="Amiri"/>
          <w:color w:val="111111"/>
          <w:sz w:val="28"/>
          <w:szCs w:val="28"/>
          <w:rtl w:val="true"/>
          <w:lang w:bidi="ar-SA"/>
        </w:rPr>
        <w:t>»</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الشهادة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وهي الملكة الرادعة عن معصية الله تعالى</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دلّ على الاكتفاء بحسن الظاهر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ظاهر الرجل</w:t>
      </w:r>
      <w:bookmarkStart w:id="155" w:name="pg1791_15447"/>
    </w:p>
    <w:p>
      <w:pPr>
        <w:pStyle w:val="BookText"/>
        <w:rPr/>
      </w:pPr>
      <w:bookmarkEnd w:id="155"/>
      <w:r>
        <w:rPr>
          <w:rFonts w:ascii="Amiri" w:hAnsi="Amiri" w:eastAsia="Amiri" w:cs="Amiri"/>
          <w:color w:val="111111"/>
          <w:sz w:val="28"/>
          <w:sz w:val="28"/>
          <w:szCs w:val="28"/>
          <w:rtl w:val="true"/>
          <w:lang w:bidi="ar-SA"/>
        </w:rPr>
        <w:t>ظاهراً مأموناً، جازت شهادته، ولا يسأل عن باطنه</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عن علقمة، وفيها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شهادة معترف بالذنوب؟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علقمة لو لم تقبل شهادة المقترفين للذنوب لما قبلت إلا شهادة الأنبياء والأوصياء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 المعصومون دون سائر الخلق، فمن لم تره بعينك يرتكب ذنباً أو لم يشهد عليه بذلك شاهدان، فهو من أهل العدالة والستر، وشهادته مقبولة وإن كان في نفسه مذنباً</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الرواية الرابعة من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 قد عمل الشيخ وجماعة</w:t>
      </w:r>
      <w:r>
        <w:rPr>
          <w:rStyle w:val="FootnoteAnchor"/>
          <w:rtl w:val="true"/>
        </w:rPr>
        <w:footnoteReference w:id="284"/>
      </w:r>
      <w:r>
        <w:rPr>
          <w:rFonts w:ascii="Amiri" w:hAnsi="Amiri" w:eastAsia="Amiri" w:cs="Amiri"/>
          <w:color w:val="111111"/>
          <w:sz w:val="28"/>
          <w:sz w:val="28"/>
          <w:szCs w:val="28"/>
          <w:rtl w:val="true"/>
          <w:lang w:bidi="ar-SA"/>
        </w:rPr>
        <w:t>بظاهره وظاهر أمثاله، وحكموا بعدم وجوب التفتيش</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وسيأتي البحث عن تحديد معنى الكبائر وبيان المراد من الإصرار على الصغائر، وكذا المراد من منافياة المروّة</w:t>
      </w:r>
      <w:r>
        <w:rPr>
          <w:rFonts w:eastAsia="Amiri" w:cs="Amiri" w:ascii="Amiri" w:hAnsi="Amiri"/>
          <w:color w:val="111111"/>
          <w:sz w:val="28"/>
          <w:szCs w:val="28"/>
          <w:rtl w:val="true"/>
          <w:lang w:bidi="ar-SA"/>
        </w:rPr>
        <w:t>.</w:t>
      </w:r>
    </w:p>
    <w:p>
      <w:pPr>
        <w:pStyle w:val="Heading6"/>
        <w:numPr>
          <w:ilvl w:val="5"/>
          <w:numId w:val="1"/>
        </w:numPr>
        <w:rPr/>
      </w:pPr>
      <w:bookmarkStart w:id="156" w:name="__RefHeading___Toc2354525_3650668749"/>
      <w:bookmarkStart w:id="157" w:name="_Toc59"/>
      <w:bookmarkEnd w:id="156"/>
      <w:r>
        <w:rPr>
          <w:rtl w:val="true"/>
        </w:rPr>
        <w:t>الأمر الثالث</w:t>
      </w:r>
      <w:r>
        <w:rPr>
          <w:rtl w:val="true"/>
        </w:rPr>
        <w:t xml:space="preserve">: </w:t>
      </w:r>
      <w:r>
        <w:rPr>
          <w:rtl w:val="true"/>
        </w:rPr>
        <w:t>البحث حول فسق المخالف‌</w:t>
      </w:r>
      <w:bookmarkEnd w:id="157"/>
    </w:p>
    <w:p>
      <w:pPr>
        <w:pStyle w:val="BookText"/>
        <w:rPr/>
      </w:pPr>
      <w:r>
        <w:rPr>
          <w:rFonts w:ascii="Amiri" w:hAnsi="Amiri" w:eastAsia="Amiri" w:cs="Amiri"/>
          <w:color w:val="111111"/>
          <w:sz w:val="28"/>
          <w:sz w:val="28"/>
          <w:szCs w:val="28"/>
          <w:rtl w:val="true"/>
          <w:lang w:bidi="ar-SA"/>
        </w:rPr>
        <w:t>ثمّ إنّه بعد اشتراط العدالة في القاضي، هل ينفذ قضاء غير الشيعة، الاثني عشرية من سائر فرق المسلمين، أو لا؟</w:t>
      </w:r>
    </w:p>
    <w:p>
      <w:pPr>
        <w:pStyle w:val="BookText"/>
        <w:rPr/>
      </w:pPr>
      <w:r>
        <w:rPr>
          <w:rFonts w:ascii="Amiri" w:hAnsi="Amiri" w:eastAsia="Amiri" w:cs="Amiri"/>
          <w:color w:val="111111"/>
          <w:sz w:val="28"/>
          <w:sz w:val="28"/>
          <w:szCs w:val="28"/>
          <w:rtl w:val="true"/>
          <w:lang w:bidi="ar-SA"/>
        </w:rPr>
        <w:t>قد يقال بالعدم، لأنّ غير المؤمن فاسق وظالم، وإن اتّصف بالإسلام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صفات الشهود، وما يعتبر في الشاهد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الإيمان، فلا تقبل شهادة غير المؤمن، وإن اتّصف بالإسلام، لا على مؤمن ولا على غيره، لاتّصافه بالفسق والظلم المانع من قبول الشهادة</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 فإذا صدق على غير المؤمن أنّه فاسق وظالم، فلا ينفذ قضاؤه كما لا تقبل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غير المؤمن تارة يكون جاحداً ومتعصّباً ومعانداً وناصبيّاً، وأمثال ذلك، ممّن ظهر عنده الحقّ، وأنكره من جهة عناده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ولتعصّبه لخلفاء الجور مثلا، ولخوفه على مقامه وجاهة بين الناس،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يصدق عليه أنّه فاسق وظالم، بل هو كافر، كما قاله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واخرى يظهر له الحقّ، بل يعتقد أنّ ما عليه من الاعتقاد حقّ وطريق للنجاة ومرضى للربّ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يصدق عليه أنّه فاسق أو ظالم؟ الظاهر عدم الصدق فإنّ الفسق ارتكاب المعصية مع العلم بكونها معصية وكذلك الحال في صدق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اختاره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الفسق إنّما يتحقّق بفعل المعصية المخصوصة مع العلم بكونها معصية، أمّا مع عدمه، بل مع اعتقاد أنّها 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امّهات الطاعات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والأمر في المخالف للحقّ في الاعتقاد كذلك؛ لأنّه لا يعتقد المعصية بل يزعم أنّ اعتقاده من أهمّ الطاعات، سواء كان اعتقاده صادراً عن نظر أم تقليد، ومع ذلك لا يتحقّق الظلم أيضاً، وإنّما يتّفق ذلك ممّن يعاند الحقّ مع علمه به، وهذا لا يكاد يتّفق، وإن توهّمه من لا علم له بالحال</w:t>
      </w:r>
      <w:r>
        <w:rPr>
          <w:rFonts w:eastAsia="Amiri" w:cs="Amiri" w:ascii="Amiri" w:hAnsi="Amiri"/>
          <w:color w:val="111111"/>
          <w:sz w:val="28"/>
          <w:szCs w:val="28"/>
          <w:rtl w:val="true"/>
          <w:lang w:bidi="ar-SA"/>
        </w:rPr>
        <w:t>»</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اعترض عليه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من غرائب الكلام</w:t>
      </w:r>
    </w:p>
    <w:p>
      <w:pPr>
        <w:pStyle w:val="BookText"/>
        <w:rPr/>
      </w:pPr>
      <w:r>
        <w:rPr>
          <w:rFonts w:ascii="Amiri" w:hAnsi="Amiri" w:eastAsia="Amiri" w:cs="Amiri"/>
          <w:color w:val="111111"/>
          <w:sz w:val="28"/>
          <w:sz w:val="28"/>
          <w:szCs w:val="28"/>
          <w:rtl w:val="true"/>
          <w:lang w:bidi="ar-SA"/>
        </w:rPr>
        <w:t>المخالف لظاهر الشريعة وباطنها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بالجملة لا يستأهل هذا الكلام ردّاً إذ هو مخالف لُاصول الشيعة ومن هنا شدّد النكير عليه الأردبيلي</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أتقن فإنّ من حقّق في مسألة الإمامة مثلًا وانتهى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بمراجعة الروايات ونقل التواريخ النبي بأيديهم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خلاف الحقّ رأى أنّ اعتقاده صحيح ومرضيّ عند الله عزّ وجلّ، وأنّه طاعته بل من أهمّ الطاعات، بل قد يدّعوا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خلوص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ليحشره مع أعداء آل محمّد، وهكذا حال من اعتمد عليه، وأخذ عنه اعتقاداته، فلا يصدق عليهما إنّهما فاسقان، أو ظالمان، أو كافران، بلا شبهة؛ بل هما معذوران وإذا كانت أعمالهما طبق موازين شريعتهما، فهما عادلان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الشهيد الثاني في ذيل كلامه بالنسبة إلى سائر الملل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والحقّ أنّ العدالة تتحقّق في جميع أهل الملل مع قيامهم بمقتضاها بحسب اعتقادهم</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ذيل كلام المحقّق</w:t>
      </w:r>
      <w:r>
        <w:rPr>
          <w:rStyle w:val="FootnoteAnchor"/>
          <w:rtl w:val="true"/>
        </w:rPr>
        <w:footnoteReference w:id="2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تقبل شهادة الذمّي خاصّة في الوصيّة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قبول شهادة الذمّي في الوصيّة مع عدم عدول المسلمين، فلقوله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آخَرَانِ مِنْ غَيْرِكُمْ</w:t>
      </w:r>
      <w:r>
        <w:rPr>
          <w:rStyle w:val="FootnoteAnchor"/>
          <w:rtl w:val="true"/>
        </w:rPr>
        <w:footnoteReference w:id="292"/>
      </w:r>
      <w:r>
        <w:rPr>
          <w:rFonts w:ascii="Amiri" w:hAnsi="Amiri" w:eastAsia="Amiri" w:cs="Amiri"/>
          <w:color w:val="111111"/>
          <w:sz w:val="28"/>
          <w:sz w:val="28"/>
          <w:szCs w:val="28"/>
          <w:rtl w:val="true"/>
          <w:lang w:bidi="ar-SA"/>
        </w:rPr>
        <w:t>ويشترط فيه العدالة في دينه لظاهر العطف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 في حيّز العدالة، وكأنّ التقدير ذوي عدل منكم، أو ذوي عدل من غيركم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ولعموم أدلّة العدالة</w:t>
      </w:r>
      <w:r>
        <w:rPr>
          <w:rFonts w:eastAsia="Amiri" w:cs="Amiri" w:ascii="Amiri" w:hAnsi="Amiri"/>
          <w:color w:val="111111"/>
          <w:sz w:val="28"/>
          <w:szCs w:val="28"/>
          <w:rtl w:val="true"/>
          <w:lang w:bidi="ar-SA"/>
        </w:rPr>
        <w:t>».</w:t>
      </w:r>
      <w:bookmarkStart w:id="158" w:name="pg1791_15453"/>
    </w:p>
    <w:p>
      <w:pPr>
        <w:pStyle w:val="BookText"/>
        <w:rPr/>
      </w:pPr>
      <w:bookmarkEnd w:id="158"/>
      <w:r>
        <w:rPr>
          <w:rFonts w:ascii="IRNazanin" w:hAnsi="IRNazanin" w:eastAsia="IRNazanin"/>
          <w:color w:val="111111"/>
          <w:sz w:val="28"/>
          <w:sz w:val="28"/>
          <w:szCs w:val="28"/>
          <w:rtl w:val="true"/>
          <w:lang w:bidi="fa-IR"/>
        </w:rPr>
        <w:t xml:space="preserve">والاجتهاد المطلق،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نقل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المحقّق الأردبيلي في مورد آخر</w:t>
      </w:r>
      <w:r>
        <w:rPr>
          <w:rStyle w:val="FootnoteAnchor"/>
          <w:rtl w:val="true"/>
        </w:rPr>
        <w:footnoteReference w:id="29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الكلام لا يستأهل 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عبّر بهذا الكلام، بالنسبة إلى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وأيّده بكلام الأردبيلي؛ لكون كلامه موافقاً لنظره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جعلهم الله عزّ وجلّ تحت ظلّ رحمته، وحشرهم مع نبيّه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المخالف إذا كان واجداً للصفات المعتبرة في القاضي،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العدالة بحسب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ينفذ قضاؤه، إذا أذن له الوليّ الفقيه، واستند في قضائه إلى قوانين مسفادة من كلام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5"/>
        <w:numPr>
          <w:ilvl w:val="4"/>
          <w:numId w:val="1"/>
        </w:numPr>
        <w:rPr/>
      </w:pPr>
      <w:bookmarkStart w:id="159" w:name="__RefHeading___Toc2354527_3650668749"/>
      <w:bookmarkStart w:id="160" w:name="_Toc60"/>
      <w:bookmarkEnd w:id="159"/>
      <w:r>
        <w:rPr>
          <w:rtl w:val="true"/>
        </w:rPr>
        <w:t>الشرط الخامس</w:t>
      </w:r>
      <w:r>
        <w:rPr>
          <w:rtl w:val="true"/>
        </w:rPr>
        <w:t xml:space="preserve">: </w:t>
      </w:r>
      <w:r>
        <w:rPr>
          <w:rtl w:val="true"/>
        </w:rPr>
        <w:t>الاجتهاد</w:t>
      </w:r>
      <w:bookmarkEnd w:id="160"/>
    </w:p>
    <w:p>
      <w:pPr>
        <w:pStyle w:val="Heading6"/>
        <w:numPr>
          <w:ilvl w:val="5"/>
          <w:numId w:val="1"/>
        </w:numPr>
        <w:rPr/>
      </w:pPr>
      <w:bookmarkStart w:id="161" w:name="__RefHeading___Toc2354529_3650668749"/>
      <w:bookmarkStart w:id="162" w:name="_Toc61"/>
      <w:bookmarkEnd w:id="161"/>
      <w:r>
        <w:rPr>
          <w:rtl w:val="true"/>
        </w:rPr>
        <w:t>اشارة</w:t>
      </w:r>
      <w:bookmarkEnd w:id="1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يعتبر في القاضي أن يكون مجتهداً مطلقاً؛ فلا ينعقد ولا ينفذ قضاء المتجزّئ ولا المقلّد، وهذا هو المشهور بين الأصحاب، بل ادّعي عليه الإجماع؛ قال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لا ينعقد لغير العالم المستقلّ بأهلية الفتوى ولا يكفيه فتوى العلماء؛ ولا بدّ أن يكون عالماً بجميع ما وليه</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وأوضحه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والمراد بكونه عالماً بجميع ما وليه، كونه‌مجتهداً مطلقاً فلا يكفي اجتهاده في بعض الأحكام دون بعض على</w:t>
      </w:r>
    </w:p>
    <w:p>
      <w:pPr>
        <w:pStyle w:val="BookText"/>
        <w:rPr/>
      </w:pPr>
      <w:r>
        <w:rPr>
          <w:rFonts w:ascii="Amiri" w:hAnsi="Amiri" w:eastAsia="Amiri" w:cs="Amiri"/>
          <w:color w:val="111111"/>
          <w:sz w:val="28"/>
          <w:sz w:val="28"/>
          <w:szCs w:val="28"/>
          <w:rtl w:val="true"/>
          <w:lang w:bidi="ar-SA"/>
        </w:rPr>
        <w:t>القول‌بتجزي الاجتهاد</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بالعالم هنا المجتهد في الأحكام الشريعة، وعلى اشتراط ذلك في القاضي إجماع علمائنا، ولا فرق بين حالة الاختيار والاضطرار، ولا فرق فيمن نقص عن مرتبته، بين المطّلع على فتوى الفقهاء وغيره</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فلا ينفذ قضاء غير المجتهد وإن بلغ من العلم والفضل ما بلغ</w:t>
      </w:r>
      <w:r>
        <w:rPr>
          <w:rFonts w:eastAsia="Amiri" w:cs="Amiri" w:ascii="Amiri" w:hAnsi="Amiri"/>
          <w:color w:val="111111"/>
          <w:sz w:val="28"/>
          <w:szCs w:val="28"/>
          <w:rtl w:val="true"/>
          <w:lang w:bidi="ar-SA"/>
        </w:rPr>
        <w:t>»</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صرّح بعضهم بكفاية التجزّي، وهو الظاهر من الفاضل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حيث شرط في القاضي الاجتهاد، وذكر شرائطه،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يتجزّء الاجتهاد أم لا؟ الأقرب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اختاره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إلى جواز القضاء للمقلّد بفتوى مجتهده حيث ذكر جملة من الآيات والروايات،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غير ذلك من النصوص البالغة بالتعاضد، أعلى مراتب القطع، الدالّة على أنّ المدار، الحكم بالحقّ الذي هو عند محمّد وأهل بيته وأنّه لا ريب في اندراج من سمع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أحكاماً خاصّة مثلًا؛ وحكم فيها بين الناس وإن لم يكن له مرتبة الاجتهاد والتصرّف</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استدلّ على القول باشتراط الاجتهاد المطلق، بامور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وهذا فيما إذا قلنا بعدم تمامية الأخبار فإنّه مع وجود الإطلاقات لا تصل النوبة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استدلّ بالأصل</w:t>
      </w:r>
      <w:r>
        <w:rPr>
          <w:rStyle w:val="FootnoteAnchor"/>
          <w:rtl w:val="true"/>
        </w:rPr>
        <w:footnoteReference w:id="301"/>
      </w:r>
      <w:r>
        <w:rPr>
          <w:rFonts w:ascii="Amiri" w:hAnsi="Amiri" w:eastAsia="Amiri" w:cs="Amiri"/>
          <w:color w:val="111111"/>
          <w:sz w:val="28"/>
          <w:sz w:val="28"/>
          <w:szCs w:val="28"/>
          <w:rtl w:val="true"/>
          <w:lang w:bidi="ar-SA"/>
        </w:rPr>
        <w:t xml:space="preserve">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القضاء واجب كفائي لتوقّف حفظ النظام عليه، ولا شكّ في أنّ نفوذ حكم أحد على غيره، إنّما هو على خلاف الأصل، والقدر المتيقّن من ذلك هو نفوذ حكم المجتهد، فيكفي في عدم نفوذ حكم غيره الأصل؛ بعد عدم وجود دليل لفظي يدلّ على نصب القاضي ابتداءً ليتمسّك بإطلاقه</w:t>
      </w:r>
      <w:r>
        <w:rPr>
          <w:rFonts w:eastAsia="Amiri" w:cs="Amiri" w:ascii="Amiri" w:hAnsi="Amiri"/>
          <w:color w:val="111111"/>
          <w:sz w:val="28"/>
          <w:szCs w:val="28"/>
          <w:rtl w:val="true"/>
          <w:lang w:bidi="ar-SA"/>
        </w:rPr>
        <w:t>»</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واستشكل في الروايات بعدم صحّة السند في بعضها، وعدم الدلالة في بعضها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استدلّ به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الظاهر من الآيات والأخبار هو أنّ منصب القضاء مختصّ بالنبي والأئمّة فيتوقّف جوازه من غيرهم، على الإذن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الدالّة على الإذن مختصّة بالعلماء ورواة الأخبار، الظاهرة في القادر على استنباط الحكم منها</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اشتراط الاجتهاد المطلق</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مقبولة عمر بن حنظلة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يصنعان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ينظران من كان منكم ممّن قد روى حديثنا ونظر في حلالنا وحرامنا، وعرف أحكامنا</w:t>
      </w:r>
    </w:p>
    <w:p>
      <w:pPr>
        <w:pStyle w:val="BookText"/>
        <w:rPr/>
      </w:pPr>
      <w:r>
        <w:rPr>
          <w:rFonts w:ascii="Amiri" w:hAnsi="Amiri" w:eastAsia="Amiri" w:cs="Amiri"/>
          <w:color w:val="111111"/>
          <w:sz w:val="28"/>
          <w:sz w:val="28"/>
          <w:szCs w:val="28"/>
          <w:rtl w:val="true"/>
          <w:lang w:bidi="ar-SA"/>
        </w:rPr>
        <w:t xml:space="preserve">فليرضوا به حكماً فإنّي قد جعلته عليكم حاكماً </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والبحث فيها من ناحيتين السند والدلالة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السند، فالكلّ إلى داود بن الحصين ثقات وأجلاء لا اختلاف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داود بن الحصين فقال النجاشي</w:t>
      </w:r>
      <w:r>
        <w:rPr>
          <w:rStyle w:val="FootnoteAnchor"/>
          <w:rtl w:val="true"/>
        </w:rPr>
        <w:footnoteReference w:id="305"/>
      </w:r>
      <w:r>
        <w:rPr>
          <w:rFonts w:ascii="Amiri" w:hAnsi="Amiri" w:eastAsia="Amiri" w:cs="Amiri"/>
          <w:color w:val="111111"/>
          <w:sz w:val="28"/>
          <w:sz w:val="28"/>
          <w:szCs w:val="28"/>
          <w:rtl w:val="true"/>
          <w:lang w:bidi="ar-SA"/>
        </w:rPr>
        <w:t>بحقّه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وصفه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بكونه واقفياً، ولم يتعرّض لوقفه النجاشي مع أنّ من دأبه التصريح بوافقية الراوي وغيرها، فإذا دار الأمر بينهما فيما اختلفا، فالترجيح لقول النجاشي لأنّه أضبط من حيث كونه رجالياً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الشيخ الذي كان فقيهاً واصولياً ومتكلّماً ومحدّثاً ومفسّراً؛ ولذا قال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الكشكول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ظفرت على كلّ ذي فنون وغلبني كلّ ذي 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في السند عمر بن حنظلة وهو لم يوثّق في الرجال وإن زعم الشهيد الثاني توثيقه لوجوه مذكورة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 ولكنّها غيرتامّة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تلقّاها المشهور بالقبول وعملوا بها في موارد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سمّيت بالمقبولة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إتقان محتواها بحيث يكشف عن كونها مع الإمام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الملاك هو كون الرواية موثوقاً بصدورها، لا أن يكون الراوي ثقة، هذا حال السند</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الدلاله فيستظهر منها اشتراط الاجتهاد المطلق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 في حلالنا</w:t>
      </w:r>
    </w:p>
    <w:p>
      <w:pPr>
        <w:pStyle w:val="BookText"/>
        <w:rPr/>
      </w:pPr>
      <w:r>
        <w:rPr>
          <w:rFonts w:ascii="Amiri" w:hAnsi="Amiri" w:eastAsia="Amiri" w:cs="Amiri"/>
          <w:color w:val="111111"/>
          <w:sz w:val="28"/>
          <w:sz w:val="28"/>
          <w:szCs w:val="28"/>
          <w:rtl w:val="true"/>
          <w:lang w:bidi="ar-SA"/>
        </w:rPr>
        <w:t>وحرامنا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يراد به النظر السطحي والالتفات الابتدائي، بل المراد النظر في حلالهم وحرامهم بإمعان ودقّة،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فَسِيرُوا فِي الأرْضِ فَانْظُروا كَيْفَ كَانَ عَاقِبَةُ الْمُكَذِّبِينَ</w:t>
      </w:r>
      <w:r>
        <w:rPr>
          <w:rStyle w:val="FootnoteAnchor"/>
          <w:rtl w:val="true"/>
        </w:rPr>
        <w:footnoteReference w:id="308"/>
      </w:r>
      <w:r>
        <w:rPr>
          <w:rFonts w:ascii="Amiri" w:hAnsi="Amiri" w:eastAsia="Amiri" w:cs="Amiri"/>
          <w:color w:val="111111"/>
          <w:sz w:val="28"/>
          <w:sz w:val="28"/>
          <w:szCs w:val="28"/>
          <w:rtl w:val="true"/>
          <w:lang w:bidi="ar-SA"/>
        </w:rPr>
        <w:t>فيستظهر منه النظر الاستدلالي والاستنباطي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الحال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 أحكامنا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يستعمل إلا فيما إذا سبقه الاشتباه والاختلاط فيستظهر منه قوّة الاستنباط وتشخيص الحقّ من الباطل، والحلال من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أيضاً أنّ الأحكام جمع مضاف يفيد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المراد معرفة جميع الأحكام والنظر في جميع الحلال والحرام، فلا يشمل المتجزّي ولا المقلّد، إذ لا يصدق على أيّ منهما أنّه نظر في حلالهم وحرامهم وعرف أحكامهم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خديجة أو مشهورته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أصحابنا،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إذا وقعت بينكم خصومة أو تداري في شي‌ء من الأخذ والعطاء، أن تحاكموا إلى أحد من هؤلاء الفسّاق، اجعلوا بينكم رجلًا ممّن قد عرف حلالنا وحرامنا، فإنّي قد جعلته عليكم قاضياً، وإيّاكم أن يخاصم بعضكم بعضاً إلى السلطان الجائر</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بدّ أن يبحث فيها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سندية، ودلالية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من حيث السند فقد رواها الشيخ عن ابن محبوب وطريقه إليه صحيح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 عين فقيه كما عن النجاشي</w:t>
      </w:r>
      <w:r>
        <w:rPr>
          <w:rStyle w:val="FootnoteAnchor"/>
          <w:rtl w:val="true"/>
        </w:rPr>
        <w:footnoteReference w:id="310"/>
      </w:r>
      <w:r>
        <w:rPr>
          <w:rFonts w:ascii="Amiri" w:hAnsi="Amiri" w:eastAsia="Amiri" w:cs="Amiri"/>
          <w:color w:val="111111"/>
          <w:sz w:val="28"/>
          <w:sz w:val="28"/>
          <w:szCs w:val="28"/>
          <w:rtl w:val="true"/>
          <w:lang w:bidi="ar-SA"/>
        </w:rPr>
        <w:t>وأحمد بن محمّد بن عيسى، والحسين</w:t>
      </w:r>
    </w:p>
    <w:p>
      <w:pPr>
        <w:pStyle w:val="BookText"/>
        <w:rPr/>
      </w:pPr>
      <w:r>
        <w:rPr>
          <w:rFonts w:ascii="Amiri" w:hAnsi="Amiri" w:eastAsia="Amiri" w:cs="Amiri"/>
          <w:color w:val="111111"/>
          <w:sz w:val="28"/>
          <w:sz w:val="28"/>
          <w:szCs w:val="28"/>
          <w:rtl w:val="true"/>
          <w:lang w:bidi="ar-SA"/>
        </w:rPr>
        <w:t>بن سعيد، ثقتان أيضاً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أبو الجهم فقد تقدّم أنّ اسمه ثوير بن أبي فاختة، والأقوى أنّه ثقة من أصحاب السجاد والباقر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اسمه بكير بن أعين فهو أخو زرارة بن أعين ومن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آل أعين وهم من أعيان الشيعة وموثّقون وقد روي أنّه لمّا بلغ موته إلى الصادق قال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لقد أنزله الله عزّ وجلّ بين رسوله وأمير المؤمنين</w:t>
      </w:r>
      <w:r>
        <w:rPr>
          <w:rFonts w:eastAsia="Amiri" w:cs="Amiri" w:ascii="Amiri" w:hAnsi="Amiri"/>
          <w:color w:val="111111"/>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وعلى أي حال فإنّ أبا الجهم موضع للوثوق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هاهنا إشكال مشترك بينهما؛ وهو أنّ الحسين بن سعيد من أصحاب الإمام الرضا والجواد والهادي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يمكن أن ينقل الحديث بلا واسطة عن بكير بن أعين الذي مات في زمن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عن ثوير وهو من أصحاب السجّاد والباقر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في السند سقط، فتصير الرواية مرسلة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يدفع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استظهار الواسطة من سائقة الروايات التي‌نقل فيها الحسين بن سعيد، عن بكير بن أعين بواسطة أو بوسائط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الاولى ما عن الحسين بن سعيد، عن حريز بن عبدالله عن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الثانيةالحسين بن سعيد، عن ابن أبي عمير، عن ابن اذينة، عن بكير وعن صفوان، عن عبدالله بن بكير، عن أبيه بكير بن أعين وعن حمّاد بن عيسى، عن عمر بن‌اذينة، عن بكير؛ وهؤلاء كلّهم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أبو خديجة فاسمه سالم بن مُكرَم‌وقد كنّاة الإمام الصادق بأبي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إنّه ثقة وكذا وثّقه</w:t>
      </w:r>
    </w:p>
    <w:p>
      <w:pPr>
        <w:pStyle w:val="BookText"/>
        <w:rPr/>
      </w:pPr>
      <w:r>
        <w:rPr>
          <w:rFonts w:ascii="Amiri" w:hAnsi="Amiri" w:eastAsia="Amiri" w:cs="Amiri"/>
          <w:color w:val="111111"/>
          <w:sz w:val="28"/>
          <w:sz w:val="28"/>
          <w:szCs w:val="28"/>
          <w:rtl w:val="true"/>
          <w:lang w:bidi="ar-SA"/>
        </w:rPr>
        <w:t>الكشّي</w:t>
      </w:r>
      <w:r>
        <w:rPr>
          <w:rStyle w:val="FootnoteAnchor"/>
          <w:rtl w:val="true"/>
        </w:rPr>
        <w:footnoteReference w:id="313"/>
      </w:r>
      <w:r>
        <w:rPr>
          <w:rFonts w:ascii="Amiri" w:hAnsi="Amiri" w:eastAsia="Amiri" w:cs="Amiri"/>
          <w:color w:val="111111"/>
          <w:sz w:val="28"/>
          <w:sz w:val="28"/>
          <w:szCs w:val="28"/>
          <w:rtl w:val="true"/>
          <w:lang w:bidi="ar-SA"/>
        </w:rPr>
        <w:t>وعدّه البرقي</w:t>
      </w:r>
      <w:r>
        <w:rPr>
          <w:rStyle w:val="FootnoteAnchor"/>
          <w:rtl w:val="true"/>
        </w:rPr>
        <w:footnoteReference w:id="314"/>
      </w:r>
      <w:r>
        <w:rPr>
          <w:rFonts w:ascii="Amiri" w:hAnsi="Amiri" w:eastAsia="Amiri" w:cs="Amiri"/>
          <w:color w:val="111111"/>
          <w:sz w:val="28"/>
          <w:sz w:val="28"/>
          <w:szCs w:val="28"/>
          <w:rtl w:val="true"/>
          <w:lang w:bidi="ar-SA"/>
        </w:rPr>
        <w:t>من أصحاب الصادق،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يكنن أبا سلمة ابن 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الشيخ</w:t>
      </w:r>
      <w:r>
        <w:rPr>
          <w:rStyle w:val="FootnoteAnchor"/>
          <w:rtl w:val="true"/>
        </w:rPr>
        <w:footnoteReference w:id="315"/>
      </w:r>
      <w:r>
        <w:rPr>
          <w:rFonts w:ascii="Amiri" w:hAnsi="Amiri" w:eastAsia="Amiri" w:cs="Amiri"/>
          <w:color w:val="111111"/>
          <w:sz w:val="28"/>
          <w:sz w:val="28"/>
          <w:szCs w:val="28"/>
          <w:rtl w:val="true"/>
          <w:lang w:bidi="ar-SA"/>
        </w:rPr>
        <w:t>في موضع بينما قال في موضع آخر</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 فيتعارض كلامه ويبقى توثيق النجاشي والكشّي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اشتبه الأمر على الشيخ فتخيّل أنّه سالم بن أبي سلمة، وهو ضعيف في كتب الرجال مع أنّ أبا سلمة هي كنية نفس أبي خديجة كما تقدّم لا كنية أبيه، فظهر أنّ السند تامّ معتبر، لا غبار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تقريب الاستدلال بها، فهو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اجعلوا بينكم رجلًا قد عرف حلالنا وحرامنا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الفعلية وقد تقدّم أنّه يستعمل فيما إذا اشتبه الأمر وكان فيه اختلاط، فيصير المعنى أنّه عارف بالفعل وله قدرة على تمييز الحلال من الحرام والحقّ من الباطل في جميع الحلال والحرام الصادر من الأئمّة وهذه القوّة والعرفان بالنسبة إلى جميع الأحكام لا تكون إلا في المجتهد المطلق</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مشهورة أو صحيحة أبي خديجة الثانية؛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أن يحاكم بعضكم بعضاً إلى أهل الجور، ولكن انظروا إلى رجل منكم يعلم شيئاً من قضايانا، فاجعلوه بينكم، فإنّي قد جعلته قاضياً، فتحاكموا إليه</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ولنبحث فيها أيضاً من جهه السند والدلالة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السند، فهي صحيحة، فإنّ طريق الصدوق إلى أحمد بن عائذ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أحمد نفسه فهو ثقة وتقدّم الكلام في أبي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الدلالة،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شيئاً من قضايانا</w:t>
      </w:r>
      <w:r>
        <w:rPr>
          <w:rFonts w:eastAsia="Amiri" w:cs="Amiri" w:ascii="Amiri" w:hAnsi="Amiri"/>
          <w:color w:val="111111"/>
          <w:sz w:val="28"/>
          <w:szCs w:val="28"/>
          <w:rtl w:val="true"/>
          <w:lang w:bidi="ar-SA"/>
        </w:rPr>
        <w:t>»</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شيئاً من قضائنا</w:t>
      </w:r>
      <w:r>
        <w:rPr>
          <w:rFonts w:eastAsia="Amiri" w:cs="Amiri" w:ascii="Amiri" w:hAnsi="Amiri"/>
          <w:color w:val="111111"/>
          <w:sz w:val="28"/>
          <w:szCs w:val="28"/>
          <w:rtl w:val="true"/>
          <w:lang w:bidi="ar-SA"/>
        </w:rPr>
        <w:t>»</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بالأوّل هو الأحكام الصادرة منهم من الحلال والحرام وغيرهما، والمراد بالثاني الموارد التي حكموا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لرفع التنازع وفصل 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شيئاً من قضايانا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يراد به العلم‌بشي‌ءمّا، فإنّه لا يمكن لأحد الإحاطة بعلومهم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فالعالم بالأحكام مهمابلغ من العلم، فهو لا يعلم إلا شيئاً من قضاياهم، فلا بدّ أن يكون ذلك الشي‌ء مقداراً معتدّاً به، حتّى يصدق عليه أنّه يعلم شيئاً من قضاياهم، والمراد به هو المجتهد العالم بالأحكام من الكتاب والسنّة ولا ينطبق إلا على المجتهد المطلق</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التوقيع الشريف الذي 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 وإتمام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محمّد بن عصام، عن محمّد بن يعقوب، عن إسحاق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عثمان العَمري أن يوصل لي كتاباً قد سألت فيه عن مسائل أشكلت علي، فورد التوقيع بخطّ مولانا صاحب الزمان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سألت عنه أرشدك الله وثبّتك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الحوادث الواقعة فارجعوا فيها</w:t>
      </w:r>
    </w:p>
    <w:p>
      <w:pPr>
        <w:pStyle w:val="BookText"/>
        <w:rPr/>
      </w:pPr>
      <w:r>
        <w:rPr>
          <w:rFonts w:ascii="Amiri" w:hAnsi="Amiri" w:eastAsia="Amiri" w:cs="Amiri"/>
          <w:color w:val="111111"/>
          <w:sz w:val="28"/>
          <w:sz w:val="28"/>
          <w:szCs w:val="28"/>
          <w:rtl w:val="true"/>
          <w:lang w:bidi="ar-SA"/>
        </w:rPr>
        <w:t>إلى رواة حديثنا فإنّهم حجّتي عليكم وأنا حجّة الله</w:t>
      </w:r>
      <w:r>
        <w:rPr>
          <w:rFonts w:eastAsia="Amiri" w:cs="Amiri" w:ascii="Amiri" w:hAnsi="Amiri"/>
          <w:color w:val="111111"/>
          <w:sz w:val="28"/>
          <w:szCs w:val="28"/>
          <w:rtl w:val="true"/>
          <w:lang w:bidi="ar-SA"/>
        </w:rPr>
        <w:t>»</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أيضاً الطبرسي بتمامه،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في توقيعات الناحية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لنا أن نبحث في سنده ودلالته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السند، فهو صحيح ومعتبر، فإنّ محمّد بن محمّد بن عصام من مشايخ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مشيخة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فيه عن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رويته عن محمّد بن محمّد بن عصام الكليني، وعلى بن أحمد بن موسى، ومحمّد بن أحمد السناني عن محمّد بن يعقوب الكليني، وكذلك جميع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رويته عنهم، عنه عن رجاله</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فمحمّد بن محمّد وقريناه، ثقات؛ لأنّهم من مشايخ الإجازة، ولاعتماد الصدوق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ترضيه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فإنّه يشعر بوثاقتهم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إسحاق بن يعقوب فهو أخو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في كتب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استظهر حسن حاله من القرائن، كدعاء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أوّل التوقيع وتسليمه عليه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التوقيع لا يصدر إلا لمن كان شيعياً مخلصاً مؤتمناً، ولأنّه يستفاد من نقل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التوقيع ورؤيته، والاعتماد عليه، من جهة اشتهار خطّ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لمثل الكليني ومعرفته له، وأمّا عدم 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من جهه التقية لاشتهار إسحاق بن يعقوب آنذاك وكونه من الشيعة المرتبطين بالناحية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اعتماد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لنقله إيّاه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 بل قد استقرّ عمل المشهور عليه، والفتوى على طبقه، فيظهر من مجموع ما تقدّم صحّة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الدلاله فلا إشكال في أنّ المراد بالحوادث ليس الامور المشتبهة من جهة الحكم؛ فإنّ معرفة حكم المسائل المشكلة أو المشتبهة لم تتعسّر على أحد حتّى يحتاج إلى سؤال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المراد هو الوقايع الحادثة التي لا بدّ فيها من المراجعة إلى الوالي أو الحاكم أو الرئيس أو القاضي؛ وذلك بعد غيبة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وقصور الشيعة عن الوصول إلى محضره الشريف، للسؤال عن تلك الحوادث المهمّة التي منها فصل الخصومة، ورفع التنازع، فأجاب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بالرجوع فيها إلى رواة الحديث</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برواة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غلبت عليهم لمن كان شغله هذه الصفة فلا يصدق على من روى حديثاً أو حديثين مثلًا؛ بل لا بدّ من كونه راوياً لأحاديثهم بمقدار معتدّ به، كما لا بدّ من فهمه لما يرويه وتمييزه لما صدر لبيان الواقع، أو التقيّة، وتشخيصه لصحيحه من سقيمه، وعامّه من خاصّه، فلا يصدق على من حفظ الأحاديث من غير تفقّه وتدبّر، والظاهر من إرجاعه إلى الرواة وأصحاب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إلى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فهمهم للأحاديث واستنباطهم منها، هو الحجّة في رفع التنازع وحلّ المشكل، وإدارة الامور، لا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حجّتي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الروايات حجّة عليكم</w:t>
      </w:r>
      <w:r>
        <w:rPr>
          <w:rFonts w:eastAsia="Amiri" w:cs="Amiri" w:ascii="Amiri" w:hAnsi="Amiri"/>
          <w:color w:val="111111"/>
          <w:sz w:val="28"/>
          <w:szCs w:val="28"/>
          <w:rtl w:val="true"/>
          <w:lang w:bidi="ar-SA"/>
        </w:rPr>
        <w:t>».</w:t>
      </w:r>
      <w:bookmarkStart w:id="163" w:name="pg1791_15472"/>
    </w:p>
    <w:p>
      <w:pPr>
        <w:pStyle w:val="BookText"/>
        <w:rPr/>
      </w:pPr>
      <w:bookmarkEnd w:id="163"/>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الحجّة هم رواة الأحاديث الذين يفقهون معناها، ويستنبطون منها الأحكام، ولا ينطبق هذا إلا على المجتهد المطلق الواجد للشروط، فله منصب الإفتاء، والقضاء، والحكومة، والولاية، لكن باعتبار كونه نائباً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الروايات التي استند إليها المشهور، في اشتراط الاجتهاد المطلق في القاضي، ومنهم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Heading6"/>
        <w:numPr>
          <w:ilvl w:val="5"/>
          <w:numId w:val="1"/>
        </w:numPr>
        <w:rPr/>
      </w:pPr>
      <w:bookmarkStart w:id="164" w:name="__RefHeading___Toc2354531_3650668749"/>
      <w:bookmarkStart w:id="165" w:name="_Toc62"/>
      <w:bookmarkEnd w:id="164"/>
      <w:r>
        <w:rPr>
          <w:rtl w:val="true"/>
        </w:rPr>
        <w:t>حول منع دلالة الروايات السابقة على اشتراط الاجتهاد المطلق‌</w:t>
      </w:r>
      <w:bookmarkEnd w:id="165"/>
    </w:p>
    <w:p>
      <w:pPr>
        <w:pStyle w:val="BookText"/>
        <w:rPr/>
      </w:pPr>
      <w:r>
        <w:rPr>
          <w:rFonts w:ascii="Amiri" w:hAnsi="Amiri" w:eastAsia="Amiri" w:cs="Amiri"/>
          <w:color w:val="111111"/>
          <w:sz w:val="28"/>
          <w:sz w:val="28"/>
          <w:szCs w:val="28"/>
          <w:rtl w:val="true"/>
          <w:lang w:bidi="ar-SA"/>
        </w:rPr>
        <w:t>يمكن الإشكال في استفادة اشتراط الاجتهاد المطلق من الروايات السابقة، بل يستظهر منها كفاية الاجتهاد بنحو التجزّي؛ حتّى استدلّ بعضهم بروايتي أبي خديجة لذلك</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المقبولة فاستشكل الشيخ الأنصاري في دلالتها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الظاهر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المعرفة الفعلية ومن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جميع الأحكام فيكون المعنى المعرفة الفعلية، والعلم بجميع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ممكن للمتعارف من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نادر جدّاً، وغير مراد بالضرورة، لعدم اعتبار المعرفة كذلك قطعاً، فلا بدّ من رفع اليد عن أحد الظهورين بأن يراد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الملكة لا الفعلية أو يراد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الجنس، لا الاستغراق، والثاني أولى وأسهل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والجنس وإن أطلق على الواحد، أو الاثنين، ولكنّه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بمناسبة الحكم والموضوع ونصبه للقضاء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يراد منه معرفة مقدار معتدّ به من الأحكام بالفعل، وهو ينطبق مع الاجتهاد المتجزّي</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خبر أبي خديجة، الأوّل، فيظهر الإشكال فيه ممّا قاله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المعرفة الفعلية بجميع الحلال والحرام لا يمكن حصولها لأحد فلا بدّ من حملها على الجنس؛ أي معرفة مقدار معتدّ به من الحلال والحرام، فهو أيضاً شامل للاجتهاد المتجزّي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خبر أبي خديجة، الثاني، قد استدلّ به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لكفاية التجزّي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شيئاً من قضايانا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بقرينه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مقدار معتدّ به من قضاياهم وأحكامهم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يقاس فيه علمه بعلم الإمام،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علمه بالنسبة إلى علمهم قليل، وإن بلغ ما بلغ؛ بل يراد مقدار ما يكفي أن يعلمه المنصوب للقضاء، وأولى بهذا الاستدلال ما لو كان الوارد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شيئاً من قضائنا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اعتبار سند الخبر الثاني لأبي خديجة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الكلام في سند المرفوعة، فحقيق بالإعراض عنه بعد إطلاق المشهورة عليها، وركون المشهور إليها، ولو في غير المقام، بل في المقام</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التوقيع المبارك، فقد أرجع الإمام السائل فيه عن الحوادث المهمّة والوقايع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بدّ فيها من المراجعة إلى الوالي أو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رواة الحديث، ولا إشكال في أنّ كلّ راوٍ للحديث إنّما يروي بعض الأحكام المنقولة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جميع الأحكام، فكلّ واحد منهم يعلم مقداراً من أحكامهم وحلالهم، وحرامهم، لا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جميعهم بمنزلة المجتهد المطلق، وأمّا كلّ واحد فهو بمنزلة المجتهد المتجزّي، فالتوقيع أيضاً ينطبق على المجتهد</w:t>
      </w:r>
    </w:p>
    <w:p>
      <w:pPr>
        <w:pStyle w:val="BookText"/>
        <w:rPr/>
      </w:pPr>
      <w:r>
        <w:rPr>
          <w:rFonts w:ascii="Amiri" w:hAnsi="Amiri" w:eastAsia="Amiri" w:cs="Amiri"/>
          <w:color w:val="111111"/>
          <w:sz w:val="28"/>
          <w:sz w:val="28"/>
          <w:szCs w:val="28"/>
          <w:rtl w:val="true"/>
          <w:lang w:bidi="ar-SA"/>
        </w:rPr>
        <w:t>المتجزّئ، ويدلّ على كفايته في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التي استدلّ بها على اشتراط الاجتهاد المطلق، تشمل أيضاً الاجتهاد المتجزّي، فتدلّ على اعتبار مطلق الاجتهاد لا خصوص الاجتهاد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استدلّ به الشيخ الأنصاري، في الاستدلال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المقطوع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المنصوبين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لبعضهم ملكة استنباط جميع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أيضاً ما في عهد أمير المؤمنين لمالك الأشتر،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اختر للحكم بين الناس أفضل رعيتك في نفسك، ممّن لا تضيق به الامور، ولا تمحّكه الخصوم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وأوقفهم في الشبهات وآخذهم بالحجج</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 xml:space="preserve">ولا إشكال في أنّ المراد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بانتخاب من كان عارفاًبالكتاب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يمكّنه من القضاء بين الناس، ولا يوجد في تلك الأمكنة والزمان من هو غير معصوم، وعارف بجميع الأحكام الشرعية بلا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ولوكان ذلك معتبراً لعطّل باب القضاء في مصر ولما تمكّن الأشتر من اختيار قضاة فيها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بكفاية الاجتهاد المتجزّي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اختاره الشيخ الأنصاري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فرق في المجتهد بين المطلق والمتجزّي، على الأقوى، وفاقاً للمصنّف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العلامه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الشهيد</w:t>
      </w:r>
    </w:p>
    <w:p>
      <w:pPr>
        <w:pStyle w:val="BookText"/>
        <w:rPr/>
      </w:pPr>
      <w:r>
        <w:rPr>
          <w:rFonts w:ascii="Amiri" w:hAnsi="Amiri" w:eastAsia="Amiri" w:cs="Amiri"/>
          <w:color w:val="111111"/>
          <w:sz w:val="28"/>
          <w:sz w:val="28"/>
          <w:szCs w:val="28"/>
          <w:rtl w:val="true"/>
          <w:lang w:bidi="ar-SA"/>
        </w:rPr>
        <w:t xml:space="preserve">الأوّل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 xml:space="preserve">والثاني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بعض أدلّة النصب في حال الغيبة</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السيّد فظاهر صدر كلامه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العروة</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وإن كان اشتراط الاجتهاد المطلق، لكنّه قال في ذيل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المتجزّئ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عدم نفوذ قضائه خصوصاً مع وجود غيره، وإن كان لا يبعد جوازه إذا كان مجتهداً في أحكام القضاء لخبري أبي خديجة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ذهب إلى كفاية المتجزّئ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 xml:space="preserve">ناسباً إيّاه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33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قوله في الأخير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بدّ أن يكون عالماً بجميع ما وليه على الاجتهاد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33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339"/>
      </w:r>
      <w:r>
        <w:rPr>
          <w:rFonts w:ascii="Amiri" w:hAnsi="Amiri" w:eastAsia="Amiri" w:cs="Amiri"/>
          <w:color w:val="111111"/>
          <w:sz w:val="28"/>
          <w:sz w:val="28"/>
          <w:szCs w:val="28"/>
          <w:rtl w:val="true"/>
          <w:lang w:bidi="ar-SA"/>
        </w:rPr>
        <w:t>كما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وجه له، فعلى هذا لا يكون مراد من عبّر بهذا التعبير، العلم بجميع الأحكام، بل يكفي الاجتهاد في جميع ما يحتاج إليه في القضاء، وإن لم يكن مجتهداً في الطهارة والصلاة ومطلق العبادات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الأصل الذي استدلّ به السيّد الخوئي فهو مبتني على ضعف سند التوقيع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والمقبولة، وإن كانت دلالتها تامّة عنده، ولكنّه ضعّف دلالة رواية أبي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تصحيحه لسندها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 جهة ظهورها في نصب قاضي التحكيم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نصب القاضي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قد جعلته قاضياً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متفرّع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فاجعلوه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القاضي المجعول من قبل الخصمين، فمن جعله المتخاصمان بينهما حكما هو الذي جعله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قاضياً، فلا دلالة فيها على نصب القاضي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ردع أصحابه أوّلًا، عن التحاكم إلى أهل الجور ثمّ أمرهم بالرجوع إلى رجل منهم، وإن يجعلوه بينهم قاضياً، معلّلًا بأنّه قد جعله قاضياً، وهذا تعليل للرجوع إلى رجل منهم، وجعلهم إيّاه قاضياً بينهم لا أنّه تفريع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الفرق بين رواية أبي خديجة والمقبولة التي ذهب إلى تمامية دلالتها،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يدلّ على أنّهم ملزمون بالرضا به حكماً، نظراً إلى أنّه قد جعله حاكماً عليهم، بمقتضى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قد جعلته عليكم 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تعليل لإلزامهم بذلك</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الكلام يأتي في صحيحة أبي خديجة فإنّهم ملزمون أيضاً بجعله قاضياً بينهم من جهة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قاضياً بمقتضى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قد جعلته قاضياً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تعليل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وقد عرفت اعتبار سند التوقيع والمقبولة أيضاً، مع أنّ عدم اعتبار سنديهما غير مانع من جواز الاستناد إليها، لعمل</w:t>
      </w:r>
    </w:p>
    <w:p>
      <w:pPr>
        <w:pStyle w:val="BookText"/>
        <w:rPr/>
      </w:pPr>
      <w:r>
        <w:rPr>
          <w:rFonts w:ascii="Amiri" w:hAnsi="Amiri" w:eastAsia="Amiri" w:cs="Amiri"/>
          <w:color w:val="111111"/>
          <w:sz w:val="28"/>
          <w:sz w:val="28"/>
          <w:szCs w:val="28"/>
          <w:rtl w:val="true"/>
          <w:lang w:bidi="ar-SA"/>
        </w:rPr>
        <w:t>المشهور بهما، وفتواهم على طبقهما، بناءً على ما اشتهر من أنّ عمل الأصحاب برواية ضعيفة جابر لضعفها، كما أنّ إعراضهم عن خبر صحيح موجب لوهنه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خالف في هذا الأمر السيّد الخوئي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الملاك في قبول الرواية والعمل بها كون رواتها ثقات فإذا كان الراوي ثقه يعمل بالرواية وتقبل وإن كان معرضاً عنها عند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رواتها ثقات، لم يعمل بها ولا تقبل، وإن كانت مفتى بها عند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ما اختاره المشهور كون المدار في قبول الرواية على الوثوق والاطمئنان بصدورها عن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لكون راويها ثقة أو لقرائن اخر فليست حجّية قول الثقة عندهم تعبّدية، بل من جهة كونه طريقاً إلى الاطمئنان بصدور الرواية عن المعصوم، وهذا مطابق لبناء العقلاء في العمل بالخبر فإنّهم يعملون بما يطمئنّون به، سواء كان اطمئنانهم به لأجل الوثوق بمخبره أو لأمر آخر كما أنّ إرجاع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أصحابهم إلى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وقبول قوله، إرجاع إلى أمر مرتكز في أذهانهم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قوله موجب للاطمئنان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الخلاف هو كيفية الاستنباط من الروايات التي أرجع الأئمّة أصحابهم إلى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أحمد بن إسحاق عن أبي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اعامل وعمّن آخذ، وقول من أقبل؟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العمري ثقتي فما أدّى إيّاك عنّي فعنّي يؤدّي، وما قال لك عنّي فعنّي يقول، فاسمع له، وأطع فإنّه الثقة المأمون</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 أبا محمّد عن مثل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العمري وابنه ثقتان، فما أدّيا</w:t>
      </w:r>
    </w:p>
    <w:p>
      <w:pPr>
        <w:pStyle w:val="BookText"/>
        <w:rPr/>
      </w:pPr>
      <w:r>
        <w:rPr>
          <w:rFonts w:ascii="Amiri" w:hAnsi="Amiri" w:eastAsia="Amiri" w:cs="Amiri"/>
          <w:color w:val="111111"/>
          <w:sz w:val="28"/>
          <w:sz w:val="28"/>
          <w:szCs w:val="28"/>
          <w:rtl w:val="true"/>
          <w:lang w:bidi="ar-SA"/>
        </w:rPr>
        <w:t>إليك عنّي فعنّي يؤدّيان، وما قالا لك فعنّي يقولان، فاسمع لهما، وأطعهما، فإنّهما الثقتان المأمونان</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فاستظهر منها السيّد الخوئي أنّ الإمام أرجع السائل، إلى الثقة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فيؤخذ به، ويعمل على طبقه، سواء أعرض عنها المشهور، أم لا، والمشهور على أنّ تعليق الحكم على الوصف يشعر بالعلّية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كلّ ما يوجب 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الراوي ثقة معتبر ففي الحقيقة إرجاع إلى، ما هو مرتكز في الأذهان، من بناء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على ذلك ما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 أكاد أصل إليك أسألك عن كلّ ما احتاج إليه من معالم ديني أفيونس بن عبدالرحمن ثقة، آخذ عنه ما احتاج إليه من معالم ديني؟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ظاهر في أنّ السائل لا يريد أن يسئل عن حجّية قول الثقة، بل هي عنده مفروغ عنه ويسئل عن المصداق وأنّ يونس هل هو ثقة أم لا؟ فإذا كان ثقة فيعلم أنّه موظّف بقبول قوله من جهة بناء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قول المشهور، فإنّ حجّية قول الثقة لا تكون تعبّدياً كما تقدّم، بل هي المتداول بين العقلاء وبنائهم والأئمّة في روايات أرجعوا أصحابهم إلى الثقات من باب إرجاعهم إلى ما هو مرتكز في الأذهان</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بعد تمام الكلام في القول باشتراط اجتهاد المطلق والقول باشتراط مطلق</w:t>
      </w:r>
      <w:bookmarkStart w:id="166" w:name="pg1791_15485"/>
    </w:p>
    <w:p>
      <w:pPr>
        <w:pStyle w:val="BookText"/>
        <w:rPr/>
      </w:pPr>
      <w:bookmarkEnd w:id="166"/>
      <w:r>
        <w:rPr>
          <w:rFonts w:ascii="Amiri" w:hAnsi="Amiri" w:eastAsia="Amiri" w:cs="Amiri"/>
          <w:color w:val="111111"/>
          <w:sz w:val="28"/>
          <w:sz w:val="28"/>
          <w:szCs w:val="28"/>
          <w:rtl w:val="true"/>
          <w:lang w:bidi="ar-SA"/>
        </w:rPr>
        <w:t>الاجتهاد وبيان المختار في كفاية اجتهاد المتجزّي في تصدّي القضاء يقع الكلام في القول في جواز قضاء المقلّد وعدمه</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2354533_3650668749"/>
      <w:bookmarkStart w:id="168" w:name="_Toc63"/>
      <w:bookmarkEnd w:id="167"/>
      <w:r>
        <w:rPr>
          <w:rtl w:val="true"/>
        </w:rPr>
        <w:t>أدلّة القول بجواز قضاء المقلّد والردّ عليه‌</w:t>
      </w:r>
      <w:bookmarkEnd w:id="168"/>
    </w:p>
    <w:p>
      <w:pPr>
        <w:pStyle w:val="Heading5"/>
        <w:numPr>
          <w:ilvl w:val="4"/>
          <w:numId w:val="1"/>
        </w:numPr>
        <w:rPr/>
      </w:pPr>
      <w:bookmarkStart w:id="169" w:name="__RefHeading___Toc2354535_3650668749"/>
      <w:bookmarkStart w:id="170" w:name="_Toc64"/>
      <w:bookmarkEnd w:id="169"/>
      <w:r>
        <w:rPr>
          <w:rtl w:val="true"/>
        </w:rPr>
        <w:t>اشارة</w:t>
      </w:r>
      <w:bookmarkEnd w:id="170"/>
    </w:p>
    <w:p>
      <w:pPr>
        <w:pStyle w:val="BookText"/>
        <w:rPr/>
      </w:pPr>
      <w:r>
        <w:rPr>
          <w:rFonts w:ascii="IRNazanin" w:hAnsi="IRNazanin" w:eastAsia="IRNazanin"/>
          <w:color w:val="111111"/>
          <w:sz w:val="28"/>
          <w:sz w:val="28"/>
          <w:szCs w:val="28"/>
          <w:rtl w:val="true"/>
          <w:lang w:bidi="fa-IR"/>
        </w:rPr>
        <w:t xml:space="preserve">ذهب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344"/>
      </w:r>
      <w:r>
        <w:rPr>
          <w:rFonts w:ascii="Amiri" w:hAnsi="Amiri" w:eastAsia="Amiri" w:cs="Amiri"/>
          <w:color w:val="111111"/>
          <w:sz w:val="28"/>
          <w:sz w:val="28"/>
          <w:szCs w:val="28"/>
          <w:rtl w:val="true"/>
          <w:lang w:bidi="ar-SA"/>
        </w:rPr>
        <w:t>إلى القول بجواز قضاء المقلِّد إذا كان عالماً بفتاوى مقلّده أو قضائه باستناد الفتوى على طبق العدل والحقّ والقسط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المستفاد من الكتاب والسنّة صحّة الحكم بالحقّ والعدل والقسط من كلّ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أقام دلائل عليه</w:t>
      </w:r>
      <w:r>
        <w:rPr>
          <w:rFonts w:eastAsia="Amiri" w:cs="Amiri" w:ascii="Amiri" w:hAnsi="Amiri"/>
          <w:color w:val="111111"/>
          <w:sz w:val="28"/>
          <w:szCs w:val="28"/>
          <w:rtl w:val="true"/>
          <w:lang w:bidi="ar-SA"/>
        </w:rPr>
        <w:t>.</w:t>
      </w:r>
    </w:p>
    <w:p>
      <w:pPr>
        <w:pStyle w:val="Heading5"/>
        <w:numPr>
          <w:ilvl w:val="4"/>
          <w:numId w:val="1"/>
        </w:numPr>
        <w:rPr/>
      </w:pPr>
      <w:bookmarkStart w:id="171" w:name="__RefHeading___Toc2354537_3650668749"/>
      <w:bookmarkStart w:id="172" w:name="_Toc65"/>
      <w:bookmarkEnd w:id="171"/>
      <w:r>
        <w:rPr>
          <w:rtl w:val="true"/>
        </w:rPr>
        <w:t>الدليل الأوّل</w:t>
      </w:r>
      <w:r>
        <w:rPr>
          <w:rtl w:val="true"/>
        </w:rPr>
        <w:t xml:space="preserve">: </w:t>
      </w:r>
      <w:r>
        <w:rPr>
          <w:rtl w:val="true"/>
        </w:rPr>
        <w:t>الكتاب‌</w:t>
      </w:r>
      <w:bookmarkEnd w:id="172"/>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حَكَمْتُمْ بَيْنَ النَّاسِ أنْ تَحْكُمُوا بِالْعَدْلِ</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كُونُوا قَوَّامِينَ بِالْقِسْطِ شُهَدَاءَ للهِ</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آيتين كريمتين؛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يَحْكُمْ بِمَا أنزَلَ اللهُ فَاوْلَئِكَ هُمُ الْفَاسِقُونَ</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الْكافِروُنَ</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فبالبداهة إطلاق الآيات تدلّ على عدم اشتراط الاجتهادي في القاضي</w:t>
      </w:r>
      <w:r>
        <w:rPr>
          <w:rFonts w:eastAsia="Amiri" w:cs="Amiri" w:ascii="Amiri" w:hAnsi="Amiri"/>
          <w:color w:val="111111"/>
          <w:sz w:val="28"/>
          <w:szCs w:val="28"/>
          <w:rtl w:val="true"/>
          <w:lang w:bidi="ar-SA"/>
        </w:rPr>
        <w:t>.</w:t>
      </w:r>
      <w:bookmarkStart w:id="173" w:name="pg1791_15487"/>
    </w:p>
    <w:p>
      <w:pPr>
        <w:pStyle w:val="Heading5"/>
        <w:numPr>
          <w:ilvl w:val="4"/>
          <w:numId w:val="1"/>
        </w:numPr>
        <w:rPr/>
      </w:pPr>
      <w:bookmarkStart w:id="174" w:name="__RefHeading___Toc2354539_3650668749"/>
      <w:bookmarkStart w:id="175" w:name="_Toc66"/>
      <w:bookmarkEnd w:id="173"/>
      <w:bookmarkEnd w:id="174"/>
      <w:r>
        <w:rPr>
          <w:rtl w:val="true"/>
        </w:rPr>
        <w:t>الدليل الثاني</w:t>
      </w:r>
      <w:r>
        <w:rPr>
          <w:rtl w:val="true"/>
        </w:rPr>
        <w:t xml:space="preserve">: </w:t>
      </w:r>
      <w:r>
        <w:rPr>
          <w:rtl w:val="true"/>
        </w:rPr>
        <w:t>الروايات‌</w:t>
      </w:r>
      <w:bookmarkEnd w:id="175"/>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القضاة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ورجل قضى بالحقّ وهو يعلم فهو في الجنّة</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حكمان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الله عزّ وجلّ، وحكم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الجاهلية، فمن أخطأ حكم الله، حكم بحكم الجاهلية</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حكمان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وحكم أهل الجاهلية وقد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أحْسَنُ مِنْ اللهِ حُكْماً لِقَوْمٍ يُوقِنُونَ</w:t>
      </w:r>
      <w:r>
        <w:rPr>
          <w:rStyle w:val="FootnoteAnchor"/>
          <w:rtl w:val="true"/>
        </w:rPr>
        <w:footnoteReference w:id="351"/>
      </w:r>
      <w:r>
        <w:rPr>
          <w:rFonts w:ascii="Amiri" w:hAnsi="Amiri" w:eastAsia="Amiri" w:cs="Amiri"/>
          <w:color w:val="111111"/>
          <w:sz w:val="28"/>
          <w:sz w:val="28"/>
          <w:szCs w:val="28"/>
          <w:rtl w:val="true"/>
          <w:lang w:bidi="ar-SA"/>
        </w:rPr>
        <w:t>وأشهد على زيد بن ثابت لقد حكم في الفرائض بحكم الجاهلية</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النصوص البالغة بالتعاضد أعلى مراتب القطع، الدالّة على أنّ المدار، الحكم بالحقّ الذي هو عند محمّد وأهل بيته، وأنّه لا ريب في اندراج من سمع منهم أحكاماً خاصّة مثلًا وحكم بها بين الناس، فيها وإن لم تكن له مرتبة الاجتهاد والتصرّف</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الآيات والروايات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شرائط التمسّك بالإطلاق كون المطلق في مقام البيان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الآيات والروايات ليست بصدد بيان شرائط القاضي وخصوصياته حتّى يصحّ التمسّك بأحكامها، بل هي بصدد</w:t>
      </w:r>
    </w:p>
    <w:p>
      <w:pPr>
        <w:pStyle w:val="BookText"/>
        <w:rPr/>
      </w:pPr>
      <w:r>
        <w:rPr>
          <w:rFonts w:ascii="Amiri" w:hAnsi="Amiri" w:eastAsia="Amiri" w:cs="Amiri"/>
          <w:color w:val="111111"/>
          <w:sz w:val="28"/>
          <w:sz w:val="28"/>
          <w:szCs w:val="28"/>
          <w:rtl w:val="true"/>
          <w:lang w:bidi="ar-SA"/>
        </w:rPr>
        <w:t>بيان كيفية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لا بدّ وأن يكون بالحقّ والعدل وأمّا أنّ القاضي من هو؟ وما هي شرائطه فلا يكون في مقام بيانه، فعندئذٍ التمسّك بإطلاقها لإثبات جواز كون القاضي مقلّداً؛ يكون نظير التمسّك بإطلاق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فَكُلُوا مِمَّا أمْسَكْنَ عَلَيْكُمْ</w:t>
      </w:r>
      <w:r>
        <w:rPr>
          <w:rStyle w:val="FootnoteAnchor"/>
          <w:rtl w:val="true"/>
        </w:rPr>
        <w:footnoteReference w:id="354"/>
      </w:r>
      <w:r>
        <w:rPr>
          <w:rFonts w:ascii="Amiri" w:hAnsi="Amiri" w:eastAsia="Amiri" w:cs="Amiri"/>
          <w:color w:val="111111"/>
          <w:sz w:val="28"/>
          <w:sz w:val="28"/>
          <w:szCs w:val="28"/>
          <w:rtl w:val="true"/>
          <w:lang w:bidi="ar-SA"/>
        </w:rPr>
        <w:t>لعدم لزوم تطهير مواضعها، فإنّ الآية في مقام بيان الحلّية، والحرمة، ففي صدر الآية جاءت يَسْألُونَكَ مَاذَا احِلَّ لَهُمْ</w:t>
      </w:r>
      <w:r>
        <w:rPr>
          <w:rStyle w:val="FootnoteAnchor"/>
          <w:rtl w:val="true"/>
        </w:rPr>
        <w:footnoteReference w:id="355"/>
      </w:r>
      <w:r>
        <w:rPr>
          <w:rFonts w:ascii="Amiri" w:hAnsi="Amiri" w:eastAsia="Amiri" w:cs="Amiri"/>
          <w:color w:val="111111"/>
          <w:sz w:val="28"/>
          <w:sz w:val="28"/>
          <w:szCs w:val="28"/>
          <w:rtl w:val="true"/>
          <w:lang w:bidi="ar-SA"/>
        </w:rPr>
        <w:t>حيث ترى أنّ التمسّك بإطلاقها، لعدم لزوم الغسل غير صحيح بلا إشكال، فكذلك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تقييد الآيات و الروايات، بما تقدّم من الأدلّة على اشتراط الاجتهاد في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الشيخ الأنصاري بما قلناه وكذلك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العروة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الشيخ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وبعد ذلك فلا أرى وجهاً لميل بعض متأخّري المعاصرين تبعاً لبعض من تقدّم عليه منهم إلى تقوية الجواز، مستظهراً ذلك من الإطلاقات الدالّة على حسن القضاء بالحقّ ورجحانه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ممّا سبق أكثره لبيان حكم آخر، وقيّد جميعه بما تقدّم من الأدلّة؛ لفساد توهّم حكومة هذه عليها، بزعم كونها مفيدة للإذن العامّ في قضاء كلّ من يقضي بالحقّ</w:t>
      </w:r>
      <w:r>
        <w:rPr>
          <w:rFonts w:eastAsia="Amiri" w:cs="Amiri" w:ascii="Amiri" w:hAnsi="Amiri"/>
          <w:color w:val="111111"/>
          <w:sz w:val="28"/>
          <w:szCs w:val="28"/>
          <w:rtl w:val="true"/>
          <w:lang w:bidi="ar-SA"/>
        </w:rPr>
        <w:t>»</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السيّد اليزدي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وجه لما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المستفاد من الكتاب والسنّة صحّة الحكم بالحقّ والعدل والقسط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 أنّ</w:t>
      </w:r>
    </w:p>
    <w:p>
      <w:pPr>
        <w:pStyle w:val="BookText"/>
        <w:rPr/>
      </w:pPr>
      <w:r>
        <w:rPr>
          <w:rFonts w:ascii="Amiri" w:hAnsi="Amiri" w:eastAsia="Amiri" w:cs="Amiri"/>
          <w:color w:val="111111"/>
          <w:sz w:val="28"/>
          <w:sz w:val="28"/>
          <w:szCs w:val="28"/>
          <w:rtl w:val="true"/>
          <w:lang w:bidi="ar-SA"/>
        </w:rPr>
        <w:t>الأخبار المتقدّمة مقيّدة لهذه الآيات، والروايات مع أنّ الظاهر من هذه إرادة الأمر بالمعروف و مقام جواب السؤال عن الحكم في المسألة</w:t>
      </w:r>
      <w:r>
        <w:rPr>
          <w:rFonts w:eastAsia="Amiri" w:cs="Amiri" w:ascii="Amiri" w:hAnsi="Amiri"/>
          <w:color w:val="111111"/>
          <w:sz w:val="28"/>
          <w:szCs w:val="28"/>
          <w:rtl w:val="true"/>
          <w:lang w:bidi="ar-SA"/>
        </w:rPr>
        <w:t>»</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على ما قال به العلمين استدلّ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على صحّة قضاء المقلّد بصحيحة أبي خديجة حيث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إلى رجل منكم يعلم شيئاً من قضايانا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إرادة الأعمّ من المجتهد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المقلّد إذا علم فتاوى المجتهد يصدق عليه أنّه يعلم شيئاً من قضايانا،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أحكامنا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له القضاء بما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العلم بالأحكام أن يستنبطه من الروايات و يتحصّلها بأعمال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والمقلّد لا يعلم الأحكام، بل يعلم فتاوى المجتهد الذي هو طريق إلى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استدلّ بخبر عبدالله بن طلحة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اللصّ الداخل على المرأة، حيث قتل ولدها وأخذ ثيابها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السائل بالقضاء بينهم بما وصفه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يحتمل أن يراد منه بيان نظر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فيكون نظير القضاء لا نفس القضاء</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المحتمل كون عبدالله بن طلحة من الواجدين لشرائط القضاء عند الإمام، مع أنّ الرواية ضعيفة بعبدالله بن طلحة</w:t>
      </w:r>
      <w:r>
        <w:rPr>
          <w:rFonts w:eastAsia="Amiri" w:cs="Amiri" w:ascii="Amiri" w:hAnsi="Amiri"/>
          <w:color w:val="111111"/>
          <w:sz w:val="28"/>
          <w:szCs w:val="28"/>
          <w:rtl w:val="true"/>
          <w:lang w:bidi="ar-SA"/>
        </w:rPr>
        <w:t>.</w:t>
      </w:r>
      <w:bookmarkStart w:id="176" w:name="pg1791_15492"/>
    </w:p>
    <w:p>
      <w:pPr>
        <w:pStyle w:val="BookText"/>
        <w:rPr/>
      </w:pPr>
      <w:bookmarkEnd w:id="176"/>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استدلّ بفعل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وسيرته بنصب قضاة كانوا قاصرين مرتبة الاجتهاد وإنّما يقضون بين الناس بما سمعوه من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أنّ المستفاد من الأخبار المتقدّمة أنّ المعتبر في القاضي أن يكون عالماً بالأحكام والحلال والحرام وإنّما اعتبرنا الاجتهاد في القاضي لأنّه الذي يعلم الأحكام باستنباطه واجتهاده، فالاجتهاد لا موضوعية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يعتبر لأجل كونه وسيلة للعلم بالأحكام وتحصيلها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والموجودون في زمن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سمعوا أحكاماً من النبيّ أو رأوا كيفية قضائه فقد صاروا عالمين للأحكام فيكون الشرط فيهم حاصلًا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دون غير المجتهد في عصر الغيبة فإنّه لا يصل يده إلى فهم الأحكام وتحصيله؛ وإنّما هو يعرف الفتاوى من المجتهد ولا يصير بهذا عالماً بالأحكام،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جواز قضاء المقلّد، فيبقى تحت مفاد الأصل الأوّلي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نفوذ حكم أحد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2354541_3650668749"/>
      <w:bookmarkStart w:id="178" w:name="_Toc67"/>
      <w:bookmarkEnd w:id="177"/>
      <w:r>
        <w:rPr>
          <w:rtl w:val="true"/>
        </w:rPr>
        <w:t>هل يجوز للمجتهد أن ينصب المقلّد للقضاء أم لا؟</w:t>
      </w:r>
      <w:bookmarkEnd w:id="178"/>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المسألة متفرّعة على أنّ الاجتهاد هل هو شرط شرعي للقاضي بمعنى أنّ الشارع المقدّس اعتبر فيها الاجتهاد مثل اعتبار البلوغ والعقل والعدالة مثلًا، أم لا؟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يظهر من أدلّة النصب، هو اشتراط الاجتهاد في المنصوب بنحو العامّ، وذلك لرعاية المصلحة العامّة في نظرهم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يكون المنصوب من قبلهم</w:t>
      </w:r>
      <w:bookmarkStart w:id="179" w:name="pg1791_15494"/>
    </w:p>
    <w:p>
      <w:pPr>
        <w:pStyle w:val="BookText"/>
        <w:rPr/>
      </w:pPr>
      <w:bookmarkEnd w:id="179"/>
      <w:r>
        <w:rPr>
          <w:rFonts w:ascii="Amiri" w:hAnsi="Amiri" w:eastAsia="Amiri" w:cs="Amiri"/>
          <w:color w:val="111111"/>
          <w:sz w:val="28"/>
          <w:sz w:val="28"/>
          <w:szCs w:val="28"/>
          <w:rtl w:val="true"/>
          <w:lang w:bidi="ar-SA"/>
        </w:rPr>
        <w:t>فقيهاً مجتهداً جامعاً للشرائط، حتّى يكون له ما لهم من الولاية المطلقة العامّة؛ التي منها القضاء بين الناس، فلا يظهر منها أنّ الاجتهاد شرط شرعي اشترطه الشارع في القاضي حتّى لا يكون المقلّد صالحاً وأهلًا للقضاء، ولو كان كذلك لم يكن للإمام المعصوم نصب المقلّد وغير المجتهد للقضاء، فإنّ إعمال ولايتهم لا بدّ أن يكون في محدودة الشرع ولا يتجاوز عنه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فغاية ما يستفاد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المقبولة والمشهورة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المنصوب من قبلهم والمأذون في القضاء هو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لاقتضاء المصلحة ذلك، وغير المجتهد لم ينصب من قبلهم لأنّه لا يجوز نصبه، بل لو اقتضى المصلحة في نصبه خاصّاً للقضاء؛ فليس هو خارج عن ميزان الشرع، ولهم نصبه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نصبوا أفراداً للقضاء غير مجتهدين في زمنهم</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2354543_3650668749"/>
      <w:bookmarkStart w:id="181" w:name="_Toc68"/>
      <w:bookmarkEnd w:id="180"/>
      <w:r>
        <w:rPr>
          <w:rtl w:val="true"/>
        </w:rPr>
        <w:t>جواز نصب المقلّد للقضاء من ناحية الفقيه الجامع للشرائط</w:t>
      </w:r>
      <w:bookmarkEnd w:id="181"/>
    </w:p>
    <w:p>
      <w:pPr>
        <w:pStyle w:val="BookText"/>
        <w:rPr/>
      </w:pPr>
      <w:r>
        <w:rPr>
          <w:rFonts w:ascii="Amiri" w:hAnsi="Amiri" w:eastAsia="Amiri" w:cs="Amiri"/>
          <w:color w:val="111111"/>
          <w:sz w:val="28"/>
          <w:sz w:val="28"/>
          <w:szCs w:val="28"/>
          <w:rtl w:val="true"/>
          <w:lang w:bidi="ar-SA"/>
        </w:rPr>
        <w:t>ثمّ إنّ الفقيه الجامع للشرائط، إذا تولّى الأمر والسلطة وأقام الحكومة الإسلامية، فبمقتضى أدلّة ولاية الفقيه، كما أنّ له أن يقضي بنفسه فله أيضاً نصب المقلّد للقضاء إذا اقتضى المصلحة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الإمام المعصوم أيضاً كان له ذلك، لعدم كونه خلافاً للشرع الأقدس</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واعتقد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جواز ذلك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ونصب خصوص المجتهد في زمان الغيبة بناءً على ظهور النصوص فيه، لا يقتضي عدم جواز نصب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استظهر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النصب العامّ للمجتهد من المقبولة والتوقيع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وحينئذٍ فتظهر ثمرة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عموم هذه</w:t>
      </w:r>
    </w:p>
    <w:p>
      <w:pPr>
        <w:pStyle w:val="BookText"/>
        <w:rPr/>
      </w:pPr>
      <w:r>
        <w:rPr>
          <w:rFonts w:ascii="Amiri" w:hAnsi="Amiri" w:eastAsia="Amiri" w:cs="Amiri"/>
          <w:color w:val="111111"/>
          <w:sz w:val="28"/>
          <w:sz w:val="28"/>
          <w:szCs w:val="28"/>
          <w:rtl w:val="true"/>
          <w:lang w:bidi="ar-SA"/>
        </w:rPr>
        <w:t>الرئاسة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للمجتهد نصب مقلّده للقضاء بين الناس بفتاواه التي هي حلالهم وحرامهم، فيكون حكمه حكم مجتهده وحكم مجتهده حكمهم وحكمهم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الله عزّ وجلّ والرادّ عليه كالرادّ على الله عزّ وجلّ</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واستشكل عليه السيّد الطباطبائي اليزدي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ظهر ممّا ذكرنا أنّ المقلّد لا أهلية له للتصدّي للمرافعة وإن أذن له مجتهد أو نصبه قاضياً فإنّ نصبه له لا ينفعه في أهليته فما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مقتضى عموم ولاية المجتهد جواز نصب القاضي كما كان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 لأنّ المفروض أنّ إذن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وهو مختصّ بمن يقدر على الاستنباط وكونه مجتهداً</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يستظهر من الأدلّة عدم أهلية المقلّد للقضاء كما تقدّم، ومراده من عدم أهليته ما يظهر من كلامه قبل أسطر، من عدم قدرته للقضاء فإنّ القضاء أمر يحتاج إلى التبحّر 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نفترض قدرته لذلك لعلمه بالقوانين المدوّنة والتجربة والتعلّم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الإذن من المعصوم شرط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يكفي نصبه من جانب الفقيه الحاكم والوليّ النائب عن الإمام فإنّ نصبه وإذنه له بمنزلة نصب الإمام وإذنه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واستشكل على ذلك أيضاً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وبالجملة فالتمسّك بما ذكر من الإطلاقات مع ما عرفت من حالها، في مقابل ما عرفت من الأدلّة،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منه دعوى أنّه وإن لم يجز للمقلّد الاستقلال في القضاء، إلا أنّه يجوز للمجتهد أن يأذن 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وينصبه للحكومة نظراً إلى أنّ للمجتهد من الولاية ما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خرج، والظاهر ثبوت هذه الولاية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ينصب عامّياً للحكومة؛ لعدم الدليل على عدم جوازه له، مع ما علم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الولاية العامّة، والرئاسة المطلقة</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أورد على هذا الكلام بإيرادين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التعليل في أدلّة النصب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قد جعلته عليكم حاكماً</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حجّتي عليكم وأنا حجّة الله</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أنّ جواز الرجوع إليهم بجهة كونهم حكّاماً على الإطلاق وحججاً كذلك، فيدلّ على انحصار مباشرة فصل الخصومات في من هو مرجع على الإطلاق في جميع الوقايع والامور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عدم الدليل على عدم جواز نصب العامّي للقضاء لا يكون دليلًا على الجواز، بل أصالة فساد الحكومة تكفي في الحكم ظاهراً بعدم جواز نصب العامّي للحكومة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ويدفع الإيراد الأوّل؛ بأنّ التعليل المذكور ظاهر في أنّ الوجه في جواز الرجوع إليهم هو أنّه جعلهم حكّاماً أو قضاةً لا أنّ مباشرة فصل الخصومات منحصر فيمن هو مرجع على الإطلاق، فإنّ الدلالة على انحصار المذكور خارجة عن الأدلّة بلا إشكال</w:t>
      </w:r>
      <w:r>
        <w:rPr>
          <w:rFonts w:eastAsia="Amiri" w:cs="Amiri" w:ascii="Amiri" w:hAnsi="Amiri"/>
          <w:color w:val="111111"/>
          <w:sz w:val="28"/>
          <w:szCs w:val="28"/>
          <w:rtl w:val="true"/>
          <w:lang w:bidi="ar-SA"/>
        </w:rPr>
        <w:t>.</w:t>
      </w:r>
      <w:bookmarkStart w:id="182" w:name="pg1791_15500"/>
    </w:p>
    <w:p>
      <w:pPr>
        <w:pStyle w:val="BookText"/>
        <w:rPr/>
      </w:pPr>
      <w:bookmarkEnd w:id="182"/>
      <w:r>
        <w:rPr>
          <w:rFonts w:ascii="Amiri" w:hAnsi="Amiri" w:eastAsia="Amiri" w:cs="Amiri"/>
          <w:color w:val="111111"/>
          <w:sz w:val="28"/>
          <w:sz w:val="28"/>
          <w:szCs w:val="28"/>
          <w:rtl w:val="true"/>
          <w:lang w:bidi="ar-SA"/>
        </w:rPr>
        <w:t>ويدفع الإيراد الثاني، بأنّ المراد أنّه بعد ثبوت إطلاق دليل ولاية الفقيه وأنّ لهم ما للإمام يكفي؛ لجواز نصبهم عامياً للقضاء لعدم الدليل على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وجود الإطلاق لا يبقى مورد للأصل المذكور</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2354545_3650668749"/>
      <w:bookmarkStart w:id="184" w:name="_Toc69"/>
      <w:bookmarkEnd w:id="183"/>
      <w:r>
        <w:rPr>
          <w:rtl w:val="true"/>
        </w:rPr>
        <w:t>نصب المقلّد أو غير العادل للقضاء عند الاضطرار</w:t>
      </w:r>
      <w:bookmarkEnd w:id="184"/>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للوليّ الفقيه نصب المقلّد للقضاء إذا اقتضى المصلحة ذلك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على فرض عدم الجواز اختياراً فهل يجوز نصبه للقضاء عند عدم وجود المجتهد، وكذا غيره ممّن لا يكون واجداً لشرط من الشرائط المعتبرة في القاضي كالعدالة مثلًا أو لا؟</w:t>
      </w:r>
    </w:p>
    <w:p>
      <w:pPr>
        <w:pStyle w:val="BookText"/>
        <w:rPr/>
      </w:pPr>
      <w:r>
        <w:rPr>
          <w:rFonts w:ascii="Amiri" w:hAnsi="Amiri" w:eastAsia="Amiri" w:cs="Amiri"/>
          <w:color w:val="111111"/>
          <w:sz w:val="28"/>
          <w:sz w:val="28"/>
          <w:szCs w:val="28"/>
          <w:rtl w:val="true"/>
          <w:lang w:bidi="ar-SA"/>
        </w:rPr>
        <w:t xml:space="preserve">قال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اقتضت المصلحة تولية من لم يستكمل الشرائط انعقدت ولايته؛ مراعاة للمصلحة في نظر الإمام، كما اتّفق لبعض القضاة في زمان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منع من ذلك</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يستفاد من كلامه، أنّ في المسألة وجهين، بل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القول بالمنع فراجع كلامهما،</w:t>
      </w:r>
      <w:r>
        <w:rPr>
          <w:rStyle w:val="FootnoteAnchor"/>
          <w:rtl w:val="true"/>
        </w:rPr>
        <w:footnoteReference w:id="365"/>
      </w:r>
      <w:r>
        <w:rPr>
          <w:rFonts w:ascii="Amiri" w:hAnsi="Amiri" w:eastAsia="Amiri" w:cs="Amiri"/>
          <w:color w:val="111111"/>
          <w:sz w:val="28"/>
          <w:sz w:val="28"/>
          <w:szCs w:val="28"/>
          <w:rtl w:val="true"/>
          <w:lang w:bidi="ar-SA"/>
        </w:rPr>
        <w:t xml:space="preserve">لعلّ وجه 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إطلاق دليل الشرط وفقد الشرط يقتضي فقد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القضاة أربعة ثلاثة في النار، وواحد في الجنّة </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فمن يكون من أهل النار لا تسوغ توليته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المصلحة الكلّية التي هي الأصل في شرع الأحكام</w:t>
      </w:r>
    </w:p>
    <w:p>
      <w:pPr>
        <w:pStyle w:val="BookText"/>
        <w:rPr/>
      </w:pPr>
      <w:r>
        <w:rPr>
          <w:rFonts w:ascii="Amiri" w:hAnsi="Amiri" w:eastAsia="Amiri" w:cs="Amiri"/>
          <w:color w:val="111111"/>
          <w:sz w:val="28"/>
          <w:sz w:val="28"/>
          <w:szCs w:val="28"/>
          <w:rtl w:val="true"/>
          <w:lang w:bidi="ar-SA"/>
        </w:rPr>
        <w:t>وكذا وقوع مثل هذا في زمن علي فإنّه ولى شريحاً للقضاء، مع ظهور مخالفته له في الأحكام المنافية للعدالة التي هي أحد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في المسألة الجواز؛ فإنّ أصل تشريع القضاء لحفظ الحقوق، ورعاية حفظ النظم في المجتمع وسدّ باب الهرج والمرج والفوضى، في نظام المجتمع، فإذا لم يتمكّن من نصب الواجد للشرائط ولا يوجد المجتهد والعادل بمقدار اللازم لفصل الخصومات ورفع المرافعات والمنازعات، فلا مجال إلا لنصب الفاقد للشرائط ورعاية قضائه حتّى المقدور بأيّ وجه يمكن؛ حتّى لا يخرج عن طريق الشرع والحقّ، فإنّه لا يمكن سدّ باب المنازعات، والاختلاف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يمكن أن يقال لهم اصبروا حتّى يوجد من كان واجداً للشرائط، فلا مناص للمجتهد من نصب غير الواجد حفظاً للحقوق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استفادة ذلك من دليل لا ضرر ودليل رفع العسر والحرج أيضاً، كماقيل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على ما قيل من نصب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شريحاً للقضاء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كان مضطرّاً في إبقائه في منصبه ولا يتمكّن من عزله فإنّه كان منصوباً من جانب الخليفة الثاني واقتضت المصلحة إبقاؤه، مضافاً إلى أنّه اشترط عليه أن لا ينفذ القضاء حتّى يعرضه عليه على ما في حسنة هشام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القاضي في المسألة واقعاً والشريح كان قاضياً صورةً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فالوجه في الجواز هو وجود المصلحة في حفظ الحقوق وحفظ النظام المقتضى لتشريع أصل القضاء في المجتمع</w:t>
      </w:r>
      <w:r>
        <w:rPr>
          <w:rFonts w:eastAsia="Amiri" w:cs="Amiri" w:ascii="Amiri" w:hAnsi="Amiri"/>
          <w:color w:val="111111"/>
          <w:sz w:val="28"/>
          <w:szCs w:val="28"/>
          <w:rtl w:val="true"/>
          <w:lang w:bidi="ar-SA"/>
        </w:rPr>
        <w:t>.</w:t>
      </w:r>
      <w:bookmarkStart w:id="185" w:name="pg1791_15504"/>
    </w:p>
    <w:p>
      <w:pPr>
        <w:pStyle w:val="BookText"/>
        <w:rPr/>
      </w:pPr>
      <w:bookmarkEnd w:id="185"/>
      <w:r>
        <w:rPr>
          <w:rFonts w:ascii="Amiri" w:hAnsi="Amiri" w:eastAsia="Amiri" w:cs="Amiri"/>
          <w:color w:val="111111"/>
          <w:sz w:val="28"/>
          <w:sz w:val="28"/>
          <w:szCs w:val="28"/>
          <w:rtl w:val="true"/>
          <w:lang w:bidi="ar-SA"/>
        </w:rPr>
        <w:t xml:space="preserve">والذكورة،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2354547_3650668749"/>
      <w:bookmarkStart w:id="187" w:name="_Toc70"/>
      <w:bookmarkEnd w:id="186"/>
      <w:r>
        <w:rPr>
          <w:rtl w:val="true"/>
        </w:rPr>
        <w:t>الشرط السادس</w:t>
      </w:r>
      <w:r>
        <w:rPr>
          <w:rtl w:val="true"/>
        </w:rPr>
        <w:t xml:space="preserve">: </w:t>
      </w:r>
      <w:r>
        <w:rPr>
          <w:rtl w:val="true"/>
        </w:rPr>
        <w:t>الذكورة</w:t>
      </w:r>
      <w:bookmarkEnd w:id="187"/>
    </w:p>
    <w:p>
      <w:pPr>
        <w:pStyle w:val="Heading5"/>
        <w:numPr>
          <w:ilvl w:val="4"/>
          <w:numId w:val="1"/>
        </w:numPr>
        <w:rPr/>
      </w:pPr>
      <w:bookmarkStart w:id="188" w:name="__RefHeading___Toc2354549_3650668749"/>
      <w:bookmarkStart w:id="189" w:name="_Toc71"/>
      <w:bookmarkEnd w:id="188"/>
      <w:r>
        <w:rPr>
          <w:rtl w:val="true"/>
        </w:rPr>
        <w:t>اشارة</w:t>
      </w:r>
      <w:bookmarkEnd w:id="1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الشرائط المعتبرة في القاضي الذكورة، فلا ينعقد القضاء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بحث مهمّ في المجتمع الإنساني وهو قضاء المرأة ورفعها الخصومات بين الناس إذا كانت واجدة للشرائط وفي الفقه الإمامي أيضاً هنا محطّ للنظر، ومحلّ للبحث إذن بالمناسبة؛ أي مناسبة البحث عن شرطية الذكورية في القضاء وضمن تحليل أدلّة الذكورية في القضاء نبحث في بعض الآيات والروايات التي ربما يستفاد منها شرطية الذكورية في القضاء وما يمكن أن يقال في الردّ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المختار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ينعقد القضاء للمرأة وإن استكملت الشرائط</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الشرائط المعتبرة في القضاء غير الذكورية وهو موضع وفاق، وخالف فيه بعض العامّة</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تلاحظ أنّه يستفاد من كلامه أنّ المسألة عند الإمامية متّفق عليه والمخالف بعض العامّة فقط</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أن تكون المرأة قاضية في شي‌ء من</w:t>
      </w:r>
      <w:bookmarkStart w:id="190" w:name="pg1791_15506"/>
    </w:p>
    <w:p>
      <w:pPr>
        <w:pStyle w:val="BookText"/>
        <w:rPr/>
      </w:pPr>
      <w:bookmarkEnd w:id="190"/>
      <w:r>
        <w:rPr>
          <w:rFonts w:ascii="Amiri" w:hAnsi="Amiri" w:eastAsia="Amiri" w:cs="Amiri"/>
          <w:color w:val="111111"/>
          <w:sz w:val="28"/>
          <w:sz w:val="28"/>
          <w:szCs w:val="28"/>
          <w:rtl w:val="true"/>
          <w:lang w:bidi="ar-SA"/>
        </w:rPr>
        <w:t>الأحكام وبه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تكون قاضية فيما يجوز أن تكون شاهدة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جميع الأحكام إلا الحدود والقصاص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تكون قاضية في كلّ ما يجوز أن يكون الرجل قاضياً فيه، لأنّها تعدّ من أهل الاجتهاد</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ادّعى جمع من الأصحاب الإجماع، ولكنّ الأردبيلي</w:t>
      </w:r>
      <w:r>
        <w:rPr>
          <w:rStyle w:val="FootnoteAnchor"/>
          <w:rtl w:val="true"/>
        </w:rPr>
        <w:footnoteReference w:id="371"/>
      </w:r>
      <w:r>
        <w:rPr>
          <w:rFonts w:ascii="Amiri" w:hAnsi="Amiri" w:eastAsia="Amiri" w:cs="Amiri"/>
          <w:color w:val="111111"/>
          <w:sz w:val="28"/>
          <w:sz w:val="28"/>
          <w:szCs w:val="28"/>
          <w:rtl w:val="true"/>
          <w:lang w:bidi="ar-SA"/>
        </w:rPr>
        <w:t>أوقع الترديد فيه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ذلك هو المشهور، فلو كان إجماعاً فلا بحث فلو لم يكن إجماعاً فالشهرة العظيمة محقّقة على اشتراط الذكورة بلا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على اشتراط الذكورية في القاضي بوجوه، من الآيات والروايات وغيرها</w:t>
      </w:r>
      <w:r>
        <w:rPr>
          <w:rFonts w:eastAsia="Amiri" w:cs="Amiri" w:ascii="Amiri" w:hAnsi="Amiri"/>
          <w:color w:val="111111"/>
          <w:sz w:val="28"/>
          <w:szCs w:val="28"/>
          <w:rtl w:val="true"/>
          <w:lang w:bidi="ar-SA"/>
        </w:rPr>
        <w:t>.</w:t>
      </w:r>
    </w:p>
    <w:p>
      <w:pPr>
        <w:pStyle w:val="Heading5"/>
        <w:numPr>
          <w:ilvl w:val="4"/>
          <w:numId w:val="1"/>
        </w:numPr>
        <w:rPr/>
      </w:pPr>
      <w:bookmarkStart w:id="191" w:name="__RefHeading___Toc2354551_3650668749"/>
      <w:bookmarkStart w:id="192" w:name="_Toc72"/>
      <w:bookmarkEnd w:id="191"/>
      <w:r>
        <w:rPr>
          <w:rtl w:val="true"/>
        </w:rPr>
        <w:t>الأوّل</w:t>
      </w:r>
      <w:r>
        <w:rPr>
          <w:rtl w:val="true"/>
        </w:rPr>
        <w:t xml:space="preserve">: </w:t>
      </w:r>
      <w:r>
        <w:rPr>
          <w:rtl w:val="true"/>
        </w:rPr>
        <w:t>الأصل‌</w:t>
      </w:r>
      <w:bookmarkEnd w:id="192"/>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شبهة في أنّ الأصل الأوّلي هنا هو عدم الجواز؛ لعدم نفوذ حكم أحد على أحد فلو لم يكن الاستدلال بالآيات والروايات تامّاً، إمّا من حيث الدلالة في الآيات أو من حيث السند في الروايات، فالأصل كاف في المسألة، فالمجوّز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له من دليل على إثبات الجواز وعدم اشتراط الذكورية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له الإشكال في الآيات والروايات</w:t>
      </w:r>
      <w:r>
        <w:rPr>
          <w:rFonts w:eastAsia="Amiri" w:cs="Amiri" w:ascii="Amiri" w:hAnsi="Amiri"/>
          <w:color w:val="111111"/>
          <w:sz w:val="28"/>
          <w:szCs w:val="28"/>
          <w:rtl w:val="true"/>
          <w:lang w:bidi="ar-SA"/>
        </w:rPr>
        <w:t>.</w:t>
      </w:r>
      <w:bookmarkStart w:id="193" w:name="pg1791_15508"/>
    </w:p>
    <w:p>
      <w:pPr>
        <w:pStyle w:val="Heading5"/>
        <w:numPr>
          <w:ilvl w:val="4"/>
          <w:numId w:val="1"/>
        </w:numPr>
        <w:rPr/>
      </w:pPr>
      <w:bookmarkStart w:id="194" w:name="__RefHeading___Toc2354553_3650668749"/>
      <w:bookmarkStart w:id="195" w:name="_Toc73"/>
      <w:bookmarkEnd w:id="193"/>
      <w:bookmarkEnd w:id="194"/>
      <w:r>
        <w:rPr>
          <w:rtl w:val="true"/>
        </w:rPr>
        <w:t>الثاني</w:t>
      </w:r>
      <w:r>
        <w:rPr>
          <w:rtl w:val="true"/>
        </w:rPr>
        <w:t xml:space="preserve">: </w:t>
      </w:r>
      <w:r>
        <w:rPr>
          <w:rtl w:val="true"/>
        </w:rPr>
        <w:t>الآيات‌</w:t>
      </w:r>
      <w:bookmarkEnd w:id="195"/>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قَوَّامُونَ عَلَى النِّسَاءِ بِمَا فَضَّلَ اللهُ بَعْضَهُمْ عَلَى بَعْضٍ وَبِمَا أنفَقُوا مِنْ أمْوَالِهِمْ فَالصَّالِحَاتُ قَانِتَاتٌ حَافِظَاتٌ لِلْغَيْبِ بِمَا حَفِظَ اللهُ وَاللاتِي تَخَافُونَ نُشُوزَهُنَّ فَعِظُوهُنَّ وَاهْجُرُوهُنَّ فِي الْمَضَاجِعِ وَاضْرِبُوهُنَّ فَإِنْ أَطَعْنَكُمْ فَلا تَبْغُوا عَلَيْهِنَّ سَبِيلًا إِنَّ اللهَ كَانَ عَلِيّاً كَبِيراً</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الاستظهار من الآية الشريفة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أنّ المراد قيمومة الرجال وسيادتهم على النساء في المجتمع الإنساني يعني أنّ نوع الإنسان في حياته الاجتماعية لا تدوم إلا على منهج سيادة الرجال على النساء، وسيطرتهم، وقيمومتهم عليهنّ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فملاك القيمومة والسيطرة أمران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التكويني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فضّل الله الرجال على النساء في أمر الخلقة و الفضيلة بالعقل، والإدراك، و التدبير الصحيح، والقدرة، والقوّة، والاستطاعة في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والفضيلة بذلك في الرجال، توجب أن يجعل القيادة والولاية على عهدتهم في المجتمع الإنساني، وإن كانت للنساء فضائل في الخلقة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أنّ عقول الرجال أكثر كما أنّ قدرتهم على الأعمال الشاقّة أوفر، على حسب الأغلب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العقل والتدبير والقدرة في قبيلة الرجال؛ أكثر وأشدّ بالنسبة إليها في قبيلة النساء؛ وليس هذا شي‌ء 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يمكن أن يوجد امرأة كان عقلها أو قدرتها أكثر وأشدّ من الرجال، لكن هذا في</w:t>
      </w:r>
    </w:p>
    <w:p>
      <w:pPr>
        <w:pStyle w:val="BookText"/>
        <w:rPr/>
      </w:pPr>
      <w:r>
        <w:rPr>
          <w:rFonts w:ascii="Amiri" w:hAnsi="Amiri" w:eastAsia="Amiri" w:cs="Amiri"/>
          <w:color w:val="111111"/>
          <w:sz w:val="28"/>
          <w:sz w:val="28"/>
          <w:szCs w:val="28"/>
          <w:rtl w:val="true"/>
          <w:lang w:bidi="ar-SA"/>
        </w:rPr>
        <w:t>غير الأغلب ولا ينافي التي كانت بحسب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الاكتسابي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الإنفاق بالأموال في الحياة اليومية من النفقة والسكنى وهزينة الامور المرتبطة بالطبابة والسفر والألبسة وغيرها؛ وبالأخرة يكون الامور الاقتصادية، في المجتمع الإنساني على عهدتهم، على حسب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فَضَّلَ اللهُ بَعْضَهُمْ عَلَى بَعْضٍ وَبِمَا أنفَقُوا مِنْ أمْوَالِهِمْ</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شكّ في أنّ المراد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الرجال، والمراد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النكتة في عدم التصريح باسم الرجال والنساء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فضّل الله الرجال على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إفادة أنّ الطائفتين داخلتين تحت نوع واحد، مشاركتين في الإنسانية والبشرية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فضل بعض أفراده على بعض آخر منه حتّى يحفظ شأن المرأة ومقامها من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تفضيل الرجال يفيد دخولهما تحت طبيعتين متغايرتين أو جنسين متغايرين ولا يطلق عليهنّ الإنسان مثلًا، إذن الآية، كما يفيد تفضيل الرجال على النساء، كذلك يستفاد منها أنّ الرجال والنساء من جنس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النساء خارجات عن الإنسانية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صرّح بهذا الاستظهار من الآية الكريمة؛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قوّامون على النساء بالتدبير والتأديب لما فضّل</w:t>
      </w:r>
    </w:p>
    <w:p>
      <w:pPr>
        <w:pStyle w:val="BookText"/>
        <w:rPr/>
      </w:pPr>
      <w:r>
        <w:rPr>
          <w:rFonts w:ascii="Amiri" w:hAnsi="Amiri" w:eastAsia="Amiri" w:cs="Amiri"/>
          <w:color w:val="111111"/>
          <w:sz w:val="28"/>
          <w:sz w:val="28"/>
          <w:szCs w:val="28"/>
          <w:rtl w:val="true"/>
          <w:lang w:bidi="ar-SA"/>
        </w:rPr>
        <w:t>الله الرجال على النساء في العقل و الرأي</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الرجال قيّمون على النساء مسلّطون عليهنّ في التدبير والتأديب</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الفيض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يقومون عليهنّ قيام الولاة على الرعيّة</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من العامّة ابن كثير في تفسيره حيث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قوّامون على النساء، أي الرجل قيّم المرأة، أي هو رئيسها وكبيرها والحاكم عليها ومؤدّبها إذا اعوجَّت</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الرجال يفضلون على النساء بالعقل والحزم والعزم والقوّة والفروسية والرمي، وإنّ منهم الأنبياء، والعلماء وفيهم الإمامة الكبرى، والصغرى</w:t>
      </w:r>
      <w:r>
        <w:rPr>
          <w:rFonts w:eastAsia="Amiri" w:cs="Amiri" w:ascii="Amiri" w:hAnsi="Amiri"/>
          <w:color w:val="111111"/>
          <w:sz w:val="28"/>
          <w:szCs w:val="28"/>
          <w:rtl w:val="true"/>
          <w:lang w:bidi="ar-SA"/>
        </w:rPr>
        <w:t>.</w:t>
      </w:r>
      <w:r>
        <w:rPr>
          <w:rStyle w:val="FootnoteAnchor"/>
          <w:rtl w:val="true"/>
        </w:rPr>
        <w:footnoteReference w:id="378"/>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الطباطبائي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فضّل الله بعضهم على بعض هو ما يفضل ويزيد فيه الرجال بحسب الطبع على النساء، وهو زيادة قوّة التعقّل فيهم، وما يتفرّع عليه من شدّة البأس، والقوّة، والطاقة على الشدائد من الأعمال، ونحوها، فإنّ حياة النساء حياة إحساسية عاطفية مبنيّة على الرقّة، واللطافة، والمراد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أنفقوا من أموالهم ما أنفقوه في مهورهنّ ونفقاتهنّ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وعموم هذه العلّة يعطي أنّ الحكم المبنيّ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قوّامون على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مقصور على الأزواج بأن يختصّ القوّامية بالرجل على زوجته، بل الحكم مجعول لقبيل الرجال على قبيل النساء في الجهات العامّة، التي ترتبط بها حياة القبيلين جميعاً فالجهات العامّة الاجتماعية التي ترتبط بفضل الرجال كجهتي الحكومة والقضاء مثلًا، الذين يتوقّف عليهما حياة المجتمع وإنّما يقومان بالتعقّل الذي هو في الرجال بالطبع، أزيد منه في النساء، وكذا الدفاع الحربي الذي يرتبط بالشدّة وقود التعقّل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ممّا يقوم به الرجال على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إطلاق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تعالى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فَالصَّالِحَاتُ قَانِتَاتٌ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الظاهر في الاختصاص بما بين الرجل وزوجته على 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فرع من فروع هذا الحكم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وجزئي من جزئياته مستخرج منه، من غير أن يتقيّد به إطلاقه</w:t>
      </w:r>
      <w:r>
        <w:rPr>
          <w:rFonts w:eastAsia="Amiri" w:cs="Amiri" w:ascii="Amiri" w:hAnsi="Amiri"/>
          <w:color w:val="111111"/>
          <w:sz w:val="28"/>
          <w:szCs w:val="28"/>
          <w:rtl w:val="true"/>
          <w:lang w:bidi="ar-SA"/>
        </w:rPr>
        <w:t>»</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الثاني من وجهي الاستظهار من الآية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أنّ المراد منها الولاية والسيطرة للرجال على النساء في العلاقات الزوجية ونظام العائلية، ففي الحياة العائلية له التسلّط والسيطرة لتدبير البيت ونظام العائلة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الرئيس في المنزل بالملاكين المذكورين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الاستظهار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التكويني والملاك الاكتسابي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سيستدلّ بالآية على عدم جواز قضاء المرأة واشتراط الذكورية في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ما تقدّم في كلام العلامة الطباطبائي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لأنّ مفاد الآية أنّ للرجال قيمومة وسيطرة</w:t>
      </w:r>
    </w:p>
    <w:p>
      <w:pPr>
        <w:pStyle w:val="BookText"/>
        <w:rPr/>
      </w:pPr>
      <w:r>
        <w:rPr>
          <w:rFonts w:ascii="Amiri" w:hAnsi="Amiri" w:eastAsia="Amiri" w:cs="Amiri"/>
          <w:color w:val="111111"/>
          <w:sz w:val="28"/>
          <w:sz w:val="28"/>
          <w:szCs w:val="28"/>
          <w:rtl w:val="true"/>
          <w:lang w:bidi="ar-SA"/>
        </w:rPr>
        <w:t>على النساء في الحياة الاجتماعية في الجهات العامّة التي ترتبط بها حياة القبيلتين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الحكومة، والقضاء، والدفاع الحربي، ففي هذه الامور تكون الولاية لهم عليهنّ، فلا يجوز أن يجعل الولاية لهنّ في ذلك فإعطاء منصب القضاء لهنّ خلاف الآية، فبالنتيجة يشترط في القاضي الذكورة لعدم ثبوت ولاية القضاء للمرأة على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على النساء لعدم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الاستظهار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السيطرة في العلاقات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 فولاية الرجل وسلطنته على المرأة في المنزل وفي النظام العائلي، لا تنافي ثبوت الولاية للنساء خارج المنزل على الرجال والنساء، فإنّ مبنى سلطنته في المنزل لزوم وجود الرئيس والمدبّر الواحد لإدارة البيت ونظام العائلي، ويعطي للرجال بالملاكين المذكورين في الآية لا عدم جواز الولاية للنساء أصلًا حتّى خارج محيط البيت؛ لأنّ الولاية الثابتة لهنّ ليست من جهة أنفسهنّ، بل من جهة إعطاء المنصب لهنّ من ناحية المعصوم، أو الوليّ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استظهار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الإنفاق في الآية،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مناسبة بين الإنفاق وبين سيطرة الرجال على النساء في الحياة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ذكره قرينة لعدم التعميم في الأوّل أيضاً أي فضيلة الرجال على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هذه الفضيلة في الخلقة يوجب جعل الولاية لهم في نظام العائلي</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سياق الآية، 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جائت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المراد الزوجان لا كلّ رجل و 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والآيات في بيان وظائف الزوجين وشؤونهما ففي قبلها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جَعَلْنَا مَوَالِىَ مِمَّا تَرَكَ الْوَالِدَانِ وَالأقْرَبُونَ أي لكلّ من الزوجين و قال في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w:t>
      </w:r>
    </w:p>
    <w:p>
      <w:pPr>
        <w:pStyle w:val="BookText"/>
        <w:rPr/>
      </w:pPr>
      <w:r>
        <w:rPr>
          <w:rFonts w:ascii="Amiri" w:hAnsi="Amiri" w:eastAsia="Amiri" w:cs="Amiri"/>
          <w:color w:val="111111"/>
          <w:sz w:val="28"/>
          <w:sz w:val="28"/>
          <w:szCs w:val="28"/>
          <w:rtl w:val="true"/>
          <w:lang w:bidi="ar-SA"/>
        </w:rPr>
        <w:t>خِفْتُمْ شِقَاقَ بَيْنِهِمَا فَابْعَثُوا حَكَماً مِنْ أهْلِهِ وَحَكَماً مِنْ أهْلِهَا وفي نفس الآية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قَوَّامُونَ عَلَى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وَاللاتِي تَخَافُونَ نُشُوزَهُنَ فالموضوع في الآيات هو الزوجان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وإعطاء القيمومة لواحد منهما لا يفيد كونه قيّماً في خارج هذه الإطار وأيضاً كون موضوع الآية الاخرى السلطة عليها في المنزل لا تفيد كونها كذلك خارج البيت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نزول الآية، كما نقله المفسّرون فإنّها نزلت في امرأة نشزت على زوجها فلطمها فانطلق أبوها معها إلى النبيّ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افرشته كريمتي فلطمها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لتقصّ من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مع أبيها لتقتصّ منه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فهذا جبرائيل أتاني وأنزل الله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أمراً وأراد الله أمراً والذي أراد الله خير ورفع القصاص لجواز تأديب الزوج الزوجة الناشزة، وليس فيه 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إذا كان في الآية احتمالان محتملان إرادة كلّ واحد منهما من الآية الشريفة، فلا يصحّ بناء حكم شرعي على أحدهما وهو اشتراط الذكورة في القاضي لفضل الرجال على النساء في المجتمع الإنساني، مع أنّ الترجيح بحسب الآية مع الاحتمال الآخر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السيّد الگپايگاني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في تقريرات 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واردة في مورد الزوجين،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 في الجواب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يجوز أن لا تكون المرأة ذات سلطنة في شؤونها مع زوجها وتكون لها السلطنة في خارج دارها وعلى غير زوجها من الرجال؟</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ولعلّ السيّد الگلپايگاني يريد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استفدنا من الآية الشريفة الاختصاص بقيادة الزوج وقيمومته على الزوجة إلا أنّها يمكن الاستناد إليها لعدم صلاحية المرأة للقضاء حيث قال المقرّر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فحوى الآية الكريمة يعني إذا لم تكن لها سلطنة على زوجها في النظام العائلي، فلا يكون لها السلطنة على غيره في النظام المجتمع بطريق 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إعطاء القيمومة للرجل في الحياة العائلي، بملاك قوّة التدبير، والقدرة والإنفاق، لا يدلّ على عدم الأهلية لها للقضاء وفصل 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يستفاد منه الأولوية عند العرف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الآيات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وَالْمُطَلّقَاتُ يَتَرَبَّصْنَ بِأنفُسِهِنَّ ثَلاثَةَ قُرُوءٍ وَلا يَحِلُّ لَهُنَّ أنْ يَكْتُمْنَ مَا خَلَقَ اللهُ فِي أرْحَامِهِنَّ إِنْ كُنَّ يُؤْمِنَّ بِاللهِ وَالْيَوْمِ الآخِرِ وَبُعُولَتُهُنَّ أحَقُّ بِرَدِّهِنَّ فِي ذَلِكَ إِنْ أرَادُوا إِصْلاحاً وَلَهُنَّ مِثْلُ الَّذِي عَلَيْهِنَّ بِالْمَعْرُوفِ وَلِلرِّجَالِ عَلَيْهِنَّ دَرَجَةٌ وَاللهُ عَزِيزٌ حَكِيمٌ</w:t>
      </w:r>
      <w:r>
        <w:rPr>
          <w:rStyle w:val="FootnoteAnchor"/>
          <w:rtl w:val="true"/>
        </w:rPr>
        <w:footnoteReference w:id="382"/>
      </w:r>
      <w:r>
        <w:rPr>
          <w:rFonts w:ascii="Amiri" w:hAnsi="Amiri" w:eastAsia="Amiri" w:cs="Amiri"/>
          <w:color w:val="111111"/>
          <w:sz w:val="28"/>
          <w:sz w:val="28"/>
          <w:szCs w:val="28"/>
          <w:rtl w:val="true"/>
          <w:lang w:bidi="ar-SA"/>
        </w:rPr>
        <w:t>والآية الشريفة متضمّنة لبيان بعض أحكام الزوج والزوجة وأمر الطلاق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المطلّقات التربّص ثلاثة أطهر، يعني لا بدّ لهنّ أن يصبرنّ من الزواج، بأن لا يتزوّجن في هذه المدّة، وهي كناية عن العدّة لئلا يلزم اختلاط المياه وفساد 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يرجي رفع الاختلاف وإعادة علقة الزوجية والمحبّة ورجوع الزوج وبقاء الزوجية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عليهنّ كتمان الولد في الرحم لو كان؛ لأجل الخروج عن العدّة مستعجلًا أو للإضرار بالزوج في عدم إمكان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الرجوع للزوج ما دامت الزوجة في العدّة، إذا أراد الإصلاح لا الإضرار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حقوق ثابتة للزوجة على الزوج، لا بدّ من أدائها كالحقوق التي للزوج عليها لا بدّ من أدائها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الكلمات العجيبة الجامعة للفوائد الجمة وإنّما أراد بذلك ما يرجع إلى حسن العشرة وترك المضارّة والتسوية في القسم والنفقة والكسوة كما أنّ للزوج حقوقاً عليها مثل الطاعة التي أوجبها الله عليها له وأن لا تدخل فراشه غيره وأن تحفظ ماؤه فلا تحتال في إسقاطه</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نقل روايات دالّة على حقوق الزوج على الزوجة،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شرح بعض الفضيلة عليهنّ مع تبادل الحقوق بينهما، فلمّا كان ذلك موهماً لتساوي منزلتهما، رفع ذلك الوهم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وَلِلرِّجَالِ عَلَيْهِنَّ دَرَجَةٌ أي منزلة وفضيلة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وتبادلية الحقوق لا يقتضي تساويهما في جميع المراحل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في سهم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 الطلاق بيد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حقّ الرجوع، وغيرها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المعنى لا يمكن الاستدلال بالآية، على اشتراط الذكورية في القضاء، لعدم شمول الفضيلة والدرجة التي للرجال على المرأة للقضاء وفصل الخصومة؛ لأنّ الآية في مقام بيان الحقوق الثابتة بين الزوجين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p>
    <w:p>
      <w:pPr>
        <w:pStyle w:val="BookText"/>
        <w:rPr/>
      </w:pPr>
      <w:r>
        <w:rPr>
          <w:rFonts w:ascii="Amiri" w:hAnsi="Amiri" w:eastAsia="Amiri" w:cs="Amiri"/>
          <w:color w:val="111111"/>
          <w:sz w:val="28"/>
          <w:sz w:val="28"/>
          <w:szCs w:val="28"/>
          <w:rtl w:val="true"/>
          <w:lang w:bidi="ar-SA"/>
        </w:rPr>
        <w:t>الأزواج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فضيلة فيهما على الزوجات، ممّا تقدّم فهل تشمل هذه الفضيلة للقضاء أيضاً؟ فالتمسّك بالآية من قبيل التمسّك بالعامّ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التسوية بين الرجال والنساء</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هنا استظهار آخر من الآية يمكن الاستدلال بها على هذا الاستظهار وهو ما يستفاد من كلام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بمناسبة ذكر المعروف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بني شريعة الإسلام على أساس الفطرة والخلقة، كان المعروف عنده هو الذي يعرفه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سلكوا مسلك الفطرة ولم يتعدّوا طور الخلقة</w:t>
      </w:r>
      <w:r>
        <w:rPr>
          <w:rStyle w:val="FootnoteAnchor"/>
          <w:rtl w:val="true"/>
        </w:rPr>
        <w:footnoteReference w:id="384"/>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تقتضيه الفطرة في أمر الوظائف والحقوق الاجتماعية بين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الجميع إنسان ذو فطرة 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يساوي بينهم في الحقوق والوظائف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ليس مقتضى هذه التسوية التي يحكم بها العدل الاجتماعي أن يبذل كلّ مقام اجتماعي لكلّ فرد من أفراد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الذي يقتضيه العدل الاجتماعي ويفسّر معنى التسوية أن يعطي كلّ ذي حقّ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مع وجود العوامل المشتركة المذكورة في وجودها، تختلف مع الرجال من جهة اخرى، فإنّ المتوسّط من النساء تتأخّر عن المتوسّط من الرجال في الخصوصيات الكمالية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فرّق الإسلام بينهما في الوظائف والتكاليف العامّة الاجتماعية التي ترتبط قوامها بأحد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التعقّل والإحساس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فخصّ مثل الولاية والقضاء والقتال بالرجال لاحتياجها إلى التعقّل والحياة التعقّلية إنّما هي للرجل دون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 مثل حضانة الأولاد</w:t>
      </w:r>
    </w:p>
    <w:p>
      <w:pPr>
        <w:pStyle w:val="BookText"/>
        <w:rPr/>
      </w:pPr>
      <w:r>
        <w:rPr>
          <w:rFonts w:ascii="Amiri" w:hAnsi="Amiri" w:eastAsia="Amiri" w:cs="Amiri"/>
          <w:color w:val="111111"/>
          <w:sz w:val="28"/>
          <w:sz w:val="28"/>
          <w:szCs w:val="28"/>
          <w:rtl w:val="true"/>
          <w:lang w:bidi="ar-SA"/>
        </w:rPr>
        <w:t xml:space="preserve">وتربيتها وتدبير المنزل بالمرأة </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إلى هنا ما نقلناه عن العلامة الطباطبائي وللمزيد من هذا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وإن كان معناً دقيقاً علميّاً، ولكن تعيين المستفاد من الآية فيه وترتّب حكم شرعي عليه وهو اشتراط الذكورية في القضاء، وعدم جواز القضاء للمرأة شرعاً، ممّا لا يطمئنّ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تفسير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ذكره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كما يقول الراغب</w:t>
      </w:r>
      <w:r>
        <w:rPr>
          <w:rStyle w:val="FootnoteAnchor"/>
          <w:rtl w:val="true"/>
        </w:rPr>
        <w:footnoteReference w:id="3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المعروف كلّ فعل يعرف بالعقل أو الشرع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والمنكر ما ينكر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كون القضاء أمراً معروفاً بالنسبة إلى الرجل دون المرأة، أوّل الكلام، فلا يمكن الاستدلال بالآية الشريفة لاعتبار شرط الذكورية في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النشوء ومن الآيات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يُنَشَّا فِي الْحِلْيَةِ وَهُوَ فِي الْخِصَامِ غَيْرُ مُبِينٍ</w:t>
      </w:r>
      <w:r>
        <w:rPr>
          <w:rStyle w:val="FootnoteAnchor"/>
          <w:rtl w:val="true"/>
        </w:rPr>
        <w:footnoteReference w:id="387"/>
      </w:r>
      <w:r>
        <w:rPr>
          <w:rFonts w:ascii="Amiri" w:hAnsi="Amiri" w:eastAsia="Amiri" w:cs="Amiri"/>
          <w:color w:val="111111"/>
          <w:sz w:val="28"/>
          <w:sz w:val="28"/>
          <w:szCs w:val="28"/>
          <w:rtl w:val="true"/>
          <w:lang w:bidi="ar-SA"/>
        </w:rPr>
        <w:t>بتقريب أنّ المستفاد من الآية أنّ المرأة من جهة كون أساس خلقتها على الإحساس والعاطفة، والعلاقة تكون ذات علاقة شديدة بالزينة والحلية فكأنّها يكون نشؤها ونماؤها في الزينة مع أنّها في مقام المخاصمة والمجادلة غير مبيّن، يعني لا يقدر على بيان مقصودها وإثبات مطلبها، فإذا كانت المرأة غير مبيّن، فكيف يقدر على القضاء المحتاج إلى الاحتجاج والجدال والتحقيق</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bookmarkStart w:id="196" w:name="pg1791_15527"/>
    </w:p>
    <w:p>
      <w:pPr>
        <w:pStyle w:val="BookText"/>
        <w:rPr/>
      </w:pPr>
      <w:bookmarkEnd w:id="196"/>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في مقام الاعتراض بقول المشركين من جعلهم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 وهي البنات وكذا قولهم اتّخذ الله ممّا يخلق بنات وأصفاهم بالبنين،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تصفونه بأنّه اتّخذ لنفسه بنات، مع أنّ أحدكم إذا بشّر بها ظلّ وجهه مسوّداً وهو كظيم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كيف تصفونه باتّخاذ البنات مع أنّ الانثى في أنظاركم تنشأ في الحلية ولا يقدر على الاحتجاج والبيان في مقام المخاصمة، ففي الحقيقة تكون الآية في مقام الحكاية عمّا هو مقرّر بين المشركين، لا أن تكون في مقام تقرير قضية ابتدائية من الشارع في عدم التساوي بين الذكر والانثى، من حيث إنّ الانثى ضعيفة في التقرير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كون الآية في مقام تقرير أمر ابتداءً لا 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القضاء لا يحتاج إلى البيان والاحتجاج والمجادلة؛ حتّى لا تقدر عليه الانثى فإنّ القضاء في المحاكم يحتاج إلى الدقّة في كلمات المترافعين من ادّعاء المدّعي وإظهار أدلّته، ودفاع المدّعى عليه، وكذا الدقّة في القرائن والأمارات التي تثبت صدق المدّعي أو كذبه ولا حاجة إلى جدال وبيان ومناظرة حتّى 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فيها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بيان الاستدلال بالآيات وقد عرفت بالوضوح عدم دلالتها على المقصود في جواز القضاء المرأة</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2354555_3650668749"/>
      <w:bookmarkStart w:id="198" w:name="_Toc74"/>
      <w:bookmarkEnd w:id="197"/>
      <w:r>
        <w:rPr>
          <w:rtl w:val="true"/>
        </w:rPr>
        <w:t>الثالث</w:t>
      </w:r>
      <w:r>
        <w:rPr>
          <w:rtl w:val="true"/>
        </w:rPr>
        <w:t xml:space="preserve">: </w:t>
      </w:r>
      <w:r>
        <w:rPr>
          <w:rtl w:val="true"/>
        </w:rPr>
        <w:t>الروايات‌</w:t>
      </w:r>
      <w:bookmarkEnd w:id="198"/>
    </w:p>
    <w:p>
      <w:pPr>
        <w:pStyle w:val="BookText"/>
        <w:rPr/>
      </w:pPr>
      <w:r>
        <w:rPr>
          <w:rFonts w:ascii="Amiri" w:hAnsi="Amiri" w:eastAsia="Amiri" w:cs="Amiri"/>
          <w:color w:val="111111"/>
          <w:sz w:val="28"/>
          <w:sz w:val="28"/>
          <w:szCs w:val="28"/>
          <w:rtl w:val="true"/>
          <w:lang w:bidi="ar-SA"/>
        </w:rPr>
        <w:t>أمّا الاستدلال بالروايات</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حمّاد بن عمرو 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اوصيك بوصيّة فاحفظها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w:t>
      </w:r>
    </w:p>
    <w:p>
      <w:pPr>
        <w:pStyle w:val="BookText"/>
        <w:rPr/>
      </w:pPr>
      <w:r>
        <w:rPr>
          <w:rFonts w:ascii="Amiri" w:hAnsi="Amiri" w:eastAsia="Amiri" w:cs="Amiri"/>
          <w:color w:val="111111"/>
          <w:sz w:val="28"/>
          <w:sz w:val="28"/>
          <w:szCs w:val="28"/>
          <w:rtl w:val="true"/>
          <w:lang w:bidi="ar-SA"/>
        </w:rPr>
        <w:t>النساء جمعة ولا جماعة ولا أذان ولا 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تولّي القضاء</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ضعيفة سنداً، فإنّ حمّاد بن عمرو مجهول، ومثله أنس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في سند الصدوق إلى حمّاد وأنس مجاهيل يظهر من المشيخة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منها أنّ المرفوع هو الوجوب بقرينة أكثر ممّا جاء فيه من الأذان والإقامة وإتباع الجنازة وعيادة المريض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تولّي القضاء</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رواية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النساء أذان ولا إقامة ولا جمعة ولا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تولّي المرأة القضاء، ولا تولّي الإمارة </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فإنّهما ضعيفتان سنداً ودلالة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الوصيّة التي كتبها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منصرفه من صفّين بحاضرين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مكان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تملّك المرأة من أمرها ما جاوز نفسها؛ فإنّ المرأة ريحانة وليست بقهرمانة</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والمراد منه الامور الخارجة عن قدرتها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القضاء من مصاديقه غير معلوم، فلا يمكن التمسّك به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البخاري مسنداً واحتجّ به الأصحاب في الكتب</w:t>
      </w:r>
    </w:p>
    <w:p>
      <w:pPr>
        <w:pStyle w:val="BookText"/>
        <w:rPr/>
      </w:pPr>
      <w:r>
        <w:rPr>
          <w:rFonts w:ascii="Amiri" w:hAnsi="Amiri" w:eastAsia="Amiri" w:cs="Amiri"/>
          <w:color w:val="111111"/>
          <w:sz w:val="28"/>
          <w:sz w:val="28"/>
          <w:szCs w:val="28"/>
          <w:rtl w:val="true"/>
          <w:lang w:bidi="ar-SA"/>
        </w:rPr>
        <w:t xml:space="preserve">الاستدلالية؛ مثل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 xml:space="preserve">والسيّد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العروة</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عن أبي بكرة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نفعني الله بكلمة سمعتها من رسول الله، أيّام الجمل بعد ما كدت أنّ الحقّ بأصحاب الجمل فاقاتل معهم،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رسول الله إنّ أهل فارس قد ملّكوا عليهم بنت كسرى،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يفلح قوم ولّوا أمرهم امرأة</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نقلت عن طريق العامّة، ورجاله غير ثقات عندنا، فلا اعتبار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أنّها راجعة إلى الولاية المطلقة على البلد، والمدينة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الولاية للقضاء بين المتخاصمين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ثبوت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الولاية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يلازم ثبوته في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الولاية في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أيضاً بأنّ المستفاد من روايات كثيرة أنّ الوظيفة المرغوبة من النساء في الشريعة، هي التحجّب والتستّر والتصدّي للُامور البيتية وعدم التدخّل فيما ينافي ذلك وبما أنّ تصدّي القضاء من المرأة ينافي ذلك؛ فنعلم من مذاق الشرع الأقدس عدم الرضا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أنّه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اريد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مذاق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رضاه اللزومي بعدم تصدّي المرأة لغير الامور البيتية وما شاكلها فهو ممنوع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يقم عليه دليل معتبر وإلا يلزم على المرأة أن لا تبتع ولا تشتري ولا تدخل السوق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تمارس أيّ عمل يجعلها في</w:t>
      </w:r>
    </w:p>
    <w:p>
      <w:pPr>
        <w:pStyle w:val="BookText"/>
        <w:rPr/>
      </w:pPr>
      <w:r>
        <w:rPr>
          <w:rFonts w:ascii="Amiri" w:hAnsi="Amiri" w:eastAsia="Amiri" w:cs="Amiri"/>
          <w:color w:val="111111"/>
          <w:sz w:val="28"/>
          <w:sz w:val="28"/>
          <w:szCs w:val="28"/>
          <w:rtl w:val="true"/>
          <w:lang w:bidi="ar-SA"/>
        </w:rPr>
        <w:t>مواجهة الأجانب حتّى مع حفظ الستر والعفاف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السيرة القطعية قائمة على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عدم رضاه الترجيحي بأنّ الستر مرغوب فيه لها عند الشارع، فهو لا ينافي حضوره بين الأجانب مع حفظ الستر والعفاف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يؤدّي إلى ما قاله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من جواز قضائها للنساء إذا كان الشهود أيضاً من النساء لا المنع بالكلّية للرجال والنساء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أيضاً بصحيحتي أبي خديجة فإنّ فيهما قيّد جواز القضاء بالرجل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الاولى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اجعلوا بينكم رجلًا قد عرف حلالنا وحرامنا</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 xml:space="preserve">وفي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انظروا إلى رجل منكم يعلم شيئاً من قضايانا</w:t>
      </w:r>
      <w:r>
        <w:rPr>
          <w:rFonts w:eastAsia="Amiri" w:cs="Amiri" w:ascii="Amiri" w:hAnsi="Amiri"/>
          <w:color w:val="111111"/>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 فأدلّة النصب والإذن لا تشمل المرأة فلا يصح لها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الخطاب فيهما كان بجمع من الأصحاب فحيث إنّهم رجال حاضرون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اجعلوا بينكم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إلى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رجال، فاستظهار قيد الاحترازي منه بحيث يدلّ على عدم أهلية المرأة للقضاء؛ في غاية الإشكال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أيضاً بفحوى ما دلّ على أنّ المرأة لا تؤمّ في صلاة الجماعة، فإذا لم تكن صالحة لأن تكون إماماً في الصلاة فعدم صلاحيتها للقضاء ثابته بطريق أولى</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الأولوية ممنوعة بلا إشكال، فإنّ المرأة في صلاة الجماعة لابدّ</w:t>
      </w:r>
    </w:p>
    <w:p>
      <w:pPr>
        <w:pStyle w:val="BookText"/>
        <w:rPr/>
      </w:pPr>
      <w:r>
        <w:rPr>
          <w:rFonts w:ascii="Amiri" w:hAnsi="Amiri" w:eastAsia="Amiri" w:cs="Amiri"/>
          <w:color w:val="111111"/>
          <w:sz w:val="28"/>
          <w:sz w:val="28"/>
          <w:szCs w:val="28"/>
          <w:rtl w:val="true"/>
          <w:lang w:bidi="ar-SA"/>
        </w:rPr>
        <w:t>لها من قيامها أمام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ينظرون إليها متى تركع ومتى تسجد ومتى تقوم ويستمعون أذكارها وقرائتها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هل تقرأ جهراً أو إخفاءً والوجه في وجوب الذ إخفات لها عدم سماع الأجنبيّ صوتها في القرائة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وقيامها أمامهم بهذه الكيفية يكون أسوء حالًا من سماعهم صوتها في القرائة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القضاء فهي تطلب من المدّعي طرح الدعوى وهي تستمع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تطلب من المدّعى‌عليه الجواب وهي تستمع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تطلب من المدّعي إحضار الشهود، وإقامة الشهادة، والإتيان بالمدارك، والقرائن؛ وهذه الامور لا تنافي التحجّب والتستّر أو العفاف المرغوب فيه منهنّ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دلّ دليل على عدم جواز إمامتها في الصلاة فهذا لا يدلّ على عدم جواز القضاء لها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ما دلّ على أنّها لا تؤمّ، ظاهر في عدم جواز إمامتها للرجال فيكون الدليل أخصّ من المدّعى، فإنّه توجد في روايات صحيحة صحّة إمامتها للنساء في المكتوبة، وقد يحمل على الكراهة</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المتقدّمة، وإن كان كلّ واحد منها قابلة للخدشة وضعيفة سنداً أو دلالة، لكن ينجبر ضعفها بعمل المشهور، فتكون صالحة للاستناد بها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انجبار ضعف الرواية بعمل المشهور يحصل فيما إذا علم استنادهم إلى رواية خاصّة في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هنا غير معلوم فإنّ بعضهم استندوا إلى الآيات، وبعضهم استندوا إلى رواية، والآخر إلى رواية اخرى، وبعضهم استندوا إلى روايتين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قالوا ولو لم تكن الروايات تامّة فلا أقلّ من الأصل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وبعضهم أضافوا إليها الفحوى من أدلّة عدم جواز الإمامة في الصلاة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وبالأخرة، العلم بكون مستندهم في الفتوى هو رواية خاصّة أو جميعها أو غير الروايات غير حاصل، فادّعاء الانجبار بعمل الأصحاب منتفٍ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واحد من هذه الأدلّة وإن كان غير وافٍ بالمراد وغير صالح للاستدلال لكن حكم المجموع غير حكم كلّ فرد ولعلّ المجموع من حيث المجموع كاف في إفادة الاطمئنان على عدم صلاحيتها للقضاء، وهذه هي السيرة المستمرّة بين الفقهاء في أمثال المقام، إذ ربما لا تكون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لوحظت بانفرادها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مفيدة للاطمئنان لعدم خلوّها عن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إذا لوحظت بصورة المجموع ربما تكون قوّة دلالة البعض جابرة لضعف دلالة الآخر، وبالعكس؛ أي قوّة سند البعض جابرة لضعف سند الآخر فيتفاعلان ويؤثّران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أنّه لو كان بين الأدلّة دليل له قوّة سنداً أو دلالة، ومع هذا غير تامّ ولا يصحّ الاعتماد عليه لو انفرد لقلنا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التعاضد والاجتماع المذكور يوجب اعتباره شرعاً والاطمئنان به، ولكن فيما نحن فيه كلّ واحدة من الأدلّة التي بأيدينا قابلة للخدشة وضعيفة وضمّ ضعيف إلى ضعيف؛ لا يوجب القوّة بلا إشكال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يستدلّ بالسيرة المستمرّة من زمن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الخلفاء عبّر القرون من نصب الرجال للقضاء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يعهد منهم‌تعيين المرأة، ولو للقضاء بين النساء مع وجود نساء فاضلات حتّى النساءالكمّل مثل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وزينب الكبرى وغيرهما، ويستكشف من</w:t>
      </w:r>
      <w:bookmarkStart w:id="199" w:name="pg1791_15538"/>
    </w:p>
    <w:p>
      <w:pPr>
        <w:pStyle w:val="BookText"/>
        <w:rPr/>
      </w:pPr>
      <w:bookmarkEnd w:id="199"/>
      <w:r>
        <w:rPr>
          <w:rFonts w:ascii="Amiri" w:hAnsi="Amiri" w:eastAsia="Amiri" w:cs="Amiri"/>
          <w:color w:val="111111"/>
          <w:sz w:val="28"/>
          <w:sz w:val="28"/>
          <w:szCs w:val="28"/>
          <w:rtl w:val="true"/>
          <w:lang w:bidi="ar-SA"/>
        </w:rPr>
        <w:t>ذلك عدم صالحية النساء للقضاء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السيرة واردة على نصب الرجال للقضاء، فهي حجّة ومعتبرة ويتّبع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استفادة أمر سلبي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صلاحية النساء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فإنّ غاية ما تدلّ عليه السيرة عدم نصب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عدم صلاحيتها وعدم أهليتها لذلك شرعاً، فلا يستكشف منها؛ فإنّه من الممكن عدم تعيينهم للقضاء لجهات اخرى غير عدم الصلاحية مثل رعاية التستّر، والتحجّب المرغوب فيه لهنّ، مع كفاية تعيين الرجال أو عدم رضاية المتخاصمين للترافع عندهنّ وأمثال ذلك</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2354557_3650668749"/>
      <w:bookmarkStart w:id="201" w:name="_Toc75"/>
      <w:bookmarkEnd w:id="200"/>
      <w:r>
        <w:rPr>
          <w:rtl w:val="true"/>
        </w:rPr>
        <w:t>خلاصة الاستدلالات في قضاء المرأة</w:t>
      </w:r>
      <w:bookmarkEnd w:id="201"/>
    </w:p>
    <w:p>
      <w:pPr>
        <w:pStyle w:val="BookText"/>
        <w:rPr/>
      </w:pPr>
      <w:r>
        <w:rPr>
          <w:rFonts w:ascii="Amiri" w:hAnsi="Amiri" w:eastAsia="Amiri" w:cs="Amiri"/>
          <w:color w:val="111111"/>
          <w:sz w:val="28"/>
          <w:sz w:val="28"/>
          <w:szCs w:val="28"/>
          <w:rtl w:val="true"/>
          <w:lang w:bidi="ar-SA"/>
        </w:rPr>
        <w:t>إلى هنا قد ذكرنا ما يمكن أن يستدلّ عليه، لعدم صلاحية النساء للقضاء، من الإجماع والآيات والروايات، والوجوه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ورأينا عدم تماميتها وأنّ كلّ واحد منها قابلة للخدشة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معذلك كلّه بعد عدم المنع من قضائهنّ شرعاً لا يصحّ لنا أن نقول بنفوذ قضائهنّ لكفاية الأصل للمنع عن قضائهنّ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فالمجوّز لا بدّ له من دليل مثبت للجواز، حتّى يمنع من إجراء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ذلك من مقبولة عمر بن حنظلة،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ينظران من كان منكم ممّن قد روي حديثنا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اسم الموصول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للانطباق على الرجل والمرأة معاً، وإطلاق الخطاب يشمل المرأة أيضاً فينفذ قضاؤها على الرجال والنساء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وجود الإطلاق للجواز لا يصل النوبة إلى الأصل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ذلك بأنّ الإطلاق في المقبولة منصرف إلى الرجال وذلك بقرينتين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يعهد من زمن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الخلفاء تعيين النساء للقضاء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من الشارع، من لزوم رعاية التستّر والتحجّب للنساء، وعدم مواجهتا للرجال الأجانب حتّى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للانصراف ما فهم الراوي من قوله بعد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كلّ واحد اختار رجلًا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شاهد قويّ على ما هو المراد في مورد التخاطب بين الراوي والإمام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والمقبوله بعد هذا الانصراف تكون دليلًاً على عدم نصبهنّ بنحو العامّ للقضاء وإن بلغن من العلم والاجتهاد ما بلغن، ففي زمان الغيبة لا يجوز للمرأة الواجدة لجميع شرائط القضاء غير الذكورة أن يتولّي القضاء فإنّها غير مأذون ولم ينصب بنحو العامّ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المقبولة لا تدلّ أيضاً على عدم أهليتها وعدم صلاحيتها للقضاء، بل المصالح الكلّي للتنصيب تقتضي نصب الرجال دون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أراد الإمام نصبها للقضاء، لم يكن خارجاً عن محدودة الشرع، لعدم دليل صالح على اشتراط الذكورة شرعاً وعدم أهلية المرأة لذلك، بل المصالح الكلّي يقتضي أن ينصب الرجال لطول زمان الغيبة للولاة العامّة، ومنها القضاء</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قامت الحكومة الإسلامية وكان القائد فيها هو الفقيه الجامع للشرائط ورأى المصلحة في نصب المرأة للقضاء جاز له ذلك، فتصير المرأة بعد عدم اشتراط الذكورة شرعاً في القضاء، مأذوناً من جانب وليّ الفقيه، الذي إذنه بمنزلة إذن الإمام فينفذ قضائها للرجال والنساء، بلا إشكال ولا إيراد،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والأعلمية ممّن في البلد أو ما يقربه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أن يكون ضابطاً غير غالب عليه النسيان، بل لو كان نسيانه بحيث سلب منه الاطمئنان فالأقوى عدم جواز 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الكتابة ففي اعتبارها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اعتبار البصر، وإن كان عدمه لا يخلو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الصفات المعتبرة في القاضي بالوجدان، والشياع المفيد للعلم أو الاطمئنان، والبيّنة العادلة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والشاهد على الاجتهاد أو الأعلمية لابدّ وأن يكون من أهل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ثبوت شرائط القضاء في القاضي عند كلّ من المترافعين، ولا يكفي الثبوت عند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للقاضي القضاء بفتوى المجتهد الآخر، فلا بدّ له من الحكم على طبق رأيه، لا رأى غيره ولو كان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اختار كلّ من المدّعي والمنكر حاكماً لرفع الخصومة، فلا يبعد تقديم اختيار المدّعي لو كان القاضيان متساويين في العلم، وإلا فالأحوط اختيار الأعلم، ولو كان كلّ منهما مدّعياً من جهة ومنكراً من جهة اخرى، فالظاهر في صورة التساوي الرجوع إلى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لأحد من الرعية دعوى على القاضي فرفع إلى قاضٍ آخر، تسمع دعواه وأحضره، ويجب على القاضي إجابته، ويعمل معه الحاكم في القضية معاملته مع مدّعيه من التساوي في الآداب الآتية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للحاكم الآخر تنفيذ الحكم الصادر من القاضي، بل قد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شكّ في اجتهاده أو عدالته أو سائر شرائطه لا يجوز إلا</w:t>
      </w:r>
      <w:bookmarkStart w:id="202" w:name="pg1791_15544"/>
    </w:p>
    <w:p>
      <w:pPr>
        <w:pStyle w:val="BookText"/>
        <w:rPr/>
      </w:pPr>
      <w:bookmarkEnd w:id="202"/>
      <w:r>
        <w:rPr>
          <w:rFonts w:ascii="Amiri" w:hAnsi="Amiri" w:eastAsia="Amiri" w:cs="Amiri"/>
          <w:color w:val="111111"/>
          <w:sz w:val="28"/>
          <w:sz w:val="28"/>
          <w:szCs w:val="28"/>
          <w:rtl w:val="true"/>
          <w:lang w:bidi="ar-SA"/>
        </w:rPr>
        <w:t>بعد الإحراز، كما لا يجوز نقض حكمه مع الشكّ واحتمال صدور حكمه صحيحاً، ومع علمه بعدم أهليته ينقض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وطهارة المولد،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2354559_3650668749"/>
      <w:bookmarkStart w:id="204" w:name="_Toc76"/>
      <w:bookmarkEnd w:id="203"/>
      <w:r>
        <w:rPr>
          <w:rtl w:val="true"/>
        </w:rPr>
        <w:t>الشرط السابع</w:t>
      </w:r>
      <w:r>
        <w:rPr>
          <w:rtl w:val="true"/>
        </w:rPr>
        <w:t xml:space="preserve">: </w:t>
      </w:r>
      <w:r>
        <w:rPr>
          <w:rtl w:val="true"/>
        </w:rPr>
        <w:t>طهارة المولد</w:t>
      </w:r>
      <w:bookmarkEnd w:id="2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هنا بحثنا مفصّلًا عن ستّة شروط من أحد عشر شرط الذي طرحها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البحث عن شرط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المولد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الفائدة ولا يكون محلًا للابتلاء فإنّه لا أظنّ أن يوجد مورد من صدر الإسلام إلى الآن أن يمنع أحد من القضاء أو يعزل عن منصب القضاء من جهه فقدانه ذلك الشرط، فلذا صرفنا النظر عن البحث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الشرط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شرط الأعلمية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صرفنا النظر عن البحث فيه لوضوح عدم الوجه لاشتراط الأعلمية أو الاحتياط فيه بعد إطلاق المقبولة وصحيحتي أبي خديجة وعدم دليل على 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شرط الضبط، والكتابة، والبصر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الشرط التاسع، والعاشر، والحادي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قليل الفائدة أو غير محلّ الابتلاء، مع أنّا أثبتنا تتمّة متن عند ما نقلنا كلام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في صفات القاضي</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الإمام هنا مسائل</w:t>
      </w:r>
      <w:r>
        <w:rPr>
          <w:rStyle w:val="FootnoteAnchor"/>
          <w:rtl w:val="true"/>
        </w:rPr>
        <w:footnoteReference w:id="400"/>
      </w:r>
      <w:r>
        <w:rPr>
          <w:rFonts w:ascii="Amiri" w:hAnsi="Amiri" w:eastAsia="Amiri" w:cs="Amiri"/>
          <w:color w:val="111111"/>
          <w:sz w:val="28"/>
          <w:sz w:val="28"/>
          <w:szCs w:val="28"/>
          <w:rtl w:val="true"/>
          <w:lang w:bidi="ar-SA"/>
        </w:rPr>
        <w:t>بعضها يبحث عنها في الموارد المشابه الآتية في بحث القضاء، أو بعضها مربوط بالقاضي المنصوب بنحو العامّ في زمن عدم قيام</w:t>
      </w:r>
      <w:bookmarkStart w:id="205" w:name="pg1791_15546"/>
    </w:p>
    <w:p>
      <w:pPr>
        <w:pStyle w:val="BookText"/>
        <w:rPr/>
      </w:pPr>
      <w:bookmarkEnd w:id="205"/>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للقاضي أن يحكم بعلمه من دون بيّنة أو إقرار أو حلف في حقوق الناس، وكذا في حقوق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الحكومة الإسلامية، فننصرف عنها ونبحث في 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القاضي طبقاً لعلمه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المسائل المهمّة في باب القضاء</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2354561_3650668749"/>
      <w:bookmarkStart w:id="207" w:name="_Toc77"/>
      <w:bookmarkEnd w:id="206"/>
      <w:r>
        <w:rPr>
          <w:rtl w:val="true"/>
        </w:rPr>
        <w:t>حول حكم القاضي طبقاً لعلمه‌</w:t>
      </w:r>
      <w:bookmarkEnd w:id="2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الخلاف في أنّ القاضي هل يجوز له أن يستند في قضائه بعلمه؟ بمعنى أنّه هل يكون علمه من الطرق التي يستند إليها، في إثبات الدعوى والموضوع فيحكم على طبقه فتكون العلم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الموازين القضائية، كالبيّنة والحلف، والحكم باستناد العلم يكون نافذاً، أو يقال أنّ العلم وإن كان حجّة على نفسه، لكن لا يكون حجّة في إثبات الدعوى، والموضوع في المحكمة فلا يجوز للقاضي أن يستند إليه في القضاء فلا يكون مثل البيّنة والحلف طريقاً في الإثبات القضائي، فلا يكون الحكم باستناده نافذاً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عمّم بعضهم البحث عن جواز عمل الإمام المعصوم بعلمه، وعدمه إلى جوازه للفقيه النائب عنه وعدمه، ولكنّ الأولى صرف البحث و الخلاف إلى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جوازه للفقيه النائب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البحث عن جوازه للإمام المعصوم وعدمه وإن كان فائدته أنّه على فرض عدمه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عدم الجواز للفقيه بطريق أولى، ولكن على فرض جوازه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جوازه للفقيه أيضاً، لاحتمال اختصاصه بالإمام المعصوم، فلا بدّ من إمعان النظر إلى جواز العمل بالعلم للفقيه في قضائه أو عدمه، والنظر فيما يمكن أن يستدلّ به</w:t>
      </w:r>
      <w:r>
        <w:rPr>
          <w:rFonts w:eastAsia="Amiri" w:cs="Amiri" w:ascii="Amiri" w:hAnsi="Amiri"/>
          <w:color w:val="111111"/>
          <w:sz w:val="28"/>
          <w:szCs w:val="28"/>
          <w:rtl w:val="true"/>
          <w:lang w:bidi="ar-SA"/>
        </w:rPr>
        <w:t>.</w:t>
      </w:r>
      <w:bookmarkStart w:id="208" w:name="pg1791_15548"/>
    </w:p>
    <w:p>
      <w:pPr>
        <w:pStyle w:val="BookText"/>
        <w:rPr/>
      </w:pPr>
      <w:bookmarkEnd w:id="208"/>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البحث إنّما هو قضاء الحاكم بعلمه في الشبهات الموضوعية فقط، وأمّا في الشبهات الحكمية، فلا خلاف فيه فإنّ الحاكم يقضي بعلمه أي ما استخرجه من الأدلّة واستنبطه منها، يكون حجّة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قضائه باستناده نافذاً ولا يجوز له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اختلفوا في جواز العمل بالعلم وعدمه في غير المعصوم من القضاة على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في حقوق الله وحقوق الناس، كما عليه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الجواز، كما عن ابن 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في حقوق الناس كما عن ابن إدريس</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في حقوق الله عزّ وجلّ كما عن ابن جنيد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الأحمدي</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2354563_3650668749"/>
      <w:bookmarkStart w:id="210" w:name="_Toc78"/>
      <w:bookmarkEnd w:id="209"/>
      <w:r>
        <w:rPr>
          <w:rtl w:val="true"/>
        </w:rPr>
        <w:t>بيان الأقوال في حكم القاضي بعلمه‌</w:t>
      </w:r>
      <w:bookmarkEnd w:id="210"/>
    </w:p>
    <w:p>
      <w:pPr>
        <w:pStyle w:val="Heading5"/>
        <w:numPr>
          <w:ilvl w:val="4"/>
          <w:numId w:val="1"/>
        </w:numPr>
        <w:rPr/>
      </w:pPr>
      <w:bookmarkStart w:id="211" w:name="__RefHeading___Toc2354565_3650668749"/>
      <w:bookmarkStart w:id="212" w:name="_Toc79"/>
      <w:bookmarkEnd w:id="211"/>
      <w:r>
        <w:rPr>
          <w:rtl w:val="true"/>
        </w:rPr>
        <w:t>القول الأوّل</w:t>
      </w:r>
      <w:r>
        <w:rPr>
          <w:rtl w:val="true"/>
        </w:rPr>
        <w:t xml:space="preserve">: </w:t>
      </w:r>
      <w:r>
        <w:rPr>
          <w:rtl w:val="true"/>
        </w:rPr>
        <w:t>الجواز مطلقاً</w:t>
      </w:r>
      <w:bookmarkEnd w:id="21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Style w:val="FootnoteAnchor"/>
          <w:rtl w:val="true"/>
        </w:rPr>
        <w:footnoteReference w:id="4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للحاكم أن يحكم بعلمه في جميع الأحكام من الأموال،</w:t>
      </w:r>
    </w:p>
    <w:p>
      <w:pPr>
        <w:pStyle w:val="BookText"/>
        <w:rPr/>
      </w:pPr>
      <w:r>
        <w:rPr>
          <w:rFonts w:ascii="Amiri" w:hAnsi="Amiri" w:eastAsia="Amiri" w:cs="Amiri"/>
          <w:color w:val="111111"/>
          <w:sz w:val="28"/>
          <w:sz w:val="28"/>
          <w:szCs w:val="28"/>
          <w:rtl w:val="true"/>
          <w:lang w:bidi="ar-SA"/>
        </w:rPr>
        <w:t>والحدود والقصاص وغير ذلك؛ سواء كان من حقوق الله أو من حقوق الآدميين، فالحكم فيه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أن يعلم ذلك بعد التولية في موضع ولايته، أو قبل التولية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Style w:val="FootnoteAnchor"/>
          <w:rtl w:val="true"/>
        </w:rPr>
        <w:footnoteReference w:id="4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انفردت به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الظاهر، يوافقونها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القول بأنّ للإمام والحاكم من قبله أن يحكموا بعلمهم في جميع الحقوق والحدود من غير 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وسواء على الحاكم ما علمه وهو حاكم أو علمه قبل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تستجيزون ادّعاء الإجماع من الإمامية في هذه المسألة وأبو علي بن الجنيد يصرّح بالخلاف فيها ويذهب إلى أنّه لا يجوز للحاكم أن يحكم بعلمه في شي‌ء من الحقوق ولا الحدود؟</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الإمامية في هذه المسألة، وقد تقدّم إجماعهم ابن الجنيد وتأخّر عنه</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عند العامّة فالمشهور بينهم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يقضي بعلمه مطلقاً</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الشافعي يقضي في حقوق الناس</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الحدود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أبوحنيفة</w:t>
      </w:r>
      <w:r>
        <w:rPr>
          <w:rStyle w:val="FootnoteAnchor"/>
          <w:rtl w:val="true"/>
        </w:rPr>
        <w:footnoteReference w:id="409"/>
      </w:r>
      <w:r>
        <w:rPr>
          <w:rFonts w:ascii="Amiri" w:hAnsi="Amiri" w:eastAsia="Amiri" w:cs="Amiri"/>
          <w:color w:val="111111"/>
          <w:sz w:val="28"/>
          <w:sz w:val="28"/>
          <w:szCs w:val="28"/>
          <w:rtl w:val="true"/>
          <w:lang w:bidi="ar-SA"/>
        </w:rPr>
        <w:t>أنّه لا يحكم بما علمه قبل نصبه لمنصب القضاء، ويحكم بما علمه بعد</w:t>
      </w:r>
      <w:bookmarkStart w:id="213" w:name="pg1791_15552"/>
    </w:p>
    <w:p>
      <w:pPr>
        <w:pStyle w:val="BookText"/>
        <w:rPr/>
      </w:pPr>
      <w:bookmarkEnd w:id="213"/>
      <w:r>
        <w:rPr>
          <w:rFonts w:ascii="Amiri" w:hAnsi="Amiri" w:eastAsia="Amiri" w:cs="Amiri"/>
          <w:color w:val="111111"/>
          <w:sz w:val="28"/>
          <w:sz w:val="28"/>
          <w:szCs w:val="28"/>
          <w:rtl w:val="true"/>
          <w:lang w:bidi="ar-SA"/>
        </w:rPr>
        <w:t>نصبه لمنصب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كان منصوباً للقضاء وترافعاً إليه وعلم بشي‌ء حكم طبق علمه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ابن إدريس أيضاً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عندنا للحاكم أن يقضي بعلمه في جميع الأشياء</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الجواز، كما عليه المشهور، وقد ادّعي عليه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وهو الحجّة لعدم تمامية ما استدلّ عليها على الجواز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المحتمل تمسّك المجمعين بما سيجي‌ء من الأدلّة فلا يكون كاشفاً عن قول المعصوم غير ما عندنا من الأدلّة</w:t>
      </w:r>
      <w:r>
        <w:rPr>
          <w:rFonts w:eastAsia="Amiri" w:cs="Amiri" w:ascii="Amiri" w:hAnsi="Amiri"/>
          <w:color w:val="111111"/>
          <w:sz w:val="28"/>
          <w:szCs w:val="28"/>
          <w:rtl w:val="true"/>
          <w:lang w:bidi="ar-SA"/>
        </w:rPr>
        <w:t>.</w:t>
      </w:r>
    </w:p>
    <w:p>
      <w:pPr>
        <w:pStyle w:val="Heading5"/>
        <w:numPr>
          <w:ilvl w:val="4"/>
          <w:numId w:val="1"/>
        </w:numPr>
        <w:rPr/>
      </w:pPr>
      <w:bookmarkStart w:id="214" w:name="__RefHeading___Toc2354567_3650668749"/>
      <w:bookmarkStart w:id="215" w:name="_Toc80"/>
      <w:bookmarkEnd w:id="214"/>
      <w:r>
        <w:rPr>
          <w:rtl w:val="true"/>
        </w:rPr>
        <w:t>أدلّة جواز حكم القاضي بعلمه‌</w:t>
      </w:r>
      <w:bookmarkEnd w:id="215"/>
    </w:p>
    <w:p>
      <w:pPr>
        <w:pStyle w:val="BookText"/>
        <w:rPr/>
      </w:pPr>
      <w:r>
        <w:rPr>
          <w:rFonts w:ascii="Amiri" w:hAnsi="Amiri" w:eastAsia="Amiri" w:cs="Amiri"/>
          <w:color w:val="111111"/>
          <w:sz w:val="28"/>
          <w:sz w:val="28"/>
          <w:szCs w:val="28"/>
          <w:rtl w:val="true"/>
          <w:lang w:bidi="ar-SA"/>
        </w:rPr>
        <w:t>وقد استدلّ على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 الذي نقلناه وناقشنا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 من الآيات والروايات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وَالسَّارِقُ وَالسَّارِقَةُ فَاقْطَعُوا أيْدِيَهُمَا</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الزَّانِيَةُ وَالزَّانِي فَاجْلِدُوا كُلَّ وَاحِدٍ مِنْهُمَا مِائَةَ جَلْدَةٍ</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وتقريب الاستدلال بها أن الخطاب في الآيتين متوجّه إلى الحكّام أي من عليه إقامة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وعلّق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وجوب القطع ووجوب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عنوان واقعي ووصف خارجي من غير أن يعيّن لكشفه وتحقّقه طريقاً خاصّاً وبما أنّ</w:t>
      </w:r>
    </w:p>
    <w:p>
      <w:pPr>
        <w:pStyle w:val="BookText"/>
        <w:rPr/>
      </w:pPr>
      <w:r>
        <w:rPr>
          <w:rFonts w:ascii="Amiri" w:hAnsi="Amiri" w:eastAsia="Amiri" w:cs="Amiri"/>
          <w:color w:val="111111"/>
          <w:sz w:val="28"/>
          <w:sz w:val="28"/>
          <w:szCs w:val="28"/>
          <w:rtl w:val="true"/>
          <w:lang w:bidi="ar-SA"/>
        </w:rPr>
        <w:t>العلم طريق إلى الواقع وحجّيته ذاتي له؛ فإذا علم الحاكم بوقوع السرقة أو الزنا يتحقّق عنوان السارق أو الزاني،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السرقة والزنا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السارق هو من تلبّس بالسرقة ووقع منه السرقة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والزاني هو من تلبّس بالزنا وصدر منه ذلك، وحصل له الوصف العنواني ووجب عليه الحكم بالقطع والجلد ويجب إجرائهما بلا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يصدر من الشارع حجّية البيّنة والإقرار والحلف لكان علم القاضي هو الطريق الوحيد إلى كشف العنوان المأخوذ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موارد علم القاضي قليل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توسّع الشارع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لمصلحة القضاء وإمكان الوصول إلى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للقاضي في غير مورد العلم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يتمكّن من إجراء الحدود على المرتكبين للجرائم ويتحقّق الهدف من تشريع الحدود والتعزيرات فجعل البيّنة والإقرار حجّة لغلبة الوصول إلى الواقع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فبالنتيجة تدلّ الآية على أنّ الحاكم إذا علم أنّ زيداً سارق أو زان مثلًا؛ يجب عليه إقامة الحدّ عليه كما أنّه إذا شهد على زيد الشهود على ذلك أو أقرّ بالسرقة أو الزنا يجب عليه الحكم بإجراء الحدّ عليه بأدلّة حجّية البيّنة أو الإقرار</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حجّية العلم وإن كان ذاتياً له وهو طريق تامّ لكشف الواقع؛ لكن القول بكونه من موازين القضاء، وأنّه يصحّ استناد القاضي إليه في إثبات الموضوع في المحكمة غيرمعلوم، فإنّه يستفاد من أدلّة حجّية البيّنة واليمين والإقرار، أنّ للشارع طرق خاصّة لكشف الواقع في القضاء وجعل موازين إثباتي‌قضائي للقاضي لأن يستند إليها في المحكمة ولم يعلم أنّ العلم كان منها، فالقاضي إذا علم بكونه مرتكباً للزنا أو السرقة لا يجب عليه الحكم على‌طبقه لعدم حصول العلم بجعل الشارع علم القاضي طريقاً إثباتياً للقضاء،</w:t>
      </w:r>
    </w:p>
    <w:p>
      <w:pPr>
        <w:pStyle w:val="BookText"/>
        <w:rPr/>
      </w:pPr>
      <w:r>
        <w:rPr>
          <w:rFonts w:ascii="Amiri" w:hAnsi="Amiri" w:eastAsia="Amiri" w:cs="Amiri"/>
          <w:color w:val="111111"/>
          <w:sz w:val="28"/>
          <w:sz w:val="28"/>
          <w:szCs w:val="28"/>
          <w:rtl w:val="true"/>
          <w:lang w:bidi="ar-SA"/>
        </w:rPr>
        <w:t>ولو أقام البيّنة على خلاف علمه أو حلف المنكر مثلًا، له الامتناع من القضاء في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تدلّ على وجوب الحكم للقاضي على المتلبّس بالسرقة أو الزنا، فإذا علم بارتكاب أحد السرقة أو الزنا، فقد تحصّل على المتلبّس بها فيجب عليه الحكم ولو لم يحكم كان متخلّفاً ومعاقباً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 حجّية البيّنة واليمين ليس في مقام جعل الطريق انحصاراً، بل قد توسع الأمر للقاضي، حتّى يصحّ له العمل بها؛ ليستند في القضاء إليها، لا أن يمنعه من العمل بعلمه بلا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دَاوُودُ إِنَّا جَعَلْنَاكَ خَلِيفَةً فِي الأرْضِ فَاحْكُمْ بَيْنَ النَّاسِ بِالْحَقِ</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حَكَمْتَ فَاحْكُمْ بَيْنَهُمْ بِالْقِسْطِ</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حَكَمْتُمْ بَيْنَ النَّاسِ أنْ تَحْكُمُوا بِالْعَدْلِ</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وتقريب الاستدلال بها أنّ الخطاب فيها، وإن كان لداود النبيّ أو نبيّ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الأخيرتين، لكن المستفاد منها أنّ الوظيفه في القضاء هو أن يكون الحكم على الحقّ والقسط والعدل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الامور من الحقايق الخارجية والواقعية كلّما تحقّقت يجب على القاضي الحكم بها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إذا علم الحاكم باشتغال ذمّة زيد لعمرو بمبلغ، فمالكية عمرو بذاك المبلغ في ذمّة زيد حقّ، علم به الحاكم فيجب عليه الحكم بالحقّ وكذا لو علم</w:t>
      </w:r>
    </w:p>
    <w:p>
      <w:pPr>
        <w:pStyle w:val="BookText"/>
        <w:rPr/>
      </w:pPr>
      <w:r>
        <w:rPr>
          <w:rFonts w:ascii="Amiri" w:hAnsi="Amiri" w:eastAsia="Amiri" w:cs="Amiri"/>
          <w:color w:val="111111"/>
          <w:sz w:val="28"/>
          <w:sz w:val="28"/>
          <w:szCs w:val="28"/>
          <w:rtl w:val="true"/>
          <w:lang w:bidi="ar-SA"/>
        </w:rPr>
        <w:t>أنّ زيداً قاتل لعمرو فالحكم بالقصاص منه في حقّ عمرو عدل، وقسط، يجب عليه أن يحكم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في مقام بيان أنّ الحكم لا بدّ أن يكون متّصفاً بالحقّ والقسط والعدل أمّا أنّها هل يستكشف من أيّ طريق وبأيّ وسيلة فلا يكون في مقام بيانه، فلا يمكن الرجوع إلى الإطلاق حتّى يقال بجواز الحكم طبق علمه بالحقّ والعدل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الآية أنّ القاضي يجب عليه أن يحكم بالحقّ فإذا استكشف الحقّ عنده بالعلم، فلا شبهة في أنّ حكمه على طبقه يكون حكماً بالحقّ ولا يحتاج إلى البيان، إلا أن ينهي عنه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يستفاد منه جواز الحكم إذا استكشف عنده الحقّ بالبيّنة أو اليمين لعدم العلم بكونه طريقاً شرعاً، لو لم يدلّ عليه دليل وإذا قام الدليل على حجّيتهما لا يكون مفهومه عدم حجّية العلم وعدم جواز الاستناد إليه أو عدم كون العلم طريقاً شرعياً، في القضاء، بل المستفاد منها تعميم طريق الاستكشاف للحقّ، والعدل والقسط فيجوز للقاضي أن يستند في القضاء بالبيّنة واليمين وأنّ له أن يستند بالعلم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من استلزام عدم القضاء بالعلم فسق الحاكم، أو إيقاف الحكم من غير موجب وهما باطلان، وذلك لأنّه إذا طلّق الرجل زوجته ثلاثاً مثلًا؛ بحضرته ثمّ جحد كان القول قوله مع يمينه، فإنّ الحكم على خلاف علمه بأن استحلفه ثمّ سلّمها إليه لزم فسقه وإن لم يحكم في الواقعة لزم إيقاف الحكم لا لموجب وهذا أيضاً باطل؛ لأنّ وظيفة القاضي هو فصل</w:t>
      </w:r>
    </w:p>
    <w:p>
      <w:pPr>
        <w:pStyle w:val="BookText"/>
        <w:rPr/>
      </w:pPr>
      <w:r>
        <w:rPr>
          <w:rFonts w:ascii="Amiri" w:hAnsi="Amiri" w:eastAsia="Amiri" w:cs="Amiri"/>
          <w:color w:val="111111"/>
          <w:sz w:val="28"/>
          <w:sz w:val="28"/>
          <w:szCs w:val="28"/>
          <w:rtl w:val="true"/>
          <w:lang w:bidi="ar-SA"/>
        </w:rPr>
        <w:t>الخصومة ورفع التنازع وإيقافه أو امتناعه عن القضاء على خلاف الوظيفة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استشكل عليه بأنّ الاستلزام المذكور، فرع الحجّية القضائية للعلم ولم يثبت ذلك يعني أنّ المطلوب من القاضي هو الحكم على طبق الموازين القضائية الشرعية الثابتة في باب القضاء من البيّنة واليمين، لا الحكم على طبق الواقع، فإذا لم يثبت كونه طريقاً للإثبات وحجّة في باب القضاء و لم يثبت جواز استناد القاضي إليه فلا يلزم شي‌ء ممّا ذكر من اللوازم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الآيات المتقدّمة كانت دالّة على أنّ المطلوب من القاضي هو الواقع، وما هو الحقّ والعدل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 عنده الواقع بالعلم وانكشف ما هو الحقّ بالعلم، يجب عليه الحكم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ينهي الشارع عن الاستناد بالعلم ولم يثبت ذلك وأدلّة حجّية البيّنة واليمين، ليست في مقام بيان الطريق والميزان الصحيح بنحو الكلّي في باب القضاء، بحيث يفهم منه أنّ العلم ليس حجّة وقابلًا للاستناد في باب القضاء، بل المستفاد منها يعمّ الطريق إلى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البيّنة واليمين 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للمصلحة في باب القضاء كما تقدّم، فالاستلزام المذكور صحيح، ونتيجته صحّة القضاء بالعلم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أيضاً من أنّه يستلزم عدم وجوب إنكار المنكر وعدم وجوب إظهار الحقّ عليه مع إمكانه؛ فإنّه إذا علم بطلان ادّعاء القتل على زيد وأنّه ليس قاتلًا واقعاً أو علم أنّ زيداً مديون لعمرو وإنكاره باطل، فإن لم يجب عليه منعهما عن الباطل وإظهار ما عنده من الحقّ و الواقع، لزم الأوّل وإلا ثبت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عليه المنع من المنكر وإظهار الحقّ قولًا، من باب وجوب الأمر بالمعروف و النهي عن المنكر، وأمّا جواز الحكم على طبق علمه في المحكمة فلا؛ فإنّه متوقّف على ثبوت كون علم القاضي، أحد الطرق الثابتة في الموازين الشرعية للقاضي وهو غيرثابت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إثبات كون العلم طريقاً للواقع والحقّ لا يحتاج إلى بيان، بل إذا حصل له العلم يجب عليه الحكم كما استفدناه من الآيات، ويجب عليه الأمر بالمعروف والنهي عن المنكر قولًا وعملًا إلا أن ينهاه الشارع عن العمل بعلمه، وعلم أنّ علمه ليس طريقاً إثباتياً من موازين القضاء في المحكمة، وهذا ليس بثابت من الشارع الأقدس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أيضاً من أنّ العلم أقوى من البيّنة المعلوم إرادة الكشف منها، بمعنى أنّ الشارع جعل البيّنة حجّة للقاضي من جهة غلبة الكشف للواقع فيها، مع أنّ العلم يكون كاشفاً تامّاً فلا بدّ أن يكون حجّة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واستشكل عليه أيضاً بأنّ أقوائية العلم من البيّنة من جهة كونه كاشفاً تامّاً صحيح، بالنسبة إلى نفس القاضي، فالعلم في نفسه أقوى وأولى من البيّنة، وأمّا إذا صار موضوعاً للغير، وأراد الحاكم أن يستند إليه للحكم، على الغير فهذا يحتاج إلى دليل من الشارع لجواز الاستناد إليه وليس هنا إطلاق حتّى جاز التمسّك به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 مثل ما تقدّم، من أنّه معلوم أنّ حجّية البيّنة من جهة كشفه عن</w:t>
      </w:r>
    </w:p>
    <w:p>
      <w:pPr>
        <w:pStyle w:val="BookText"/>
        <w:rPr/>
      </w:pPr>
      <w:r>
        <w:rPr>
          <w:rFonts w:ascii="Amiri" w:hAnsi="Amiri" w:eastAsia="Amiri" w:cs="Amiri"/>
          <w:color w:val="111111"/>
          <w:sz w:val="28"/>
          <w:sz w:val="28"/>
          <w:szCs w:val="28"/>
          <w:rtl w:val="true"/>
          <w:lang w:bidi="ar-SA"/>
        </w:rPr>
        <w:t>الواقع، وهذه الجهة تكون في العلم أقوى، فإذا وجب على القاضي الحكم بالواقع وإذا انكشف الحقّ عنده يجب عليه الحكم على طبقه فلا شبهة في جواز الاستناد إليه في المحكمة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طريقاً إثباتياً، ومن الموازين القضائي؛ إلا أن ينهي عنه الشارع، وهو 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الشيعة يعترضون وينكرون على أبي بكر حيث طلب البيّنة من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فدك مع علمه بصدقها، بل بعصمتها، فلو لم يكن علم الحاكم حجّة واحتاج إلى البيّنة فعمله صحيح في تلك الواقعة ولا وجه للإنكار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يخفى إطباق الإمامية على وجوب الحكم بالعلم وهم ينكرون توقّف أبي بكر عن الحكم لفاطمة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بفدك لمّا ادّعت أنّ أباها أنحلّها ويقولون إذا كان عالماً بعصمتها وطهارتها وأنّها لا تدعي إلا حقّاً؛ فلا وجه لمطالبتها بإقامة البيّنة لأنّ البيّنة لا وجه لها مع العلم بالصدق</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الاعتراض والإنكار عليه من جهة عدم عمله بعلمه وأنّه لا بدّ له من ردّ الفدك إليها من دون الورود في أمر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على الإيراد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بعلمه يستلزم القضاء عليه أيضاً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حسين بن خالد،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الواجب على الإمام إذا نظر إلى رجل يزني أو يشرب الخمر أن يقيم عليه الحدّ، ولا يحتاج إلى بيّنة مع نظره، لأنّه أمين الله في خلقه، وإذا نظر</w:t>
      </w:r>
    </w:p>
    <w:p>
      <w:pPr>
        <w:pStyle w:val="BookText"/>
        <w:rPr/>
      </w:pPr>
      <w:r>
        <w:rPr>
          <w:rFonts w:ascii="Amiri" w:hAnsi="Amiri" w:eastAsia="Amiri" w:cs="Amiri"/>
          <w:color w:val="111111"/>
          <w:sz w:val="28"/>
          <w:sz w:val="28"/>
          <w:szCs w:val="28"/>
          <w:rtl w:val="true"/>
          <w:lang w:bidi="ar-SA"/>
        </w:rPr>
        <w:t>إلى رجل يسرق أن يزبره وينهاه ويمضي ويدعه،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الحقّ إذا كان لله فالواجب على الإمام إقامته وإذا كان للناس فهو للناس</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يقال يجب على الإمام في حقوق الله إذا نظر إلى رجل يزني أو يشرب الخمر أن يقيم عليه الحدّ، وفي حقوق الناس فهو للناس، يعني يحتاج إلى المطالبة فليس المراد هو التفصيل في إقامة الحدود بعلمه بين حقوق الله وحقوق الناس، بل التفصيل كان من جهة توقّف إقامة الحدود في حقوق الناس على المطالبة دون حقوق الله؛ لأنّه أمين الله فيقيم الحدّ في حقوقه من دون لزوم مطالبة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حقوق الناس أيضاً يعمل بعلمه ويكون علمه نافذاً لكنّه بعد المطالبة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الوليّ الشرعي ومن عليه إقامة الحدود، وليس المراد هو الإمام المعصوم كما ورد في أبواب القضاء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ويراد منه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التعبير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الله في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قرينة لإرادة الإمام المعصوم فإنّها أيضاً عبّر في بعض الروايات على العلماء، كخبر إسماعيل بن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امناء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السكوني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 امناء الرسل ما لم يدخلوا في الدنيا</w:t>
      </w:r>
      <w:r>
        <w:rPr>
          <w:rFonts w:eastAsia="Amiri" w:cs="Amiri" w:ascii="Amiri" w:hAnsi="Amiri"/>
          <w:color w:val="111111"/>
          <w:sz w:val="28"/>
          <w:szCs w:val="28"/>
          <w:rtl w:val="true"/>
          <w:lang w:bidi="ar-SA"/>
        </w:rPr>
        <w:t>»</w:t>
      </w:r>
      <w:r>
        <w:rPr>
          <w:rStyle w:val="FootnoteAnchor"/>
          <w:rtl w:val="true"/>
        </w:rPr>
        <w:footnoteReference w:id="423"/>
      </w:r>
      <w:r>
        <w:rPr>
          <w:rFonts w:ascii="Amiri" w:hAnsi="Amiri" w:eastAsia="Amiri" w:cs="Amiri"/>
          <w:color w:val="111111"/>
          <w:sz w:val="28"/>
          <w:sz w:val="28"/>
          <w:szCs w:val="28"/>
          <w:rtl w:val="true"/>
          <w:lang w:bidi="ar-SA"/>
        </w:rPr>
        <w:t xml:space="preserve">وخبر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مجاري الامور والأحكام على أيدي العلماء بالله الامناء على حلاله وحرامه</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فالرواية واضحة الدلالة على جواز القضاء بالعلم في حقوق الله وحقوق الناس للقاضي، ومن حيث السند صحيحة ومعتبرة أيضاً على الأقوى فإنّ محمّد بن أحمد المحمودي وأباه موثّقان،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 في حقوق الناس يحتاج إلى المطالبة وهنا نبحث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البحث عن أنّ أصل جواز القضاء بالعلم في حقوق الله وحقوق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إقامة الحدود في حقوق الناس يحتاج إلى المطالبة أم لا؟ فهو بحث آخر يطلب في كتاب الحدود</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أورد على الاستدلال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الإمام هو الإمام المعصوم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أمين الله في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أنّ المراد منه الوليّ الشرعي، فيشمل نوّاب الإمام أيضاً، لكنّه غير مرتبط بباب القضاء، بل المراد منه الوظيفة الإجرائية للوليّ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نظر إلى رجل يرتكب المعاصي من الحدود، أو التعزيرات،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يجري عليهم الحدّ والتعزير، لدفع الفساد من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الجواب من إيراد الأوّل قد تقدّم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إنّ المراد من النظر فيها، هو الثبوت عند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النظر بالعين والرؤية بها، فإنّ الإمام في مقام بيان التفصيل بين إقامة الحدود في</w:t>
      </w:r>
    </w:p>
    <w:p>
      <w:pPr>
        <w:pStyle w:val="BookText"/>
        <w:rPr/>
      </w:pPr>
      <w:r>
        <w:rPr>
          <w:rFonts w:ascii="Amiri" w:hAnsi="Amiri" w:eastAsia="Amiri" w:cs="Amiri"/>
          <w:color w:val="111111"/>
          <w:sz w:val="28"/>
          <w:sz w:val="28"/>
          <w:szCs w:val="28"/>
          <w:rtl w:val="true"/>
          <w:lang w:bidi="ar-SA"/>
        </w:rPr>
        <w:t>التوقّف عن المطالبة وعدمه، فكلّما ثبت عنده حقّ من حقوق الله يقيمه من دون التوقّف على 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ثبت عنده حقّ من حقوق الناس فإقامة الحدّ فيها يحتاج إلى المطالبة وموردها وظيفه الحاكم الشرعي ويرتبط، بل يختصّ بباب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الصدوق، بإسناده إلى قضايا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وتقريب الاستدلال بالرواية أنّ الرجل القرشي بعد أن جعل قاضياً بين رسول</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والأعرابي، المدّعي على رسول الله سبعين درهماً، ثمن ناقة ادّعى أنّه باعها من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تقول يا رسول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أوفيته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الأعرابي منكراً قال القرشي لرسول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بيّنة؟ أمّا أمير المؤمنين إذا جعل قاضياً بينهما وسئل عن الرسول بقوله ما تقول يا رسول الله؟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أوفيته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اكتفي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وثبت عنده أنّه قد أوفاه ثمن الناقة ولم يكن ذمّة رسول الله مديوناً بشي‌ء، فقال للأعرابي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رسول الله فيما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قد ثبت عندي صدق 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أنت أيضاً تصدق؟ فلمّا قال الأعرابي لا ما أوفأني شيئاً، فعلم أنّه كاذب ويكذّب النبي في ادّعائه فهو مرتدّ، فأخرج سيفه وضرب عنقه لارتداده، ثمّ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تصديق له فيما فعل بالمرتدّ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تعد إلى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لمصلحة كانت في نظره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بالنسبة إلى اكتفاء على بقول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أوفيت ثمنها وتصديقه إيّاه في ذلك وعلمه بعدم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مديوناً للأعرابي، ولذا لم يسئل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الشهود فقد صدقه في ذلك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للقرشي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حكم الله لا ما حكمت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بدّ لك أيضاً تصديق الرسول والعلم من قوله والعمل به، لا الرجوع إلى البيّنة والحلف فالأوّل هو حكم الله لا ما حكمت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شبهة في أنّ العلم الحاصل لعلي هو العلم العادي الذي يحصل لكلّ أحد يسمع الكلام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العلم اللدنّي والغيب</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أنّه لا شبهة في أنّ العلم الحاصل لعلي وهو المعصوم لا خصوصية له، وكذا العلم الحاصل من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خصوصية له، بل المراد هو العلم الحاصل لشخص من طريق عادي، ولذا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للقرشي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الحكم الذي يجب على كلّ أحد أن يتبعه، وكان هو أيضاً يجب أن يحكم بهذا الحكم لا ما حكم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فالحديث من حيث الدلالة تامّ، وكذا من حيث السند؛ لأنّه قال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نقله من قضايا أمير المؤمنين من طريقه إلى محمّد بن قيس فأفراده موثّق بما أنّ الحديث منقول من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الإيراد على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العلم الحاصل للمعصوم غير قابل للخطاء أو العلم الحاصل من قول المعصوم له خصوصية لا يمكن تسرّيه إلى غيره، أو قوله هذا حكم الله إشارة إلى قتل الأعرابي المرتدّ، بيد علي وليس مربوطاً بباب العلم للقاضي فغير تامّ،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في ذلك الباب</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وتقريب الاستدلال به أنّ خزيمة بن ثابت لمّا شاهد أنّ النبي يقول للأعرابي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ابتعت الفرس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وأنكره الأعرابي،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 شهيداً يشهد أنّي قد بايعتك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أشهد أنّك قد بايعته،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 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بتصديقك يا رسول الله، فجعل رسول الله شهادة خزيمة بن ثابت شهادتين و سمّاه ذا الشهادتين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شهادة خزيمة باستناد علمه، من قول رسول الله، وصدّقه في ذلك رسول الله، ولم يكتف بذلك، بل جعل شهادته بمنزلة شهادتين فكما أنّ الشهادة باستناد العلم جائزة فكذلك القضاء باستناد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عليه أنّه لا ملازمة بين جواز الشهادة وجواز القضاء بالعلم، ولو سلّمنا ذلك فإنّه هو العلم الحاصل من قول المعصوم، وأين هو من جواز العمل بمطلق العلم الحاصل من القرائن وضمّ الشواهد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من الآثار المترتّبة على العلم، فكما أنّه إذا علم أحد بأمر جاز له أن يشهد عليه، كذلك جاز له القضاء على طبقه، وقد تقدّم أنّ العلم الحاصل عن قول المعصوم لا خصوصية له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في بعض التواريخ أنّ المشركين قد مهّدوا توطئة وحيلًا على النبي، لهتك حرمته وسقوط مكانته بين الناس، بأن يدّعي عليه فيما لا يكون شهوداً حتّى ينكر النبي ثمّ يظهروا كذبه وانتشروا أنّه كذب حتّى تسقط مكانته واعتبار قوله وكلامه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علم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قتل الأعرابي المدّعي في الناقة على النبي، لسدّ هذا الباب وكذا مدح النبي خزيمة بن ثابت وجعل شهادته بمنزلة شهادتين لذلك، فإنّه لو يفتح باب ذلك على النبي يوجب سقوط نفوذ كلامه واحترامه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وسند هذه الرواية وإن كان ضعيفاً لكن القضية كانت مشهورة وكان خزيمة مشهوراً بذي الشهادتين من هذه الجهة، فلهذا نقول هذه الرواية قابلة للاعتماد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عبدالرحمن بن الحجّاج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ونقل مثلها الشيخ في تهذيب الأحكام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747</w:t>
      </w:r>
      <w:r>
        <w:rPr>
          <w:rFonts w:ascii="Amiri" w:hAnsi="Amiri" w:eastAsia="Amiri" w:cs="Amiri"/>
          <w:color w:val="111111"/>
          <w:sz w:val="28"/>
          <w:sz w:val="28"/>
          <w:szCs w:val="28"/>
          <w:rtl w:val="true"/>
          <w:lang w:bidi="ar-SA"/>
        </w:rPr>
        <w:t>، عن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والصدوق بسند آخر معتبر عن محمّد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واقتصر على قصّة علي مع شريح وزاد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ردّ شهادة المملوك رمع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منه الخليفة الثاني فإنّه مقلوب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3428</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بها أنّ أمير المؤمنين حيث قال لشريح، هذه درع طلحة أخذت غلولًا يوم البصرة فطلب منه البيّنة ثمّ ردّ الشهود غضب على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قضى بجور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ثمّ بين له جوره في ثلاث مرّات، ثمّ قال ويلك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أمام المسلمين يؤمن من امورهم على ما هو أعظم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إشكال رابع على قضاء شريح يعني إذا أخبر لك إمام المسلمين الذي كان معصوماً ومأموناً على امور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درع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لك أن تصدقه ويحصل لك العلم بذلك وتقضي به من دون مطالبة البيّنة منه، فإنّ إمام المسلمين كان مأموناً في امورهم وأموالهم على ما هو أعظم من هذا فتوبيخ الإمام إيّاه كان من جهة خروجه عن ميزان القضاء من ترك العمل بالعلم والالتفات إلى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التفرشي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مبنى ذلك على أنّه لم يكن كلام في أنّها درع طلحة لعلمهم بذلك بحيث لا يمكن إنكاره حيث رأوها مرّة بعد اخرى، بل الكلام إنّما كان في أن عبدالله بن قفل هل أخذها غلولًا، أو على وجه شرعي، والأصل عدم انتقالها إليه بناقل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فقدان درع طلحة يوم الجمل ممّا اشتهر</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العلامة المجلسي</w:t>
      </w:r>
      <w:r>
        <w:rPr>
          <w:rStyle w:val="FootnoteAnchor"/>
          <w:rtl w:val="true"/>
        </w:rPr>
        <w:footnoteReference w:id="430"/>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ما وجد غلولًا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محمول على ما إذا كان معروفاً مشهوراً بين الناس أو عند الإمام وإلا فالحكم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الأخذ من غير</w:t>
      </w:r>
    </w:p>
    <w:p>
      <w:pPr>
        <w:pStyle w:val="BookText"/>
        <w:rPr/>
      </w:pPr>
      <w:r>
        <w:rPr>
          <w:rFonts w:ascii="Amiri" w:hAnsi="Amiri" w:eastAsia="Amiri" w:cs="Amiri"/>
          <w:color w:val="111111"/>
          <w:sz w:val="28"/>
          <w:sz w:val="28"/>
          <w:szCs w:val="28"/>
          <w:rtl w:val="true"/>
          <w:lang w:bidi="ar-SA"/>
        </w:rPr>
        <w:t>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أورد على الاستدلال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حصول العلم من إخبار المعصوم موجّه، ولكن لا يمكن إسراؤه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أجنبي عن باب القضاء، بل المراد توبيخه من جهة ضعف اعتقاده بالإمام فإنّه إذا أخبر الإمام بأمر يجب على كلّ أحد من المأمومين إطاعته وترتيب الأثر بكلامه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على الإيراد الأوّل؛ بأنّ العلم الحاصل من كلام المعصوم لا خصوصية له، بل الميزان هو حصول العلم بمن يحصل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ظاهر الرواية، فإنّ الظاهر توبيخه في أمر القضاء وخلافه في الموازين المعينة للقضاء لا في الاعتقاد بالإمامة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سليمان بن خالد،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نبياً من الأنبياء شكا إلى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كيف أقضي فيما لم أر ولم أشهد؟ قال فأوحى الله إليه أحكم بينهم بكتابي، وأضفهم إلى اسمي، فحلّفهم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هذا لمن لم تقم له بيّنة</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وسيأتي تقريب الاستدلال بهذه الصحيحة مع تقريب الاستدلال بمرسلة أبان بن عثمان الآتي في الدليل الثاني عشر</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أبان بن عثمان، عمّن أخبره،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نبياً من الأنبياء شكا إلى ربّه القضاء؛ فقال كيف أقضي بما لم تر عيني ولم تسمع اذني؟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إقض بينهم بالبيّنات</w:t>
      </w:r>
    </w:p>
    <w:p>
      <w:pPr>
        <w:pStyle w:val="BookText"/>
        <w:rPr/>
      </w:pPr>
      <w:r>
        <w:rPr>
          <w:rFonts w:ascii="Amiri" w:hAnsi="Amiri" w:eastAsia="Amiri" w:cs="Amiri"/>
          <w:color w:val="111111"/>
          <w:sz w:val="28"/>
          <w:sz w:val="28"/>
          <w:szCs w:val="28"/>
          <w:rtl w:val="true"/>
          <w:lang w:bidi="ar-SA"/>
        </w:rPr>
        <w:t>وأضفهم إلى اسمي يحلّفون به</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سليمان بن خالد ومرسلة 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المفهوم من شكاية النبي إلى ربّه بأنّه كيف يقضي فيما لم يره ولم يشهده، أنّه إذا رآه أو شاهده؛ فصحّة القضاء كان مفروغاً عنه عنده ويعلم أنّه يقضي حينئذٍ على مقتضى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فيما إذا لم يره فلا يعلم ماذا يفعل حينئذٍ، وسكوته تعالى عن هذا المفهوم تصحيح وإمضاء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علّمه كيفية القضاء فيما لم يره ولم يشهده بأن يقضي بالبينات والأيمان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وإن كان حكم في كيفية القضاء في زمن نبيّ من الأنبياء في سالف الزمان؛ لكن ذكره في كتاب على ونقله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ذاك الكتاب بيان لإجراء هذا الحكم في هذه الشريعة أيضاً وأنّ كيفية القضاء في هذه الشريعة مثل ما كان في الشرائع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أقضي فيما لم أر ولم تر عيني ولم تسمع اذني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فيما لم أعلم فإنّه لا خصوصية في الرؤية والسماع، بل ذكرهما لبيان مصداق الأعلى للعلم وهو ما يحصل من طريق الرؤية أو 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الرواية أنّ القضاء بالبيّنة أو اليمين في طول القضاء بالعلم فإذا لم يكن عالماً، يقضي بالبينات والأيمان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أيضاً أنّ الميزان في القضاء هو الحكم بالواقع وهو الحقّ والعدل، فإذا كان عالماً به فذاك وإلا فيقضي بطريق آخر يكشف عن الواقع غالباً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وسند رواية سليمان بن خالد نقيّة، ورواية أبان وإن كانت مرسلة، لكن</w:t>
      </w:r>
    </w:p>
    <w:p>
      <w:pPr>
        <w:pStyle w:val="BookText"/>
        <w:rPr/>
      </w:pPr>
      <w:r>
        <w:rPr>
          <w:rFonts w:ascii="IRNazanin" w:hAnsi="IRNazanin" w:eastAsia="IRNazanin"/>
          <w:color w:val="111111"/>
          <w:sz w:val="28"/>
          <w:sz w:val="28"/>
          <w:szCs w:val="28"/>
          <w:rtl w:val="true"/>
          <w:lang w:bidi="fa-IR"/>
        </w:rPr>
        <w:t>المرسل هو أبان بن عثمان وهو من أصحاب 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واستشكل على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المشكل عند نبيّ من الأنبياء الذي شكى منه إلى الله، هو عدم اطّلاعه عن الواقع، الذي هو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ويخاف أن يحكم على خلاف ما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والشاهد على ذلك ما نقل عن استدعاء داود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الله ذيل المرسلة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الكلّي في باب القضاء وهو الحكم بالبينات والأيمان وليس موظّفاً بالحكم بالواقع، فلا تدلان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سليمان بن خالد ومرسلة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جواز القضاء بالعلم فيما يكون القاضي عالماً بالموضوع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الدلالة، تدلّ على اعتبار العلم الحسّي الذي حصل للقاضي بالرؤية بالعين، أو السماع بالاذن، فلا تدلّ على جواز القضاء بمطلق العلم ولو كان حدسياً، أو قريب 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المتفاهم العرفي من شكاية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 أنّه في الأغلب يترافعان إليه، ويتحاكمان عنده بموضوعات لم يره ولم يكن حاضراً وشاهداً عنده، فالعمدة من المشكل عنده كيفية القضاء في هذه الموارد، فأراه الله كيفيه القضاء فيما كان عنده مشكلًا بحيث لا يعلم الحقّ والواقع ويردّد فيه، فليس سؤاله عن كيفية القضاء بالواقع عند الله، وليس المراد من الوحي إرائة طريق القضاء بنحو الكلّي حتّى فيما كان عالماً به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التعبير من عدم العلم بموضوع، بعدم الرؤية والسماع مرسوم، وكثير وعرفي، خصوصاً قوله في المرسلة كيف أقضي بما لم تر عيني، ولم تسمع اذني؟ فإنّها تأكيد في عدم العلم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جميع ما يمكن الاستدلال به على القول المشهور، من جواز عمل القاضي بعلمه في حقوق الله وحقوق الناس ورأينا أنّ دلالتها قوية على قول المشهور، والمناقشات والإيرادات عليها قابلة للدفع والرفع ومخدوشة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الاستدلال بالآيات وبعض الوجوه المتقدّمة ونقل كلام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شدّة الإنكار على ابن 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بعدم جواز العمل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ونسبة قلّة التأمّل في أقوال الإمامية واستدلالاتهم بابن جنيد ونقل شدّة الإنكار من غير السيّد أيضاً، على ابن جنيد؛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الإنصاف أنّه ليس بتلك المكانة من الضعف </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اعتقاده أنّ البحث هنا في أنّ العلم هل هو من طرق الحكم والفصل بين المتخاصمين في جميع الحقوق، بحيث يصحّ للقاضي أن يستند إليه في المحكمة مثل استناده إلى البيّنة والحلف أم لا؟ وليس في شي‌ء من الأدلّة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ذلك، بل أقصي ما يدلّ عليه، حجّية العلم لمن حصل له، ولا بدّ أن يترتّب عليه الأثر من التكاليف الشرعية، وذلك لا يقتضي كونه من طرق الحكم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عمدة الإشكال الذي في أذهان المستشكلين، والقائلين بعدم حجّية العلم للقاضي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الأسف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بحثّوا عن الأدلّة، كان همّهم تطبيق‌الأدلّة مع ما في أذهانهم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رأينا بحمد الله عزّ وجلّ أنّ الأدلّة تامّة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الآيات الشريفة والأخبار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جواز استناد القاضي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حجّية العلم له فإنّ قوله تعالى وَالسَّارِقُ وَالسَّارِقَةُ فَاقْطَعُوا</w:t>
      </w:r>
    </w:p>
    <w:p>
      <w:pPr>
        <w:pStyle w:val="BookText"/>
        <w:rPr/>
      </w:pPr>
      <w:r>
        <w:rPr>
          <w:rFonts w:ascii="Amiri" w:hAnsi="Amiri" w:eastAsia="Amiri" w:cs="Amiri"/>
          <w:color w:val="111111"/>
          <w:sz w:val="28"/>
          <w:sz w:val="28"/>
          <w:szCs w:val="28"/>
          <w:rtl w:val="true"/>
          <w:lang w:bidi="ar-SA"/>
        </w:rPr>
        <w:t>أيْدِيَهُمَا</w:t>
      </w:r>
      <w:r>
        <w:rPr>
          <w:rStyle w:val="FootnoteAnchor"/>
          <w:rtl w:val="true"/>
        </w:rPr>
        <w:footnoteReference w:id="434"/>
      </w:r>
      <w:r>
        <w:rPr>
          <w:rFonts w:ascii="Amiri" w:hAnsi="Amiri" w:eastAsia="Amiri" w:cs="Amiri"/>
          <w:color w:val="111111"/>
          <w:sz w:val="28"/>
          <w:sz w:val="28"/>
          <w:szCs w:val="28"/>
          <w:rtl w:val="true"/>
          <w:lang w:bidi="ar-SA"/>
        </w:rPr>
        <w:t>تدلّ على وجوب قطع يد السارق للقاضي، والسارق من تلبّس بالسرقة فإذا علم القاضي بتلبّس أحد، بالسرقة فهو سارق عنده ويجب قطع يده عليه، فلو لم يكن البيّنة أو الحلف حجّة عند الشارع، فهل لم نفهم من هذه الآية شيئاً أو نعلم وجوب الحكم طبق علمه؟ فإنّ الحكم تعلّق بالواقع من غير تعيين الطريق إليه، فإذا ورد الدليل منه على حجّية البيّنة؛ نعلم أنّه وسع الطريق إلى الواقع للقاضي، أي أجاز الشارع للقاضي الانتقال من طريق له كشف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طريق له غلبة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لم يكن الطريق التامّ حاصلًا؛ وهو الأغلب</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قوله مخاطباً للقرشي في رواية الصدوق بإسناده إلى قضايا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حكم الله لا ما حكمت به</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 xml:space="preserve">مشيراً إلى عمل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استناده بعلمه في القضاء تدلّ على أنّ الاستناد بالعلم للقاضي هو حكم الله وكذا غيرهما من الأدلّة، فلا يبقى شكّ في جواز استناد القاضي بالعلم في الحكم لمن راجع الأدلّة ونظر فيها بالدقّة والتأمّل كخالي الذهن، كما قال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يروي هذه الأخبار مستحسناً لها معوّلًا عليها كيف يجوز أن يشكّ في أنّه كان يذهب إلى أنّ الحاكم يحكم بعلمه لو لا قلّة تأمّل ابن الجنيد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bookmarkStart w:id="216" w:name="pg1791_15591"/>
    </w:p>
    <w:p>
      <w:pPr>
        <w:pStyle w:val="Heading5"/>
        <w:numPr>
          <w:ilvl w:val="4"/>
          <w:numId w:val="1"/>
        </w:numPr>
        <w:rPr/>
      </w:pPr>
      <w:bookmarkStart w:id="217" w:name="__RefHeading___Toc2354569_3650668749"/>
      <w:bookmarkStart w:id="218" w:name="_Toc81"/>
      <w:bookmarkEnd w:id="216"/>
      <w:bookmarkEnd w:id="217"/>
      <w:r>
        <w:rPr>
          <w:rtl w:val="true"/>
        </w:rPr>
        <w:t>القول الثاني</w:t>
      </w:r>
      <w:r>
        <w:rPr>
          <w:rtl w:val="true"/>
        </w:rPr>
        <w:t xml:space="preserve">: </w:t>
      </w:r>
      <w:r>
        <w:rPr>
          <w:rtl w:val="true"/>
        </w:rPr>
        <w:t>عدم جواز العمل بالعلم للقاضي مطلقاً</w:t>
      </w:r>
      <w:bookmarkEnd w:id="218"/>
    </w:p>
    <w:p>
      <w:pPr>
        <w:pStyle w:val="BookText"/>
        <w:rPr/>
      </w:pPr>
      <w:r>
        <w:rPr>
          <w:rFonts w:ascii="Amiri" w:hAnsi="Amiri" w:eastAsia="Amiri" w:cs="Amiri"/>
          <w:color w:val="111111"/>
          <w:sz w:val="28"/>
          <w:sz w:val="28"/>
          <w:szCs w:val="28"/>
          <w:rtl w:val="true"/>
          <w:lang w:bidi="ar-SA"/>
        </w:rPr>
        <w:t xml:space="preserve">وهو قول ابن الجنيد على ما نسبه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Style w:val="FootnoteAnchor"/>
          <w:rtl w:val="true"/>
        </w:rPr>
        <w:footnoteReference w:id="437"/>
      </w:r>
      <w:r>
        <w:rPr>
          <w:rFonts w:ascii="Amiri" w:hAnsi="Amiri" w:eastAsia="Amiri" w:cs="Amiri"/>
          <w:color w:val="111111"/>
          <w:sz w:val="28"/>
          <w:sz w:val="28"/>
          <w:szCs w:val="28"/>
          <w:rtl w:val="true"/>
          <w:lang w:bidi="ar-SA"/>
        </w:rPr>
        <w:t>، فقد استدلّ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كما قاله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إذا شككنا في جواز استناد القاضي بعلمه في المحكمة وعدمه، فأصالة عدم ترتّب آثار الحكم عليه يقتضي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مقطوع بالدليل والدليل هنا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بالعلم،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بالعلم يعرض الحاكم للتهمة وسوء الظنّ به، وذلك يوجب سقوط مكانته عند الناس، وعدم الاعتماد بقوله، وهو غير مناسب للمنصب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 تصدّيه للحكم أيضاً يوجب ذلك، كما أنّ تزكية الشهود وقبول قولهم أو جرحهم وعدم قبول قولهم، التي هي من وظائف الحاكم يوجب ذلك أيضاً ولم يكن مانعاً من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القاضي يعتبر فيه العدالة وهي مانعة من اتّهامه بهذا الامور؛ فإنّه 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تزكية النفس،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العمل بالعلم ادّعاء التزكية لنفسه وهذا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حاصلة بالجلوس في منصب القضاء وقبول تصدّيه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الحدود على المسامحة،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بناء الحدود على المسامحة</w:t>
      </w:r>
    </w:p>
    <w:p>
      <w:pPr>
        <w:pStyle w:val="BookText"/>
        <w:rPr/>
      </w:pPr>
      <w:r>
        <w:rPr>
          <w:rFonts w:ascii="Amiri" w:hAnsi="Amiri" w:eastAsia="Amiri" w:cs="Amiri"/>
          <w:color w:val="111111"/>
          <w:sz w:val="28"/>
          <w:sz w:val="28"/>
          <w:szCs w:val="28"/>
          <w:rtl w:val="true"/>
          <w:lang w:bidi="ar-SA"/>
        </w:rPr>
        <w:t>في حدود الله والمطلوب عدم ثبوتها والتستّر على الناس حتّى المقدور على ما يستفاد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الستر يكون مع عدم الثبوت، أمّا إذا ثبت فليس كذلك والعلم ثبوت وظهور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هشام بن الحكم، صحيحة هشام بن الحكم،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أقضي بينكم بالبينات والأيمان، وبعضكم ألحن بحجّته من بعض، فأيّما رجل قطعت له من مال أخيه شيئاً، فإنّما قطعت له به قطعة من النار</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بها أنّ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للحصر وظاهره الحصر الحقيقي فتدلّ على انحصار ما يستند إليه القاضي في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البينات والأيمان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 فبمفهوم الحصر تدلّ على نفي حجّية علم القاضي وعدم جواز الاستناد إليه في القضاء</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وعمدة الاستدلال لهذا القول؛ هذه الرواية فإنّهم استفادوا منها أنّ الشارع جعل للقضاء طريقاً وميزاناً لا بدّ للقاضي أن يستند إليه في باب القضاء وهو البيّنة واليمين والعلم خارج عنها، فلا يصحّ الاستناد إليه، وهذا مراد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المتقدّم أنّ البحث في أنّ العلم هل هو من الطرق المجعولة للاستناد إليه في القضاء أم ليس في الأدلّة ما دلّ على ذلك؟ يعني أنّ ما كان ميزاناً للإثبات في المحكمة وطريقاً يصحّ الاستناد إليه شرعاً هو البيّنة واليمين لا غير، فلا يمكن الاستناد إلى العلم في المحكمة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الاستدلال المذكور في رواية هشام بن الحكم،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الحصر هنا إضافي فإنّ الناس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يشاهدون أنّ النبي يخبرهم بما يفعلون في منازلهم؛ أو يقولون في مقام المقابلة مع النبي ويخبرهم من المكر والحيلة في تصميماتهم، وغيرها فعند وقوع المنازعة أو المشاجرة بينهم إذا ترافعوا إليه كان في ذهنهم بحسب الطبع أنّ النبي يحكم بينهم بما علمه الله من الغيب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أقضي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دفع هذا الأمر؛ يعني لم أحكم بما عندي من علم الغيب، بل أقضي بينكم بالبينات والأيمان، فالحصر إضافي في قبال الواقع عند الله بقرينة ما ذكر، فلا ينافي القضاء باستناد العلم أو الإقرار أو شاهد ويمين المدّعي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الحصر إضافي أيضاً في قبال قبول صرف الدعوى والألحنية في الخطاب بقرينة ذيل الحديث، فالمراد أنّ صرف الدعوى وإن كانت مقرونة بكون المدّعي خطيباً مفهماً لمقصوده بأحسن بيان؛ لا يكفي ما لم يكن حجّة في البين وقد ذكر الحجّة الغالبة بحسب الموجود أعني البيّنة واليمين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كلامه محمول على الغالب، يعني أنّ موارد حصول العلم قليل وأكثر موارد التنازعات والمرافعات ممّا لا يكون القاضي عالماً ولا يحصل له العلم بالموضوع؛ فإنّما هو يقضي بينهم بالبينات والأيمان، فلا يكون نافياً لصحّة الاستناد بالعلم، بل جوازه كان مفروغاً عنه ولكن في الأغلب يقضي بهما لعدم حصول العلم، فكان نظير قول نبي من الأنبياء فيما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أقضي فيما لم أره ولم أشهده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لذلك ذيل الرواية يعني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رجل قطعت له من مال أخيه شيئاً، فإنّما قطعت له به قطعة من النار، فالملاك هو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والبيّنة</w:t>
      </w:r>
    </w:p>
    <w:p>
      <w:pPr>
        <w:pStyle w:val="BookText"/>
        <w:rPr/>
      </w:pPr>
      <w:r>
        <w:rPr>
          <w:rFonts w:ascii="Amiri" w:hAnsi="Amiri" w:eastAsia="Amiri" w:cs="Amiri"/>
          <w:color w:val="111111"/>
          <w:sz w:val="28"/>
          <w:sz w:val="28"/>
          <w:szCs w:val="28"/>
          <w:rtl w:val="true"/>
          <w:lang w:bidi="ar-SA"/>
        </w:rPr>
        <w:t>واليمين طريقان إلى الواقع ولكنّهما لا يغيران الواقع، فلو أخطأ فلا يجوز للمحكوم له أخذ ما حكم به فإنّه قطعة من النار فإذا كان الملاك هو الواقع فأيّ طريق إلى الواقع أوفى وأتقن من العلم؟</w:t>
      </w:r>
    </w:p>
    <w:p>
      <w:pPr>
        <w:pStyle w:val="BookText"/>
        <w:rPr/>
      </w:pPr>
      <w:r>
        <w:rPr>
          <w:rFonts w:ascii="Amiri" w:hAnsi="Amiri" w:eastAsia="Amiri" w:cs="Amiri"/>
          <w:color w:val="111111"/>
          <w:sz w:val="28"/>
          <w:sz w:val="28"/>
          <w:szCs w:val="28"/>
          <w:rtl w:val="true"/>
          <w:lang w:bidi="ar-SA"/>
        </w:rPr>
        <w:t xml:space="preserve">ويشهد لذلك أيضاً حديث الحسن بن على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w:t>
      </w:r>
      <w:r>
        <w:rPr>
          <w:rStyle w:val="FootnoteAnchor"/>
          <w:rtl w:val="true"/>
        </w:rPr>
        <w:footnoteReference w:id="439"/>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يحكم بين الناس بالبيّنات والأيمان في الدعاوي فكثرت المطالبات والمظالم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بشر، وأنتم تختصمون، ولعلّ بعضكم ألحن بحجّته من بعض وإنّما أقضي على نحو ما أسمع منه، فمن قضيت له من أخيه بشي‌ء فلا يأخذنّه، فإنّما أقطع له قطعة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الغالب ويؤكّد في ذيلها أنّ الخطأ في الطريق لا يغير الواقع، فلا يجوز للمحكوم له أخذه، فإذا كان الملاك هو الواقع، وقلنا أنّ البيّنة والحلف طريقان إليه، فالعلم طريق تامّ للكشف عن الواقع وأقدم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المشايخ الثلاثة، ما روى المشايخ الثلاث عن قول أميرالمؤمنين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أحكام المسلمين على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عادلة، أو يمين قاطعة، أو سنّة ماضية من أئمّة الهدى</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وفيما نقله الصدوق في الخصال في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أحكام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سنة جارية مع أئمّة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الاستدلال بها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جميع أحكام القضائي للمسلمين في البيّنة واليمين والسنّة أو الطريقة العلمية أو المنقولة من الأئمّة من شاهد واحد، ويمين المدّعي، أو الإقرار، أو القواعد الشرعية، من درء الحدود بالشبهة واليد والاستصحاب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خارج منها ولو كان أحد الطرق هو العلم فلا بدّ أن يذكر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داخل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الماضية في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وجه لخروجها، فإنّ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به في موارد كثيرة فيكون من مصاديق السنّة الماضية في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الرواية وإن نقلها المشايخ الثلاثة، لكن أسنادهم غير نقيّة في مثل أبي جميلة مفضّل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ضعيف كذّاب يضع الحديث</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المحقّق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مفضّل بن صالح وقع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شهد ابن قولويه بوثاقة جميع من وقع في أسناد كتابه</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معارض بما ذكره النجاشي</w:t>
      </w:r>
      <w:r>
        <w:rPr>
          <w:rStyle w:val="FootnoteAnchor"/>
          <w:rtl w:val="true"/>
        </w:rPr>
        <w:footnoteReference w:id="443"/>
      </w:r>
      <w:r>
        <w:rPr>
          <w:rFonts w:ascii="Amiri" w:hAnsi="Amiri" w:eastAsia="Amiri" w:cs="Amiri"/>
          <w:color w:val="111111"/>
          <w:sz w:val="28"/>
          <w:sz w:val="28"/>
          <w:szCs w:val="28"/>
          <w:rtl w:val="true"/>
          <w:lang w:bidi="ar-SA"/>
        </w:rPr>
        <w:t>من أنّ ضعف مفضّل بن صالح كان من المتسالم عليه عند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روى عنه جمع من الأجلّة ومن أجمعت العصابة إلى تصحيح ما يصحّ عنه؛ مثل ابن أبي عمير، والحسن بن محبوب، والبزنطي، وأيضاً كان كثير الرواية وسديدة ومفتى بها</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ضعفه متسالم عليه فكثرة الرواية ورواية الأجلّة عنه، لا تدلان على وثاقته، فلا يمكن الاعتماد عليه وفي الأسناد أفراد آخر غير معتمد،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روايات في البيّنة واليمين، ما ورد في الصحيح وغيره من أنّ البيّنة على المدّعي واليمين على المدّعى عليه وعليها الاستدلال بتقريب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هشام،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على من ادّعى، واليمين على من ادّعي عليه</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حكم في دمائكم بغير ما حكم به في أموالكم، حكم في أموالكم، أنّ البيّنة على المدّعي، واليمين على المدّعى عليه، وحكم في دمائكم أنّ البيّنة على من ادّعي عليه، واليمين على من ادّعى، لئلا يبطل دم امرئ مسلم</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البيّنة على المدّعي واليمين على المدّعى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كيفية الاستدلال بالروايات</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وتقريب الاستدلال بها أنّ الظاهر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انحصار طريق الإثبات القضائي في أمرين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المدّعي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واليمين على المدّعى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تدلّ على الحصر بوجه، بل يحمل على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غير مرتبط بما نحن بصدده؛ فإنّها في مقام تشخيص أنّ البيّنة على عهدة من، واليمين على عهدة من؟ فإنّها يبين أنّ المدّعي وظيفته الإتيان بالبيّنة والمدّعى عليه وظيفته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طرق الإثبات هل هذين فقط أو يوجد غيرهما أيضاً؟ فلا تكون في مقام بيانه، فلا تدلّ على نفي كون العلم طريقاً إثباتياً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يونس، عمّن رواه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استخراج الحقوق بأربعة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رجلين عدلين، فإن لم‌يكونا رجلين فرجل وامرأتان، فإن لم تكن امرأتان فرجل ويمين المدّعي، فإن لم يكن شاهد فاليمين على المدّعى عليه، فإن لم يحلف وردّ اليمين على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يحلف، ويأخذ حقّه، فإن أبى أن يحلف فلا شي‌ء له</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أنّ الرواية تدلّ على انحصار طرق استخراج الحقوق في المحكمة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العلم فيعلم أنّه لا يكون من الطرق فلا يجوز الاستناد إليه للقاضي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ضعيفة سنداً، لكونه مرسلة ومضمرة، سقطت بعض رواته ولم يذكر الإمام المرويّ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منصرفة عن العلم، بل هي في مقام بيان كيفية الاستناد إلى البيّنة واليمين، ولذا لم يتعرّض للإقرار أيضاً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ابن فرقد، صحيحة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وجدت على بطن امرأتك رجلًا ما كنت صانعاً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أضربه بالسيف،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يا سعد؟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لو وجدت على بطن امرأتك رجلًا ما كنت صانعاً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أضربه بالسيف،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فيكف بالأربعة 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بعد رأى عيني وعلم الله أن قد فعل؟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والله بعد رأى عينك وعلم الله أن قد فعل، إنّ الله قد جعل لكلّ شي‌ء حدّاً وجعل لمن تعدّي ذلك الحدّ حدّاً</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بالأربعة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والله بعد رأى عينك وعلم الله أن قد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أنّ الحدّ لا يجري إلا مع الإثبات بالبيّنة، وأنّ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علم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مدخلية له في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الزوج، ولا علم القاضي، ولا 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الله جعل لكلّ شي‌ء 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إنّ الله عزّ وجلّ جعل لإثبات كلّ شي‌ء ميزاناً وطريقاً ومقرّراً والميزان في حدود الله هو الشهود وإثبات الحدّ في المحكمة بالبيّنة وجعل مادون الأربعة مستوراً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يظهر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بالأربعة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مقام بيان ردّ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أضربه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لا بدّ أن يراجع إلى الحاكم ويشهد عليه البيّنة وبعد ثبوته في المحكمة يحكم القاضي بإجراء الحدّ وليس لك أن تقيم الحدّ بنفسك وإن رأيت بعينك وعلم الله أن قد فعل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وببيان آخر كان رسول الله بصدد نهي الزوج عن إقامة الحدّ بنفسه، على</w:t>
      </w:r>
    </w:p>
    <w:p>
      <w:pPr>
        <w:pStyle w:val="BookText"/>
        <w:rPr/>
      </w:pPr>
      <w:r>
        <w:rPr>
          <w:rFonts w:ascii="Amiri" w:hAnsi="Amiri" w:eastAsia="Amiri" w:cs="Amiri"/>
          <w:color w:val="111111"/>
          <w:sz w:val="28"/>
          <w:sz w:val="28"/>
          <w:szCs w:val="28"/>
          <w:rtl w:val="true"/>
          <w:lang w:bidi="ar-SA"/>
        </w:rPr>
        <w:t>المتجاوز لزوجته بل لا بدّ أن يثبت ذلك عند الحاكم فيحكم به وليس في مقام بيان عدم جواز عمل القاضي بعلمه، وعدم نفوذ علمه في المحكمة وذكر الأربعة الشهود لبيان ذكر الطريق للزوج لإقامة الحدّ على المتجاوز بإقامة الشهود عند الحاكم على الزنا، والمراد بالحدّ الذي جعل الله لكلّ شي‌ء هو ذلك ولم يأذن لكلّ أحد إجراء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استظهار ذلك من الرواية واضح لمن له أدني تأمّل في الرواية وأنّها ليست في صدد بيان انحصار الطريق لإثبات الموضوع في المحكمة بالبيّنة ودفع نفوذ علم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وجود الإطلاق في الرواية على عدم نفوذ العلم لا للزوج ولا لغيره، وانحصار الطريق إلى إقامة الشهود يقيد الإطلاق بما تقدّم من صحّة قضاء الحاكم بعلمه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الملاعنه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كنت راجماً من غير بيّنة لرجمتها</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 أنّه إذا وقع اللعان من الزوج عند رسول الله وثبت به زنا الزوجة وكانت محصنة؛ فلا بدّ من رجمها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كنت راجماً من غير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يثبت حدّ الرجم إلا بالبيّنة، فتدلّ على عدم نفوذ علم القاضي للرجم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الرواية سنداً فإنّها عامّي</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يظهر من تعبيره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كنت راجماً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في الرجم في غير ثبوته بالبيّنة هو تخيير الحاكم بين الرجم وغيره كما أنّ في صورة الإقرار كان</w:t>
      </w:r>
    </w:p>
    <w:p>
      <w:pPr>
        <w:pStyle w:val="BookText"/>
        <w:rPr/>
      </w:pPr>
      <w:r>
        <w:rPr>
          <w:rFonts w:ascii="Amiri" w:hAnsi="Amiri" w:eastAsia="Amiri" w:cs="Amiri"/>
          <w:color w:val="111111"/>
          <w:sz w:val="28"/>
          <w:sz w:val="28"/>
          <w:szCs w:val="28"/>
          <w:rtl w:val="true"/>
          <w:lang w:bidi="ar-SA"/>
        </w:rPr>
        <w:t>الحاكم مخيراً بين العفو والإجراء،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راجماً من غير بيّنة يعني لو كنت اختار الرجم في غير البيّنة لرجمتها، ولكن لا اختار الرجم إلا في مورد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امور من يبطن الكفر، ما استدلّ به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بهذا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 عنه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ووجدنا الله عزّ وجلّ قد اطّلع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كان يبطن الكفر ويظهر الإسلام فكان يعلمه ولم 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أحوالهم لجميع المؤمنين، فيمتنعوا من مناكحتهم وأكل ذبائحهم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ابن جنيد أن ينتج من هذا الكلام أنّ رسول الله كان عالماً بامور ولم يترتّب عليه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يظهر للمؤمنين كفر المنافقين حتّى امتنعوا من مناكحتهم وأكل ذبائحهم فكذلك لا يعمل بعلمه في القضاء وفي المنازعات، التي تراجعون إليه؛ فيعلم من ذلك عدم جواز عمل القاضي بعلمه في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السيّد</w:t>
      </w:r>
      <w:r>
        <w:rPr>
          <w:rStyle w:val="FootnoteAnchor"/>
          <w:rtl w:val="true"/>
        </w:rPr>
        <w:footnoteReference w:id="452"/>
      </w:r>
      <w:r>
        <w:rPr>
          <w:rFonts w:ascii="IRNazanin" w:hAnsi="IRNazanin" w:eastAsia="IRNazanin"/>
          <w:color w:val="111111"/>
          <w:sz w:val="28"/>
          <w:sz w:val="28"/>
          <w:szCs w:val="28"/>
          <w:rtl w:val="true"/>
          <w:lang w:bidi="fa-IR"/>
        </w:rPr>
        <w:t>بما حاصله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الله عزّ وجلّ اطّلع النبي على معاتب المنافقين، فإن استدلّ على ذلك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نَشَاءُ لأرَيْنَاكَهُمْ فَلَعَرَفْتَهُمْ بِسِيمَاهُمْ وَلَتَعْرِفَنَّهُمْ فِي لَحْنِ الْقَوْلِ</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المنافقين الذين في قلوبهم أضغان للنبي؛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هذا لا تدلّ على وقوع التعريف وإنّما تدلّ على القدرة عليه، ولو سلّم لم يلزم ما</w:t>
      </w:r>
    </w:p>
    <w:p>
      <w:pPr>
        <w:pStyle w:val="BookText"/>
        <w:rPr/>
      </w:pPr>
      <w:r>
        <w:rPr>
          <w:rFonts w:ascii="Amiri" w:hAnsi="Amiri" w:eastAsia="Amiri" w:cs="Amiri"/>
          <w:color w:val="111111"/>
          <w:sz w:val="28"/>
          <w:sz w:val="28"/>
          <w:szCs w:val="28"/>
          <w:rtl w:val="true"/>
          <w:lang w:bidi="ar-SA"/>
        </w:rPr>
        <w:t>ذكره ولأنّ تحريم المناكحة والموارثة وأكل الذبائح، إنّما يختصّ بمن أظهر الكفر دون من أبطنها، فلا يجب على النبي أن يبين أحوالهم لأجل هذه الأحكام،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السيّد صحيح فإنّ النبي والأئمّة لم يكونوا عالمين بجميع حالات الكفّار والمنافقين وبواطنهم، نعم لو شاؤوا لعلموا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الروايات، أنّ أحكام الطهارة والتوارث وحلّية أكل الذبائح يترتّب على من أقرّ بالشهادتين وإن أبطن الكفر والنفاق وأمّا في القضاء فلا بدّ للحاكم أن يحكم على طبق الواقع فإذا علم بالواقع، لا بدّ له أن يحكم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يعلم من حالات النبي والأئمّة أنّهم لا يحكمون بما عندهم، من علوم الغيبية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حصل لهم علم من طريق عادي يعملون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من فعل علي في موارد متعدّدة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موضوعية البيّنة واليمين،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جميع ما ورد من أهل البيت في باب القضاء وكيفية الحكم وأحكام الدعاوي وغيرها؛ انحصار الطريق لإثبات الحقّ أو نفيه في المحكمة بالبيّنة واليمين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بعضها؛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أقضى بينكم بالبيّنات والأيمان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واليمين على 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استخراج الحقوق بأربعة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تعرّض فيها بتعارض البينتين أو أحكام اليمين وأمثال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 منهم رواية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رواية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على جواز عمل القاضي بعلمه أو إذا خالف البيّنة أو اليمين مع علمه ما هو وظيفته؛ وأمثال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يوجب الاطمئنان على أنّ الطريق منحصر بهما، وليس العلم من الطرق الذي يصلح الاستناد إليه للقاضي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يستفاد لمن راجع الروايات، في الأبواب المختلفة؛ من كتاب القضاء، أنّ الوجه في حجّية البيّنة واليمين، ليس من جهة الكشف إلى الواقع؛ وما فيهما من الطريقية للواقع، بل لهما موضوعية من غير دخالة للواقع أصلًا، كما يستفاد ذلك من الوحي إلى النبي</w:t>
      </w:r>
      <w:r>
        <w:rPr>
          <w:rStyle w:val="FootnoteAnchor"/>
          <w:rtl w:val="true"/>
        </w:rPr>
        <w:footnoteReference w:id="454"/>
      </w:r>
      <w:r>
        <w:rPr>
          <w:rFonts w:ascii="Amiri" w:hAnsi="Amiri" w:eastAsia="Amiri" w:cs="Amiri"/>
          <w:color w:val="111111"/>
          <w:sz w:val="28"/>
          <w:sz w:val="28"/>
          <w:szCs w:val="28"/>
          <w:rtl w:val="true"/>
          <w:lang w:bidi="ar-SA"/>
        </w:rPr>
        <w:t>الذي شكى إلى الله من أجل الحكم والقضاء فيما لم يره ولم يشهده،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أحكم بينهم بالبيّنات وأضفهم إلى 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الظاهر منه أنّ الميزان الكلّي في القضاء ذلك، من دون نظر إلى الواقع، بل يستفاد عن بعض الروايات، في اليمين أنّه إذا رضي المدّعي بيمين المنكر وحلف المنكر، ذهبت اليمين بحقّه، فلا يجوز له المطالبة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التقاصّ لو وقع من المنكر مال عنده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أقام بعد ما استحلفه بالله خمسين قسامة ما كان له، وكانت اليمين قد أبطلت كلّ ما ادّعاه قبله</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فراجع، فإنّ ظاهر هذه الرواية أنّ لليمين موضوعية وخصوصية صارت حجّة من هذه الجهة، لا من جهة كشفه عن الواقع فعلى هذا لا يبقى وجه لأن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أقوى حجّة وأوفى طريقاً للواقع من البيّنة واليمين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هذه الروايات، محمولة على الغالب؛ فإنّ في أكثر موارد القضاء ليس للقاضي فيها، علم بالواقعة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منصرفة عن صورة حصول العلم للقاضي</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أنّه منزّل على الغالب،</w:t>
      </w:r>
    </w:p>
    <w:p>
      <w:pPr>
        <w:pStyle w:val="BookText"/>
        <w:rPr/>
      </w:pPr>
      <w:r>
        <w:rPr>
          <w:rFonts w:ascii="Amiri" w:hAnsi="Amiri" w:eastAsia="Amiri" w:cs="Amiri"/>
          <w:color w:val="111111"/>
          <w:sz w:val="28"/>
          <w:sz w:val="28"/>
          <w:szCs w:val="28"/>
          <w:rtl w:val="true"/>
          <w:lang w:bidi="ar-SA"/>
        </w:rPr>
        <w:t>من عدم العلم للحاكم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بعد حمايته عن ابن جنيد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والإنصاف أنّه ليس بتلك المكانة من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ونقله الروايات المدّعاة ظهورها في حصر طريق الحكم بالبيّنة واليمين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إلا أن يحمل ذلك كلّه على ما هو الغالب، أو الظاهر منها في صورة عدم العلم خصوصاً مع ملاحظة إجماع الأصحاب</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صحيحة هشام بن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فأيّما رجل قطعت له من مال أخيه شيئاً فإنّما قطعت له به قطعة من النار</w:t>
      </w:r>
      <w:r>
        <w:rPr>
          <w:rFonts w:eastAsia="Amiri" w:cs="Amiri" w:ascii="Amiri" w:hAnsi="Amiri"/>
          <w:color w:val="111111"/>
          <w:sz w:val="28"/>
          <w:szCs w:val="28"/>
          <w:rtl w:val="true"/>
          <w:lang w:bidi="ar-SA"/>
        </w:rPr>
        <w:t>»</w:t>
      </w:r>
      <w:r>
        <w:rPr>
          <w:rStyle w:val="FootnoteAnchor"/>
          <w:rtl w:val="true"/>
        </w:rPr>
        <w:footnoteReference w:id="458"/>
      </w: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قضيت له من حق أخيه بشي‌ء فلا يأخذنّه فإنّما أقطع له قطعة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صريحة في أنّ الميزان هو الواقع وأنّ البيّنة أو اليمين، لا يفيدان الواقع فإذا خالفا الواقع، فيحرم أخذه ممّن يأخذه ويوجب تقييد ما فيه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بعد رضى المدّعي بيمين المدّعى عليه فإذا حلف المنكر، فلا يجوز له المطالبة أو التقاصّ والوجه فيه أنّه مخالف لفصل الخصومة ورفع النزاع، فإنّ وظيفة الحاكم، بل فلسفة تشريع القضاء هو فصل الخصومة، فإذا حكم القاضي وحصل الفصل، فلا يجوز ردّه ونقضه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ليس له طلب في الواقع، وليس المنكر مديوناً واقعاً، فيحكم الحاكم فيتمّ النزاع، بل الحقّ في الواقع ثابت لذي الحقّ وهو يطالبه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الفرق بين العلم الحسّي والحدسي في جواز القضاء بالعلم</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يخفى أنّ المستفاد ممّا تقدّم؛ من الأدلّة على نفوذ علم القاضي</w:t>
      </w:r>
    </w:p>
    <w:p>
      <w:pPr>
        <w:pStyle w:val="BookText"/>
        <w:rPr/>
      </w:pPr>
      <w:r>
        <w:rPr>
          <w:rFonts w:ascii="Amiri" w:hAnsi="Amiri" w:eastAsia="Amiri" w:cs="Amiri"/>
          <w:color w:val="111111"/>
          <w:sz w:val="28"/>
          <w:sz w:val="28"/>
          <w:szCs w:val="28"/>
          <w:rtl w:val="true"/>
          <w:lang w:bidi="ar-SA"/>
        </w:rPr>
        <w:t>وحجّيته، عدم الفرق بين العلم الحسّي والعلم الحدسي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والقاضي كما يصحّ له الاستناد بالعلم، الذي يحصل له من طرق الحواسّ، مثل أن رأى وقوع القتل والضرب والسرقة من رجل أو سمع من شخص ارتكابه لها أو غيرهما، وكذا العلم الذي حصل له من مبادي الحسّية حيث يعبّر عنه بالعلم القريب من الحسّ؛ كذلك يصحّ له الاستناد بالعلم الحدسي الذي حصل له من اجتماع القرائن والشواهد والأمارات، فإنّ القاضي إذا علم بأمر من القرائن والشواهد فإنّه يرى أنّ الحكم على طبقه حقّ وعدل، والحكم على خلافه حكم على غيرالحقّ وعلى غير ما أنزل الله، فلا بدّ له من أن يحكم عليه، بمقتضى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وَقُضِىَ بَيْنَهُمْ بِالْحَقِّ وَهُمْ لا يُظْلَمُونَ</w:t>
      </w:r>
      <w:r>
        <w:rPr>
          <w:rStyle w:val="FootnoteAnchor"/>
          <w:rtl w:val="true"/>
        </w:rPr>
        <w:footnoteReference w:id="459"/>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يَحْكُمْ بِمَا أنزَلَ اللهُ فَاوْلَئِكَ هُمُ الْفَاسِقُونَ</w:t>
      </w:r>
      <w:r>
        <w:rPr>
          <w:rStyle w:val="FootnoteAnchor"/>
          <w:rtl w:val="true"/>
        </w:rPr>
        <w:footnoteReference w:id="460"/>
      </w:r>
      <w:r>
        <w:rPr>
          <w:rFonts w:ascii="Amiri" w:hAnsi="Amiri" w:eastAsia="Amiri" w:cs="Amiri"/>
          <w:color w:val="111111"/>
          <w:sz w:val="28"/>
          <w:sz w:val="28"/>
          <w:szCs w:val="28"/>
          <w:rtl w:val="true"/>
          <w:lang w:bidi="ar-SA"/>
        </w:rPr>
        <w:t>وكذا إذا علم من طريق الحدس القطعي بوقوع الزنا من شخص، فقد تحقّق عنده الموضوع فيجب عليه الحكم بالجلد، بمقتضى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الزَّانِيَةُ وَالزَّانِي فَاجْلِدُوا كُلَّ وَاحِدٍ مِنْهُمَا مِائَةَ جَلْدَةٍ وَلا تَأخُذْكُمْ بِهِمَا رَأفَةٌ فِي دِينِ اللهِ إِنْ كُنتُمْ تُؤْمِنُونَ بِاللهِ وَالْيَوْمِ الآخِرِ وَلْيَشْهَدْ عَذَابَهُمَا طَائِفَةٌ مِنْ الْمُؤْمِنِينَ</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لا فرق في أقوائية العلم من البيّنة بين العلم الحسّي والحدسي، فإنّ العلم الحدسي أيضاً طريق وكاشف تامّ للواقع، فإذا كانت حجّية البيّنة والحلف من جهة الكشف فحجّية العلم أقوى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التفصيل بين العلم الحسّي و الحدسي</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للقاضي أن يستند إلى العلم الحسّي أو القريب بالحسّ، وهو طريق إثباتي للقضاء دون العلم الحدسي و ذلك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يستفاد من صحيحة سليمان بن خالد،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نبيّاً من الأنبياء شكا إلى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كيف أقضي فيما لم أر ولم أشهد؟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إليه أحكم بينهم بكتابي، وأضفهم إلى اسمي، فحلّفهم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لمن لم تقم له بيّنة</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المفهوم من كلام النبي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أقضي فيما لم أره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جواز القضاء بالعلم كان مفروغاً عنه، وحيرته وشكايته كان عمّا ليس له علم، فلو لم يمكن هذا المفهوم مورداً للتصديق فلا بدّ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ردّه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سكت عنه وهذا السكوت إمضاء لما يفهم من كلامه ثمّ جعل له الطريق في غير مورد العلم وهو الحكم بالبيّنات واليمين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العلم المشار إليه في صريح كلامه هو العلم الحاصل من طريق الرؤية، يعني الحسّي الخاصّ ولما لم يكن للرؤية خصوصية يتعدّى منه إلى العلم الحسّي المطلق، أي الحاصل من الحواسّ ولم يكن للحواسّ أيضاً خصوصية، بل العمدة أن يكون من 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واسطة كان أو مع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فيتعدّى منه إلى علم الحاصل من مبادي الحسّية أيضاً، فالعلم الحسّي والقريب من الحسّ، يكون مورداً للسكوت الإمضائي ويبقى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العلم الحدسي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عدم الحجّية وعدم جواز الاستناد إليه، وإذا ثبت حجّية العلم الحسّي أو ما يقرب منه وجواز استناد القاضي إليه دون الحدسي، فيقيد بها جميع</w:t>
      </w:r>
    </w:p>
    <w:p>
      <w:pPr>
        <w:pStyle w:val="BookText"/>
        <w:rPr/>
      </w:pPr>
      <w:r>
        <w:rPr>
          <w:rFonts w:ascii="Amiri" w:hAnsi="Amiri" w:eastAsia="Amiri" w:cs="Amiri"/>
          <w:color w:val="111111"/>
          <w:sz w:val="28"/>
          <w:sz w:val="28"/>
          <w:szCs w:val="28"/>
          <w:rtl w:val="true"/>
          <w:lang w:bidi="ar-SA"/>
        </w:rPr>
        <w:t>ما دلّ على حجّية العلم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أن الشهادة يعتبر أن يكون عن حس أو ما يكون قريباً من الحس، بدعوى التعدّي من الشهادة إلى القضاء لعدم احتمال الفرق أو أهونية الشهادة من القضاء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روي عن على بن غياث واخرى عن علي بن غراب عن أبي عبدالله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تشهدنّ بشهادة حتّى تعرفها كما تعرف كفّك</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 عن الشهادة،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ترى الشمس؟ على مثلها فاشهد أو دع</w:t>
      </w:r>
      <w:r>
        <w:rPr>
          <w:rFonts w:eastAsia="Amiri" w:cs="Amiri" w:ascii="Amiri" w:hAnsi="Amiri"/>
          <w:color w:val="111111"/>
          <w:sz w:val="28"/>
          <w:szCs w:val="28"/>
          <w:rtl w:val="true"/>
          <w:lang w:bidi="ar-SA"/>
        </w:rPr>
        <w:t>»</w:t>
      </w:r>
      <w:r>
        <w:rPr>
          <w:rStyle w:val="FootnoteAnchor"/>
          <w:rtl w:val="true"/>
        </w:rPr>
        <w:footnoteReference w:id="464"/>
      </w:r>
      <w:r>
        <w:rPr>
          <w:rFonts w:ascii="Amiri" w:hAnsi="Amiri" w:eastAsia="Amiri" w:cs="Amiri"/>
          <w:color w:val="111111"/>
          <w:sz w:val="28"/>
          <w:sz w:val="28"/>
          <w:szCs w:val="28"/>
          <w:rtl w:val="true"/>
          <w:lang w:bidi="ar-SA"/>
        </w:rPr>
        <w:t>، فإذا تعدّينا من باب الشهادة إلى باب القضاء قيّدنا بذلك إطلاقات القضاء بالحقّ والعدل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ذكر الخصوصية للرؤية والشهود، في كلام النبيّ معلوم وكان مورداً لقبول المستدلّ، 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يحتمل أن يكون ذكرهما من باب أنّهما فردان من مطلق العلم الحسّي أو ما يقرب من الحسّ ويحتمل أيضاً أن يكون من باب أنّهما فردان من مطلق العلم؛ والمتفاهم العرفي من هذا الكلام هو الثاني، فإنّه كثيراً ما يذكر الرؤية ويراد منها العلم فيكون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أقضي فيما لم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الفرق بين العلم الحسّي والحدسي في العرف غير مأنوس، فالرواية تدلّ بالسكوت على الإمضاء والتصديق على جواز الاستناد إلى العلم للقاضي مطلقاً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على الأمر الثاني</w:t>
      </w:r>
      <w:r>
        <w:rPr>
          <w:rFonts w:eastAsia="Amiri" w:cs="Amiri" w:ascii="Amiri" w:hAnsi="Amiri"/>
          <w:color w:val="111111"/>
          <w:sz w:val="28"/>
          <w:szCs w:val="28"/>
          <w:rtl w:val="true"/>
          <w:lang w:bidi="ar-SA"/>
        </w:rPr>
        <w:t>:</w:t>
      </w:r>
      <w:bookmarkStart w:id="219" w:name="pg1791_15623"/>
    </w:p>
    <w:p>
      <w:pPr>
        <w:pStyle w:val="BookText"/>
        <w:rPr/>
      </w:pPr>
      <w:bookmarkEnd w:id="219"/>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الروايات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وجود الفرق بين باب الشهادة والقضاء عرفاً لو تمّت تمامية الروايات سنداً، فإنّ الشاهد إذا كان علمه غير حسّي يمكنه السكوت وعدم الشهادة، وأمّا القاضي إذا حصل له العلم الحدسي وقام الدليل القضائي من البيّنة أو اليمين، على خلاف علمه، فلا بدّ له إمّا أن يقضي بعلمه أو يقضي بما يعلم خطأه وخلافه للواقع، ولا يجوز له عدم القضاء في المورد، فإنّه لا يجوز له الاستنكاف عن القضاء فإنّ وظيفته فصل الخصومة ورفع التنازع شرعاً وعرفاً، فهذا أحد وجوه الفرق بين البابين عند العرف</w:t>
      </w:r>
      <w:r>
        <w:rPr>
          <w:rFonts w:eastAsia="Amiri" w:cs="Amiri" w:ascii="Amiri" w:hAnsi="Amiri"/>
          <w:color w:val="111111"/>
          <w:sz w:val="28"/>
          <w:szCs w:val="28"/>
          <w:rtl w:val="true"/>
          <w:lang w:bidi="ar-SA"/>
        </w:rPr>
        <w:t>.</w:t>
      </w:r>
    </w:p>
    <w:p>
      <w:pPr>
        <w:pStyle w:val="Heading5"/>
        <w:numPr>
          <w:ilvl w:val="4"/>
          <w:numId w:val="1"/>
        </w:numPr>
        <w:rPr/>
      </w:pPr>
      <w:bookmarkStart w:id="220" w:name="__RefHeading___Toc2354571_3650668749"/>
      <w:bookmarkStart w:id="221" w:name="_Toc82"/>
      <w:bookmarkEnd w:id="220"/>
      <w:r>
        <w:rPr>
          <w:rtl w:val="true"/>
        </w:rPr>
        <w:t xml:space="preserve">حاصل الكلام من القول الثاني </w:t>
      </w:r>
      <w:r>
        <w:rPr>
          <w:rtl w:val="true"/>
        </w:rPr>
        <w:t>(</w:t>
      </w:r>
      <w:r>
        <w:rPr>
          <w:rtl w:val="true"/>
        </w:rPr>
        <w:t>وهو المختار</w:t>
      </w:r>
      <w:r>
        <w:rPr>
          <w:rtl w:val="true"/>
        </w:rPr>
        <w:t>)</w:t>
      </w:r>
      <w:bookmarkEnd w:id="221"/>
    </w:p>
    <w:p>
      <w:pPr>
        <w:pStyle w:val="BookText"/>
        <w:rPr/>
      </w:pPr>
      <w:r>
        <w:rPr>
          <w:rFonts w:ascii="Amiri" w:hAnsi="Amiri" w:eastAsia="Amiri" w:cs="Amiri"/>
          <w:color w:val="111111"/>
          <w:sz w:val="28"/>
          <w:sz w:val="28"/>
          <w:szCs w:val="28"/>
          <w:rtl w:val="true"/>
          <w:lang w:bidi="ar-SA"/>
        </w:rPr>
        <w:t>فثبت من جميع ما تقدّم جواز عمل القاضي بعلمه في حقوق الله وفي حقوق الناس، سواء كان العلم الحاصل له من طريق الحواسّ وما يقرب منه، أو من القرائن المفيدة للعلم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السيّد اليزدي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أن يقال إنّ الجواز مختصّ بالعلم الحاصل من الأسباب العادية، لا الحاصل من الجفر أو الرمل أو النوم أو نحو ذلك</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الحقّ وكان نظر سماحة الاستاذ الإمام الخميني هكذا في جواب الاستفتاء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أوائل استقرار النظام الجمهوري الإسلامي و النظام القضائي في إيران الإسلامية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والدليل على ذلك انصراف الأدلّة الدالّة على حجّية العلم للقاضي عن مثل</w:t>
      </w:r>
    </w:p>
    <w:p>
      <w:pPr>
        <w:pStyle w:val="BookText"/>
        <w:rPr/>
      </w:pPr>
      <w:r>
        <w:rPr>
          <w:rFonts w:ascii="Amiri" w:hAnsi="Amiri" w:eastAsia="Amiri" w:cs="Amiri"/>
          <w:color w:val="111111"/>
          <w:sz w:val="28"/>
          <w:sz w:val="28"/>
          <w:szCs w:val="28"/>
          <w:rtl w:val="true"/>
          <w:lang w:bidi="ar-SA"/>
        </w:rPr>
        <w:t>هذا العلم، فإنّ دليل وجوب الحكم بالحقّ والعدل ظاهر في الحقّ الذي يعلم به بطريق عادية يحصل منها العلم بالحقّ لكلّ من حصل للجميع له ذلك الأسباب والطرق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العلم الحاصل من طريق غير عادية كإخبار من يدّعي قدرته على كشف الضالّة والسارق والقاتل من طرق خفية أو يعتقد بالاستخارة فيحصل له العلم منها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الدليل الذي استند إليه القاضي في المحكمة لا بدّ أن يكون قابلًا للاعتماد والاطمئنان لطرفي النزاع، بل لجميع الحاضرين في المجلس ولمن يسمع الحكم حتّى يوجب الاحترام والتسليم مقابل حكم القاضي لا الاعتراض، بل التنفّر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على من اطّلع عن الوقايع الذي يطرح في المحاكم الفعلية في الامور المهمّة، وغيرها أنّ المتداول ممّا يستند القاضي إليه في الأكثر والأغلب لكشف الحقايق هو العلم الحاصل له من جميع القرائن والشواهد عن إخبار الخبراء والمتخصّصين في العلوم المختلفة، والتحقيق من طرق مختلفة ومن أفراد كثيرة المطّلعين عن الواقعة وكان القرائن بحيث لو علم بها أيّ شخص، يحصل له العلم بالواقع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هذه الوقايع مورداً للبيّنة أو اليمين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إرجاع الأمر إلى الخبراء والمطّلعين، والمتخصّصين من باب إرجاع الأمر إلى البيّنة، بل من باب إرجاع الأمر إلى العالم والاستفادة من علمه وتبحّره وتجربته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ليس فيهم شرائط قبول الشهادة أصلًا ولو قلنا بعدم جواز العلم الحدسي الذي حصل للقاضي من ذاك الطرق لانسدّ باب القضاء والحكم في أغلب الموارد</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يظهر من المراجعة إلى قضايا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رسول</w:t>
      </w:r>
      <w:bookmarkStart w:id="222" w:name="pg1791_15627"/>
    </w:p>
    <w:p>
      <w:pPr>
        <w:pStyle w:val="BookText"/>
        <w:rPr/>
      </w:pPr>
      <w:bookmarkEnd w:id="222"/>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يقضى بما يوجب العلم عادياً لكلّ أحد علماً حسّياً أو حدسياً، كما نقل صاحب الوسائل بعض هذه الأخبار</w:t>
      </w:r>
      <w:r>
        <w:rPr>
          <w:rStyle w:val="FootnoteAnchor"/>
          <w:rtl w:val="true"/>
        </w:rPr>
        <w:footnoteReference w:id="466"/>
      </w:r>
      <w:r>
        <w:rPr>
          <w:rFonts w:ascii="Amiri" w:hAnsi="Amiri" w:eastAsia="Amiri" w:cs="Amiri"/>
          <w:color w:val="111111"/>
          <w:sz w:val="28"/>
          <w:sz w:val="28"/>
          <w:szCs w:val="28"/>
          <w:rtl w:val="true"/>
          <w:lang w:bidi="ar-SA"/>
        </w:rPr>
        <w:t>فإنّه حكم فيها على أساسٍ علمي طبّي أو عاطفي يوجب العلم لكلّ أحد منها بالواقع وإن لم يكن حسّياً</w:t>
      </w:r>
      <w:r>
        <w:rPr>
          <w:rFonts w:eastAsia="Amiri" w:cs="Amiri" w:ascii="Amiri" w:hAnsi="Amiri"/>
          <w:color w:val="111111"/>
          <w:sz w:val="28"/>
          <w:szCs w:val="28"/>
          <w:rtl w:val="true"/>
          <w:lang w:bidi="ar-SA"/>
        </w:rPr>
        <w:t>.</w:t>
      </w:r>
    </w:p>
    <w:p>
      <w:pPr>
        <w:pStyle w:val="Heading5"/>
        <w:numPr>
          <w:ilvl w:val="4"/>
          <w:numId w:val="1"/>
        </w:numPr>
        <w:rPr/>
      </w:pPr>
      <w:bookmarkStart w:id="223" w:name="__RefHeading___Toc2354573_3650668749"/>
      <w:bookmarkStart w:id="224" w:name="_Toc83"/>
      <w:bookmarkEnd w:id="223"/>
      <w:r>
        <w:rPr>
          <w:rtl w:val="true"/>
        </w:rPr>
        <w:t>القول الثالث</w:t>
      </w:r>
      <w:r>
        <w:rPr>
          <w:rtl w:val="true"/>
        </w:rPr>
        <w:t xml:space="preserve">: </w:t>
      </w:r>
      <w:r>
        <w:rPr>
          <w:rtl w:val="true"/>
        </w:rPr>
        <w:t>الجواز في حقوق الناس لا في حقوق الله‌</w:t>
      </w:r>
      <w:bookmarkEnd w:id="224"/>
    </w:p>
    <w:p>
      <w:pPr>
        <w:pStyle w:val="BookText"/>
        <w:rPr/>
      </w:pPr>
      <w:r>
        <w:rPr>
          <w:rFonts w:ascii="Amiri" w:hAnsi="Amiri" w:eastAsia="Amiri" w:cs="Amiri"/>
          <w:color w:val="111111"/>
          <w:sz w:val="28"/>
          <w:sz w:val="28"/>
          <w:szCs w:val="28"/>
          <w:rtl w:val="true"/>
          <w:lang w:bidi="ar-SA"/>
        </w:rPr>
        <w:t>احتجّ القائل بجواز استناد القاضي في القضاء إلى علمه في حقوق الناس دون حقوق الله؛ بابتناء حقوق الله على المسامحة والرخصة والستر فلا يناسب الحكم بالعلم</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لأنّ المسامحة قبل العلم لا بعده، فإنّ القاضي إذا علم بالحكم فلا يجوز له الإغماض عنه؛ فإنّه يوجب تعطيل حدود الله</w:t>
      </w:r>
      <w:r>
        <w:rPr>
          <w:rFonts w:eastAsia="Amiri" w:cs="Amiri" w:ascii="Amiri" w:hAnsi="Amiri"/>
          <w:color w:val="111111"/>
          <w:sz w:val="28"/>
          <w:szCs w:val="28"/>
          <w:rtl w:val="true"/>
          <w:lang w:bidi="ar-SA"/>
        </w:rPr>
        <w:t>.</w:t>
      </w:r>
    </w:p>
    <w:p>
      <w:pPr>
        <w:pStyle w:val="Heading5"/>
        <w:numPr>
          <w:ilvl w:val="4"/>
          <w:numId w:val="1"/>
        </w:numPr>
        <w:rPr/>
      </w:pPr>
      <w:bookmarkStart w:id="225" w:name="__RefHeading___Toc2354575_3650668749"/>
      <w:bookmarkStart w:id="226" w:name="_Toc84"/>
      <w:bookmarkEnd w:id="225"/>
      <w:r>
        <w:rPr>
          <w:rtl w:val="true"/>
        </w:rPr>
        <w:t>القول الرابع</w:t>
      </w:r>
      <w:r>
        <w:rPr>
          <w:rtl w:val="true"/>
        </w:rPr>
        <w:t xml:space="preserve">: </w:t>
      </w:r>
      <w:r>
        <w:rPr>
          <w:rtl w:val="true"/>
        </w:rPr>
        <w:t>الجواز في حقوق الله لا في حقوق الناس‌</w:t>
      </w:r>
      <w:bookmarkEnd w:id="226"/>
    </w:p>
    <w:p>
      <w:pPr>
        <w:pStyle w:val="BookText"/>
        <w:rPr/>
      </w:pPr>
      <w:r>
        <w:rPr>
          <w:rFonts w:ascii="Amiri" w:hAnsi="Amiri" w:eastAsia="Amiri" w:cs="Amiri"/>
          <w:color w:val="111111"/>
          <w:sz w:val="28"/>
          <w:sz w:val="28"/>
          <w:szCs w:val="28"/>
          <w:rtl w:val="true"/>
          <w:lang w:bidi="ar-SA"/>
        </w:rPr>
        <w:t xml:space="preserve">والقائل به ابن جنيد على ما نسب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للقول بجوازه في حقوق الله دون حقوق الناس، دليلًا</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أكملنا البحث في القول الأوّل أي الجواز مطلقاً سواء في حقوق الله أم في حقوق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الثاني أي عدم الجواز مطلقاً كذلك، وأتممنا البحث في الردّ على القول الثاني فلا يهمّنا البحث عن القول الثالث والرابع</w:t>
      </w:r>
      <w:r>
        <w:rPr>
          <w:rFonts w:eastAsia="Amiri" w:cs="Amiri" w:ascii="Amiri" w:hAnsi="Amiri"/>
          <w:color w:val="111111"/>
          <w:sz w:val="28"/>
          <w:szCs w:val="28"/>
          <w:rtl w:val="true"/>
          <w:lang w:bidi="ar-SA"/>
        </w:rPr>
        <w:t>.</w:t>
      </w:r>
      <w:bookmarkStart w:id="227" w:name="pg1791_15629"/>
    </w:p>
    <w:p>
      <w:pPr>
        <w:pStyle w:val="Heading4"/>
        <w:numPr>
          <w:ilvl w:val="3"/>
          <w:numId w:val="1"/>
        </w:numPr>
        <w:rPr/>
      </w:pPr>
      <w:bookmarkStart w:id="228" w:name="__RefHeading___Toc2354577_3650668749"/>
      <w:bookmarkStart w:id="229" w:name="_Toc85"/>
      <w:bookmarkEnd w:id="227"/>
      <w:bookmarkEnd w:id="228"/>
      <w:r>
        <w:rPr>
          <w:rtl w:val="true"/>
        </w:rPr>
        <w:t>فصل</w:t>
      </w:r>
      <w:r>
        <w:rPr>
          <w:rtl w:val="true"/>
        </w:rPr>
        <w:t xml:space="preserve">: </w:t>
      </w:r>
      <w:r>
        <w:rPr>
          <w:rtl w:val="true"/>
        </w:rPr>
        <w:t>في موارد الاستثناء</w:t>
      </w:r>
      <w:bookmarkEnd w:id="229"/>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من منع من قضائه بعلمه استثني صوراً</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تزكية الشهود وجرحهم لئلا يلزم الدور، أو التسلسل، فإنّه إذا علم بأحد الأمرين وتوقّف في إثباته على الشهود؛ فإن اكتفى بعلمه بتزكية المزكّى أو الجارح، فقد حكم بعلمه وإلا افتقر إلى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فيلزم التسلسل إن لم يعتبر شهادة الأوّلين أو الدور إن اعتبرها في حقّ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البيّنة حجّة شرعاً وإن لم يحصل للقاضي منها العلم، فلا بدّ للقاضي العمل بالبيّنة المزكّى أو الجارح من دون استلزام الدور والتسلسل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في مجلس القضاء وإن لم يسمعه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بخطأ الشهود يقيناً أو كذبه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تعزير من أساء أدبه من مجلسه وإن لم يعلمه غيره لأنّه من ضرورة حفظ ابهّة القضاء</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يشهد معه آخر أي يصير القاضي أحد الشاهدين، فإنّه لا يقصر عن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ما قلنا من جواز عمل القاضي بعلمه فلا إشكال فيها وأمّا بناءً على القول بالعدم فلا وجه للاستثناء فيها خصوصاً في الأخير، فإنّه يلزم كون القاضي أحد الشاهدين وجزء البيّنة فإذا حكم بعلمه ففي الحقيقة يحكم بالبيّنة التي نفسه أحدهما، وذلك خارج عن ظهور أدلّة حجّية البيّنة والعمل بها، فإنّ ظاهرها حضور البيّنة عند القاضي واستناد القاضي في الحكم إليها لا أن يكون القاضي نفسه، جزءاً منها</w:t>
      </w:r>
      <w:r>
        <w:rPr>
          <w:rFonts w:eastAsia="Amiri" w:cs="Amiri" w:ascii="Amiri" w:hAnsi="Amiri"/>
          <w:color w:val="111111"/>
          <w:sz w:val="28"/>
          <w:szCs w:val="28"/>
          <w:rtl w:val="true"/>
          <w:lang w:bidi="ar-SA"/>
        </w:rPr>
        <w:t>.</w:t>
      </w:r>
      <w:bookmarkStart w:id="230" w:name="pg1791_15630"/>
    </w:p>
    <w:p>
      <w:pPr>
        <w:pStyle w:val="BookText"/>
        <w:rPr/>
      </w:pPr>
      <w:bookmarkEnd w:id="230"/>
      <w:r>
        <w:rPr>
          <w:rFonts w:ascii="Amiri" w:hAnsi="Amiri" w:eastAsia="Amiri" w:cs="Amiri"/>
          <w:color w:val="111111"/>
          <w:sz w:val="28"/>
          <w:sz w:val="28"/>
          <w:szCs w:val="28"/>
          <w:rtl w:val="true"/>
          <w:lang w:bidi="ar-SA"/>
        </w:rPr>
        <w:t xml:space="preserve">بل لا يجوز له الحكم بالبيّنة إذا كانت مخالفة لعلمه، أو إحلاف من يكون كاذباً في نظره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2354579_3650668749"/>
      <w:bookmarkStart w:id="232" w:name="_Toc86"/>
      <w:bookmarkEnd w:id="231"/>
      <w:r>
        <w:rPr>
          <w:rtl w:val="true"/>
        </w:rPr>
        <w:t>في عدم جواز الحكم بالبيّنة إذا كانت مخالفة لعلم القاضي‌</w:t>
      </w:r>
      <w:bookmarkEnd w:id="2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قامت البيّنة على خلاف ما علمه القاضي أو أقرّ المدّعى عليه بأمر يعلم القاضي كذبه في إقراره، لا يجوز للقاضي الحكم باستنادهما، وكذا لا يجوز له إحلاف من يعلم أنّه يحلف كاذباً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على ذلك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دليل اعتبار الأمارات والطرق مقيد بعدم العلم على الخلاف، فلو قامت الأمارة على ما علم خلافها فليست بحجّة ولا يجوز للقاضي الاستناد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الأدلّة الدالّة على جواز استناد القاضي بالبيّنة أو الحلف منصرفة عن صورة حصول العلم للقاضي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حجّية البيّنة والحلف من باب جعل الطريق، ولا إشكال في أنّ جعل الطريق كان للشاكّ ومن كان عالماً بالواقع فلا يعقل جعل الطريق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عالماً بالواقع فحكمه على خلافه باستناد البيّنة أو الحلف حكم بغير ما أنزل الله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القاضي إذا كان عالماً، لا يجوز له مطالبة البيّنة التي كانت على خلاف علمه، كما لا يجوز له إحلاف من يعلم أنّه يحلف 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يجوز له طلب البيّنة التي يعلم أنّها تقام على طبق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له إحلاف من</w:t>
      </w:r>
    </w:p>
    <w:p>
      <w:pPr>
        <w:pStyle w:val="BookText"/>
        <w:rPr/>
      </w:pPr>
      <w:r>
        <w:rPr>
          <w:rFonts w:ascii="Amiri" w:hAnsi="Amiri" w:eastAsia="Amiri" w:cs="Amiri"/>
          <w:color w:val="111111"/>
          <w:sz w:val="28"/>
          <w:sz w:val="28"/>
          <w:szCs w:val="28"/>
          <w:rtl w:val="true"/>
          <w:lang w:bidi="ar-SA"/>
        </w:rPr>
        <w:t>نعم، يجوز له عدم التصدّي للقضاء في هذه الصورة مع عدم التعين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ترافعا إليه في واقعة قد حكم فيها سابقاً، يجوز أن يحكم بها على طبقه فعلًا إذا تذكّر حكمه وإن لم يتذكّر مستنده، وإن لم يتذكّر الحكم فقامت البيّنة عليه جاز له الحكم، وكذا لو رأى خطّه وخاتمه وحصل منهما القطع أو الاطمئنان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تبدّل رأيه فعلًا مع رأي سابقه الذي حكم به، جاز تنفيذ حكمه إلا مع العلم بخلافه؛ بأن يكون حكمه مخالفاً لحكم ضروري أو إجماع قطعي، فيجب عليه نقضه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يعلم أنّه يحلف موافقاً لعلمه؛ لما قلنا من عدم الحجّية لهما مع علمه بالواقع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لا يجوز له طلب البيّنة وإن علم أنّهما يشهدان على طبق علمه؛ لأنّه إلزام بغير الموجب</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لا يجوز له إحلاف المنكر إن علم أنّه يحلف على طبق علمه إلا أن يكون تركه موجباً لاتّهامه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أنّه مع عدم التعين عليه لا يجب عليه أن يقضي بعلمه، للأصل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أن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وظيفة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شرعاً وعرفاً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فصل الخصومة وحلّ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له الاستنكاف ولو مع عدم التعين فإنّ فيه تضييع الحقوق واستمرار المنكر والظلم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للحاكم تنفيذ حكم من له أهلية القضاء من غير الفحص عن مستنده، ولا يجوز له الحكم في الواقعة مع عدم العلم بموافقته لرأيه، وهل له الحكم مع العلم به؟ الظاهر أنّه لا أثر لحكمه بعد حكم القاضي الأوّل بحسب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قد يؤثّر في إجراء الحكم كالتنفيذ فإنّه أيضاً غير مؤثّر في الواقعة وإن يؤثّر في الإجراء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جواز التنفيذ بين كونه حيّاً أو ميّتاً، ولا بين كونه باقياً على الأهلية أم لا؛ بشرط أن لا يكون إمضاؤه موجباً لإغراء الغير بأنّه أهل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إمضاء الحكم الصادر من غير الأهل؛ سواء كان غير مجتهد أو غير عادل ونحو ذلك؛ وإن علم بكونه موافقاً للقواعد، بل يجب نقضه مع الرفع إليه أو مطلقاً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يجوز إمضاء حكم القاضي الأوّل للثاني إذا علم بصدور الحكم منه؛ إمّا بنحو المشافهة، أو التواتر،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جوازه بإقرار المحكوم عليه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مشاهدة خطّه وإمضائه، ولا قيام البيّنة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قامت على أنّه حكم بذلك فالظاهر جوازه</w:t>
      </w:r>
      <w:r>
        <w:rPr>
          <w:rFonts w:eastAsia="Amiri" w:cs="Amiri" w:ascii="Amiri" w:hAnsi="Amiri"/>
          <w:color w:val="111111"/>
          <w:sz w:val="28"/>
          <w:szCs w:val="28"/>
          <w:rtl w:val="true"/>
          <w:lang w:bidi="ar-SA"/>
        </w:rPr>
        <w:t>.</w:t>
      </w:r>
      <w:bookmarkStart w:id="233" w:name="pg1791_15636"/>
    </w:p>
    <w:p>
      <w:pPr>
        <w:pStyle w:val="Heading3"/>
        <w:numPr>
          <w:ilvl w:val="2"/>
          <w:numId w:val="1"/>
        </w:numPr>
        <w:rPr/>
      </w:pPr>
      <w:bookmarkStart w:id="234" w:name="__RefHeading___Toc2354581_3650668749"/>
      <w:bookmarkStart w:id="235" w:name="_Toc87"/>
      <w:bookmarkEnd w:id="233"/>
      <w:bookmarkEnd w:id="234"/>
      <w:r>
        <w:rPr>
          <w:rtl w:val="true"/>
        </w:rPr>
        <w:t>القول</w:t>
      </w:r>
      <w:r>
        <w:rPr>
          <w:rtl w:val="true"/>
        </w:rPr>
        <w:t xml:space="preserve">: </w:t>
      </w:r>
      <w:r>
        <w:rPr>
          <w:rtl w:val="true"/>
        </w:rPr>
        <w:t>في وظائف القاضي‌</w:t>
      </w:r>
      <w:bookmarkEnd w:id="235"/>
    </w:p>
    <w:p>
      <w:pPr>
        <w:pStyle w:val="Heading4"/>
        <w:numPr>
          <w:ilvl w:val="3"/>
          <w:numId w:val="1"/>
        </w:numPr>
        <w:rPr/>
      </w:pPr>
      <w:bookmarkStart w:id="236" w:name="__RefHeading___Toc2354583_3650668749"/>
      <w:bookmarkStart w:id="237" w:name="_Toc88"/>
      <w:bookmarkEnd w:id="236"/>
      <w:r>
        <w:rPr>
          <w:rtl w:val="true"/>
        </w:rPr>
        <w:t>اشارة</w:t>
      </w:r>
      <w:bookmarkEnd w:id="237"/>
    </w:p>
    <w:p>
      <w:pPr>
        <w:pStyle w:val="BookText"/>
        <w:rPr/>
      </w:pPr>
      <w:r>
        <w:rPr>
          <w:rFonts w:ascii="Amiri" w:hAnsi="Amiri" w:eastAsia="Amiri" w:cs="Amiri"/>
          <w:color w:val="111111"/>
          <w:sz w:val="28"/>
          <w:sz w:val="28"/>
          <w:szCs w:val="28"/>
          <w:rtl w:val="true"/>
          <w:lang w:bidi="ar-SA"/>
        </w:rPr>
        <w:t>وهي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التسوية بين الخصوم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تفاوتا في الشرف والضعة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السلام والردّ والإجلاس والنظر والكلام والإنصات وطلاقة الوجه وسائر الآداب وأنواع الإكرام والعدل في الحكم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2354585_3650668749"/>
      <w:bookmarkStart w:id="239" w:name="_Toc89"/>
      <w:bookmarkEnd w:id="238"/>
      <w:r>
        <w:rPr>
          <w:rtl w:val="true"/>
        </w:rPr>
        <w:t>هل يجب على القاضي رعاية الآداب أم لا؟</w:t>
      </w:r>
      <w:bookmarkEnd w:id="239"/>
    </w:p>
    <w:p>
      <w:pPr>
        <w:pStyle w:val="Heading5"/>
        <w:numPr>
          <w:ilvl w:val="4"/>
          <w:numId w:val="1"/>
        </w:numPr>
        <w:rPr/>
      </w:pPr>
      <w:bookmarkStart w:id="240" w:name="__RefHeading___Toc2354587_3650668749"/>
      <w:bookmarkStart w:id="241" w:name="_Toc90"/>
      <w:bookmarkEnd w:id="240"/>
      <w:r>
        <w:rPr>
          <w:rtl w:val="true"/>
        </w:rPr>
        <w:t>اشارة</w:t>
      </w:r>
      <w:bookmarkEnd w:id="2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يبحث عن آداب القضاء وما يناسب للقاضي رعايتها في مجلس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وأعرض عن ذكر الباقي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وسائر الآداب وأنواع 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ولمزيد الاطّلاع على الآداب أثبتنا في الهامش كلام الفاضل النراقي في إعداد وظيفة الحاكم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 أنّها واجبة على القاضي أو لا يجب؟ بل كانت رعايتها</w:t>
      </w:r>
      <w:bookmarkStart w:id="242" w:name="pg1791_15638"/>
    </w:p>
    <w:p>
      <w:pPr>
        <w:pStyle w:val="BookText"/>
        <w:rPr/>
      </w:pPr>
      <w:bookmarkEnd w:id="242"/>
      <w:r>
        <w:rPr>
          <w:rFonts w:ascii="Amiri" w:hAnsi="Amiri" w:eastAsia="Amiri" w:cs="Amiri"/>
          <w:color w:val="111111"/>
          <w:sz w:val="28"/>
          <w:sz w:val="28"/>
          <w:szCs w:val="28"/>
          <w:rtl w:val="true"/>
          <w:lang w:bidi="ar-SA"/>
        </w:rPr>
        <w:t>مستحبّاً، أو فيه التفصيل بين الإنصاف والعدل؟ فإنّهما واجبان على القاضي و بين غيرهما فلا يجب، في المسألة أقوال</w:t>
      </w:r>
      <w:r>
        <w:rPr>
          <w:rFonts w:eastAsia="Amiri" w:cs="Amiri" w:ascii="Amiri" w:hAnsi="Amiri"/>
          <w:color w:val="111111"/>
          <w:sz w:val="28"/>
          <w:szCs w:val="28"/>
          <w:rtl w:val="true"/>
          <w:lang w:bidi="ar-SA"/>
        </w:rPr>
        <w:t>:</w:t>
      </w:r>
    </w:p>
    <w:p>
      <w:pPr>
        <w:pStyle w:val="Heading5"/>
        <w:numPr>
          <w:ilvl w:val="4"/>
          <w:numId w:val="1"/>
        </w:numPr>
        <w:rPr/>
      </w:pPr>
      <w:bookmarkStart w:id="243" w:name="__RefHeading___Toc2354589_3650668749"/>
      <w:bookmarkStart w:id="244" w:name="_Toc91"/>
      <w:bookmarkEnd w:id="243"/>
      <w:r>
        <w:rPr>
          <w:rtl w:val="true"/>
        </w:rPr>
        <w:t>القول الأوّل</w:t>
      </w:r>
      <w:r>
        <w:rPr>
          <w:rtl w:val="true"/>
        </w:rPr>
        <w:t xml:space="preserve">: </w:t>
      </w:r>
      <w:r>
        <w:rPr>
          <w:rtl w:val="true"/>
        </w:rPr>
        <w:t>الوجوب مطلقاً</w:t>
      </w:r>
      <w:bookmarkEnd w:id="244"/>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الماتن إلى الوجوب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الشهرة</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هو الأظهر الأشهر</w:t>
      </w:r>
      <w:r>
        <w:rPr>
          <w:rStyle w:val="FootnoteAnchor"/>
          <w:rtl w:val="true"/>
        </w:rPr>
        <w:footnoteReference w:id="472"/>
      </w:r>
      <w:r>
        <w:rPr>
          <w:rFonts w:ascii="Amiri" w:hAnsi="Amiri" w:eastAsia="Amiri" w:cs="Amiri"/>
          <w:color w:val="111111"/>
          <w:sz w:val="28"/>
          <w:sz w:val="28"/>
          <w:szCs w:val="28"/>
          <w:rtl w:val="true"/>
          <w:lang w:bidi="ar-SA"/>
        </w:rPr>
        <w:t>وفاقاً للصدوقين</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على الحاكم التسوية بين الخصمين إن تساويا في الإسلام والكفر، في القيام، والنظر، وجواب السلام، وأنواع الإكرام، والجلوس، والإنصات، والعدل في الحكم</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 من وظائف القاضي التسوية بين الخصمين في السلام والجلوس والنظر والكلام والانصاف والعدل في الحكم</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عطف الأخيرين الواجبين على غيرهما ظاهر في وجوب التسوية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على الوجوب بروايات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سلمة بن كهيل عن أمير المؤمنين في حديث طويل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واس بين المسلمين بوجهك ومنطقك ومجلسك حتّى لا يطمع قريبك في حيفك، ولا ييأس عدوّك من عدلك</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 أنّ الخطاب إلى شريح القاضي ويأمره بوجوب رعاية هذه الامور بما هو قاضي في المحكمة بقرينة التعليل فيه والأمر فيه ظاهر في الوجوب</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وسندها وإن كانت ضعيفة من جهة عمرو بن أبي المقدام وهو لم يوثق، وكذا سلمة بن كهيل، ولكن في السند حسن بن المحبوب وهو من أصحاب</w:t>
      </w:r>
    </w:p>
    <w:p>
      <w:pPr>
        <w:pStyle w:val="BookText"/>
        <w:rPr/>
      </w:pPr>
      <w:r>
        <w:rPr>
          <w:rFonts w:ascii="Amiri" w:hAnsi="Amiri" w:eastAsia="Amiri" w:cs="Amiri"/>
          <w:color w:val="111111"/>
          <w:sz w:val="28"/>
          <w:sz w:val="28"/>
          <w:szCs w:val="28"/>
          <w:rtl w:val="true"/>
          <w:lang w:bidi="ar-SA"/>
        </w:rPr>
        <w:t>الإجماع مضافاً إلى عمل المشهور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ابتلى بالقضاء فليواس بينهم في الإشارة وفي النظر، وفي المجلس</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ابتلى بالقضاء بين المسلمين فليعدل بينهم في لحظه وإشارته ومقعده، ولا يرفعنّ صوته على أحدهما ما لا يرفع على الآخر</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بن‌الخطّاب ثلاث إن حفظتهنّ وعملت بهنّ كفتك ما سواهنّ، وإن تركتهنّ لم ينفعك شي‌ء سواهنّ،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 يا أبا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الحدود على القريب و البعيد، والحكم بكتاب الله في الرضا والسخط، والقسم بالعدل بين الأحمر والأسود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لقد أوجزت وأبلغت</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أنّ الاستشهاد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والقسم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منه لزوم التسوية في الامور المتقدّمة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المشايخ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رجلًا نزل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عنده أياماً ثمّ تقدّم إليه في خصومة لم يذكرها لأمير المؤمنين فقال له أخصم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تحوّل عنّا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يضاف</w:t>
      </w:r>
      <w:bookmarkStart w:id="245" w:name="pg1791_15644"/>
    </w:p>
    <w:p>
      <w:pPr>
        <w:pStyle w:val="BookText"/>
        <w:rPr/>
      </w:pPr>
      <w:bookmarkEnd w:id="245"/>
      <w:r>
        <w:rPr>
          <w:rFonts w:ascii="IRNazanin" w:hAnsi="IRNazanin" w:eastAsia="IRNazanin"/>
          <w:color w:val="111111"/>
          <w:sz w:val="28"/>
          <w:sz w:val="28"/>
          <w:szCs w:val="28"/>
          <w:rtl w:val="true"/>
          <w:lang w:bidi="fa-IR"/>
        </w:rPr>
        <w:t>الخصم الا ومعه خصمه</w:t>
      </w:r>
      <w:r>
        <w:rPr>
          <w:rFonts w:eastAsia="IRNazanin" w:cs="IRNazanin"/>
          <w:color w:val="111111"/>
          <w:sz w:val="28"/>
          <w:szCs w:val="28"/>
          <w:rtl w:val="true"/>
          <w:lang w:bidi="fa-IR"/>
        </w:rPr>
        <w:t>»</w:t>
      </w:r>
      <w:r>
        <w:rPr>
          <w:rStyle w:val="FootnoteAnchor"/>
          <w:rtl w:val="true"/>
        </w:rPr>
        <w:footnoteReference w:id="480"/>
      </w:r>
      <w:r>
        <w:rPr>
          <w:rFonts w:ascii="Amiri" w:hAnsi="Amiri" w:eastAsia="Amiri" w:cs="Amiri"/>
          <w:color w:val="111111"/>
          <w:sz w:val="28"/>
          <w:sz w:val="28"/>
          <w:szCs w:val="28"/>
          <w:rtl w:val="true"/>
          <w:lang w:bidi="ar-SA"/>
        </w:rPr>
        <w:t>ولا يخفى أنّ سند أكثرها ضعيف ولكنّها مورد عمل الأصحاب خصوصاً رواية سلمة بن كهيل الذي وقع في سندها من كان من أصحاب الإجماع</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2354591_3650668749"/>
      <w:bookmarkStart w:id="247" w:name="_Toc92"/>
      <w:bookmarkEnd w:id="246"/>
      <w:r>
        <w:rPr>
          <w:rtl w:val="true"/>
        </w:rPr>
        <w:t>القول الثاني</w:t>
      </w:r>
      <w:r>
        <w:rPr>
          <w:rtl w:val="true"/>
        </w:rPr>
        <w:t xml:space="preserve">: </w:t>
      </w:r>
      <w:r>
        <w:rPr>
          <w:rtl w:val="true"/>
        </w:rPr>
        <w:t>عدم الوجوب مطلقاً</w:t>
      </w:r>
      <w:bookmarkEnd w:id="247"/>
    </w:p>
    <w:p>
      <w:pPr>
        <w:pStyle w:val="BookText"/>
        <w:rPr/>
      </w:pPr>
      <w:r>
        <w:rPr>
          <w:rFonts w:ascii="Amiri" w:hAnsi="Amiri" w:eastAsia="Amiri" w:cs="Amiri"/>
          <w:color w:val="111111"/>
          <w:sz w:val="28"/>
          <w:sz w:val="28"/>
          <w:szCs w:val="28"/>
          <w:rtl w:val="true"/>
          <w:lang w:bidi="ar-SA"/>
        </w:rPr>
        <w:t>وقال ابن إدريس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أن يكون نظره إليهما واحداً ومجلسهما بين‌يديه على السواء لا أنّ ذلك واجب على ما يتوهّمه من لا بصيرة له بهذا الشأن</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سلار بعد ذكر الامور المذكورة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كلّه ندب</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العدل في الحكم، فلا خلاف في وجوبه، وأمّا ما عداه فهو مختار أكثر الأصحاب، بل لم يخالف فيما أحد سوى من يأتي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استدلّ بما تقدّم من الروايات،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والضعف منجبر بفتوى أكثر الأصحاب</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 حرمة القضاء وكونه من المناصب الإلهية تقتضي ذلك، بل لا ينتظر منه إلا المساواة في أنواع الإكرام بين الخصوم، بل عدم رعايتها من القاضي يوجب هتك احترام مجلس القضاء وهذا ينافي العدالة</w:t>
      </w:r>
      <w:r>
        <w:rPr>
          <w:rFonts w:eastAsia="Amiri" w:cs="Amiri" w:ascii="Amiri" w:hAnsi="Amiri"/>
          <w:color w:val="111111"/>
          <w:sz w:val="28"/>
          <w:szCs w:val="28"/>
          <w:rtl w:val="true"/>
          <w:lang w:bidi="ar-SA"/>
        </w:rPr>
        <w:t>.</w:t>
      </w:r>
      <w:bookmarkStart w:id="248" w:name="pg1791_15646"/>
    </w:p>
    <w:p>
      <w:pPr>
        <w:pStyle w:val="BookText"/>
        <w:rPr/>
      </w:pPr>
      <w:bookmarkEnd w:id="248"/>
      <w:r>
        <w:rPr>
          <w:rFonts w:ascii="Amiri" w:hAnsi="Amiri" w:eastAsia="Amiri" w:cs="Amiri"/>
          <w:color w:val="111111"/>
          <w:sz w:val="28"/>
          <w:sz w:val="28"/>
          <w:szCs w:val="28"/>
          <w:rtl w:val="true"/>
          <w:lang w:bidi="ar-SA"/>
        </w:rPr>
        <w:t>وأمّا التسوية في الميل بالقلب فلا يجب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شيخنا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الوجوب</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القائل باستحباب الامور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يتسامح في أدلّة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الاستدلال بما تقدّم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والمضعّف منجبر بفتوى أكثر الأصحاب بتلك الروايات حيث يسامح في أدلّة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بل الظاهر من الروايات هو الوجوب بلا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بعد انجبار ضعفها بعمل الأصحاب تكون الروايات ظاهرة الدلالة على المطلوب وهو الوجوب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الشيخ الأنصاري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تضعيف روايات الوجوب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حرجاً على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لا مجال للأصل بعد أثبتا الظهور للروايات في الوجوب</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2354593_3650668749"/>
      <w:bookmarkStart w:id="250" w:name="_Toc93"/>
      <w:bookmarkEnd w:id="249"/>
      <w:r>
        <w:rPr>
          <w:rtl w:val="true"/>
        </w:rPr>
        <w:t>مستثنيات وجوب التسوية على القاضي‌</w:t>
      </w:r>
      <w:bookmarkEnd w:id="2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استثني من وجوب التسوية على القاضي أمران</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التسوية في الميل القلبي بمعنى محبّة أحدهما أو الميل إلى التكلّم معه والقرب إليه في المجلس والتعظيم له أو الميل إلى أن يكون حكم الله موافقاً لهواه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غير مقدور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رسول الله يقول في القسم بين نسائه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قسمي فيما أملك وأنت أعلم بما لا أملك</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يعني الميل بالقلب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خبر ابن محبوب، عن أبي حمزة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 بني إسرائيل قاضٍ، و كان يقضي بالحقّ فيهم، فلمّا حضره الموت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فاغسليني و كفّنيني و ضعيني على سريري وغطّي وجهي، فإنّك لا ترين سوءاً، فلمّا مات فعلت ذلك، ثمّ مكث بذلك حيناً، ثمّ إنّها كشفت عن وجهه لتنظر إليه، فإذا هي بدودةٍ تقرض منخره، ففزعت من ذلك، فلمّا كان اللّيل أتاها في منامها،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أفزعك ما رأيت؟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لئن كنت فزعت ما كان الّذي رأيت إلا في أخيك فلانٍ، أتاني و معه خصمٌ له، فلمّا جلسا إليّ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الحقّ له، و وجّه القضاء على صاحبه، فلمّا اختصما إليّ كان الحقّ له، و رأيت ذلك بيّناً في القضاء فوجّهت القضاء له على صاحبه، فأصابني ما رأيت لموضع هواي كان مع موافقة الحقّ</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يقال إنّه محمول على ضرب من الحثّ على المراتب العالية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والمراد أنّه يؤكّد أن يجتهد القاضي حتّى أمكن له التسوية في الميل القلبي ويقدر عليه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أمكن ولو بجهد استحبّ كما أشار إليه في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489"/>
      </w:r>
      <w:r>
        <w:rPr>
          <w:rFonts w:ascii="Amiri" w:hAnsi="Amiri" w:eastAsia="Amiri" w:cs="Amiri"/>
          <w:color w:val="111111"/>
          <w:sz w:val="28"/>
          <w:sz w:val="28"/>
          <w:szCs w:val="28"/>
          <w:rtl w:val="true"/>
          <w:lang w:bidi="ar-SA"/>
        </w:rPr>
        <w:t>واستدلّ بهذا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يشكل ذلك، بأنّ الظاهر من الرواية أنّ القاضي عوقب لهواه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فأصابني ما رأيت لموضع هواي كان مع موافقة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ينافي الحمل على المراتب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حمل الشيخ الأنصاري الرواية على الكراهة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يكره حبّ توجّه القضاء لأحدهما على صاحبه، وإظهار ذلك ولو لله سبحانه بالدعاء، كما في رواية الثمالي</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وحمله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491"/>
      </w:r>
      <w:r>
        <w:rPr>
          <w:rFonts w:ascii="Amiri" w:hAnsi="Amiri" w:eastAsia="Amiri" w:cs="Amiri"/>
          <w:color w:val="111111"/>
          <w:sz w:val="28"/>
          <w:sz w:val="28"/>
          <w:szCs w:val="28"/>
          <w:rtl w:val="true"/>
          <w:lang w:bidi="ar-SA"/>
        </w:rPr>
        <w:t xml:space="preserve">على أنّ المؤاخذة في الرواية كانت على إظهار ما في قلبه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يظهره على الخصمين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الحقّ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أولى ممّا قاله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على ما يظهر من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أحدهما غير مسلم، فيجوز تكريم المسلم زائداً على خصمه في المجلس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92"/>
      </w:r>
      <w:r>
        <w:rPr>
          <w:rFonts w:ascii="Amiri" w:hAnsi="Amiri" w:eastAsia="Amiri" w:cs="Amiri"/>
          <w:color w:val="111111"/>
          <w:sz w:val="28"/>
          <w:sz w:val="28"/>
          <w:szCs w:val="28"/>
          <w:rtl w:val="true"/>
          <w:lang w:bidi="ar-SA"/>
        </w:rPr>
        <w:t xml:space="preserve">بلا خلاف،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إنّه كذلك قولًا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لاختصاص الحكم في بعض الروايات بالتسوية بين المسلمين كما في رواية سلمة وبعضها الآخر منصرف إلى ذلك</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ترافع مع يهودي إلى شريح في درع، فقام شريح وجلس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مكانه وجلس شريح واليهودي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أنّه</w:t>
      </w:r>
    </w:p>
    <w:p>
      <w:pPr>
        <w:pStyle w:val="BookText"/>
        <w:rPr/>
      </w:pPr>
      <w:r>
        <w:rPr>
          <w:rFonts w:ascii="Amiri" w:hAnsi="Amiri" w:eastAsia="Amiri" w:cs="Amiri"/>
          <w:color w:val="111111"/>
          <w:sz w:val="28"/>
          <w:sz w:val="28"/>
          <w:szCs w:val="28"/>
          <w:rtl w:val="true"/>
          <w:lang w:bidi="ar-SA"/>
        </w:rPr>
        <w:t>هذا إذا كانا مسلمين، وأمّا إذا كان أحدهما غير مسلم يجوز تكريم المسلم زائداً على خصمه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العدل في الحكم فيجب على أيّ حال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للقاضي أن يلقّن أحد الخصمين شيئاً يستظهر به على خصمه، كأن يدّعي بنحو الاحتمال، فيلقّنه أن يدّعى جزماً حتّى تسمع دعواه، أو يدّعي أداء الأمانة أو الدين فيلقّنه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يجوز أن يعلّمه كيفية الاحتجاج وطريق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ذمّي لجلست معه بين يديك غير أنّي سمعت النبي لا تساووهم في المجلس</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لما ورد في الآيات الكريمة والروايات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فَاحْكُمْ بَيْنَ النَّاسِ بِالْحَقِ</w:t>
      </w:r>
      <w:r>
        <w:rPr>
          <w:rStyle w:val="FootnoteAnchor"/>
          <w:rtl w:val="true"/>
        </w:rPr>
        <w:footnoteReference w:id="495"/>
      </w:r>
      <w:r>
        <w:rPr>
          <w:rFonts w:ascii="Amiri" w:hAnsi="Amiri" w:eastAsia="Amiri" w:cs="Amiri"/>
          <w:color w:val="111111"/>
          <w:sz w:val="28"/>
          <w:sz w:val="28"/>
          <w:szCs w:val="28"/>
          <w:rtl w:val="true"/>
          <w:lang w:bidi="ar-SA"/>
        </w:rPr>
        <w:t>أو فَاحْكُمْ بَيْنَهُمْ بِالْقِسْطِ</w:t>
      </w:r>
      <w:r>
        <w:rPr>
          <w:rStyle w:val="FootnoteAnchor"/>
          <w:rtl w:val="true"/>
        </w:rPr>
        <w:footnoteReference w:id="496"/>
      </w: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يَأمُرُكُمْ أنْ تُؤَدُّوا الأمَانَاتِ إِلَى أهْلِهَا وَإِذَا حَكَمْتُمْ بَيْنَ النَّاسِ أنْ تَحْكُمُوا بِالْعَدْلِ</w:t>
      </w:r>
      <w:r>
        <w:rPr>
          <w:rStyle w:val="FootnoteAnchor"/>
          <w:rtl w:val="true"/>
        </w:rPr>
        <w:footnoteReference w:id="497"/>
      </w: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كُونُوا قَوَّامِينَ للهِ شُهَدَاءَ بِالْقِسْطِ وَلا يَجْرِمَنَّكُمْ شَنَئآنُ قَوْمٍ عَلَى ألا تَعْدِلُوا اعْدِلُوا هُوَ أقْرَبُ لِلتَّقْوَى</w:t>
      </w:r>
      <w:r>
        <w:rPr>
          <w:rStyle w:val="FootnoteAnchor"/>
          <w:rtl w:val="true"/>
        </w:rPr>
        <w:footnoteReference w:id="498"/>
      </w:r>
      <w:r>
        <w:rPr>
          <w:rFonts w:ascii="Amiri" w:hAnsi="Amiri" w:eastAsia="Amiri" w:cs="Amiri"/>
          <w:color w:val="111111"/>
          <w:sz w:val="28"/>
          <w:sz w:val="28"/>
          <w:szCs w:val="28"/>
          <w:rtl w:val="true"/>
          <w:lang w:bidi="ar-SA"/>
        </w:rPr>
        <w:t>ولا فرق ذلك بين كونها مسلمين، أو كافرين ذمّيين، أو مختلفين</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وروايات التحريث القاضي العدل أكثر من أن تحصى فراجع في أبوابها</w:t>
      </w:r>
      <w:r>
        <w:rPr>
          <w:rFonts w:eastAsia="Amiri" w:cs="Amiri" w:ascii="Amiri" w:hAnsi="Amiri"/>
          <w:color w:val="111111"/>
          <w:sz w:val="28"/>
          <w:szCs w:val="28"/>
          <w:rtl w:val="true"/>
          <w:lang w:bidi="ar-SA"/>
        </w:rPr>
        <w:t>.</w:t>
      </w:r>
      <w:bookmarkStart w:id="251" w:name="pg1791_15654"/>
    </w:p>
    <w:p>
      <w:pPr>
        <w:pStyle w:val="BookText"/>
        <w:rPr/>
      </w:pPr>
      <w:bookmarkEnd w:id="251"/>
      <w:r>
        <w:rPr>
          <w:rFonts w:ascii="Amiri" w:hAnsi="Amiri" w:eastAsia="Amiri" w:cs="Amiri"/>
          <w:color w:val="111111"/>
          <w:sz w:val="28"/>
          <w:sz w:val="28"/>
          <w:szCs w:val="28"/>
          <w:rtl w:val="true"/>
          <w:lang w:bidi="ar-SA"/>
        </w:rPr>
        <w:t>هذا إذا لم يعلم أنّ الحقّ معه وإلا جاز، كما جاز له الحكم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غير القاضي فيجوز له ذلك مع علمه بصحّة دعواه، ولا يجوز مع علمه بعدمها، ومع جهله فالأحوط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ورد الخصوم مترتّبين بدأ الحاكم في سماع الدعوى بالأوّل فالأوّل، إلا إذا رضي المتقدّم تأخيره، من غير فرق بين الشريف والوضيع والذكر والانثى، وإن وردوا معاً، أو لم يعلم كيفية ورودهم، ولم يكن طريق لإثباته، يقرع بينهم مع التشاحّ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المدّعى عليه دعوى المدّعي بدعوى، لم يسمعها حتّى يجيب عن دعوى صاحبه وتنتهي الحكومة، ثمّ يستأنف هو دعواه، إلا مع رضا المدّعي الأوّل بالتقديم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بدر أحد الخصمين بالدعوى فهو أولى، ولو ابتدرا معاً يسمع من الذي على يمين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اتّفق مسافر وحاضر فهما سواء ما لم يستضرّ أحدهما بالتأخير، فيقدّم دفعاً للضرر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2354595_3650668749"/>
      <w:bookmarkStart w:id="253" w:name="_Toc94"/>
      <w:bookmarkEnd w:id="252"/>
      <w:r>
        <w:rPr>
          <w:rtl w:val="true"/>
        </w:rPr>
        <w:t>عدم جواز تلقين أحد الخصمين للقاضي‌</w:t>
      </w:r>
      <w:bookmarkEnd w:id="253"/>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أن يلقّن</w:t>
      </w:r>
      <w:r>
        <w:rPr>
          <w:rStyle w:val="FootnoteAnchor"/>
          <w:rtl w:val="true"/>
        </w:rPr>
        <w:footnoteReference w:id="499"/>
      </w:r>
      <w:r>
        <w:rPr>
          <w:rFonts w:ascii="Amiri" w:hAnsi="Amiri" w:eastAsia="Amiri" w:cs="Amiri"/>
          <w:color w:val="111111"/>
          <w:sz w:val="28"/>
          <w:sz w:val="28"/>
          <w:szCs w:val="28"/>
          <w:rtl w:val="true"/>
          <w:lang w:bidi="ar-SA"/>
        </w:rPr>
        <w:t>أحد الخصمين ما فيه ضرر على خصمه، ولا أن يهديه لوجوه الحجاج</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منه أنّه لا يجوز للقاضي أن يعين المدّعي ويهديه طريق طرح الدعوى حتّى يصير دعواه مسموعاً، كما أنّه لو أراد أن يطرح دعواه بطريق الاحتمال والظنّ يرشده القاضي أن يدّعي جزماً حتّى يسمع دعواه، وكذا لا يجوز للقاضي أن يعين المنكر في إنكاره ويهديه طريق الإنكار حتّى يقبل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 يدّعي المدّعي وجود الأمانة عنده أو القرض عليه، وهو يريد أن ينكره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أدّيته إليه، فيلقنه أن ينكر الأمانة أو القرض من أساس وإلا يصير مقرّاً بالأمانة عنده أو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يدّعى الردّ فيلزمه الإثبات وقد لا يمكنه وبالجملة كلّ ذلك يكون ضرراً على الخصم وإرشاداً لأحد الخصمين على كيفية الغلبة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الحرمة على ما قاله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مشروعية ذلك على القاضي يفتح باب المنازعة وقد نصب لسدّها</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ويستظهر من هذا الاستدلال، عدم وجود دليل عندهم على ذلك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إنّ إعانته لأحدهما بما تقدّم لا يوجب فتح باب المنازعة في جميع الموارد، بل قد يوجب وضوح الدعوى أو الإنكار ووضوح فصله وختمه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 إنّه لا دليل على حرمة ذلك للحاكم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إرائة طريق الغلبة للخصم وكيفية الحجاح والإرشاد بجمع الدليل والمستند لقوله؛ كانت من أوضح مصاديق عدم رعاية المساواة للقاضي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أنّ التسوية بينهم واجب عليه فيكون ذلك حراماً عليه من هذه الجهة كما استدلّ به المحقّق النراقي</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bookmarkStart w:id="254" w:name="pg1791_15658"/>
    </w:p>
    <w:p>
      <w:pPr>
        <w:pStyle w:val="BookText"/>
        <w:rPr/>
      </w:pPr>
      <w:bookmarkEnd w:id="254"/>
      <w:r>
        <w:rPr>
          <w:rFonts w:ascii="Amiri" w:hAnsi="Amiri" w:eastAsia="Amiri" w:cs="Amiri"/>
          <w:color w:val="111111"/>
          <w:sz w:val="28"/>
          <w:sz w:val="28"/>
          <w:szCs w:val="28"/>
          <w:rtl w:val="true"/>
          <w:lang w:bidi="ar-SA"/>
        </w:rPr>
        <w:t>مضافاً إلى أنّ القاضي حينئذٍ يصير خصماً للآخر ومعيناً لأحد الطرفين، وذلك لا يجوز له ولا فرق في ذلك بين أن يكون القاضي عالماً بواقع القضية أو لا لإطلاق أدلّة وجوب التسوية وعدم استلزامه الضرر على الآخر عند عدم إرائة الطريق للغلبة للزوم الحكم مطابقاً لعلمه بينهما 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بالجواز في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إذا لم يعلم أنّ الحقّ معه وإلا جاز كما جاز له الحكم بعلمه</w:t>
      </w:r>
      <w:r>
        <w:rPr>
          <w:rFonts w:eastAsia="Amiri" w:cs="Amiri" w:ascii="Amiri" w:hAnsi="Amiri"/>
          <w:color w:val="111111"/>
          <w:sz w:val="28"/>
          <w:szCs w:val="28"/>
          <w:rtl w:val="true"/>
          <w:lang w:bidi="ar-SA"/>
        </w:rPr>
        <w:t>»</w:t>
      </w:r>
      <w:r>
        <w:rPr>
          <w:rStyle w:val="FootnoteAnchor"/>
          <w:rtl w:val="true"/>
        </w:rPr>
        <w:footnoteReference w:id="503"/>
      </w:r>
      <w:r>
        <w:rPr>
          <w:rFonts w:ascii="Amiri" w:hAnsi="Amiri" w:eastAsia="Amiri" w:cs="Amiri"/>
          <w:color w:val="111111"/>
          <w:sz w:val="28"/>
          <w:sz w:val="28"/>
          <w:szCs w:val="28"/>
          <w:rtl w:val="true"/>
          <w:lang w:bidi="ar-SA"/>
        </w:rPr>
        <w:t>، فلا وجه له، فإنّ غايته أنّه إعانة لأحدهما على وصوله بحقّه وتركه يوجب تضييع الحقّ عليه وذلك مدفوع بجواز الحكم بعلمه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على حرمة التلقين والهداية على القاضي، بأنّهما مخالفان لشؤون القضاء ويوجبان هتك حرمة القضاء وسلب اعتماد الناس من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أنّه عبارة اخرى عن وجوب التسوية فإنّ حكمة وجوبها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القاضي</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2354597_3650668749"/>
      <w:bookmarkStart w:id="256" w:name="_Toc95"/>
      <w:bookmarkEnd w:id="255"/>
      <w:r>
        <w:rPr>
          <w:rtl w:val="true"/>
        </w:rPr>
        <w:t>حول تلقين غير القاضي لأحد الخصمين‌</w:t>
      </w:r>
      <w:bookmarkEnd w:id="256"/>
    </w:p>
    <w:p>
      <w:pPr>
        <w:pStyle w:val="Heading5"/>
        <w:numPr>
          <w:ilvl w:val="4"/>
          <w:numId w:val="1"/>
        </w:numPr>
        <w:rPr/>
      </w:pPr>
      <w:bookmarkStart w:id="257" w:name="__RefHeading___Toc2354599_3650668749"/>
      <w:bookmarkStart w:id="258" w:name="_Toc96"/>
      <w:bookmarkEnd w:id="257"/>
      <w:r>
        <w:rPr>
          <w:rtl w:val="true"/>
        </w:rPr>
        <w:t>اشارة</w:t>
      </w:r>
      <w:bookmarkEnd w:id="258"/>
    </w:p>
    <w:p>
      <w:pPr>
        <w:pStyle w:val="BookText"/>
        <w:rPr/>
      </w:pPr>
      <w:r>
        <w:rPr>
          <w:rFonts w:ascii="Amiri" w:hAnsi="Amiri" w:eastAsia="Amiri" w:cs="Amiri"/>
          <w:color w:val="111111"/>
          <w:sz w:val="28"/>
          <w:sz w:val="28"/>
          <w:szCs w:val="28"/>
          <w:rtl w:val="true"/>
          <w:lang w:bidi="ar-SA"/>
        </w:rPr>
        <w:t>أمّا غير القاضي فقد يكون وكيلًا لأحدهما فهو بمنزلة نفس الموكّل فيجوز له تلقينه طريق الغلبة على الخصم وكيفية الاستدلال والاحتجاج وجمع الدليل والمستند كما أنّ له أن يفعل ذلك بنفسه لأجل الوكالة عنه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لا يكون وكيلًا ومع ذلك يجوز له إرشاده وهدايته إلى طريق الغلبة على الخصم إذا كان عالماً بصحّة دعواه، فإنّه من باب التعاون على البرّ، وكذا إذا كان</w:t>
      </w:r>
      <w:bookmarkStart w:id="259" w:name="pg1791_15660"/>
    </w:p>
    <w:p>
      <w:pPr>
        <w:pStyle w:val="BookText"/>
        <w:rPr/>
      </w:pPr>
      <w:bookmarkEnd w:id="259"/>
      <w:r>
        <w:rPr>
          <w:rFonts w:ascii="Amiri" w:hAnsi="Amiri" w:eastAsia="Amiri" w:cs="Amiri"/>
          <w:color w:val="111111"/>
          <w:sz w:val="28"/>
          <w:sz w:val="28"/>
          <w:szCs w:val="28"/>
          <w:rtl w:val="true"/>
          <w:lang w:bidi="ar-SA"/>
        </w:rPr>
        <w:t>جاهلًا واحتمل الصحّة، وأمّا إذا كان عالماً بعدم كونه ذا حقّ في دعواه أو إنكاره فلا يجوز له الإعانة بلا شبهة، فإنّه من باب التعاون على الإثم والعدوان المحرّمين بمقتضى يَا أيُّهَا الّذِينَ آمَنُوا لا تُحِلُّوا شَعَائِرَ اللهِ وَلا الشَّهْرَ الْحَرَامَ وَلا الْهَدْىَ وَلا الْقَلائِدَ وَلا آمِّينَ الْبَيْتَ الْحَرَامَ يَبْتَغُونَ فَضْلًا مِنْ رَبِّهِمْ وَرِضْوَاناً وَإِذَا حَلَلْتُمْ فَاصْطَادُوا وَلا يَجْرِمَنَّكُمْ شَنَآنُ قَوْمٍ أنْ صَدُّوكُمْ عَنْ الْمَسْجِدِ الْحَرَامِ أنْ تَعْتَدُوا وَتَعَاوَنُوا عَلَى الْبِرِّ وَالتَّقْوَى وَلا تَعَاوَنُوا عَلَى الإِثْمِ وَالْعُدْوَانِ وَاتَّقُوا اللهَ إِنَّ اللهَ شَدِيدُ الْعِقَابِ</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الإمام ثلاثة وظائف آخر للقاضي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وأثبتناه في المتن بعد الأمر الثاني من الامور التي تفضل به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وظائف القاضي وهو الأمر الثالث والرابع والخامس، لكنّها مربوط بما إذا لم يقم نظام قضائي فلا وجه لذكرها</w:t>
      </w:r>
      <w:r>
        <w:rPr>
          <w:rFonts w:eastAsia="Amiri" w:cs="Amiri" w:ascii="Amiri" w:hAnsi="Amiri"/>
          <w:color w:val="111111"/>
          <w:sz w:val="28"/>
          <w:szCs w:val="28"/>
          <w:rtl w:val="true"/>
          <w:lang w:bidi="ar-SA"/>
        </w:rPr>
        <w:t>.</w:t>
      </w:r>
    </w:p>
    <w:p>
      <w:pPr>
        <w:pStyle w:val="Heading5"/>
        <w:numPr>
          <w:ilvl w:val="4"/>
          <w:numId w:val="1"/>
        </w:numPr>
        <w:rPr/>
      </w:pPr>
      <w:bookmarkStart w:id="260" w:name="__RefHeading___Toc2354601_3650668749"/>
      <w:bookmarkStart w:id="261" w:name="_Toc97"/>
      <w:bookmarkEnd w:id="260"/>
      <w:r>
        <w:rPr>
          <w:rtl w:val="true"/>
        </w:rPr>
        <w:t>استحباب الترغيب إلى الصلح‌</w:t>
      </w:r>
      <w:bookmarkEnd w:id="261"/>
    </w:p>
    <w:p>
      <w:pPr>
        <w:pStyle w:val="BookText"/>
        <w:rPr/>
      </w:pPr>
      <w:r>
        <w:rPr>
          <w:rFonts w:ascii="Amiri" w:hAnsi="Amiri" w:eastAsia="Amiri" w:cs="Amiri"/>
          <w:color w:val="111111"/>
          <w:sz w:val="28"/>
          <w:sz w:val="28"/>
          <w:szCs w:val="28"/>
          <w:rtl w:val="true"/>
          <w:lang w:bidi="ar-SA"/>
        </w:rPr>
        <w:t xml:space="preserve">نعم، ذكر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فرعاً لا يخلو من فائدة لذكرها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ترافع الخصمان، وكان الحكم واضحاً لزمه القضاء ويستحبّ ترغيبهما في الصلح، فإن أبيا إلا المناجزة، حكم بينهما وإن أشكل أخّر الحكم حتّى يتّضح</w:t>
      </w:r>
      <w:r>
        <w:rPr>
          <w:rFonts w:eastAsia="Amiri" w:cs="Amiri" w:ascii="Amiri" w:hAnsi="Amiri"/>
          <w:color w:val="111111"/>
          <w:sz w:val="28"/>
          <w:szCs w:val="28"/>
          <w:rtl w:val="true"/>
          <w:lang w:bidi="ar-SA"/>
        </w:rPr>
        <w:t>»</w:t>
      </w:r>
      <w:r>
        <w:rPr>
          <w:rStyle w:val="FootnoteAnchor"/>
          <w:rtl w:val="true"/>
        </w:rPr>
        <w:footnoteReference w:id="50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إشكال في أنّه إذا تبين الحقّ للحاكم بالبيّنة أو الإقرار أو اليمين ولم يبق فيه اشتباه حكمي أو موضوعي بحسب الأدلّة وطلب المحكوم له يجب عليه الحكم؛</w:t>
      </w:r>
    </w:p>
    <w:p>
      <w:pPr>
        <w:pStyle w:val="BookText"/>
        <w:rPr/>
      </w:pPr>
      <w:r>
        <w:rPr>
          <w:rFonts w:ascii="Amiri" w:hAnsi="Amiri" w:eastAsia="Amiri" w:cs="Amiri"/>
          <w:color w:val="111111"/>
          <w:sz w:val="28"/>
          <w:sz w:val="28"/>
          <w:szCs w:val="28"/>
          <w:rtl w:val="true"/>
          <w:lang w:bidi="ar-SA"/>
        </w:rPr>
        <w:t>لأنّه حقّ مطالب ولا مسوّغ لتأخيره، وإن أشكل أخرّ الحكم حتّى يتّضح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استحباب ترغيب الخصمين إلى الصلح للقاضي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06"/>
      </w:r>
      <w:r>
        <w:rPr>
          <w:rFonts w:ascii="Amiri" w:hAnsi="Amiri" w:eastAsia="Amiri" w:cs="Amiri"/>
          <w:color w:val="111111"/>
          <w:sz w:val="28"/>
          <w:sz w:val="28"/>
          <w:szCs w:val="28"/>
          <w:rtl w:val="true"/>
          <w:lang w:bidi="ar-SA"/>
        </w:rPr>
        <w:t>إنّ ذلك يوجب التأخير في الحكم وهو مناف للفورية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عرفي، والترغيب إلى الصلح يحصل في المجلس وعند عدم قبولها للتصالح يحكم الحاكم ولا ينافي الفورية العرفية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ابن إدريس ذهاب جمع كثير إلى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أن يأمرهما بالصلح ويشير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والصُّلْح خَيْرٌ</w:t>
      </w:r>
      <w:r>
        <w:rPr>
          <w:rStyle w:val="FootnoteAnchor"/>
          <w:rtl w:val="true"/>
        </w:rPr>
        <w:footnoteReference w:id="507"/>
      </w:r>
      <w:r>
        <w:rPr>
          <w:rFonts w:ascii="Amiri" w:hAnsi="Amiri" w:eastAsia="Amiri" w:cs="Amiri"/>
          <w:color w:val="111111"/>
          <w:sz w:val="28"/>
          <w:sz w:val="28"/>
          <w:szCs w:val="28"/>
          <w:rtl w:val="true"/>
          <w:lang w:bidi="ar-SA"/>
        </w:rPr>
        <w:t>وما هو خير، فللإنسان فعله بغير خلاف من 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يشتبه هذا الموضع على كثير من المتفقّهة، فيظنّ أنّه لا يجوز للحاكم أن يأمر بالصلح، ولا يشير به، وهذا خطأ من قائله</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والأقوى استحبابه للقاضي ولا دليل عليه بالخصوص في المورد لكن يمكن الاستدلال بما دلّ على استحباب الصلح من الآيات والروايات الواردة في الصلح</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فَأصْلِحُوا بَيْنَ أخَوَيْكُمْ</w:t>
      </w:r>
      <w:r>
        <w:rPr>
          <w:rStyle w:val="FootnoteAnchor"/>
          <w:rtl w:val="true"/>
        </w:rPr>
        <w:footnoteReference w:id="509"/>
      </w: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والصُّلْح خَيْرٌ وغيرهما في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تَجْعَلُوا اللهَ عُرْضَةً لأيْمَانِكُمْ أنْ تَبَرُّوا وَتَتَّقُوا وَتُصْلِحُوا بَيْنَ النَّاسِ</w:t>
      </w:r>
      <w:r>
        <w:rPr>
          <w:rStyle w:val="FootnoteAnchor"/>
          <w:rtl w:val="true"/>
        </w:rPr>
        <w:footnoteReference w:id="510"/>
      </w:r>
      <w:r>
        <w:rPr>
          <w:rFonts w:ascii="Amiri" w:hAnsi="Amiri" w:eastAsia="Amiri" w:cs="Amiri"/>
          <w:color w:val="111111"/>
          <w:sz w:val="28"/>
          <w:sz w:val="28"/>
          <w:szCs w:val="28"/>
          <w:rtl w:val="true"/>
          <w:lang w:bidi="ar-SA"/>
        </w:rPr>
        <w:t>أي لا تجعلوا اليمين بالله عزّ وجلّ مانعاً عن البرّ والتقوى والصلح فإذا دعيتم إلى البرّ والتقوى والصلح أن تقولوا على يمين على أن لا 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على استحباب الترغيب إلى الصلح للقاضي بأنّه ربما يتوجّه إلى المنكر الحلف وهو مكروه وإن كان صادقاً فالترغيب إلى الصلح يرفع الحلف عن المنكر</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رغبهما إلى الصلح وتصالحا، ثمّ ادّعى بعد ذلك أحدهما الغبن في الصلح؛ فالظاهر سماع الدعوى وله فسخه وإعادة الدعوى، وقد ذكروا في باب خيار الغبن جريانه في الصلح إذا كان فاحشاً خارجاً عن حدود المقصود في الصلح كما يجري في البيع فعلى الحاكم أن يستمع إلى دعوى المدّعي للغبن وإعادة الحكم</w:t>
      </w:r>
      <w:r>
        <w:rPr>
          <w:rFonts w:eastAsia="Amiri" w:cs="Amiri" w:ascii="Amiri" w:hAnsi="Amiri"/>
          <w:color w:val="111111"/>
          <w:sz w:val="28"/>
          <w:szCs w:val="28"/>
          <w:rtl w:val="true"/>
          <w:lang w:bidi="ar-SA"/>
        </w:rPr>
        <w:t>.</w:t>
      </w:r>
      <w:bookmarkStart w:id="262" w:name="pg1791_15667"/>
    </w:p>
    <w:p>
      <w:pPr>
        <w:pStyle w:val="Heading3"/>
        <w:numPr>
          <w:ilvl w:val="2"/>
          <w:numId w:val="1"/>
        </w:numPr>
        <w:rPr/>
      </w:pPr>
      <w:bookmarkStart w:id="263" w:name="__RefHeading___Toc2354603_3650668749"/>
      <w:bookmarkStart w:id="264" w:name="_Toc98"/>
      <w:bookmarkEnd w:id="262"/>
      <w:bookmarkEnd w:id="263"/>
      <w:r>
        <w:rPr>
          <w:rtl w:val="true"/>
        </w:rPr>
        <w:t>القول</w:t>
      </w:r>
      <w:r>
        <w:rPr>
          <w:rtl w:val="true"/>
        </w:rPr>
        <w:t xml:space="preserve">: </w:t>
      </w:r>
      <w:r>
        <w:rPr>
          <w:rtl w:val="true"/>
        </w:rPr>
        <w:t>في شروط سماع الدعوى‌</w:t>
      </w:r>
      <w:bookmarkEnd w:id="264"/>
    </w:p>
    <w:p>
      <w:pPr>
        <w:pStyle w:val="Heading4"/>
        <w:numPr>
          <w:ilvl w:val="3"/>
          <w:numId w:val="1"/>
        </w:numPr>
        <w:rPr/>
      </w:pPr>
      <w:bookmarkStart w:id="265" w:name="__RefHeading___Toc2354605_3650668749"/>
      <w:bookmarkStart w:id="266" w:name="_Toc99"/>
      <w:bookmarkEnd w:id="265"/>
      <w:r>
        <w:rPr>
          <w:rtl w:val="true"/>
        </w:rPr>
        <w:t>اشارة</w:t>
      </w:r>
      <w:bookmarkEnd w:id="266"/>
    </w:p>
    <w:p>
      <w:pPr>
        <w:pStyle w:val="BookText"/>
        <w:rPr/>
      </w:pPr>
      <w:r>
        <w:rPr>
          <w:rFonts w:ascii="Amiri" w:hAnsi="Amiri" w:eastAsia="Amiri" w:cs="Amiri"/>
          <w:color w:val="111111"/>
          <w:sz w:val="28"/>
          <w:sz w:val="28"/>
          <w:szCs w:val="28"/>
          <w:rtl w:val="true"/>
          <w:lang w:bidi="ar-SA"/>
        </w:rPr>
        <w:t>وليعلم أنّ تشخيص المدّعي والمنكر عرفي كسائر الموضوعات العرفية، وليس للشارع الأقدس اصطلاح خاصّ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 بتعاريف متقاربة، والتعاريف جلّها مربوطة بتشخيص المورد،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لو ترك ترك، أو يدّعي خلاف الأصل، أو من يكون في مقام إثبات أمر على غيره، والأولى الإيكال إلى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يختلف المدّعي والمنكر عرفاً بحسب طرح الدعوى ومصبّها، وقد يكون من قبيل التداعي بحسب المصبّ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في الروايات أحكام تتعلّق بالمدّعي وبالمنكر أو المدّعى عليه، ومن أهمّها مطالبة البيّنة من المدّعي واليمين من المنكر فلا مناص للقاضي في المحكمة إلا أن يتميز بينهما ويعرف المدّعي حتّى يطلب منه إقامة البيّنة ويعرف المنكر حتّى يطلب منه اليمين</w:t>
      </w:r>
      <w:r>
        <w:rPr>
          <w:rFonts w:eastAsia="Amiri" w:cs="Amiri" w:ascii="Amiri" w:hAnsi="Amiri"/>
          <w:color w:val="111111"/>
          <w:sz w:val="28"/>
          <w:szCs w:val="28"/>
          <w:rtl w:val="true"/>
          <w:lang w:bidi="ar-SA"/>
        </w:rPr>
        <w:t>.</w:t>
      </w:r>
      <w:bookmarkStart w:id="267" w:name="pg1791_15669"/>
    </w:p>
    <w:p>
      <w:pPr>
        <w:pStyle w:val="Heading4"/>
        <w:numPr>
          <w:ilvl w:val="3"/>
          <w:numId w:val="1"/>
        </w:numPr>
        <w:rPr/>
      </w:pPr>
      <w:bookmarkStart w:id="268" w:name="__RefHeading___Toc2354607_3650668749"/>
      <w:bookmarkStart w:id="269" w:name="_Toc100"/>
      <w:bookmarkEnd w:id="267"/>
      <w:bookmarkEnd w:id="268"/>
      <w:r>
        <w:rPr>
          <w:rtl w:val="true"/>
        </w:rPr>
        <w:t>حول معاني المدّعي والمنكر</w:t>
      </w:r>
      <w:bookmarkEnd w:id="269"/>
    </w:p>
    <w:p>
      <w:pPr>
        <w:pStyle w:val="BookText"/>
        <w:rPr/>
      </w:pPr>
      <w:r>
        <w:rPr>
          <w:rFonts w:ascii="Amiri" w:hAnsi="Amiri" w:eastAsia="Amiri" w:cs="Amiri"/>
          <w:color w:val="111111"/>
          <w:sz w:val="28"/>
          <w:sz w:val="28"/>
          <w:szCs w:val="28"/>
          <w:rtl w:val="true"/>
          <w:lang w:bidi="ar-SA"/>
        </w:rPr>
        <w:t>ولا ريب في أنّه لم يثبت للّفظ المدّعي أو المنكر حقيقة شرعية أو المتشرّعة في الشرع، بل هما باقيان على ما هما عليه من المعنى وقد استعمل في لسان النصوص والمتشرّعة بذاك المعنى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تصدّي جمع من الفقهاء لبيان تعاريف لهما في كتبهم لكنّها لا يخلو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حكي أنّه المشهور وهو أنّ المدّعي هو من لو تَرَكَ تُرِكَ وبعبارة اخرى هو من لو سَكَتَ سُكِتَ عنه، يعني لو ترك المخاصمة والتنازع ورفع اليد عنها ترك التخاصم وترك وحاله ولم يطالب شي‌ء وخلّي ونفسه، أو أنّه لو سكت ولم يخاصم سُكِتَ عنه ولم يخاصم و لم يتوجّه إليه شي‌ء ولم يطالب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وينتقض هذا التعريف بمدّعي الردّ أو الإعسار في باب الدين، ومدّعي الوفاء في باب الأمانات ومدّعي التلف إذا كانت يده يد ضمان كالخياط مثلًا؛ فإنّ مدّعي أداء الدين أو الإعسار لو ترك ورفع اليد عن التخاصم لم يترك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المال باق عنده وعلى عهدته ويطالب به وكذا البقية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يدّعي خلاف الأصل ويكون قوله مخالفاً للأصل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المراد من الأصل أعمّ من الأصل العملي والأمارات المعتبرة شرعاً كاليد ونحوها كما إذا ادّعى داراً تكون في يد زيد مثلًا، فيكون مدّعياً لأنّ قوله مخالف للأمارة المعتبرة وهي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وناقش فيه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12"/>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بالأصل إن كان هو مخالفة كلّ أصل بالنسبة إلى تلك الدعوى فلا ينبغي الريب في بطلان التعريف لأنّ المدّعي قد لا يكون قوله مخالفاً لكلّ أصل بالنسبه إلى تلك الدعوى، فإنّ كثيراً من أفراد الدعوى قد تكون موافقة لأصل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اختلف الزوجان في كون الزواج دائماً أو منقطعاً فمدّعي الانقطاع يكون قوله موافقاً لأصل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اريد مخالفة الأصل في الجملة فلا يتميز بهذا التعريف المدّعي عن المنكر، لأنّ قول المنكر قد يكون مخالفاً لبعض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ممّن يدّعي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بالظاهر هو الظاهر المعتبر شرعاً وهو الظاهر بحسب المتعارف والمعتاد كما إذا ادّعت الزوجة التي تعاشر الزوج في البيت عدم الإنفاق والزوج ينكره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يرجع إلى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ويختلف الظهور والخفاء بالنسبة إلى الأشخاص فيلزم أن يكون شخص واحد في دعوى واحدة مدّعياً عند حاكم ومنكراً عند آخر</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المرجع فيهما هو العرف على حسب غيرهما من الألفاظ التي لم تثبت لها حقيقة شرعية ولا قرينة على إرادة معنى مجازي خاصّ</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صرّح 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وليعلم أنّ تشخيص المدّعي والمنكر عرفي كسائر الموضوعات العرفية، وليس للشارع الأقدس اصطلاح خاصّ فيهما</w:t>
      </w:r>
      <w:r>
        <w:rPr>
          <w:rFonts w:eastAsia="Amiri" w:cs="Amiri" w:ascii="Amiri" w:hAnsi="Amiri"/>
          <w:color w:val="111111"/>
          <w:sz w:val="28"/>
          <w:szCs w:val="28"/>
          <w:rtl w:val="true"/>
          <w:lang w:bidi="ar-SA"/>
        </w:rPr>
        <w:t>»</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التعاريف المذكورة لهما جلّها مربوطة بتشخيص المورد وبيان</w:t>
      </w:r>
    </w:p>
    <w:p>
      <w:pPr>
        <w:pStyle w:val="BookText"/>
        <w:rPr/>
      </w:pPr>
      <w:r>
        <w:rPr>
          <w:rFonts w:ascii="Amiri" w:hAnsi="Amiri" w:eastAsia="Amiri" w:cs="Amiri"/>
          <w:color w:val="111111"/>
          <w:sz w:val="28"/>
          <w:sz w:val="28"/>
          <w:szCs w:val="28"/>
          <w:rtl w:val="true"/>
          <w:lang w:bidi="ar-SA"/>
        </w:rPr>
        <w:t>المصاديق فلا يكون تعريفاً حقيقياً حتّى يناقش بعدم كونها جامعاً أو مانعاً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 إيكاله إلى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مرجع حينئذٍ إلا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اشتباه فيه في كثير من أفراده، بل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 العرفي في المدّعي هو الذي يدّعي شيئاً على آخر، و يكون ملزماً بإثباته عند العقلاء، سواء يدّعي شيئاً من مال أو حقّ أو غيرهما أو يدّعي وفاء دين أو أداء يمين كان واجباً عليه، ونحو ذلك والمنكر في مقابله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العرفي منه ذلك وكلام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 ذلك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وحينئذٍ فالمراد به الذي قام به إنشاء الخصومة في حقّ له أو خروج من حقّ عليه، سواء وافق الظاهر والأصل بذلك أو خالفهما، وسواء تُرِكَ مع سكوته أو لم يترَك، فإنّ المدّعي عرفاً لا يختلف باختلاف ذلك</w:t>
      </w:r>
      <w:r>
        <w:rPr>
          <w:rFonts w:eastAsia="Amiri" w:cs="Amiri" w:ascii="Amiri" w:hAnsi="Amiri"/>
          <w:color w:val="111111"/>
          <w:sz w:val="28"/>
          <w:szCs w:val="28"/>
          <w:rtl w:val="true"/>
          <w:lang w:bidi="ar-SA"/>
        </w:rPr>
        <w:t>»</w:t>
      </w:r>
      <w:r>
        <w:rPr>
          <w:rStyle w:val="FootnoteAnchor"/>
          <w:rtl w:val="true"/>
        </w:rPr>
        <w:footnoteReference w:id="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موافق وقريب لمعنى اللغوي للمدّعي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ادّعى الشي‌ء زعم أنّه له؛ حقّاً أو باطلًا ادّعى عليه؛ حاكمة عند القاضي</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المرجع فيهما هو العرف فقد يختلف صدق المدّعي والمنكر على حسب مصبّ الدعوى، فالملاك كيفية طرح الدعوى ومصبّه، فإذا ادّعى على شخص بدين على عهدته فأنكره الدين كان الأوّل مدّعياً والآخر منكراً، وإذا ادّعى في مقام الجواب أنّه أدّاه فقد ينقلب الدعوى فيصر الثاني مدّعياً والأوّل</w:t>
      </w:r>
      <w:bookmarkStart w:id="270" w:name="pg1791_15675"/>
    </w:p>
    <w:p>
      <w:pPr>
        <w:pStyle w:val="BookText"/>
        <w:rPr/>
      </w:pPr>
      <w:bookmarkEnd w:id="270"/>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سماع دعوى المدّعي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مربوط بالمدّعي وبعضها بالدعوى، وبعضها بالمدّعى عليه، وبعضها بالمدّعى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فلا تسمع من الطفل ولو كان مراهقاً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رفع الطفل المميّز ظلامته إلى القاضي فإن كان له وليّ أحضره لطرح الدعوى، وإلا فأحضر المدّعى عليه ولاية، أو نصب قيّماً له، أو وكّل وكيلًا في الدعوى، أو تكفّل بنفسه وأحلف المنكر لو لم تكن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ردّ الحلف فلا أثر لحلف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الوكيل أو الوليّ صحّة دعواه جاز لهما الحلف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اتّفقا على وقوع عقد بينهما لكنّهما يختلفان في كونه بيعاً أو هبة، فإن كان مصبّ الدعوى والفرض من طرحها لزوم العوض وعدمه فمن يدّعي كونه بيعاً يكون مدّعياً لأنّه يدّعي على عهدة الآخر ثمناً والآخر منكراً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الفرض تعيين نوع العقد الواقع بينهما فيكون كلّ واحد منها مدّعياً ومنكراً فهو التداعي</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2354609_3650668749"/>
      <w:bookmarkStart w:id="272" w:name="_Toc101"/>
      <w:bookmarkEnd w:id="271"/>
      <w:r>
        <w:rPr>
          <w:rtl w:val="true"/>
        </w:rPr>
        <w:t>شرائط سماع الدعوى‌</w:t>
      </w:r>
      <w:bookmarkEnd w:id="272"/>
    </w:p>
    <w:p>
      <w:pPr>
        <w:pStyle w:val="Heading5"/>
        <w:numPr>
          <w:ilvl w:val="4"/>
          <w:numId w:val="1"/>
        </w:numPr>
        <w:rPr/>
      </w:pPr>
      <w:bookmarkStart w:id="273" w:name="__RefHeading___Toc2354611_3650668749"/>
      <w:bookmarkStart w:id="274" w:name="_Toc102"/>
      <w:bookmarkEnd w:id="273"/>
      <w:r>
        <w:rPr>
          <w:rtl w:val="true"/>
        </w:rPr>
        <w:t>الشرط الأوّل</w:t>
      </w:r>
      <w:r>
        <w:rPr>
          <w:rtl w:val="true"/>
        </w:rPr>
        <w:t xml:space="preserve">: </w:t>
      </w:r>
      <w:r>
        <w:rPr>
          <w:rtl w:val="true"/>
        </w:rPr>
        <w:t>البلوغ‌</w:t>
      </w:r>
      <w:bookmarkEnd w:id="274"/>
    </w:p>
    <w:p>
      <w:pPr>
        <w:pStyle w:val="BookText"/>
        <w:rPr/>
      </w:pPr>
      <w:r>
        <w:rPr>
          <w:rFonts w:ascii="Amiri" w:hAnsi="Amiri" w:eastAsia="Amiri" w:cs="Amiri"/>
          <w:color w:val="111111"/>
          <w:sz w:val="28"/>
          <w:sz w:val="28"/>
          <w:szCs w:val="28"/>
          <w:rtl w:val="true"/>
          <w:lang w:bidi="ar-SA"/>
        </w:rPr>
        <w:t>اشترط الفقهاء في سماع الدعوى في المحكمة أن يكون المدّعي بالغاً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على ذلك بامور كما عن السيّد</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عدم الخلاف، بل الإجماع عليه كما عن غير واحد من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محتمل المدركية، لاحتمال وجود دليل تعبّدي لهم بحيث لم يصل إلينا، بل يحتمل أن يكون مستندهم في ذلك ما يأتي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يعني أصالة عدم ترتّب آثار الدعوى من وجوب السماع، وقبول البيّنة والإقرار وسقوط الدعوى بالحلف وغيرهما على هذه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محكوم بإطلاقات الأدلّة في كلّ مورد شككنا في ترتّب الأثر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المتبادر من الأدلّة هو البالغ فما دلّ على وجوب سماع الدعوى، وكذا أحكام الدعوى يختصّ بما إذا صدرت ممّن اجتمعت فيه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مضافاً إلى أنّ الدعوى قد تضمّن اموراً تتوقّف على التكليف كإقامة البيّنة ونحوها</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التبادر، من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فاحكم بين الناس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إنّما هو بدوي يزول بالتأمّل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يتوقّف على التكليف من الأحكام فيقتصر في عدم السماع بهما فيكون الدليل أخصّ من المدّعي</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الدالّة على أن لا يجوز أمر الصبيّ حتّى يبلغ كما في رواية حمزة بن حمران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والغلام لا يجوز أمره في الشراء</w:t>
      </w:r>
    </w:p>
    <w:p>
      <w:pPr>
        <w:pStyle w:val="BookText"/>
        <w:rPr/>
      </w:pPr>
      <w:r>
        <w:rPr>
          <w:rFonts w:ascii="Amiri" w:hAnsi="Amiri" w:eastAsia="Amiri" w:cs="Amiri"/>
          <w:color w:val="111111"/>
          <w:sz w:val="28"/>
          <w:sz w:val="28"/>
          <w:szCs w:val="28"/>
          <w:rtl w:val="true"/>
          <w:lang w:bidi="ar-SA"/>
        </w:rPr>
        <w:t xml:space="preserve">والبيع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يبلغ خمس عشرة سنة أو يحتلم </w:t>
      </w:r>
      <w:r>
        <w:rPr>
          <w:rFonts w:eastAsia="Amiri" w:cs="Amiri" w:ascii="Amiri" w:hAnsi="Amiri"/>
          <w:color w:val="111111"/>
          <w:sz w:val="28"/>
          <w:szCs w:val="28"/>
          <w:rtl w:val="true"/>
          <w:lang w:bidi="ar-SA"/>
        </w:rPr>
        <w:t>...»</w:t>
      </w:r>
      <w:r>
        <w:rPr>
          <w:rStyle w:val="FootnoteAnchor"/>
          <w:rtl w:val="true"/>
        </w:rPr>
        <w:footnoteReference w:id="520"/>
      </w:r>
      <w:r>
        <w:rPr>
          <w:rFonts w:ascii="Amiri" w:hAnsi="Amiri" w:eastAsia="Amiri" w:cs="Amiri"/>
          <w:color w:val="111111"/>
          <w:sz w:val="28"/>
          <w:sz w:val="28"/>
          <w:szCs w:val="28"/>
          <w:rtl w:val="true"/>
          <w:lang w:bidi="ar-SA"/>
        </w:rPr>
        <w:t>تدلّ على أنّه لا ينفذ أمر الصبيّ في سماع دعواه وترتّب الآثار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هذه الروايات التصرّفات المالية التي له فيها وليّ من الأب والجدّ ولا يشمل غيرها ممّا ليس فيه تصرّف 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الصبيّ مسلوب العبارة فلا يعتدّ بكلامه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ذلك وحديث رفع القلم يراد منه رفع المؤاخذة أو التكليف ولا دلالة له على كونه مسلوب العبارة، بل دلّت بعض الأخبار على مشروعية عباداته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الصبيّ محجور عليه، فلا أثر لسماع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أخصّ من الدعوى لاختصاصه بالدعاوي المالية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ملازمة بين الحجر على الصبيّ وعدم سماع دعواه؛ فإنّ المراد من حجره عدم نفوذ تصرّفاته المالية فللقاضي أن يسمع الدعوى وعند ثبوت الحقّ للصبيّ لا يسلم إليه المال، بل يسلم إلى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فلا ينهض دليل معتدّ به على عدم سماع دعوى الطفل المراهق، فلو جاء يتيم لا ولي له، إلى‌الحاكم وادّعى أنّ فلاناً أفقأ عيني أو قتل أبي أو نزع ثوبي أو غصب حقّي ويريد الفرار ولي بذلك شهود فاسمع شهودي وخذ بحقّي؛ بحيث ليس فيها تصرّف مالي أصلًا، فالأوجه سماع دعواه وترتيب الأثر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توقّف بعضها على التكليف شرعاً أو يلزم تصرّف مالي فيعمل القاضي بما ذكره الإمام في المتن</w:t>
      </w:r>
      <w:r>
        <w:rPr>
          <w:rFonts w:eastAsia="Amiri" w:cs="Amiri" w:ascii="Amiri" w:hAnsi="Amiri"/>
          <w:color w:val="111111"/>
          <w:sz w:val="28"/>
          <w:szCs w:val="28"/>
          <w:rtl w:val="true"/>
          <w:lang w:bidi="ar-SA"/>
        </w:rPr>
        <w:t>.</w:t>
      </w:r>
      <w:bookmarkStart w:id="275" w:name="pg1791_15681"/>
    </w:p>
    <w:p>
      <w:pPr>
        <w:pStyle w:val="BookText"/>
        <w:rPr/>
      </w:pPr>
      <w:bookmarkEnd w:id="275"/>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فلا تسمع من المجنون ولو كان أدوارياً إذا رفع حال جنونه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الحجر لسفه إذا استلزم منها التصرّف المالي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السفيه قبل الحجر فتسمع دعواه مطلقاً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276" w:name="__RefHeading___Toc2354613_3650668749"/>
      <w:bookmarkStart w:id="277" w:name="_Toc103"/>
      <w:bookmarkEnd w:id="276"/>
      <w:r>
        <w:rPr>
          <w:rtl w:val="true"/>
        </w:rPr>
        <w:t>الشرط الثاني</w:t>
      </w:r>
      <w:r>
        <w:rPr>
          <w:rtl w:val="true"/>
        </w:rPr>
        <w:t xml:space="preserve">: </w:t>
      </w:r>
      <w:r>
        <w:rPr>
          <w:rtl w:val="true"/>
        </w:rPr>
        <w:t>العقل‌</w:t>
      </w:r>
      <w:bookmarkEnd w:id="2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ذلك أنّ المجنون مسلوب العبارة فلا يترتّب على كلامه أثر والأدلّة منصرفة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يقال أنّ القاضي إذا احتمل وقوع ظلم عليه والتعدّي بالنسبة إليه أو ماله، فلازم له التفحّص ورفع الظلم عنه من جهة أهمّية رفع الظلم ولزوم الاحتمام به أو الاحتفاظ للحقوق فلا بدّ أن يحضر وليه، أو يتولّى بنفسه أمر القضاء بولايته عنه أو يجعل له وكيلًا</w:t>
      </w:r>
      <w:r>
        <w:rPr>
          <w:rFonts w:eastAsia="Amiri" w:cs="Amiri" w:ascii="Amiri" w:hAnsi="Amiri"/>
          <w:color w:val="111111"/>
          <w:sz w:val="28"/>
          <w:szCs w:val="28"/>
          <w:rtl w:val="true"/>
          <w:lang w:bidi="ar-SA"/>
        </w:rPr>
        <w:t>.</w:t>
      </w:r>
    </w:p>
    <w:p>
      <w:pPr>
        <w:pStyle w:val="Heading5"/>
        <w:numPr>
          <w:ilvl w:val="4"/>
          <w:numId w:val="1"/>
        </w:numPr>
        <w:rPr/>
      </w:pPr>
      <w:bookmarkStart w:id="278" w:name="__RefHeading___Toc2354615_3650668749"/>
      <w:bookmarkStart w:id="279" w:name="_Toc104"/>
      <w:bookmarkEnd w:id="278"/>
      <w:r>
        <w:rPr>
          <w:rtl w:val="true"/>
        </w:rPr>
        <w:t>الشرط الثالث</w:t>
      </w:r>
      <w:r>
        <w:rPr>
          <w:rtl w:val="true"/>
        </w:rPr>
        <w:t xml:space="preserve">: </w:t>
      </w:r>
      <w:r>
        <w:rPr>
          <w:rtl w:val="true"/>
        </w:rPr>
        <w:t>عدم الحجر</w:t>
      </w:r>
      <w:bookmarkEnd w:id="279"/>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السفيه إذا حكم عليه بالحجر يصير ممنوعاً من التصرّف في‌أمواله، فإذا استلزم دعواه التصرّف المالي لا يسمع وأمّا إذا لم يستلزم‌التصرّف المالي أو لم يحكم عليه بالحجر فلا يكون ممنوعاً من التصرّف‌وكان دعواه مسموعاً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مذهبه، من أنّ السفيه لا يكون محجوراً إلا بحكم الحاكم وأمّا من قال بأنّ السفيه محجور عليه قبل حكم الحاكم أيضاً، فاشترطوا هنا الرشد قال السيّد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 كونه رشيداً فلا تسمع من</w:t>
      </w:r>
      <w:bookmarkStart w:id="280" w:name="pg1791_15683"/>
    </w:p>
    <w:p>
      <w:pPr>
        <w:pStyle w:val="BookText"/>
        <w:rPr/>
      </w:pPr>
      <w:bookmarkEnd w:id="280"/>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أجنبياً عن الدعوى، فلو ادّعى بدين شخص أجنبي على الآخر لم تسمع، فلا بدّ فيه من نحو تعلّق به كالولاية والوكالة، أو كان المورد متعلّق حقّ 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السفيه</w:t>
      </w:r>
      <w:r>
        <w:rPr>
          <w:rFonts w:eastAsia="Amiri" w:cs="Amiri" w:ascii="Amiri" w:hAnsi="Amiri"/>
          <w:color w:val="111111"/>
          <w:sz w:val="28"/>
          <w:szCs w:val="28"/>
          <w:rtl w:val="true"/>
          <w:lang w:bidi="ar-SA"/>
        </w:rPr>
        <w:t>»</w:t>
      </w:r>
      <w:r>
        <w:rPr>
          <w:rStyle w:val="FootnoteAnchor"/>
          <w:rtl w:val="true"/>
        </w:rPr>
        <w:footnoteReference w:id="521"/>
      </w:r>
      <w:r>
        <w:rPr>
          <w:rFonts w:ascii="Amiri" w:hAnsi="Amiri" w:eastAsia="Amiri" w:cs="Amiri"/>
          <w:color w:val="111111"/>
          <w:sz w:val="28"/>
          <w:sz w:val="28"/>
          <w:szCs w:val="28"/>
          <w:rtl w:val="true"/>
          <w:lang w:bidi="ar-SA"/>
        </w:rPr>
        <w:t xml:space="preserve">وكذا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أن يقال أنّ معنى كونه محجوراً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بحكم الحاكم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ممنوع من التصرّفات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أنّ ذلك لا يستلزم عدم سماع دعواه، بل يمكن أن يقال أنّه تسمع دعواه، فإذا استلزم بعد الحكم له التصرّف في ماله لا يسلم إليه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أنّه لا دليل على عدم سماع دعواه، بل دعواه مسموعاً وتقبل منه البيّنة ويكون عينية نافذة ولكن لا يسلم إليه المال</w:t>
      </w:r>
      <w:r>
        <w:rPr>
          <w:rFonts w:eastAsia="Amiri" w:cs="Amiri" w:ascii="Amiri" w:hAnsi="Amiri"/>
          <w:color w:val="111111"/>
          <w:sz w:val="28"/>
          <w:szCs w:val="28"/>
          <w:rtl w:val="true"/>
          <w:lang w:bidi="ar-SA"/>
        </w:rPr>
        <w:t>.</w:t>
      </w:r>
    </w:p>
    <w:p>
      <w:pPr>
        <w:pStyle w:val="Heading5"/>
        <w:numPr>
          <w:ilvl w:val="4"/>
          <w:numId w:val="1"/>
        </w:numPr>
        <w:rPr/>
      </w:pPr>
      <w:bookmarkStart w:id="281" w:name="__RefHeading___Toc2354617_3650668749"/>
      <w:bookmarkStart w:id="282" w:name="_Toc105"/>
      <w:bookmarkEnd w:id="281"/>
      <w:r>
        <w:rPr>
          <w:rtl w:val="true"/>
        </w:rPr>
        <w:t>الشرط الرابع</w:t>
      </w:r>
      <w:r>
        <w:rPr>
          <w:rtl w:val="true"/>
        </w:rPr>
        <w:t xml:space="preserve">: </w:t>
      </w:r>
      <w:r>
        <w:rPr>
          <w:rtl w:val="true"/>
        </w:rPr>
        <w:t>عدم الأجنبية</w:t>
      </w:r>
      <w:bookmarkEnd w:id="2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يعتبر في المدّعي أن يكون المدّعى به ملكاً له أو متعلّق حقّ له، فهو مالك أو ذو حقّ ويطالب بحقّه بالدعوى أو يكون للمدّعي نحو تعلّق وارتباط مع المالك أو المدّعى به مثل أن يكون وكيلًا له أو ولياً أو وصياً أو قيماً له أو يكون المال متعلّق حقّه من رهانة أو أمانة أو عارية ونحو ذلك</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استدلّ على ذلك بالأصل فإنّ الأصل عدم وجوب سماع الدعوى من</w:t>
      </w:r>
    </w:p>
    <w:p>
      <w:pPr>
        <w:pStyle w:val="BookText"/>
        <w:rPr/>
      </w:pPr>
      <w:r>
        <w:rPr>
          <w:rFonts w:ascii="Amiri" w:hAnsi="Amiri" w:eastAsia="Amiri" w:cs="Amiri"/>
          <w:color w:val="111111"/>
          <w:sz w:val="28"/>
          <w:sz w:val="28"/>
          <w:szCs w:val="28"/>
          <w:rtl w:val="true"/>
          <w:lang w:bidi="ar-SA"/>
        </w:rPr>
        <w:t>غيره وعدم جواز إجبار الغريم على الجواب وعدم ترتّب سائر آثار الحكم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523"/>
      </w:r>
      <w:r>
        <w:rPr>
          <w:rFonts w:ascii="Amiri" w:hAnsi="Amiri" w:eastAsia="Amiri" w:cs="Amiri"/>
          <w:color w:val="111111"/>
          <w:sz w:val="28"/>
          <w:sz w:val="28"/>
          <w:szCs w:val="28"/>
          <w:rtl w:val="true"/>
          <w:lang w:bidi="ar-SA"/>
        </w:rPr>
        <w:t>بأنّه محكوم بالعمومات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اْحْكُمْ بَيْنَهُمْ بِمَا أنزَلَ اللهُ</w:t>
      </w:r>
      <w:r>
        <w:rPr>
          <w:rStyle w:val="FootnoteAnchor"/>
          <w:rtl w:val="true"/>
        </w:rPr>
        <w:footnoteReference w:id="524"/>
      </w: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لِتَحْكُمَ بَيْنَ النَّاسِ بِمَا أرَاكَ اللهُ</w:t>
      </w:r>
      <w:r>
        <w:rPr>
          <w:rStyle w:val="FootnoteAnchor"/>
          <w:rtl w:val="true"/>
        </w:rPr>
        <w:footnoteReference w:id="525"/>
      </w: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فَاحْكُمْ بَيْنَهُمْ بِمَا أنزَلَ اللهُ</w:t>
      </w:r>
      <w:r>
        <w:rPr>
          <w:rStyle w:val="FootnoteAnchor"/>
          <w:rtl w:val="true"/>
        </w:rPr>
        <w:footnoteReference w:id="526"/>
      </w:r>
      <w:r>
        <w:rPr>
          <w:rFonts w:ascii="Amiri" w:hAnsi="Amiri" w:eastAsia="Amiri" w:cs="Amiri"/>
          <w:color w:val="111111"/>
          <w:sz w:val="28"/>
          <w:sz w:val="28"/>
          <w:szCs w:val="28"/>
          <w:rtl w:val="true"/>
          <w:lang w:bidi="ar-SA"/>
        </w:rPr>
        <w:t>فإنّ مقتضى الأمر بالمحاكمة بينهم هو التحاكم ورفع النزاع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أيضاً بانصراف الأدلّة والعمومات عن الأجنبيّ، فإنّه لا بدّ أن يصدق للمدّعي أنّه يطالب بماله وحقّه ويصدق على الآخر أنّه خصم له وطرف لدعواه ويصدق لهما المتخاصمين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الروايات أنّ البيّنة يشهدان بكونه ذا حقّ والحلف يسقط حقّه ممّا يوضح لزوم كون المطالبة من قبل صاحب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والانصراف صحيح ولا يشمل الأدلّة من لا يكون له نحو تعلّق بالمال ويدّعي عن الغير بلا ولاية تكون عليه أو الوكالة عنهم أو الوصاية وغيرها، ولا تسمع دعواه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في سماع دعوى الوكيل والوليّ، ثبوت وكالته أو ولايته أو لا، بل يكفي ادّعائه لذلك؟ وجهان؛ بل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أظهرهما الاشتراط</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يستثني من ذلك الدعاوي الراجعة إلى الحقوق العامّة والامور الحسبية فإنّ الظاهر سماع الدعوى من مدّعي العامّ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المحتسبين كما إذا ادّعى شخص على ميّت له صغار بدين، وهو يعلم أنّه أوفاه وذمّته بريئة وله شهود بذلك</w:t>
      </w:r>
      <w:bookmarkStart w:id="283" w:name="pg1791_15687"/>
    </w:p>
    <w:p>
      <w:pPr>
        <w:pStyle w:val="BookText"/>
        <w:rPr/>
      </w:pPr>
      <w:bookmarkEnd w:id="283"/>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للدعوى أثر لو حكم على طبقها، فلو ادّعى أنّ الأرض متحرّكة وأنكرها الآخر لم تسمع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الباب ما لو ادّعى الوقف عليه أو الهبة مع التسالم على عدم القبض، أو الاختلاف في البيع وعدمه مع التسالم على بطلانه على فرض الوقوع، كمن ادّعى أنّه باع ربوياً وأنكر الآخر أصل 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ما لو ادّعى أمراً محالًا، أو ادّعى أنّ هذا العنب الذي عند فلان من بستاني، وليس لي إلا هذه الدعوى، لم تسمع؛ لأنّه بعد ثبوته بالبيّنة لا يؤخذ من الغير لعدم ثبوت كونه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الباب لو ادّعى ما لا يصحّ تملّكه، كما لو ادّعى أنّ هذا الخنزير أو الخمر لي، فإنّه بعد الثبوت لا يحكم بردّه إليه إلا فيما يكون له الأولوية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الدعوى على غير محصور، كمن ادّعى أنّ لي على واحد من أهل هذا البلد ديناً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يدّعي عن الميّت وفاء الدين لحفظ أموال 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ادّعى على صديقه أو جاره الغائبين وهو يعلم براءةهما ونحو ذلك خصوصاً إذا كان المدّعي بحيث لو أثبت دعواه وأخذ ما يدّعيه لم يمكن استرداده منه بعد أن صار الصغار كباراً أو بعد حضور الغائب وذلك لعدم انصراف العمومات عن أمثال ذلك</w:t>
      </w:r>
      <w:r>
        <w:rPr>
          <w:rFonts w:eastAsia="Amiri" w:cs="Amiri" w:ascii="Amiri" w:hAnsi="Amiri"/>
          <w:color w:val="111111"/>
          <w:sz w:val="28"/>
          <w:szCs w:val="28"/>
          <w:rtl w:val="true"/>
          <w:lang w:bidi="ar-SA"/>
        </w:rPr>
        <w:t>.</w:t>
      </w:r>
    </w:p>
    <w:p>
      <w:pPr>
        <w:pStyle w:val="Heading5"/>
        <w:numPr>
          <w:ilvl w:val="4"/>
          <w:numId w:val="1"/>
        </w:numPr>
        <w:rPr/>
      </w:pPr>
      <w:bookmarkStart w:id="284" w:name="__RefHeading___Toc2354619_3650668749"/>
      <w:bookmarkStart w:id="285" w:name="_Toc106"/>
      <w:bookmarkEnd w:id="284"/>
      <w:r>
        <w:rPr>
          <w:rtl w:val="true"/>
        </w:rPr>
        <w:t>الشرط الخامس</w:t>
      </w:r>
      <w:r>
        <w:rPr>
          <w:rtl w:val="true"/>
        </w:rPr>
        <w:t xml:space="preserve">: </w:t>
      </w:r>
      <w:r>
        <w:rPr>
          <w:rtl w:val="true"/>
        </w:rPr>
        <w:t>المعقولية</w:t>
      </w:r>
      <w:bookmarkEnd w:id="285"/>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من شرائط الدعوى أن يكون ادّعاء المدّعي أمر ذا أثر معقول وكمثال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وأن يكون نتيجة الدعوى ذا أثر يعتمد عليه بعد حكم الحاكم</w:t>
      </w:r>
      <w:r>
        <w:rPr>
          <w:rFonts w:eastAsia="Amiri" w:cs="Amiri" w:ascii="Amiri" w:hAnsi="Amiri"/>
          <w:color w:val="111111"/>
          <w:sz w:val="28"/>
          <w:szCs w:val="28"/>
          <w:rtl w:val="true"/>
          <w:lang w:bidi="ar-SA"/>
        </w:rPr>
        <w:t>.</w:t>
      </w:r>
      <w:bookmarkStart w:id="286" w:name="pg1791_15688"/>
    </w:p>
    <w:p>
      <w:pPr>
        <w:pStyle w:val="Heading5"/>
        <w:numPr>
          <w:ilvl w:val="4"/>
          <w:numId w:val="1"/>
        </w:numPr>
        <w:rPr/>
      </w:pPr>
      <w:bookmarkStart w:id="287" w:name="__RefHeading___Toc2354621_3650668749"/>
      <w:bookmarkStart w:id="288" w:name="_Toc107"/>
      <w:bookmarkEnd w:id="286"/>
      <w:bookmarkEnd w:id="287"/>
      <w:r>
        <w:rPr>
          <w:rtl w:val="true"/>
        </w:rPr>
        <w:t>الفروع المتفرّعة على شرط المعقولية في طرح الدعوى‌</w:t>
      </w:r>
      <w:bookmarkEnd w:id="288"/>
    </w:p>
    <w:p>
      <w:pPr>
        <w:pStyle w:val="BookText"/>
        <w:rPr/>
      </w:pPr>
      <w:r>
        <w:rPr>
          <w:rFonts w:ascii="Amiri" w:hAnsi="Amiri" w:eastAsia="Amiri" w:cs="Amiri"/>
          <w:color w:val="111111"/>
          <w:sz w:val="28"/>
          <w:sz w:val="28"/>
          <w:szCs w:val="28"/>
          <w:rtl w:val="true"/>
          <w:lang w:bidi="ar-SA"/>
        </w:rPr>
        <w:t xml:space="preserve">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إلى سبعة من الفروع تحت هذا الشرط الخامس، وهذا المنهج هو المنهج الصحيح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فسنبحث عنها واحداً بعد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شخص في المحكمة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متحرّكة وأنكرها الآخر، لا تكون الدعوى ذا أثر لأنّه لو حكم القاضي بحركة الأرض أو سكونها لن توجد أي فائدة للمتنازعين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أنّ الملك الفلاني موهوبة أو موقوفة له، ولكن لم يقبض بعده، مع أنّ القبض شرط في لزوم الوقف والهبة وإذا لم يقبض لا يلزم، فحينئذٍ لا يوجد أي أثر لحكم الحاكم، سواء حكم بوقوع صيغة الوقف أو الهبة أو عدم وقوعهما، لأنّ عدم القبض هو المتسالم عليه عند المدّعي والمدّعى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ونتيجة التسالم بطلان الوقف أو الهبة، سواء كان الحكم بصحّة الادّعاء أم عدم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على وقوع البيع وعدمه وتسالما على ربويته، كمن ادّعى أنّه باع ربوياً والآخر أنكر أصل البيع فحينئذٍ لا وجه للترافع إلى الحاكم سواء حكم بصدق ادّعاء المدّعي أم لا؟ لأنّ البيع على أيّة حال باطل شرعاً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أمراً محالًا</w:t>
      </w:r>
      <w:r>
        <w:rPr>
          <w:rStyle w:val="FootnoteAnchor"/>
          <w:rtl w:val="true"/>
        </w:rPr>
        <w:footnoteReference w:id="527"/>
      </w:r>
      <w:r>
        <w:rPr>
          <w:rFonts w:ascii="Amiri" w:hAnsi="Amiri" w:eastAsia="Amiri" w:cs="Amiri"/>
          <w:color w:val="111111"/>
          <w:sz w:val="28"/>
          <w:sz w:val="28"/>
          <w:szCs w:val="28"/>
          <w:rtl w:val="true"/>
          <w:lang w:bidi="ar-SA"/>
        </w:rPr>
        <w:t>سواء كان محالًا عادياً، كما يدّعي الإنسان الطيران أو عقلياً كادّعاء جواز اجتماع النقيضين أو شرعياً كمن يدّعي أنّه يملك</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المدّعى به معلوماً بوجه، فلا تسمع دعوى المجهول المطلق، كأن ادّعى أنّ لي عنده شيئاً؛ للتردّد بين كونه ممّا تسمع فيه الدعوى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لي عنده فرساً أو دابّة أو ثوباً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تسمع، فبعد الحكم بثبوتها يطالب المدّعى عليه بالتفسير، فإن فسّر ولم يصدّقه المدّعي فهو دعوى اخرى، وإن لم يفسّر لجهالته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المدّعى به بين أشياء محدودة يقرع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أقرّ بالتلف ولم ينازعه الطرف فإن اتّفقا في القيمة،</w:t>
      </w:r>
    </w:p>
    <w:p>
      <w:pPr>
        <w:pStyle w:val="BookText"/>
        <w:rPr/>
      </w:pPr>
      <w:r>
        <w:rPr>
          <w:rFonts w:ascii="Amiri" w:hAnsi="Amiri" w:eastAsia="Amiri" w:cs="Amiri"/>
          <w:color w:val="111111"/>
          <w:sz w:val="28"/>
          <w:sz w:val="28"/>
          <w:szCs w:val="28"/>
          <w:rtl w:val="true"/>
          <w:lang w:bidi="ar-SA"/>
        </w:rPr>
        <w:t>الخمر إذا في كلّ من هذه الثلاثة لا يتحقّق الدعوى، ولا يسمع، لأنّه لا أثر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شخص أنّ هذا العنب مثلًا محصول حديقتي ولا يدّعي الآن ملكية العنب، فحينئذٍ لا أثر لحكم الحاكم فيه، ولهذا لا يسمع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ملكية ما لا يصحّ تملّكه كمن ادّعى مالكية الخمر أو الخنزير، وحينئذٍ لا أثر للدعوى، لأنّه لو ثبت لا يحكم القاضي بردّ الخمر أو الخنزير إليه إلا إذا كان له أولوية في التصرّف في هذا الشي‌ء الذي لا يصحّ تملّكه، وهذا لا يحتاج إلى حكم القاضي</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على غير المحصورين لا يسمع، لأنّه لا أثر له وأمّا الادّعاء على المحصورين فسيأتي حكمها</w:t>
      </w:r>
      <w:r>
        <w:rPr>
          <w:rFonts w:eastAsia="Amiri" w:cs="Amiri" w:ascii="Amiri" w:hAnsi="Amiri"/>
          <w:color w:val="111111"/>
          <w:sz w:val="28"/>
          <w:szCs w:val="28"/>
          <w:rtl w:val="true"/>
          <w:lang w:bidi="ar-SA"/>
        </w:rPr>
        <w:t>.</w:t>
      </w:r>
      <w:bookmarkStart w:id="289" w:name="pg1791_15692"/>
    </w:p>
    <w:p>
      <w:pPr>
        <w:pStyle w:val="BookText"/>
        <w:rPr/>
      </w:pPr>
      <w:bookmarkEnd w:id="289"/>
      <w:r>
        <w:rPr>
          <w:rFonts w:ascii="Amiri" w:hAnsi="Amiri" w:eastAsia="Amiri" w:cs="Amiri"/>
          <w:color w:val="111111"/>
          <w:sz w:val="28"/>
          <w:sz w:val="28"/>
          <w:szCs w:val="28"/>
          <w:rtl w:val="true"/>
          <w:lang w:bidi="ar-SA"/>
        </w:rPr>
        <w:t>وإلا ففي الزيادة دعوى اخرى مسموعة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290" w:name="__RefHeading___Toc2354623_3650668749"/>
      <w:bookmarkStart w:id="291" w:name="_Toc108"/>
      <w:bookmarkEnd w:id="290"/>
      <w:r>
        <w:rPr>
          <w:rtl w:val="true"/>
        </w:rPr>
        <w:t>الشرط السادس</w:t>
      </w:r>
      <w:r>
        <w:rPr>
          <w:rtl w:val="true"/>
        </w:rPr>
        <w:t xml:space="preserve">: </w:t>
      </w:r>
      <w:r>
        <w:rPr>
          <w:rtl w:val="true"/>
        </w:rPr>
        <w:t>معلومية الدعوى‌</w:t>
      </w:r>
      <w:bookmarkEnd w:id="2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على أمر مجهول لايسمع، كما لو ادّعى أنّ لي على فلان شي‌ء، أو سرق فلان منّي شيئاً ولا يعينه كمّاً أو كيفاً ووصفاً؛ لأنّا عند عدم التعين نشكّ في وجوب السماع، والأصل عدم الوجوب ولا بدّ أن يكون الدعوى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هنا بحث وهو أنّه هل يجب أن يكون الدعوى معلوماً بالتفصيل، أو يكفي المعلومية إجمالًا، كما لو قال إنّ لي عليه دنانير، أو إنّ لي عليه البهيمة، أو بيت،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عنده فرشاً والآن لا يعطيني 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قولان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المعلومية بالتفصيل؛ قال به جمع من الفقهاء كالشيخ</w:t>
      </w:r>
      <w:r>
        <w:rPr>
          <w:rStyle w:val="FootnoteAnchor"/>
          <w:rtl w:val="true"/>
        </w:rPr>
        <w:footnoteReference w:id="528"/>
      </w:r>
      <w:r>
        <w:rPr>
          <w:rFonts w:ascii="Amiri" w:hAnsi="Amiri" w:eastAsia="Amiri" w:cs="Amiri"/>
          <w:color w:val="111111"/>
          <w:sz w:val="28"/>
          <w:sz w:val="28"/>
          <w:szCs w:val="28"/>
          <w:rtl w:val="true"/>
          <w:lang w:bidi="ar-SA"/>
        </w:rPr>
        <w:t>والحلبي</w:t>
      </w:r>
      <w:r>
        <w:rPr>
          <w:rStyle w:val="FootnoteAnchor"/>
          <w:rtl w:val="true"/>
        </w:rPr>
        <w:footnoteReference w:id="529"/>
      </w:r>
      <w:r>
        <w:rPr>
          <w:rFonts w:ascii="Amiri" w:hAnsi="Amiri" w:eastAsia="Amiri" w:cs="Amiri"/>
          <w:color w:val="111111"/>
          <w:sz w:val="28"/>
          <w:sz w:val="28"/>
          <w:szCs w:val="28"/>
          <w:rtl w:val="true"/>
          <w:lang w:bidi="ar-SA"/>
        </w:rPr>
        <w:t>وابن إدريس</w:t>
      </w:r>
      <w:r>
        <w:rPr>
          <w:rStyle w:val="FootnoteAnchor"/>
          <w:rtl w:val="true"/>
        </w:rPr>
        <w:footnoteReference w:id="530"/>
      </w:r>
      <w:r>
        <w:rPr>
          <w:rFonts w:ascii="Amiri" w:hAnsi="Amiri" w:eastAsia="Amiri" w:cs="Amiri"/>
          <w:color w:val="111111"/>
          <w:sz w:val="28"/>
          <w:sz w:val="28"/>
          <w:szCs w:val="28"/>
          <w:rtl w:val="true"/>
          <w:lang w:bidi="ar-SA"/>
        </w:rPr>
        <w:t>وحمزة</w:t>
      </w:r>
      <w:r>
        <w:rPr>
          <w:rStyle w:val="FootnoteAnchor"/>
          <w:rtl w:val="true"/>
        </w:rPr>
        <w:footnoteReference w:id="531"/>
      </w:r>
      <w:r>
        <w:rPr>
          <w:rFonts w:ascii="Amiri" w:hAnsi="Amiri" w:eastAsia="Amiri" w:cs="Amiri"/>
          <w:color w:val="111111"/>
          <w:sz w:val="28"/>
          <w:sz w:val="28"/>
          <w:szCs w:val="28"/>
          <w:rtl w:val="true"/>
          <w:lang w:bidi="ar-SA"/>
        </w:rPr>
        <w:t>وزهرة</w:t>
      </w:r>
      <w:r>
        <w:rPr>
          <w:rStyle w:val="FootnoteAnchor"/>
          <w:rtl w:val="true"/>
        </w:rPr>
        <w:footnoteReference w:id="532"/>
      </w:r>
      <w:r>
        <w:rPr>
          <w:rFonts w:ascii="Amiri" w:hAnsi="Amiri" w:eastAsia="Amiri" w:cs="Amiri"/>
          <w:color w:val="111111"/>
          <w:sz w:val="28"/>
          <w:sz w:val="28"/>
          <w:szCs w:val="28"/>
          <w:rtl w:val="true"/>
          <w:lang w:bidi="ar-SA"/>
        </w:rPr>
        <w:t>والعلامة في بعض كتبه</w:t>
      </w:r>
      <w:r>
        <w:rPr>
          <w:rStyle w:val="FootnoteAnchor"/>
          <w:rtl w:val="true"/>
        </w:rPr>
        <w:footnoteReference w:id="533"/>
      </w:r>
      <w:r>
        <w:rPr>
          <w:rFonts w:ascii="Amiri" w:hAnsi="Amiri" w:eastAsia="Amiri" w:cs="Amiri"/>
          <w:color w:val="111111"/>
          <w:sz w:val="28"/>
          <w:sz w:val="28"/>
          <w:szCs w:val="28"/>
          <w:rtl w:val="true"/>
          <w:lang w:bidi="ar-SA"/>
        </w:rPr>
        <w:t>والشهيد</w:t>
      </w:r>
      <w:r>
        <w:rPr>
          <w:rStyle w:val="FootnoteAnchor"/>
          <w:rtl w:val="true"/>
        </w:rPr>
        <w:footnoteReference w:id="534"/>
      </w:r>
      <w:r>
        <w:rPr>
          <w:rFonts w:ascii="IRNazanin" w:hAnsi="IRNazanin" w:eastAsia="IRNazanin"/>
          <w:color w:val="111111"/>
          <w:sz w:val="28"/>
          <w:sz w:val="28"/>
          <w:szCs w:val="28"/>
          <w:rtl w:val="true"/>
          <w:lang w:bidi="fa-IR"/>
        </w:rPr>
        <w:t>وجمع آخر من الفقهاء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ليست في الحكم في الدعوى الغير المعلومة بالتفصيل فائدة؛ لأنّه بعد استماع الدعوى وإقامة البيّنة أو الإقرار المدّعى‌عليه لا يمكن للقاضي أن يسترد المال الذي ليس بمعلوم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المعلومية بالإجمال؛ أي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عنده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يسمع دعواه و على الحاكم أن يحكم بمقتضى الدعوى، كما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عدم الفائدة لأنّ الحاكم بعد فصل الخصومة وإنشاء الحكم يلزم المدّعى عليه على التعيين وإذا عين المال كمّاً وكيفاً يأخذه الحاكم للمدّعي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 في كتاب الإقرار أنّه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على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وبمصداق إقرار العقلاء يلزم بالتعيين، كذلك يسمع الدعوى هنا لعلّ المدّعى عليه يقرّ بأصل الدعوى، ثمّ بعد الإقرار يلزم على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يوجب عدم السماع في الدعوى المعلوم بالإجمال ضرراً على المدّعي، أي أنّ المدّعي يعلم أنّ فلاناً مثلًا استقرض منه دنانير، ولكن لا يعلم كم ديناراً كان، فلو لم يسمع دعواه لم يعمل بفلسفة القضاء، لأنّ فلسفة القضاء إحقاق الحقّ وذلك يشمل الحقّ المعلوم بالتفصيل والإجمال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فالأقوى في المسألة القول الثاني وهو وجوب سماع الدعوى ولو كان معلوماً بالإجمال</w:t>
      </w:r>
      <w:r>
        <w:rPr>
          <w:rFonts w:eastAsia="Amiri" w:cs="Amiri" w:ascii="Amiri" w:hAnsi="Amiri"/>
          <w:color w:val="111111"/>
          <w:sz w:val="28"/>
          <w:szCs w:val="28"/>
          <w:rtl w:val="true"/>
          <w:lang w:bidi="ar-SA"/>
        </w:rPr>
        <w:t>.</w:t>
      </w:r>
      <w:bookmarkStart w:id="292" w:name="pg1791_15697"/>
    </w:p>
    <w:p>
      <w:pPr>
        <w:pStyle w:val="BookText"/>
        <w:rPr/>
      </w:pPr>
      <w:bookmarkEnd w:id="292"/>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للمدّعي طرف يدّعى عليه، فلو ادّعى أمراً من دون أن تكون على شخص ينازعه فعلًا لم تسمع، كما لو أراد إصدار حكم من فقيه يكون قاطعاً للدعوى المحتملة، فإنّ هذه الدعوى غير مسموعة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حكم الحاكم بعد سماعها؛ فإن كان حكمه من قبيل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حكم بصحّة الوقف الكذائي، أو البيع الكذائي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أثر له في قطع المنازعة لو فرض وقوعها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 قبيل أنّ لفلان على فلان ديناً بعد عدم النزاع بينهما، فهذا ليس حكماً يترتّب عليه الفصل وحرمة النقض، بل من قبيل الشهادة، فإن رفع الأمر إلى قاضٍ آخر يسمع دعواه، ويكون ذلك الحاكم من قبيل أحد الشهود، ولو رفع الأمر إليه وبقي على علمه بالواقعة، له الحكم على طبق علمه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293" w:name="__RefHeading___Toc2354625_3650668749"/>
      <w:bookmarkStart w:id="294" w:name="_Toc109"/>
      <w:bookmarkEnd w:id="293"/>
      <w:r>
        <w:rPr>
          <w:rtl w:val="true"/>
        </w:rPr>
        <w:t>الشرط السابع</w:t>
      </w:r>
      <w:r>
        <w:rPr>
          <w:rtl w:val="true"/>
        </w:rPr>
        <w:t xml:space="preserve">: </w:t>
      </w:r>
      <w:r>
        <w:rPr>
          <w:rtl w:val="true"/>
        </w:rPr>
        <w:t>وجود المدّعى عليه‌</w:t>
      </w:r>
      <w:bookmarkEnd w:id="2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الدعوى في المحكمة على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منها لا تحتاج إلى طرف يدّعي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وكمثال نقول شخص يراجع القاضي لأخذ الحكم في إثبات الهلال، فحينئذٍ يسمع القاضي شهادة الشهود ويحكم بما يرى</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 آخر منها تحتاج إلى طرف يدّعى عليه والنظر في البحث هنا 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وكمثال نقول لو ادّعى شخص حقّاً أو مالًا لا بدّ أن يكون هناك شخص يدّعى عليه؛ مثلًا يقول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على فلان حقّ أو مال،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على</w:t>
      </w:r>
    </w:p>
    <w:p>
      <w:pPr>
        <w:pStyle w:val="BookText"/>
        <w:rPr/>
      </w:pPr>
      <w:r>
        <w:rPr>
          <w:rFonts w:ascii="Amiri" w:hAnsi="Amiri" w:eastAsia="Amiri" w:cs="Amiri"/>
          <w:color w:val="111111"/>
          <w:sz w:val="28"/>
          <w:sz w:val="28"/>
          <w:szCs w:val="28"/>
          <w:rtl w:val="true"/>
          <w:lang w:bidi="ar-SA"/>
        </w:rPr>
        <w:t>المؤسّسة الفلانية أو الدائرة الحكومية حقّ أو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السابع من شروط الدعوى يتمكّن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الترافع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الحكم وفصل الخصومة، ولذا لو طلب من الحاكم صحّة الوقف الذي يدّعيه، أو ملكية مال أو ضيعة يدّعيها واستمع الحاكم دعواه وأخذ الشهود ثمّ حكم بالوقف أو الملكية لا يكون هذا إلا كفتوى الفقيه أي إذا جاء شخص بعد وادّعى ملكية هذا المال أو الضيعة يسمع دعواه، مع أنّه يمكن أن يكون هذا المدّعي الثاني كاذباً وبقي الوقف على حاله أو صادقاً وبطل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يتوجّه إلى القول بنفوذ حكم الحاكم وعدم جواز نقض الحكم، بل الحكم الأوّل لا يمنع عن استماع دعوى الثاني</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الأدلّة، أي أنّ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فَاحْكُمْ بَيْنَ النَّاسِ</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فَاحْكُمْ بَيْنَهُمْ بِمَا أنزَلَ اللهُ</w:t>
      </w:r>
      <w:r>
        <w:rPr>
          <w:rStyle w:val="FootnoteAnchor"/>
          <w:rtl w:val="true"/>
        </w:rPr>
        <w:footnoteReference w:id="537"/>
      </w:r>
      <w:r>
        <w:rPr>
          <w:rFonts w:ascii="Amiri" w:hAnsi="Amiri" w:eastAsia="Amiri" w:cs="Amiri"/>
          <w:color w:val="111111"/>
          <w:sz w:val="28"/>
          <w:sz w:val="28"/>
          <w:szCs w:val="28"/>
          <w:rtl w:val="true"/>
          <w:lang w:bidi="ar-SA"/>
        </w:rPr>
        <w:t>أو فَلا وَرَبِّكَ لا يُؤْمِنُونَ حَتَّى يُحَكِّمُوكَ فِيمَا شَجَرَ بَيْنَهُمْ</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يدلّ على وجوب الحكم، منصرف إلى مورد التنازع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والتنازع هو الاختلاف الذي له طرفان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المدّعي، والمدّعى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الدعوى الذي لا توجد فيها مدّعى عليه نشكّ أنّه هل يسمع الدعوى أم لا؟ وعندئذٍ نقول الأصل عدم سماع الدعوى، وكذا الأصل عدم ترتّب الأثر ولو استمع الدعوى وحكم بما يرى</w:t>
      </w:r>
      <w:r>
        <w:rPr>
          <w:rFonts w:eastAsia="Amiri" w:cs="Amiri" w:ascii="Amiri" w:hAnsi="Amiri"/>
          <w:color w:val="111111"/>
          <w:sz w:val="28"/>
          <w:szCs w:val="28"/>
          <w:rtl w:val="true"/>
          <w:lang w:bidi="ar-SA"/>
        </w:rPr>
        <w:t>.</w:t>
      </w:r>
      <w:bookmarkStart w:id="295" w:name="pg1791_15701"/>
    </w:p>
    <w:p>
      <w:pPr>
        <w:pStyle w:val="BookText"/>
        <w:rPr/>
      </w:pPr>
      <w:bookmarkEnd w:id="295"/>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في الدعوى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سماع الدعوى إذا أوردها جزماً، وأمّا لو ادّعى ظنّاً أو احتمالًا، ففي سماعها مطلقاً، أو عدمه مطلقاً، أو التفصيل بين موارد التهمة وعدمها؛ بالسماع في الأوّل، أو التفصيل بين ما يتعسّر الاطّلاع عليه كالسرقة وغيره، فتسمع في الأوّل، أو التفصيل بين ما يتعارف الخصومة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وجد الوصيّ أو الوارث سنداً أو دفتراً فيه ذلك، أو شهد به من لا يوثق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غيره، فتسمع في الأوّل، أو التفصيل بين موارد التهمة وما يتعارف الخصومة به وبين غيرهما، فتسمع فيهما، وجوه، الأوجه الأخير، فحينئذٍ لو أقرّ المدّعى عليه أو قامت البيّنة فهو، وإن حلف المدّعى عليه سقطت الدعوى، ولو ردّ اليمين لا يجوز للمدّعي الحلف، فتتوقّف الدعوى، فلو ادّعى بعده جزماً أو عثر على بيّنة ورجع إلى الدعوى تُسمع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5"/>
        <w:numPr>
          <w:ilvl w:val="4"/>
          <w:numId w:val="1"/>
        </w:numPr>
        <w:rPr/>
      </w:pPr>
      <w:bookmarkStart w:id="296" w:name="__RefHeading___Toc2354627_3650668749"/>
      <w:bookmarkStart w:id="297" w:name="_Toc110"/>
      <w:bookmarkEnd w:id="296"/>
      <w:r>
        <w:rPr>
          <w:rtl w:val="true"/>
        </w:rPr>
        <w:t>الشرط الثامن</w:t>
      </w:r>
      <w:r>
        <w:rPr>
          <w:rtl w:val="true"/>
        </w:rPr>
        <w:t xml:space="preserve">: </w:t>
      </w:r>
      <w:r>
        <w:rPr>
          <w:rtl w:val="true"/>
        </w:rPr>
        <w:t>الجزم‌</w:t>
      </w:r>
      <w:bookmarkEnd w:id="29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Style w:val="FootnoteAnchor"/>
          <w:rtl w:val="true"/>
        </w:rPr>
        <w:footnoteReference w:id="539"/>
      </w:r>
      <w:r>
        <w:rPr>
          <w:rFonts w:ascii="Amiri" w:hAnsi="Amiri" w:eastAsia="Amiri" w:cs="Amiri"/>
          <w:color w:val="111111"/>
          <w:sz w:val="28"/>
          <w:sz w:val="28"/>
          <w:szCs w:val="28"/>
          <w:rtl w:val="true"/>
          <w:lang w:bidi="ar-SA"/>
        </w:rPr>
        <w:t>ولا بدّ من إيراد الدعوى بصيغة الجزم، فلو قال أظنّ أو أتوهّم لم تسمع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بعض من عاصرناه يسمعها في التهمة ويحلف المنكر وهو بعيد عن شبه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الأقوال في المسألة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الجزم مطلقاً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وهناك أربعة تفاصيل ذكرها الإمام واختار الأخير من وجوه التفصيل التي نقلها في المتن وفي المسألة أقوال اخر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المختار عندنا هو القول الثاني أي عدم اشتراط الجزم مطلقاً نبحث في القول الأوّل دليلًا وردّاً وننصرف عن البحث في الأقوال في التفصيل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لقول المشهور بامور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المتبادر من الدعوى ما كان بالجزم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أنّه ممنوع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ينكر صدق الدعوى، سواء كانت جزمية أو ظنّية أو احتمالية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في صورة عدم الجزم في الدعوى يكفي صدق المخاصمة والمنازعة وهو يكفي في سماع الدعوى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السماع ضرر على المدّعى عليه من حيث إلزامه بالإقرار أو الحلف والحضور في المحكمة وهو إهانة وضرر فليقتصر فيه على قدر المتيقّن وهي الدعوى الجزمي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الضرر 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بالضرر للمدّعي فإنّه قد يوجب تضييع حقوقه؛ لأنّه بإمكانه أن يطرح الدعوى الظنّي لاحتمال أن يتحصّل على نتيجة قطعية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السماع القضاء بالنكول، أو يمين المدّعي في صورة عدم الإقرار أو البيّنة وكلاهما مشكل؛ لأنّ القاضي لا يجوز له القضاء من حيث عدم قطعية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جانب آخر يجب عليه القضاء من حيث سماع الدعوى</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يلزم من المشكلة عدم وجوب السماع، بل غاية الأمر عدم ترتيب</w:t>
      </w:r>
    </w:p>
    <w:p>
      <w:pPr>
        <w:pStyle w:val="BookText"/>
        <w:rPr/>
      </w:pPr>
      <w:r>
        <w:rPr>
          <w:rFonts w:ascii="Amiri" w:hAnsi="Amiri" w:eastAsia="Amiri" w:cs="Amiri"/>
          <w:color w:val="111111"/>
          <w:sz w:val="28"/>
          <w:sz w:val="28"/>
          <w:szCs w:val="28"/>
          <w:rtl w:val="true"/>
          <w:lang w:bidi="ar-SA"/>
        </w:rPr>
        <w:t>جميع الآثار والدعاوي التي لا يترتّب عليه جميع الآثار كثيرة متوفّرة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والأقوى عدم اشتراط الجزم مطلقاً، بل وتسمع الدعوى مع الظنّ والاحتمال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وذلك لوجود التهمة فيما نفاه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40"/>
      </w:r>
      <w:r>
        <w:rPr>
          <w:rFonts w:ascii="IRNazanin" w:hAnsi="IRNazanin" w:eastAsia="IRNazanin"/>
          <w:color w:val="111111"/>
          <w:sz w:val="28"/>
          <w:sz w:val="28"/>
          <w:szCs w:val="28"/>
          <w:rtl w:val="true"/>
          <w:lang w:bidi="fa-IR"/>
        </w:rPr>
        <w:t>أيضاً، فإنّه إذا ادّعى على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باشتغال ذمّته له، أو جناية الموجب للمال وزيد منكر لذلك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يكذب فيتّهم بالكذب وجلب النفع ودفع الضرر وغير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وجود السيرة بذلك، فإنّه مع المراجعة إلى المحاكم يعلم أنّ أكثر الدعاوي كان كذلك، ولذاوضعوا قانوناً لمنعهم عن طرح الدعوى الاحتمالية بلزوم إبطال التمبر وأداءمال لذلك ليكون سدّاً لبعض الدعاوي الغير اللازمة حتّى لا يقولوا في الفارسية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 مفت و گنجشك هم مفت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نطرح الدعوى كلّما نتحصّل على منفعة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فالتهمة أيضاً موجودة ويصدق عليها الدعوى والمشاجرة فتشملها العمومات، ويدلّ عليها الروايات المذكورة في باب ضمان الصانع والأجير والحاتك الدالّة على تحليف المتّهم، أو إتيانه بالبيّنة فإنّ المستفاد منها استماع الدعوى مع الاحتمال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المرادي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يضمن الصائغ ولا القصّار ولا الحائك إلا أن يكونوا متّهمين فيخوف بالبيّنة ويستحلف لعلّه يستخرج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رجل استأجر جمّالًا فيكسر الذي يحمل أو يهريقه،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نحو من العامل إن كان مأموناً فليس عليه</w:t>
      </w:r>
    </w:p>
    <w:p>
      <w:pPr>
        <w:pStyle w:val="BookText"/>
        <w:rPr/>
      </w:pPr>
      <w:r>
        <w:rPr>
          <w:rFonts w:ascii="Amiri" w:hAnsi="Amiri" w:eastAsia="Amiri" w:cs="Amiri"/>
          <w:color w:val="111111"/>
          <w:sz w:val="28"/>
          <w:sz w:val="28"/>
          <w:szCs w:val="28"/>
          <w:rtl w:val="true"/>
          <w:lang w:bidi="ar-SA"/>
        </w:rPr>
        <w:t>شي‌ء وإن كان غير مأمون فهو ضامن</w:t>
      </w:r>
      <w:r>
        <w:rPr>
          <w:rFonts w:eastAsia="Amiri" w:cs="Amiri" w:ascii="Amiri" w:hAnsi="Amiri"/>
          <w:color w:val="111111"/>
          <w:sz w:val="28"/>
          <w:szCs w:val="28"/>
          <w:rtl w:val="true"/>
          <w:lang w:bidi="ar-SA"/>
        </w:rPr>
        <w:t>»</w:t>
      </w: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روايتي بكر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جبّة إلى القصّار فذهبت بزعمه،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اتّهمته فاستحلفه، وإن لم تتّهمه فليس عليه شي</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الإسناد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يضمن القصّار إلا ما جنت يده، وإن اتّهمته أحلفته</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الفاضل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والأقوى عدم الاشتراط مطلقاً</w:t>
      </w:r>
      <w:r>
        <w:rPr>
          <w:rFonts w:eastAsia="Amiri" w:cs="Amiri" w:ascii="Amiri" w:hAnsi="Amiri"/>
          <w:color w:val="111111"/>
          <w:sz w:val="28"/>
          <w:szCs w:val="28"/>
          <w:rtl w:val="true"/>
          <w:lang w:bidi="ar-SA"/>
        </w:rPr>
        <w:t>»</w:t>
      </w:r>
      <w:r>
        <w:rPr>
          <w:rStyle w:val="FootnoteAnchor"/>
          <w:rtl w:val="true"/>
        </w:rPr>
        <w:footnoteReference w:id="544"/>
      </w:r>
      <w:r>
        <w:rPr>
          <w:rFonts w:ascii="Amiri" w:hAnsi="Amiri" w:eastAsia="Amiri" w:cs="Amiri"/>
          <w:color w:val="111111"/>
          <w:sz w:val="28"/>
          <w:sz w:val="28"/>
          <w:szCs w:val="28"/>
          <w:rtl w:val="true"/>
          <w:lang w:bidi="ar-SA"/>
        </w:rPr>
        <w:t>، كما صرّح به الفاضل المعاصر</w:t>
      </w:r>
      <w:r>
        <w:rPr>
          <w:rStyle w:val="FootnoteAnchor"/>
          <w:rtl w:val="true"/>
        </w:rPr>
        <w:footnoteReference w:id="545"/>
      </w:r>
      <w:r>
        <w:rPr>
          <w:rFonts w:ascii="Amiri" w:hAnsi="Amiri" w:eastAsia="Amiri" w:cs="Amiri"/>
          <w:color w:val="111111"/>
          <w:sz w:val="28"/>
          <w:sz w:val="28"/>
          <w:szCs w:val="28"/>
          <w:rtl w:val="true"/>
          <w:lang w:bidi="ar-SA"/>
        </w:rPr>
        <w:t>، حيث استدلّ بالعمومات وبهذه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وتوهمّ اختصاص تلك الروايات بالتهمة فلا تنهض دليلًا على العموم فاسد؛ لأنّ التهمة تعمّ جميع المواضع التي ينكر فيها المدّعى عليه؛ فإنّها لا تختصّ بالفعل والسرقة، بل يشمل الكذب في الإنكار وجلب النفع ودفع الضرر أيضاً ولا ينفكّ المدّعى عليه، المنكر عن الاتّهام بأحد هذه الامور</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المطلوب أيضاً ما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شابّاً قال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النفر خرجوا بأبي معهم في السفر فرجعوا ولم يرجع أبي، فسألتهم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فسألتهم عن ماله،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 مالًا، فقدمتهم إلى شريح، فاستحلفهم، وقد علمت أنّ أبي خرج ومعه مال كثير،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لأحكمنّ بينهم بحكم ما حكم به</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 قبلي إلا داود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ادع لي شرطة الخميس، فدعاهم، فوكّل بكلّ رجل منهم رجلًا من الشرطة، ثمّ نظر إلى وجوههم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تقولون؟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أعلم ما صنعتم بأبي هذا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إذاً لجاهل،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فرّقوهم وغطّوا رؤوسهم،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 بينهم، واقيم كلّ رجل منهم إلى اسطوانة من أساطين المسجد ورؤوسهم مغطاة بثيابهم، ثمّ دعا بعبيدالله بن أبي رافع كاتبه،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صحيفة ودواة، وجلس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القضاء، وجلس الناس إليه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كبّرت فكبّروا، ثمّ 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ثمّ دعا بواحد منهم فأجلسه بين يديه وكشف عن وجهه، ثمّ قال لعبيدالله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إقراره وما يقول، ثمّ أقبل عليه بالسؤال،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يوم خرجتم من منازلكم، وأبو هذا الفتى معكم؟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كذا وكذا،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أيّ شهر؟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كذا وكذا،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كذا وكذا،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أين بلغتم في سفركم حتّى مات أبو هذا الفتى؟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موضع كذا وكذا،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منزل من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منزل فلان بن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مرضه؟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يوماً مرض؟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أيّ يوم مات؟ ومن غسّله؟ ومن كفّنه؟ وبما كفّنتموه؟ ومن صلّى عليه؟ ومن نزل قبره؟ فلمّا سأله عن جميع ما يريد، كبّر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وكبّر الناس جميعاً، فارتاب اولئك الباقون، ولم يشكوا أنّ صاحبهم قد أقرّ عليهم وعلى نفسه، فأمر أن يغطّى رأسه وينطلق به إلى السجن، ثمّ دعا بآخر فأجلسه بين يديه وكشف عن</w:t>
      </w:r>
    </w:p>
    <w:p>
      <w:pPr>
        <w:pStyle w:val="BookText"/>
        <w:rPr/>
      </w:pPr>
      <w:r>
        <w:rPr>
          <w:rFonts w:ascii="Amiri" w:hAnsi="Amiri" w:eastAsia="Amiri" w:cs="Amiri"/>
          <w:color w:val="111111"/>
          <w:sz w:val="28"/>
          <w:sz w:val="28"/>
          <w:szCs w:val="28"/>
          <w:rtl w:val="true"/>
          <w:lang w:bidi="ar-SA"/>
        </w:rPr>
        <w:t>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زعمتم أنّي لا أعلم ما صنعتم؟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أنا إلا واحد من القوم، ولقد كنت كارهاً لقتله فأقرّ ثمّ دعا بواحد بعد واحد كلّهم يقرّ بالقتل وأخذ المال، ثمّ ردّ الذي كان أمر به إلى السجن فأقرّ أيضاً، فألزمهم المال والدم، ثمّ ذكر حكم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الفتى والقوم اختلفوا في مال أبي الفتى كم كان، فأخذ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خاتمه وجمع خواتيم من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أجيلوا هذه السهام، فأيّكم أخرج خاتمي، فهو صادق في دعواه، لأنّه سهم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لا يخيب</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ما في أبواب القسامة</w:t>
      </w:r>
      <w:r>
        <w:rPr>
          <w:rStyle w:val="FootnoteAnchor"/>
          <w:rtl w:val="true"/>
        </w:rPr>
        <w:footnoteReference w:id="547"/>
      </w:r>
      <w:r>
        <w:rPr>
          <w:rFonts w:ascii="Amiri" w:hAnsi="Amiri" w:eastAsia="Amiri" w:cs="Amiri"/>
          <w:color w:val="111111"/>
          <w:sz w:val="28"/>
          <w:sz w:val="28"/>
          <w:szCs w:val="28"/>
          <w:rtl w:val="true"/>
          <w:lang w:bidi="ar-SA"/>
        </w:rPr>
        <w:t>، حيث ادّعى مسلم أنّ يهودياً قتل مسلماً وسمع دعواه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ننتج أنّ الدعوى مسموعة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المدّعي ذا بيّنة أو حلف المنكر يحكم القاضي على ما يرى، ولكن لا يرد اليمين ولا يقضي بالنكول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توقّف الدعوى خلاف مقتضى القاعدة وخلاف مقتضى</w:t>
      </w:r>
    </w:p>
    <w:p>
      <w:pPr>
        <w:pStyle w:val="BookText"/>
        <w:rPr/>
      </w:pPr>
      <w:r>
        <w:rPr>
          <w:rFonts w:ascii="Amiri" w:hAnsi="Amiri" w:eastAsia="Amiri" w:cs="Amiri"/>
          <w:color w:val="111111"/>
          <w:sz w:val="28"/>
          <w:sz w:val="28"/>
          <w:szCs w:val="28"/>
          <w:rtl w:val="true"/>
          <w:lang w:bidi="ar-SA"/>
        </w:rPr>
        <w:t>فصل الخصومة، مع أنّه لو ردّ اليمين أو قضى بالنكول يجوز للمدّعي الأخذ كما يأخذ بالحكم بالإقرار مع أنّ المدّعي لا يكون جازماً في ادّعائه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فممّا ذكرنا يعلم أنّ القول باشتراط الجزم مطلقاً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والأقوى أنّ المناط صدق الدعوى والمخاصمة والمنازعة عرفاً؛ وهي إنّما تصدق في صورة وجود التهمة وهي أعمّ من الظنّ والاحتمال</w:t>
      </w:r>
      <w:r>
        <w:rPr>
          <w:rFonts w:eastAsia="Amiri" w:cs="Amiri" w:ascii="Amiri" w:hAnsi="Amiri"/>
          <w:color w:val="111111"/>
          <w:sz w:val="28"/>
          <w:szCs w:val="28"/>
          <w:rtl w:val="true"/>
          <w:lang w:bidi="ar-SA"/>
        </w:rPr>
        <w:t>»</w:t>
      </w:r>
      <w:r>
        <w:rPr>
          <w:rStyle w:val="FootnoteAnchor"/>
          <w:rtl w:val="true"/>
        </w:rPr>
        <w:footnoteReference w:id="548"/>
      </w:r>
      <w:r>
        <w:rPr>
          <w:rFonts w:ascii="Amiri" w:hAnsi="Amiri" w:eastAsia="Amiri" w:cs="Amiri"/>
          <w:color w:val="111111"/>
          <w:sz w:val="28"/>
          <w:sz w:val="28"/>
          <w:szCs w:val="28"/>
          <w:rtl w:val="true"/>
          <w:lang w:bidi="ar-SA"/>
        </w:rPr>
        <w:t>أي كلّما كانت التهمة موجودة تسمع الدعوى، ولو كانت احتمالياً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على ذلك بصدق الدعوى والمنازعة فتشملها العمومات كالآيات الشريفة وقوله البيّنة على المدّعي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ورأى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المدار هو الرجوع إلى العرف</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جعل مصداقه 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التهمة وصدق المنازعة والتخاصم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وجود دفتر أو سند أو قول من لا يوثق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والتحقيق الرجوع إلى العرف في صدق الدعوى المقبولة 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قبولها عرفاً في مقام التهمة بجميع أفرادها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لا ريب في تحقّق الخصومة والمشاجرة مع عدم الجزم فيما يجده الوصيّ أو الوارث من سندات أو دفتر أو شهادة من لا يوثّق بهم أو غير ذلك</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فالمدار ما يتعارف من الخصومة بسببه، سواء كان بجزم أو ظنّ أو احتمال</w:t>
      </w:r>
      <w:r>
        <w:rPr>
          <w:rFonts w:eastAsia="Amiri" w:cs="Amiri" w:ascii="Amiri" w:hAnsi="Amiri"/>
          <w:color w:val="111111"/>
          <w:sz w:val="28"/>
          <w:szCs w:val="28"/>
          <w:rtl w:val="true"/>
          <w:lang w:bidi="ar-SA"/>
        </w:rPr>
        <w:t>.</w:t>
      </w:r>
      <w:bookmarkStart w:id="298" w:name="pg1791_15714"/>
    </w:p>
    <w:p>
      <w:pPr>
        <w:pStyle w:val="BookText"/>
        <w:rPr/>
      </w:pPr>
      <w:bookmarkEnd w:id="298"/>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المدّعى عليه، فلو ادّعى على أحد الشخصين أو الأشخاص المحصورين لم تسمع على قول، والظاهر سماعها؛ لعدم خلوّها عن الفائدة؛ لإمكان إقرار أحدهما لدى المخاصمة، بل لو اقيمت البيّنة على كون أحدهما مديوناً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الحاكم بأنّ الدين على أحدهما، فثبت بعد براءة أحدهما، يحكم بمديونية الآخر، بل لا يبعد بعد الحكم الرجوع إلى القرعة، فيفرّق بين ما علما أو علم أحدهما باشتغال ذمّة أحدهما فلا تأثير فيه، وبين حكم الحاكم لفصل الخصومة، فيقال بالاقتراع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لا يتعارف الخصومة به كاحتمال شغل ذمّة زيد مثلًا؛ أو جنايته بمايوجب مالًا أو نحو ذلك ممّا لا يجري التخاصم به عرفاً، فلا سماع للدعوى‌فيه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ذهب إليه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وجيهاً من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التفصيل بين موارد التهمة وما يتعارف الخصومة به وبين غيرهما، فتسمع فيهما، وجوه، الأوجه الأخير</w:t>
      </w:r>
      <w:r>
        <w:rPr>
          <w:rFonts w:eastAsia="Amiri" w:cs="Amiri" w:ascii="Amiri" w:hAnsi="Amiri"/>
          <w:color w:val="111111"/>
          <w:sz w:val="28"/>
          <w:szCs w:val="28"/>
          <w:rtl w:val="true"/>
          <w:lang w:bidi="ar-SA"/>
        </w:rPr>
        <w:t>»</w:t>
      </w:r>
      <w:r>
        <w:rPr>
          <w:rStyle w:val="FootnoteAnchor"/>
          <w:rtl w:val="true"/>
        </w:rPr>
        <w:footnoteReference w:id="551"/>
      </w:r>
      <w:r>
        <w:rPr>
          <w:rFonts w:ascii="Amiri" w:hAnsi="Amiri" w:eastAsia="Amiri" w:cs="Amiri"/>
          <w:color w:val="111111"/>
          <w:sz w:val="28"/>
          <w:sz w:val="28"/>
          <w:szCs w:val="28"/>
          <w:rtl w:val="true"/>
          <w:lang w:bidi="ar-SA"/>
        </w:rPr>
        <w:t xml:space="preserve">وكأنّه أخذ ذلك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9" w:name="__RefHeading___Toc2354629_3650668749"/>
      <w:bookmarkStart w:id="300" w:name="_Toc111"/>
      <w:bookmarkEnd w:id="299"/>
      <w:r>
        <w:rPr>
          <w:rtl w:val="true"/>
        </w:rPr>
        <w:t>الشرط التاسع</w:t>
      </w:r>
      <w:r>
        <w:rPr>
          <w:rtl w:val="true"/>
        </w:rPr>
        <w:t xml:space="preserve">: </w:t>
      </w:r>
      <w:r>
        <w:rPr>
          <w:rtl w:val="true"/>
        </w:rPr>
        <w:t>معلومية المدّعى‌عليه بالتعيين‌</w:t>
      </w:r>
      <w:bookmarkEnd w:id="300"/>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الشرط السابع اعتبار أن يكون للمدّعي طرف يدّعى عليه</w:t>
      </w:r>
    </w:p>
    <w:p>
      <w:pPr>
        <w:pStyle w:val="BookText"/>
        <w:rPr/>
      </w:pPr>
      <w:r>
        <w:rPr>
          <w:rFonts w:ascii="Amiri" w:hAnsi="Amiri" w:eastAsia="Amiri" w:cs="Amiri"/>
          <w:color w:val="111111"/>
          <w:sz w:val="28"/>
          <w:sz w:val="28"/>
          <w:szCs w:val="28"/>
          <w:rtl w:val="true"/>
          <w:lang w:bidi="ar-SA"/>
        </w:rPr>
        <w:t>فبعد اعتبار ذلك قد يقال إنّه يعتبر أن يكون الطرف أي المدّعى عليه معيناً فلو ادّعى على أحد شخصين أو الأشخاص محصورين، فلا تسمع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ادّعى أنّ له على أحد هذين دين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ابني أحد هذين</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واستدلّوا على ذلك بعد عدم وجود النصّ في الباب بعدم الفائدة في هذه الدعوى؛ فإنّه لو قامت البيّنة على هذه الدعوى بأن شهدا على أنّ أحدهما مديوناً لهذا الشخص، أو أقرّا بهذا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يقرّا بكون أحدهما مديونان فلا أثر لها، لأنّ الأصل براءة كلّ منهما ولا تكون أصالة البراءة في مكلّفٍ معارضة بأصالة البراءة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كواجدي المني في الثوب المشترك بينهما، مع علمهما بالارتباط بأحدهما فإذا خلت الدعوى عن الفائدة كانت لغواً وبلا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السيّد</w:t>
      </w:r>
      <w:r>
        <w:rPr>
          <w:rStyle w:val="FootnoteAnchor"/>
          <w:rtl w:val="true"/>
        </w:rPr>
        <w:footnoteReference w:id="553"/>
      </w:r>
      <w:r>
        <w:rPr>
          <w:rFonts w:ascii="Amiri" w:hAnsi="Amiri" w:eastAsia="Amiri" w:cs="Amiri"/>
          <w:color w:val="111111"/>
          <w:sz w:val="28"/>
          <w:sz w:val="28"/>
          <w:szCs w:val="28"/>
          <w:rtl w:val="true"/>
          <w:lang w:bidi="ar-SA"/>
        </w:rPr>
        <w:t xml:space="preserve">تصوّر لها الفائدة وقال بسماع الدعوى وعنون لها فرعاً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سماعها، لعدم خلوّها عن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الحقّ لأنّ عدم السماع قد ينجّر إلى تضييع الحقوق للمدّعي مثلًا لو كان شريكاًمع شخصين آخرين ثمّ فسخا الشركة وعلم أنّه بقي على عهدة أحدهما مبلغ له، ولكن لا يعلم أيهما المديون فحينئذٍ كانت الدعوى مسموعة ويحتمل إقرار أحدهما عند المخاصمة بكونه مديوناً فيأخذ حقّه، بل لو اقيمت البيّنة على‌كون أحدهما مديوناً، فحكم الحاكم بأنّ الدين على أحدهما ثمّ ثبت براءةأحدهما بأن يرى سنداً ومدركاً للبراءة فيحكم بمديونية الآخر فيأخذ حقّه‌منه أيضاً، بل لو لم يقرّ أحدهما ولا يثبت براءة أحدهما أيضاً، لا يبعد بعد الحكم الرجوع إلى القرعة؛ فإنّ الحاكم إذا حكم بمديونية أحدهما بمبلغ معين</w:t>
      </w:r>
    </w:p>
    <w:p>
      <w:pPr>
        <w:pStyle w:val="BookText"/>
        <w:rPr/>
      </w:pPr>
      <w:r>
        <w:rPr>
          <w:rFonts w:ascii="Amiri" w:hAnsi="Amiri" w:eastAsia="Amiri" w:cs="Amiri"/>
          <w:color w:val="111111"/>
          <w:sz w:val="28"/>
          <w:sz w:val="28"/>
          <w:szCs w:val="28"/>
          <w:rtl w:val="true"/>
          <w:lang w:bidi="ar-SA"/>
        </w:rPr>
        <w:t>فيكون الدين أمراً ثابتاً بحكم الحاكم، واشتبه بينهما والقرعة لكلّ أمر مشتبه أو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تصوّر للدعوى فائدة فيشملها إطلاقات وجوب الفصل بين المتنازعين، وعمومات كون ميزان الفصل هي البيّنة واليمين فيلزم سماعها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حكم الحاكم بمديونية أحدهما باستناد البيّنة على ذلك، أو إقرارهما بهذا النحو وبين ما إذا علما باشتغال ذمّة أحدهما لشخص فإنّ في الصورة الثانية لا أثر للعلم الإجمالي بعد كونه بين 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واحد منهما يجري أصالة عدم الاشتغال وأصالة البراءة بالإضافة إلى نفسه، ولا تكون أصالة البراءة في مكلّف معارضة بأصالة البراءة في الآخر كواجدي المني في الثوب المشترك بينهما مع علمهما بالارتباط بأحدهما، ولا يمكن إرجاع الأمر فيه إلى القرعة بخلاف صورة حكم الحاكم باشتغال ذمّة أحدهما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من المحقّق في باب القصاص</w:t>
      </w:r>
      <w:r>
        <w:rPr>
          <w:rStyle w:val="FootnoteAnchor"/>
          <w:rtl w:val="true"/>
        </w:rPr>
        <w:footnoteReference w:id="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 عنه السيّد</w:t>
      </w:r>
      <w:r>
        <w:rPr>
          <w:rStyle w:val="FootnoteAnchor"/>
          <w:rtl w:val="true"/>
        </w:rPr>
        <w:footnoteReference w:id="555"/>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السماع مع الترديد في المدّعى‌عليه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 قتله أحد هذين سمع إذ لا ضرر في إحلافهما، ولو أقام بيّنة سمعت لإثبات اللوث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وتبعه جماعة منهم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556"/>
      </w:r>
      <w:r>
        <w:rPr>
          <w:rFonts w:ascii="Amiri" w:hAnsi="Amiri" w:eastAsia="Amiri" w:cs="Amiri"/>
          <w:color w:val="111111"/>
          <w:sz w:val="28"/>
          <w:sz w:val="28"/>
          <w:szCs w:val="28"/>
          <w:rtl w:val="true"/>
          <w:lang w:bidi="ar-SA"/>
        </w:rPr>
        <w:t>،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دعوى الغصب والسرقة وأمّا القرض والبيع وغيرهما من المعاملات فإشكال ينشأ من تقصيره بالنسيان والأقرب السماع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bookmarkStart w:id="301" w:name="pg1791_15720"/>
    </w:p>
    <w:p>
      <w:pPr>
        <w:pStyle w:val="BookText"/>
        <w:rPr/>
      </w:pPr>
      <w:bookmarkEnd w:id="301"/>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سماع الدعوى ذكر سبب استحقاقه، فتكفي الدعوى بنحو الإطلاق من غير ذكر السبب؛ سواء كان المدّعى به عيناً أو ديناً أو عقداً من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دعوى القتل اشترط بعض لزوم بيان أنّه عن عمد أو خطأ، بمباشرة أو تسبيب، كان هو قاتلًا أو مع الشركة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2354631_3650668749"/>
      <w:bookmarkStart w:id="303" w:name="_Toc112"/>
      <w:bookmarkEnd w:id="302"/>
      <w:r>
        <w:rPr>
          <w:rtl w:val="true"/>
        </w:rPr>
        <w:t>هل يشترط بيان سبب الاستحقاق في سماع الدعوى؟</w:t>
      </w:r>
      <w:bookmarkEnd w:id="3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يشترط في سماع الدعوى أن يذكر المدّعي سبب استحقاقه ووجه الدعوى وخصوصياتها، بل يكفي الدعوى بنحو الإطلاق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على ذمّة فلان كذا، أو فلان سارق مالي، أو غاصبه، أو فلان قاتل ابني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النراقي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عند كافّة أصحابنا على ما صرّح به بعضهم</w:t>
      </w:r>
      <w:r>
        <w:rPr>
          <w:rStyle w:val="FootnoteAnchor"/>
          <w:rtl w:val="true"/>
        </w:rPr>
        <w:footnoteReference w:id="557"/>
      </w:r>
      <w:r>
        <w:rPr>
          <w:rFonts w:ascii="Amiri" w:hAnsi="Amiri" w:eastAsia="Amiri" w:cs="Amiri"/>
          <w:color w:val="111111"/>
          <w:sz w:val="28"/>
          <w:sz w:val="28"/>
          <w:szCs w:val="28"/>
          <w:rtl w:val="true"/>
          <w:lang w:bidi="ar-SA"/>
        </w:rPr>
        <w:t>ذكر سبب استحقاق المدّعي، ولا كشف ما يلزمها ويتعلّق بها من الحقوق واللوازم، بل يكفي فيها الإطلاق مجرّداً عن ذكر السبب وغيره، لأصالة عدم الاشتراط، وللعمومات المشار إليها، مع أنّ أسباب الاستحقاق كثيرة، وضبط جميعها وذكر مقدارها ممّا يؤدّي إلى الحرج</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دعوى الإجماع على الاشتراط في خصوص</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جازماً فأراد الدعوى على الغير، لا بدّ أن يبرزها بنحو ما يكون من الظنّ أو الاحتمال، ولا يجوز إبرازها بنحو الجزم ليقبل دعواه؛ بناء على عدم السماع من غير الجازم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دعوى القتل، وأنّه لا بدّ فيه من بيان أنّه عمد أو خطأ، وأنّه بالمباشرة أو بالتسبيب، وكونه قاتلًا منفرداً أو مع شركة الغير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وعلّله بأنّ أمره شديد وفائدته لا يستدرك وبالخلاف في أسبابه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التعليل لا يستلزم ذكر الخصوصيات في الدعوى بحيث لا يسمع الدعوى إذا كانت خالية عن ذكرها، بل كان ذلك وظيفة الحاكم؛ ليسأل ويستفصل من الحالات والخصوصيات مع أنّه لو ادّعى القتل العمدي، أو القتل بانفراده، ثمّ بعد التحقيق والتوضيح وصل الحاكم إلى عدم كون القتل عمدياً؛ أو كان مع الشركة من الغير، فلا بدّ أن يحكم على مقتضى ما وصل إليه في تحقيقاته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والأقوى عدم الاشتراط وكفاية الإجمال في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للحاكم أن يستفصل ولو لم يعلم التفصيل لم يسمع</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على ذيل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الذيل يناقض الصدر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الذيل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يعلم التفصيل لم يسمع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ونتيجته اشتراط ذكر سبب الاستحقاق، مع أنّه قال في الصدر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الأقوى عدم الاشتراط</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من فروع اشتراط الجزم في الدعوى وهو الأمر الثامن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لأحدهما على أحد كذا تسمع، وبعد الإثبات على وجه الترديد يقرع بينهما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سماع الدعوى حضور المدّعى عليه في بلد الدعوى، فلو ادّعى على الغائب من البلد؛ سواء كان مسافراً، أو كان من بلد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كان أو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فإذا أقام البيّنة حكم القاضي على الغائب، ويردّ عليه ما ادّعى إذا كان عيناً، ويباع من مال الغائب ويؤدّى دينه إذا كان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يدفع إليه إلا مع الأمن من تضرّر المدّعى عليه لو حضر وقضى له؛ بأن يكون المدّعي مليّاً أو كان له كفيلٌ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يجوز الحكم لو كان غائباً وأمكن إحضاره بسهولة، أو كان في البلد وتعذّر حضوره بدون إعلامه؟ فيه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سماع الدعوى على الغائب بين أن يدّعي المدّعي جحود المدّعى عليه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منّا أنّ الأقوى عدم اشتراط الجزم في الدعوى فلا يبقى وجه لهذه المسألة وكذا فرض عكس المسألة بأن يبرز الدعوى بنحو الاحتمال مع كونه جازماً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من فروع الأمر التاسع المتقدّم، وهو سماع الدعوى مع الترديد في المدّعى عليه، فكذلك يسمع الدعوى لو كان الترديد في طرف المدّعي كما لو ادّعى اثنان أنّ لأحدهما على واحد كذا فبعد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بالبيّنة أو بالإقرار من المدّعى عليه على وجه الترديد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المحقّ بالقرعة أو يقتسمان على وجه الصلح</w:t>
      </w:r>
      <w:r>
        <w:rPr>
          <w:rFonts w:eastAsia="Amiri" w:cs="Amiri" w:ascii="Amiri" w:hAnsi="Amiri"/>
          <w:color w:val="111111"/>
          <w:sz w:val="28"/>
          <w:szCs w:val="28"/>
          <w:rtl w:val="true"/>
          <w:lang w:bidi="ar-SA"/>
        </w:rPr>
        <w:t>.</w:t>
      </w:r>
      <w:bookmarkStart w:id="304" w:name="pg1791_15727"/>
    </w:p>
    <w:p>
      <w:pPr>
        <w:pStyle w:val="BookText"/>
        <w:rPr/>
      </w:pPr>
      <w:bookmarkEnd w:id="304"/>
      <w:r>
        <w:rPr>
          <w:rFonts w:ascii="Amiri" w:hAnsi="Amiri" w:eastAsia="Amiri" w:cs="Amiri"/>
          <w:color w:val="111111"/>
          <w:sz w:val="28"/>
          <w:sz w:val="28"/>
          <w:szCs w:val="28"/>
          <w:rtl w:val="true"/>
          <w:lang w:bidi="ar-SA"/>
        </w:rPr>
        <w:t>نعم،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مقرّ ولا مخاصمة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سماع دعواه، وعدم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عدم الحكم على الغائب إلا بضمّ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الغائب على حجّته، فإذا حضر وأراد جرح الشهود أو إقامة بيّنة معارضة، يقبل منه لو قلنا بسماع بيّنته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2354633_3650668749"/>
      <w:bookmarkStart w:id="306" w:name="_Toc113"/>
      <w:bookmarkEnd w:id="305"/>
      <w:r>
        <w:rPr>
          <w:rtl w:val="true"/>
        </w:rPr>
        <w:t>الحكم على الغائب‌</w:t>
      </w:r>
      <w:bookmarkEnd w:id="3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من المسائل المهمّة في الفقه، وهو جواز الحكم على الغائب وحينئذٍ يستظهر من الجواز عدم اشتراط حضور المدّعى عليه في سماع الدعوى ولا بدّ فيها من البحث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مشروعية الحكم على الغائب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إشكال ولا خلاف بيننا في مشروعية الحكم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 بل الإجماع بقسميه عليه</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الاختلاف في المسألة، فالمشهور على جواز الحكم على الغائب من مجلس الحكم وإن كان حاضراً في البلد ولا محظور له في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 بجواز الحكم على الغائب من البلد، أو كان حاضراً في البلد لكن حضوره في المجلس الحكم متعذّر فإنّه بمنزلة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المشهور المدّعى عليه الإجماع</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على ذلك رواية جميل بن درّاج، عن جماعة من أصحابنا عنهما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الغائب يقضي عليه إذا قامت عليه البيّنة ويباع ماله، ويقضي عنه دينه وهو غائب، ويكون الغائب على حجّته إذا 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يدفع المال إلى الذي أقام البيّنة إلا بكفلاء</w:t>
      </w:r>
      <w:r>
        <w:rPr>
          <w:rFonts w:eastAsia="Amiri" w:cs="Amiri" w:ascii="Amiri" w:hAnsi="Amiri"/>
          <w:color w:val="111111"/>
          <w:sz w:val="28"/>
          <w:szCs w:val="28"/>
          <w:rtl w:val="true"/>
          <w:lang w:bidi="ar-SA"/>
        </w:rPr>
        <w:t>»</w:t>
      </w:r>
      <w:r>
        <w:rPr>
          <w:rStyle w:val="FootnoteAnchor"/>
          <w:rtl w:val="true"/>
        </w:rPr>
        <w:footnoteReference w:id="563"/>
      </w:r>
      <w:r>
        <w:rPr>
          <w:rFonts w:ascii="Amiri" w:hAnsi="Amiri" w:eastAsia="Amiri" w:cs="Amiri"/>
          <w:color w:val="111111"/>
          <w:sz w:val="28"/>
          <w:sz w:val="28"/>
          <w:szCs w:val="28"/>
          <w:rtl w:val="true"/>
          <w:lang w:bidi="ar-SA"/>
        </w:rPr>
        <w:t>، فدلالتها واضحة تدلّ على لحاظ مصلحة المدّعي، فيسمع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المدّعى عليه غائباً فلعلّه في التأخير والصبر إلى حضوره ضرر عليه فيحكم له ويدفع المال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يلاحظ أيضاً حال الغائب ويكون على حجّته إذا قدّم، فلو ادّعى أداء المال يطلب منه البيّنة، ولو أنكر الدعوى له أن يحلف ويرجع المال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ولحفظ غبطة الغائب يؤخذ من المدّعي الذي أقام البيّنة وأخذ المال الكفيل، لرعاية الاحتياط في حفظ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بكفلاء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الاكتفاء بالكفيل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الجمع باعتبار الموارد</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مرسلة ولا اعتناء بالمرسلة في إثبات حكم شرعي لعدم ذكر أسامي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الرواية خصوصيات تزيد الاعتماد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جميل من أصحاب الإجماع</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المرويّ عنه جماعة من أصحابنا، ومن المقطوع أنّهم من المشايخ ولا أقلّ من كون بعضهم من الأجلاء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المشهور استندوا عليه وأفتوا على طبقه فلو كان فيها ضعف ينجبر بعمل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أيضاً رواية اخرى عن جميل بن درّاج،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رواية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زاد في ذيلها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يكن مليّاً</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يستفاد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المدّعي مليّاً يعتمد عليه ولا يحتاج إلى أخذ الكفيل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أن يكون مليّاً حتّى يدفع إليه المال من الغائب وإلا يؤخذ منه الكفيل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أيضاً رواية زرارة، عن أبي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يحبس في السجن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الغاصب، ومن أكل مال اليتيم ظلماً، ومن ائتمن على أمانة فذهب بها، وإن وجد له شيئاً باعه غائباً كان أو شاهداً</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وجد له شيئاً 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أن ثبت جرمه عند الحاكم يباع ماله إجراءً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غائباً كان أو 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جاز الحكم على الغائب وبيع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 من الروايات التي وردت من طرق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واستندوا أيضاً ببعض الروايات من طرق العامّة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أبي موسى الأشعري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الخصمان إذا اختصما إلى</w:t>
      </w:r>
    </w:p>
    <w:p>
      <w:pPr>
        <w:pStyle w:val="BookText"/>
        <w:rPr/>
      </w:pPr>
      <w:r>
        <w:rPr>
          <w:rFonts w:ascii="Amiri" w:hAnsi="Amiri" w:eastAsia="Amiri" w:cs="Amiri"/>
          <w:color w:val="111111"/>
          <w:sz w:val="28"/>
          <w:sz w:val="28"/>
          <w:szCs w:val="28"/>
          <w:rtl w:val="true"/>
          <w:lang w:bidi="ar-SA"/>
        </w:rPr>
        <w:t>رسول الله فاتعدا للموعد فوافى أحدهما ولم يواف الآخر قضى للذي يفي منهما</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 المستفيض أنّه قال لهند زوجة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ادّعت أنّه رجل شحيح لا يعطيني ما يكفيني و ولدي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خذي ما يكفيك وولدك بالمعروف</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569"/>
      </w:r>
      <w:r>
        <w:rPr>
          <w:rFonts w:ascii="Amiri" w:hAnsi="Amiri" w:eastAsia="Amiri" w:cs="Amiri"/>
          <w:color w:val="111111"/>
          <w:sz w:val="28"/>
          <w:sz w:val="28"/>
          <w:szCs w:val="28"/>
          <w:rtl w:val="true"/>
          <w:lang w:bidi="ar-SA"/>
        </w:rPr>
        <w:t>على الثاني بأنّه ليس من باب الحكم، بل بيان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عدم حضور أبي سفيان في البلد حين الحكم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الإيراد عليهما بضعف السند خصوصاً رواية الاولى بأبي موسى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مقابل هذه الروايات هناك رواية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البختري،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يقضي على غائب</w:t>
      </w:r>
      <w:r>
        <w:rPr>
          <w:rFonts w:eastAsia="Amiri" w:cs="Amiri" w:ascii="Amiri" w:hAnsi="Amiri"/>
          <w:color w:val="111111"/>
          <w:sz w:val="28"/>
          <w:szCs w:val="28"/>
          <w:rtl w:val="true"/>
          <w:lang w:bidi="ar-SA"/>
        </w:rPr>
        <w:t>»</w:t>
      </w: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محمول إمّا على عدم القضاء عليه جزماً بحيث لا يكون على حجّته، أو على الغائب عن مجلس الحكم مع حضوره في البلد وعدم تعذّر حضوره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ضعف سندها بأبي البختري وهو وهب بن وهب حيث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أنّه عامّي كذّاب</w:t>
      </w:r>
      <w:r>
        <w:rPr>
          <w:rStyle w:val="FootnoteAnchor"/>
          <w:rtl w:val="true"/>
        </w:rPr>
        <w:footnoteReference w:id="571"/>
      </w:r>
      <w:r>
        <w:rPr>
          <w:rFonts w:ascii="IRNazanin" w:hAnsi="IRNazanin" w:eastAsia="IRNazanin"/>
          <w:color w:val="111111"/>
          <w:sz w:val="28"/>
          <w:sz w:val="28"/>
          <w:szCs w:val="28"/>
          <w:rtl w:val="true"/>
          <w:lang w:bidi="fa-IR"/>
        </w:rPr>
        <w:t>وإلى إعراض الأصحاب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المراد من الغائب الموجود في النصّ والفتوى، فبعد ثبوت مشروعية الحكم على الغائب يقع الكلام في المراد منه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يكون المدّعى عليه غائباً عن البلد وقد يكون غائباً عن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الغائب عن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من بلد آخر، أو سافر إليه من نفس البلد قريباً أو بعيداً طال السفر أو لا، وقد يمكن حضوره بسهولة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عدم إمكان الحضور بسهولة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متوارياً ومخفياً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يمتنع حضوره ويتعذّر الوصول إليه أو لا، وقد يمتنع عن الحضور أو لا، فالفروض في صدق الغائب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يجوز الحكم على الغائب في جميع الفروض أو لا؟ ففي المسألة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72"/>
      </w:r>
      <w:r>
        <w:rPr>
          <w:rFonts w:ascii="Amiri" w:hAnsi="Amiri" w:eastAsia="Amiri" w:cs="Amiri"/>
          <w:color w:val="111111"/>
          <w:sz w:val="28"/>
          <w:sz w:val="28"/>
          <w:szCs w:val="28"/>
          <w:rtl w:val="true"/>
          <w:lang w:bidi="ar-SA"/>
        </w:rPr>
        <w:t>ثمّ إن كان غائباً عن البلد قضى عليه باتّفاق أصحابنا، سواء كان بعيداً أم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حاضراً في البلد وتعذّر حضوره في مجلس الحكم؛ إمّا قصداً أو لعارض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يتعذّر حضوره فالمشهور الجواز أيضاً لعموم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يحكم عليه حينئذٍ لأنّ القضاء على الغائب موضع ضرورة فيقتصر فيه على محلّها</w:t>
      </w:r>
      <w:r>
        <w:rPr>
          <w:rFonts w:eastAsia="Amiri" w:cs="Amiri" w:ascii="Amiri" w:hAnsi="Amiri"/>
          <w:color w:val="111111"/>
          <w:sz w:val="28"/>
          <w:szCs w:val="28"/>
          <w:rtl w:val="true"/>
          <w:lang w:bidi="ar-SA"/>
        </w:rPr>
        <w:t>»</w:t>
      </w:r>
      <w:r>
        <w:rPr>
          <w:rStyle w:val="FootnoteAnchor"/>
          <w:rtl w:val="true"/>
        </w:rPr>
        <w:footnoteReference w:id="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اختار الشهيد</w:t>
      </w:r>
      <w:r>
        <w:rPr>
          <w:rStyle w:val="FootnoteAnchor"/>
          <w:rtl w:val="true"/>
        </w:rPr>
        <w:footnoteReference w:id="574"/>
      </w:r>
      <w:r>
        <w:rPr>
          <w:rFonts w:ascii="Amiri" w:hAnsi="Amiri" w:eastAsia="Amiri" w:cs="Amiri"/>
          <w:color w:val="111111"/>
          <w:sz w:val="28"/>
          <w:sz w:val="28"/>
          <w:szCs w:val="28"/>
          <w:rtl w:val="true"/>
          <w:lang w:bidi="ar-SA"/>
        </w:rPr>
        <w:t>قول المشهور في ذيل كلامه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وإطلاق رواية جميل؛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الغائب</w:t>
      </w:r>
    </w:p>
    <w:p>
      <w:pPr>
        <w:pStyle w:val="BookText"/>
        <w:rPr/>
      </w:pPr>
      <w:r>
        <w:rPr>
          <w:rFonts w:ascii="Amiri" w:hAnsi="Amiri" w:eastAsia="Amiri" w:cs="Amiri"/>
          <w:color w:val="111111"/>
          <w:sz w:val="28"/>
          <w:sz w:val="28"/>
          <w:szCs w:val="28"/>
          <w:rtl w:val="true"/>
          <w:lang w:bidi="ar-SA"/>
        </w:rPr>
        <w:t>يقضي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يشمل جميع الفروض ولا ينافيه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والغائب على حجّته إذا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يستظهر منه القدوم من السفر، بل يراد منه إذا قدّم المحكمة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الأقوى قول الشيخ فإنّ الحكم على الغائب حكم استثنائي ليس الحاجة إليه؛ فإنّ الحكم بجواز بيع ماله ودفعه إلى المدّعي وأخذ الكفيل منه إذا لم يكن ملياً يستفاد منه أمر لا بدّ منه، ولا يمكن تركه لضرورة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المدّعى عليه حاضراً في البلد وأمكن إحضاره في مجلس الحكم بلا محذور وبلا مشقّة، فالحكم عليه وبيع ماله ودفعه إلى المشتري من دون اطّلاع المحكوم عليه أمر مستنكر جدّاً، لا يحكم به الشارع، فيقال إنّ الإطلاق منصرف عن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قلنا بمقالة الشيخ وأنّ الحكم على الغائب شرع للحاجة والضرورة فقط، فنضيف إلى كلامه ما إذا كان مسافراً أو من بلد آخر ولا مشقّة له في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مسافراً وبإمكانه الرجوع في مدّة قليلة مثلًا في أيّام بحيث لا يتحقّق ضرر على المدّعي في الصبر إلى أن يحضر، ففي هاتين الصورتين أيضاً نقول بعدم جواز الحكم على الغائب لانصراف الأدلّة عنهما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المدّعى عليه غائباً عن البلد وتطول غيبته ولا يمكن إحضاره بسهولة أو كان في البلد ويتعذّر حضوره أو يمتنع عن الحضور، فيحكم القاضي عليه غيابياً، بدليل ما تقدّم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يرجع عن السفر في زمن قليل أو يمكن إحضاره بسهولة أو كان في البلد ويحضر بمجرّد الاطّلاع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لانصراف الأدلّة عنها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يجوز الحكم لو كان غائباً وأمكن‌إحضاره بسهولة، أو كان في البلد وتعذّر حضوره بدون إعلامه؟ فيه</w:t>
      </w:r>
    </w:p>
    <w:p>
      <w:pPr>
        <w:pStyle w:val="BookText"/>
        <w:rPr/>
      </w:pPr>
      <w:r>
        <w:rPr>
          <w:rFonts w:ascii="Amiri" w:hAnsi="Amiri" w:eastAsia="Amiri" w:cs="Amiri"/>
          <w:color w:val="111111"/>
          <w:sz w:val="28"/>
          <w:sz w:val="28"/>
          <w:szCs w:val="28"/>
          <w:rtl w:val="true"/>
          <w:lang w:bidi="ar-SA"/>
        </w:rPr>
        <w:t>تأمّل</w:t>
      </w:r>
      <w:r>
        <w:rPr>
          <w:rFonts w:eastAsia="Amiri" w:cs="Amiri" w:ascii="Amiri" w:hAnsi="Amiri"/>
          <w:color w:val="111111"/>
          <w:sz w:val="28"/>
          <w:szCs w:val="28"/>
          <w:rtl w:val="true"/>
          <w:lang w:bidi="ar-SA"/>
        </w:rPr>
        <w:t>»</w:t>
      </w:r>
      <w:r>
        <w:rPr>
          <w:rStyle w:val="FootnoteAnchor"/>
          <w:rtl w:val="true"/>
        </w:rPr>
        <w:footnoteReference w:id="575"/>
      </w:r>
      <w:r>
        <w:rPr>
          <w:rFonts w:ascii="Amiri" w:hAnsi="Amiri" w:eastAsia="Amiri" w:cs="Amiri"/>
          <w:color w:val="111111"/>
          <w:sz w:val="28"/>
          <w:sz w:val="28"/>
          <w:szCs w:val="28"/>
          <w:rtl w:val="true"/>
          <w:lang w:bidi="ar-SA"/>
        </w:rPr>
        <w:t>وجه التأمّل ما قلناه والأقوى عدم جواز الحكم في تلك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اختصاص الحكم على الغائب بما إذا تحقّق وجود المخاصمة والمنازعة بينهما بأن يدّعي المدّعي جحود المدّعى عليه أو يدّعي عدم علمه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يكون جاحداً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المدّعي مقرّاً بعدم الجحود، بل كان المدّعى عليه مقرّاً ومعترفاً بالدين مثلًا؛ فلا يسمع الدعوى عليه لعدم صدق شكلية المخاصمة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والقضاء هو فصل الخصومة ورفع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ادّعى اعترافه بالدين وممّا طلته في أدائه، فيسمع أيضاً لتحقّق النزاع أيضاً بوجه؛ فما قاله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عدم سماع دعواه وعدم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إطلاق القضاء على الغائب، عدم الفرق في جواز الحكم عليه بين أن يدّعي المدّعي جحود الغائب عن الحقّ أو لا؟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القضاء متوقّف على صدق النزاع والمخاصمة ومع اعترافه بعدم الجحود، فلا نزاع، حتّى يصحّ الحكم فالمورد خارج عن الإطلاق</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تمسّك السيّد بوجه آخر،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الغائب معترف بحقّي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بعدم سماع دعواه بناءً على عدم اعتبار تحقّق المنازعة في سماع الدعوى ومع اعترافه باعتراف المدّعى عليه بالحقّ لا يصدق النزاع والمخاصمة، لكنّه ممنوع لشمول عمومات الحكم بالقسط والعدل والقضاء بالبينات والأيمان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 أنّ الآيات المباركات والحديث النبويّ راجعة إلى القضاء والحكم وهو متوقّف على صدق المنازعة بلا شبهة فلا تشمل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السيّد نفسه في الأمر الثامن</w:t>
      </w:r>
      <w:r>
        <w:rPr>
          <w:rStyle w:val="FootnoteAnchor"/>
          <w:rtl w:val="true"/>
        </w:rPr>
        <w:footnoteReference w:id="577"/>
      </w:r>
      <w:r>
        <w:rPr>
          <w:rFonts w:ascii="Amiri" w:hAnsi="Amiri" w:eastAsia="Amiri" w:cs="Amiri"/>
          <w:color w:val="111111"/>
          <w:sz w:val="28"/>
          <w:sz w:val="28"/>
          <w:szCs w:val="28"/>
          <w:rtl w:val="true"/>
          <w:lang w:bidi="ar-SA"/>
        </w:rPr>
        <w:t>ممّا يشترط في سماع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أن يكون للمدّعي طرف يكون بينهما مخاصمة ومنازعة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المتبادر ممّا دلّ على وجوب السماع وترتّب آثار الحكم صورة وجود المنازعة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فرق في عدم صدق المنازعة فعلًا بين أن لا يكون له طرف أو كان، ولكنّه معترف بحقّه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يلزم في جواز الحكم على الغائب ضمّ اليمين الاستظهاري بالبيّنة من جانب المدّعي كما في الدعوى على الميّت أو لا؟ المشهور على الأوّل إلحاقاً له بالدعوى على الميّت لشباهته به في عدم اللسان للمدّعى عليه، ليدافع عن نفسه في المحكمة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ذلك هو التعليل الوارد في رواية عبدالرحمن بن أبي عبدالله التي رواها المشايخ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الرواية وإن كان المطلوب بالحقّ قد مات فاقيمت عليه البيّنة فعلى المدّعي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الذي لا إله إلا هو، لقد مات فلان، وأنّ حقّه لعليه</w:t>
      </w:r>
      <w:r>
        <w:rPr>
          <w:rFonts w:eastAsia="Amiri" w:cs="Amiri" w:ascii="Amiri" w:hAnsi="Amiri"/>
          <w:color w:val="111111"/>
          <w:sz w:val="28"/>
          <w:szCs w:val="28"/>
          <w:rtl w:val="true"/>
          <w:lang w:bidi="ar-SA"/>
        </w:rPr>
        <w:t>»</w:t>
      </w:r>
      <w:r>
        <w:rPr>
          <w:rStyle w:val="FootnoteAnchor"/>
          <w:rtl w:val="true"/>
        </w:rPr>
        <w:footnoteReference w:id="578"/>
      </w:r>
      <w:r>
        <w:rPr>
          <w:rFonts w:ascii="Amiri" w:hAnsi="Amiri" w:eastAsia="Amiri" w:cs="Amiri"/>
          <w:color w:val="111111"/>
          <w:sz w:val="28"/>
          <w:sz w:val="28"/>
          <w:szCs w:val="28"/>
          <w:rtl w:val="true"/>
          <w:lang w:bidi="ar-SA"/>
        </w:rPr>
        <w:t>فإن حلف؛ وإلا فلا حقّ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لا ندري لعلّه قد أوفاه ببيّنة لا نعلم موضعها أو غير بيّنة قبل الموت</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لأنّا لا ندري لعلّه قد أوفاه قبل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الغائب</w:t>
      </w:r>
    </w:p>
    <w:p>
      <w:pPr>
        <w:pStyle w:val="BookText"/>
        <w:rPr/>
      </w:pPr>
      <w:r>
        <w:rPr>
          <w:rFonts w:ascii="Amiri" w:hAnsi="Amiri" w:eastAsia="Amiri" w:cs="Amiri"/>
          <w:color w:val="111111"/>
          <w:sz w:val="28"/>
          <w:sz w:val="28"/>
          <w:szCs w:val="28"/>
          <w:rtl w:val="true"/>
          <w:lang w:bidi="ar-SA"/>
        </w:rPr>
        <w:t>أيضاً لعدم الخصوصية في الميّت فالبيّنة راجعة إلى إثبات أصل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بقائه إلى حين الموت يحتاج إلى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جماعة بل هو المنسوب إلى أكثر متأخّري المتأخّرين بالقول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الإلحاق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واستدلّوا على عدم الإلحاق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 على خلاف القاعدة فلا بدّ أن يقتصر فيه على قدر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الدعوى على الميّت فلا يمكن التعدّي منه إلى الدعوى عن الغائب والصبيّ والمجنون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القياس مع الفارق فإنّ الميّت لا يكون له لسان الدفاع أصلًا وإلى الأبد بخلاف الغائب، فإنّه وإن كان حين الدعوى عليه لا لسان له ولكن سيرجع ويكون على 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المسألة القول الثاني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والأقوى عدم إلحاق الطفل والمجنون والغائب وأشباههم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له نحو شباهة بالميّت في عدم امكان الدفاع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فتثبت الدعوى عليهم بالبيّنة من دون ضمّ يمين</w:t>
      </w:r>
      <w:r>
        <w:rPr>
          <w:rFonts w:eastAsia="Amiri" w:cs="Amiri" w:ascii="Amiri" w:hAnsi="Amiri"/>
          <w:color w:val="111111"/>
          <w:sz w:val="28"/>
          <w:szCs w:val="28"/>
          <w:rtl w:val="true"/>
          <w:lang w:bidi="ar-SA"/>
        </w:rPr>
        <w:t>»</w:t>
      </w:r>
      <w:r>
        <w:rPr>
          <w:rStyle w:val="FootnoteAnchor"/>
          <w:rtl w:val="true"/>
        </w:rPr>
        <w:footnoteReference w:id="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قال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والأحوط عدم الحكم على الغائب إلا بضمّ اليمين</w:t>
      </w:r>
      <w:r>
        <w:rPr>
          <w:rFonts w:eastAsia="Amiri" w:cs="Amiri" w:ascii="Amiri" w:hAnsi="Amiri"/>
          <w:color w:val="111111"/>
          <w:sz w:val="28"/>
          <w:szCs w:val="28"/>
          <w:rtl w:val="true"/>
          <w:lang w:bidi="ar-SA"/>
        </w:rPr>
        <w:t>»</w:t>
      </w:r>
      <w:r>
        <w:rPr>
          <w:rStyle w:val="FootnoteAnchor"/>
          <w:rtl w:val="true"/>
        </w:rPr>
        <w:footnoteReference w:id="580"/>
      </w:r>
      <w:r>
        <w:rPr>
          <w:rFonts w:ascii="Amiri" w:hAnsi="Amiri" w:eastAsia="Amiri" w:cs="Amiri"/>
          <w:color w:val="111111"/>
          <w:sz w:val="28"/>
          <w:sz w:val="28"/>
          <w:szCs w:val="28"/>
          <w:rtl w:val="true"/>
          <w:lang w:bidi="ar-SA"/>
        </w:rPr>
        <w:t>والاحتياط ظاهر في الوجوبي، لعدم ذكر الفتوى قبله فالإلزام بالاحتياط ينافي أقوائية عدم لزوم ضمّ اليمين بحسب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اضيف هذا الكلام إلى ما قاله في تلك الباب يستظهر منه الاحتياط الاستحبابي وكان له وجه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ما قال به الإمام في تلك المسألة، من عدم لزوم ضمّ اليمين، فيكتفي لإثبات الدعوى بالبيّنة ويكون الغائب على حجّته إذا 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اختصاص جواز الحكم على الغائب بحقوق الناس، فلا يجوز الحكم عليه في حقوق الله تعالى مثل الزنا، ولو كان في جناية حقوق الناس وحقوق الله، كما في السرقة، فإنّ فيها القطع وهو من حقوق الله، وأخذ المال وردّه إلى صاحبه وهو من حقوق الناس، جاز الحكم في حقوق الناس دون حقوق الله، فلو أقام المدّعي البيّنة حكم الحاكم، ويؤخذ المال على ما تقدّم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الجهة الخامسة التي يبحث فيه في الحكم على الغائب، وهي قول المشهور بأنّ جواز الحكم على الغائب مختصّ بحقوق الناس ولا يكون مشروعاً في حقوق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على الغائب في حقوق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 على الغائب في حقوق الناس، كالديون والعقود ولا يقضي في حقوق الله، كالزنا واللواط</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 شي‌ء من ذلك، بل نسبه غير واحد إلى فتوى الأصحاب</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والدليل على ذلك في حقوق الناس ما تقدّم، من رواية جميل عن أبي عبدالله</w:t>
      </w:r>
      <w:r>
        <w:rPr>
          <w:rStyle w:val="FootnoteAnchor"/>
          <w:rtl w:val="true"/>
        </w:rPr>
        <w:footnoteReference w:id="58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فإنّها وإن كانت واردة في خصوص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يباع ماله ويقضي عنه دينه وهو 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بإلغاء الخصوصية عن الدين يستظهر منها جواز الحكم عليه في مطلق حقوق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المعروف في حقوق الناس أنّها مبنيّة على الاحتياط فيراعي جانب المدّعي فيحكم له ويراعي جانب المدّعى عليه بأخذ الكفيل من المدّعي عند تسليم المال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على الغائب في حقوق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عدم جواز الحكم على الغائب في حقوق الله عزّ وجلّ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البناء فيها على التخفيف لغنائه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مرسلة 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ادرؤوا الحدود بالشبهات</w:t>
      </w:r>
      <w:r>
        <w:rPr>
          <w:rFonts w:eastAsia="Amiri" w:cs="Amiri" w:ascii="Amiri" w:hAnsi="Amiri"/>
          <w:color w:val="111111"/>
          <w:sz w:val="28"/>
          <w:szCs w:val="28"/>
          <w:rtl w:val="true"/>
          <w:lang w:bidi="ar-SA"/>
        </w:rPr>
        <w:t>»</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وإن كانت مرسلة لكنّه لمّا نقلها الصدوق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ونسبه إلى رسول الله فهي كاشفة عن اعتماده عليها؛ كما قال به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عمل المشهور على طبقها واستنادهم عليها كما لا يخفى على من تأمّلها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الشبهة هنا موجودة كما هي، لاحتمال أن يكون للغائب حجّة تفسد الحجّة التي قامت عليه غياباً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على الغائب في ما كان مشتركاً فيه حقوق الله وحقوق الناس</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فيما كان فيه حكم الله وحقوق الناس موجود مشتركاً كالسرقة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فيها حقّ الله وهو حدّ القطع، وكذا حقّ الناس وهو وجوب ردّ المال إلى المسروق</w:t>
      </w:r>
    </w:p>
    <w:p>
      <w:pPr>
        <w:pStyle w:val="BookText"/>
        <w:rPr/>
      </w:pP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الدعوى فيه مسموع، ويقضي على الغائب بالنسبة إلى حقّ الناس وهو ردّ المال إلى المدّعي، ولا يقضي عليه في حقّ الله لما عرفت فلكلّ مورد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قال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اشتمل الحكم على الحقّين قضى بما يختصّ الناس، كالسرقة يقضي بالغرم، وفي القضاء بالقطع تردّد</w:t>
      </w:r>
      <w:r>
        <w:rPr>
          <w:rFonts w:eastAsia="Amiri" w:cs="Amiri" w:ascii="Amiri" w:hAnsi="Amiri"/>
          <w:color w:val="111111"/>
          <w:sz w:val="28"/>
          <w:szCs w:val="28"/>
          <w:rtl w:val="true"/>
          <w:lang w:bidi="ar-SA"/>
        </w:rPr>
        <w:t>»</w:t>
      </w:r>
      <w:r>
        <w:rPr>
          <w:rStyle w:val="FootnoteAnchor"/>
          <w:rtl w:val="true"/>
        </w:rPr>
        <w:footnoteReference w:id="585"/>
      </w:r>
      <w:r>
        <w:rPr>
          <w:rFonts w:ascii="Amiri" w:hAnsi="Amiri" w:eastAsia="Amiri" w:cs="Amiri"/>
          <w:color w:val="111111"/>
          <w:sz w:val="28"/>
          <w:sz w:val="28"/>
          <w:szCs w:val="28"/>
          <w:rtl w:val="true"/>
          <w:lang w:bidi="ar-SA"/>
        </w:rPr>
        <w:t>، ففي القضاء عليه في حقّ الله عزّ وجلّ وعدمه تردّد ولم يفت بعدم الجواز كما صرّح به في حقّ الله المحض في صدر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86"/>
      </w:r>
      <w:r>
        <w:rPr>
          <w:rFonts w:ascii="Amiri" w:hAnsi="Amiri" w:eastAsia="Amiri" w:cs="Amiri"/>
          <w:color w:val="111111"/>
          <w:sz w:val="28"/>
          <w:sz w:val="28"/>
          <w:szCs w:val="28"/>
          <w:rtl w:val="true"/>
          <w:lang w:bidi="ar-SA"/>
        </w:rPr>
        <w:t>ولم نجده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87"/>
      </w:r>
      <w:r>
        <w:rPr>
          <w:rFonts w:ascii="Amiri" w:hAnsi="Amiri" w:eastAsia="Amiri" w:cs="Amiri"/>
          <w:color w:val="111111"/>
          <w:sz w:val="28"/>
          <w:sz w:val="28"/>
          <w:szCs w:val="28"/>
          <w:rtl w:val="true"/>
          <w:lang w:bidi="ar-SA"/>
        </w:rPr>
        <w:t>وباقي الأصحاب قطعوا بالفرق بين حقّ الناس وحقّ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حقّ الله أفتوا بعدم جواز القضاء على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88"/>
      </w:r>
      <w:r>
        <w:rPr>
          <w:rFonts w:ascii="Amiri" w:hAnsi="Amiri" w:eastAsia="Amiri" w:cs="Amiri"/>
          <w:color w:val="111111"/>
          <w:sz w:val="28"/>
          <w:sz w:val="28"/>
          <w:szCs w:val="28"/>
          <w:rtl w:val="true"/>
          <w:lang w:bidi="ar-SA"/>
        </w:rPr>
        <w:t>وجه ترديد المحقّق بأنّهما معلولا لعلّة واحدة فلا وجه لتبعيض مقتضاها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العلّة لحدّ القطع ووجوب ردّ المال هي السرقة، فإذا تحقّقت يترتّب الحكم على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تتحقّق فلا يترتّب على كليهما، أمّا ترتّب أثر الردّ بأن يحكم على الغائب بردّ المال دون القطع فلا وجه له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عنه الشهيد</w:t>
      </w:r>
      <w:r>
        <w:rPr>
          <w:rStyle w:val="FootnoteAnchor"/>
          <w:rtl w:val="true"/>
        </w:rPr>
        <w:footnoteReference w:id="589"/>
      </w:r>
      <w:r>
        <w:rPr>
          <w:rFonts w:ascii="Amiri" w:hAnsi="Amiri" w:eastAsia="Amiri" w:cs="Amiri"/>
          <w:color w:val="111111"/>
          <w:sz w:val="28"/>
          <w:sz w:val="28"/>
          <w:szCs w:val="28"/>
          <w:rtl w:val="true"/>
          <w:lang w:bidi="ar-SA"/>
        </w:rPr>
        <w:t>بأنّ العلل الشرعية ليست عللًا حقيقية، وإنّما هي معرّفات للأحكام وتخلّف أحد المعلولين فيها لمانع محتمل، بل واقع كثيراً، ففي مثال</w:t>
      </w:r>
    </w:p>
    <w:p>
      <w:pPr>
        <w:pStyle w:val="BookText"/>
        <w:rPr/>
      </w:pPr>
      <w:r>
        <w:rPr>
          <w:rFonts w:ascii="Amiri" w:hAnsi="Amiri" w:eastAsia="Amiri" w:cs="Amiri"/>
          <w:color w:val="111111"/>
          <w:sz w:val="28"/>
          <w:sz w:val="28"/>
          <w:szCs w:val="28"/>
          <w:rtl w:val="true"/>
          <w:lang w:bidi="ar-SA"/>
        </w:rPr>
        <w:t>السرقة لو أقرّ بالسرقة مرّة واحدة يثبت عليه المال دون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القطع يحتاج إلى تعدّد الإقرار، فعدم ترتّبه لمانع وهو عدم وجود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العكس لو كان المقرّ محجوراً عليه في المال يثبت القطع دون المال لوجود المانع في المال وهو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ونوقش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90"/>
      </w:r>
      <w:r>
        <w:rPr>
          <w:rFonts w:ascii="Amiri" w:hAnsi="Amiri" w:eastAsia="Amiri" w:cs="Amiri"/>
          <w:color w:val="111111"/>
          <w:sz w:val="28"/>
          <w:sz w:val="28"/>
          <w:szCs w:val="28"/>
          <w:rtl w:val="true"/>
          <w:lang w:bidi="ar-SA"/>
        </w:rPr>
        <w:t xml:space="preserve">وأكّده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العروة</w:t>
      </w:r>
      <w:r>
        <w:rPr>
          <w:rFonts w:eastAsia="Amiri" w:cs="Amiri" w:ascii="Amiri" w:hAnsi="Amiri"/>
          <w:color w:val="111111"/>
          <w:sz w:val="28"/>
          <w:szCs w:val="28"/>
          <w:rtl w:val="true"/>
          <w:lang w:bidi="ar-SA"/>
        </w:rPr>
        <w:t>»</w:t>
      </w:r>
      <w:r>
        <w:rPr>
          <w:rStyle w:val="FootnoteAnchor"/>
          <w:rtl w:val="true"/>
        </w:rPr>
        <w:footnoteReference w:id="591"/>
      </w:r>
      <w:r>
        <w:rPr>
          <w:rFonts w:ascii="Amiri" w:hAnsi="Amiri" w:eastAsia="Amiri" w:cs="Amiri"/>
          <w:color w:val="111111"/>
          <w:sz w:val="28"/>
          <w:sz w:val="28"/>
          <w:szCs w:val="28"/>
          <w:rtl w:val="true"/>
          <w:lang w:bidi="ar-SA"/>
        </w:rPr>
        <w:t>بأنّ العلل الشرعية وإن كانت معرّفات للأحكام، وليست علّة حقيقية ولكن يجري عليها حكم العلل التامّة ولا يعقل انفكاكه عن العلّة أو تبعيض المعلولين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مبنى حجّية منصوص العلّة أي يكون الحكم دائراً مدار وجود العلّة أين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والتخلّف في المثال المزبور من جهة اختلاف العلّة، لا تفكيك المعلول؛ ففي صورة الإقرار مرّة واحدة بالسرقة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ردّ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تحقّقت العلّة فيحكم بردّ المال، أمّا بالنسبة إلى قطع اليد فيكون العلّة هي السرقة، إذا ثبتت بالإقرار مرّتين، وحيث يكون الإقرار مرّة واحدة؛ فلم يتحقّق العلّة فلا يحكم بالقطع وفي صورة الإقرار مرّتين من المحجور عليه تحقّقت العلّة بالنسبة إلى القطع</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بالنسبه إلى ردّ المال فبما أنّ الإقرار علّة لثبوت السرقة من غير المحجور عليه؛ فلا يحكم بالردّ لعدم تحقّق علّته ولو ثبتت فهو في غير موضوع وفيما نحن فيه إذا ثبتت السرقة من الغائب بالبيّنة عند الحاكم فيحكم عليه بردّ المال لتحقّق العلّة، أمّا بالنسبة إلى القطع فعلّته هي السرقة بشرط الثبوت بالبيّنة مع حضور</w:t>
      </w:r>
    </w:p>
    <w:p>
      <w:pPr>
        <w:pStyle w:val="BookText"/>
        <w:rPr/>
      </w:pPr>
      <w:r>
        <w:rPr>
          <w:rFonts w:ascii="Amiri" w:hAnsi="Amiri" w:eastAsia="Amiri" w:cs="Amiri"/>
          <w:color w:val="111111"/>
          <w:sz w:val="28"/>
          <w:sz w:val="28"/>
          <w:szCs w:val="28"/>
          <w:rtl w:val="true"/>
          <w:lang w:bidi="ar-SA"/>
        </w:rPr>
        <w:t>المدّعى عليه، فلا يحكم على الغائب بالقطع لعدم تحقّق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الإيراد على وجه ترديد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وردّ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معلولا علّة واحدة وهي السرقة فلا وجه للتبعيض وفيه منع كون العلّة في القطع هي السرقة فقط، بل مع ثبوتها بحضور المدّعى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السادسه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المراد من كون الغائب على حجّته؟</w:t>
      </w:r>
    </w:p>
    <w:p>
      <w:pPr>
        <w:pStyle w:val="BookText"/>
        <w:rPr/>
      </w:pPr>
      <w:r>
        <w:rPr>
          <w:rFonts w:ascii="Amiri" w:hAnsi="Amiri" w:eastAsia="Amiri" w:cs="Amiri"/>
          <w:color w:val="111111"/>
          <w:sz w:val="28"/>
          <w:sz w:val="28"/>
          <w:szCs w:val="28"/>
          <w:rtl w:val="true"/>
          <w:lang w:bidi="ar-SA"/>
        </w:rPr>
        <w:t>قد دلّت روايتي جميل ومحمد بن مسلم بالصراحة على أنّ الغائب على حجّته بعد أن يحكم على الغائب ويجري الحكم ببيع ماله وأداء دينه منه مع أخذ الكفيل</w:t>
      </w:r>
      <w:r>
        <w:rPr>
          <w:rStyle w:val="FootnoteAnchor"/>
          <w:rtl w:val="true"/>
        </w:rPr>
        <w:footnoteReference w:id="593"/>
      </w:r>
      <w:r>
        <w:rPr>
          <w:rFonts w:ascii="Amiri" w:hAnsi="Amiri" w:eastAsia="Amiri" w:cs="Amiri"/>
          <w:color w:val="111111"/>
          <w:sz w:val="28"/>
          <w:sz w:val="28"/>
          <w:szCs w:val="28"/>
          <w:rtl w:val="true"/>
          <w:lang w:bidi="ar-SA"/>
        </w:rPr>
        <w:t>، فيستظهر منهما أنّ غيبته ليست موجبة لكونه محروماً عمّا للمدّعى عليه من الحقوق، لو كان حاضراً فله أن يدّعي عدم أهلية الحاكم للقضاء أو المحكمة من جهة محدودية اختيارات المحكمة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له جرح الشهود وله أيضاً أن يدّعي وفاء الدين، فله أن يثبته بالبيّنة، فكلّ ما كان للمدّعى عليه لو كان حاضراً ثابت له ولو كان غائباً ويقوم به حيث 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جواز إعادة المرافعة برضاهما عند الحاكم الأوّل أو غيره ولا يكون نقض للحاكم الأوّل لعدم تماميته بعد كون الحجّة باقية</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غير تامّ، فإنّ المستفاد من الروايات أنّ الحاكم بعد طرح الدعوى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الدعوى مسموعاً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على الغائب، ثمّ يجري الحكم بعده فيكون تماماً بحيث لو رجع الغائب وادّعى جرح الشهود مثلًا أو ادّعى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تمّت الدعوى من المدّعي، فإن التمس من الحاكم إحضار المدّعى عليه أحضره، ولا يجوز التأخير غير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التماسه وعدم قرينة على إرادته فالظاهر توقّفها إلى أن يطلبه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الدين ولم يثبته ولم يقم عليه البيّنة فلا يحتاج إلى الحكم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أقام البيّنة وكان مرضيّاً عند الحاكم يرجع عن حكمه كما إذا علم باشتباهه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فإعادة المرافعة عنده أو عند قاض آخر لا وجه له، فإنّه نقض لحكم الحاكم؛ وهو غير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سلسلة المسائل التي هذه المسألة 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يشترط في سماع الدعوى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تسعة امور يعتبر في سماع الدعوى، من البلوغ والعقل وعدم الحجر لسفه وأن لا يكون أجنبيّاً عن الدعوى وأن يكون للدعوى أثر وأن يكون المدّعى به معلوماً وأن يكون للمدّعي طرف، والجزم في الدعوى وأن يكون المدّعى عليه معلوماً 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عدم اشتراط أمرين ممّا كان مختلفاً فيه عند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عدم اشتراط ذكر سبب استحقاقه للمدّعى به، وعدم اشتراط حضور المدّعى عليه في بلد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البحث عن هذه المسألة وقال إذا تمّت الدعوى بأن كانت واجدة لجميع الشرائط وكانت مسموعة فلو التمس من الحاكم احضار المدّعى عليه أو كانت هناك قرينة على إرادته أحضره الحاكم ولا يجوز التأخير الغير المتعارف لإمكان تضرّره من التأخير وإلا فالظاهر توقّفها إلى أن يطلبه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المسألة محلّ خلاف عند الأصحاب، وفيها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جمع من الفقهاء منهم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95"/>
      </w:r>
      <w:r>
        <w:rPr>
          <w:rFonts w:ascii="Amiri" w:hAnsi="Amiri" w:eastAsia="Amiri" w:cs="Amiri"/>
          <w:color w:val="111111"/>
          <w:sz w:val="28"/>
          <w:sz w:val="28"/>
          <w:szCs w:val="28"/>
          <w:rtl w:val="true"/>
          <w:lang w:bidi="ar-SA"/>
        </w:rPr>
        <w:t>إلى أنّه لو تمّت الدعوى من المدّعي، كانت وظيفة الحاكم أن يطالب المدّعى عليه للجواب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جمع آخر إلى أنّه يتوقّف على مطالبة المدّعي، فلو التمس من الحاكم أن يطالبه فهو، وإلا فيتوقّف الدعوى إلى أن يلتمس من الحاكم 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w:t>
      </w:r>
      <w:r>
        <w:rPr>
          <w:rStyle w:val="FootnoteAnchor"/>
          <w:rtl w:val="true"/>
        </w:rPr>
        <w:footnoteReference w:id="5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تمّت الدعوى، هل يطالب المدّعى عليه بالجواب، أو يتوقّف ذلك على التماس المدّعي؟ فيه تردّد، والوجه أنّه يتوقّف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قولان للشيخ،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الأشهر، بل عن المبسوط عندنا مشعراً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ولكن الأوجه خلافه وفاقاً للمحكيّ عن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المحقّق</w:t>
      </w:r>
      <w:r>
        <w:rPr>
          <w:rStyle w:val="FootnoteAnchor"/>
          <w:rtl w:val="true"/>
        </w:rPr>
        <w:footnoteReference w:id="598"/>
      </w:r>
      <w:r>
        <w:rPr>
          <w:rFonts w:ascii="Amiri" w:hAnsi="Amiri" w:eastAsia="Amiri" w:cs="Amiri"/>
          <w:color w:val="111111"/>
          <w:sz w:val="28"/>
          <w:sz w:val="28"/>
          <w:szCs w:val="28"/>
          <w:rtl w:val="true"/>
          <w:lang w:bidi="ar-SA"/>
        </w:rPr>
        <w:t>للتوقّف بأنّه حقّ له فيقف على 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99"/>
      </w:r>
      <w:r>
        <w:rPr>
          <w:rFonts w:ascii="Amiri" w:hAnsi="Amiri" w:eastAsia="Amiri" w:cs="Amiri"/>
          <w:color w:val="111111"/>
          <w:sz w:val="28"/>
          <w:sz w:val="28"/>
          <w:szCs w:val="28"/>
          <w:rtl w:val="true"/>
          <w:lang w:bidi="ar-SA"/>
        </w:rPr>
        <w:t>لقوله بالأصل يعني الأصل عدم التوقّف وعدم لزوم الالتماس من الحاكم في 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ولكونه حقّاً للحاكم المنصوب لقطع المنازعات والخصومات إلا أن يسقط المدّعي حقّه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00"/>
      </w:r>
      <w:r>
        <w:rPr>
          <w:rFonts w:ascii="Amiri" w:hAnsi="Amiri" w:eastAsia="Amiri" w:cs="Amiri"/>
          <w:color w:val="111111"/>
          <w:sz w:val="28"/>
          <w:sz w:val="28"/>
          <w:szCs w:val="28"/>
          <w:rtl w:val="true"/>
          <w:lang w:bidi="ar-SA"/>
        </w:rPr>
        <w:t>للقول بعدم التوقّف بدلالة شاهد الحال على الطلب</w:t>
      </w:r>
    </w:p>
    <w:p>
      <w:pPr>
        <w:pStyle w:val="BookText"/>
        <w:rPr/>
      </w:pPr>
      <w:r>
        <w:rPr>
          <w:rFonts w:ascii="Amiri" w:hAnsi="Amiri" w:eastAsia="Amiri" w:cs="Amiri"/>
          <w:color w:val="111111"/>
          <w:sz w:val="28"/>
          <w:sz w:val="28"/>
          <w:szCs w:val="28"/>
          <w:rtl w:val="true"/>
          <w:lang w:bidi="ar-SA"/>
        </w:rPr>
        <w:t>للعلم العادي، بأنّ الإنسان لا يحضر خصمه إلى مجلس الحكم ليدّعي عليه وينصرف من غير 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المرجع لهذا الاستدلال هو القول بالتوقّف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واستدلال الشهيد ينتج العكس لأنّ شاهد الحال الذي استدلّ بها الشهيد على عدم التوقّف يقتضي الطلب وقرينة للالتماس من الحاكم مطالبة المدّعى عليه، فإنّ الالتماس قد يكون بالصراحة وقد يكون بقرينة شاهد الحال، ولعلّ هذا خلط على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جلالة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نقول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والأقوى قول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التمس المدّعي من الحاكم المطالبة أو كانت هناك قرينة موجودة دالّة على ذلك من شاهد الحال وغيره، فهو، وإلا فاللازم على القاضي أن يطالبه للجواب والدفاع عن نفسه، فإنّ القاضي منصوب لرفع النزاع وحل الاختلاف، فإذا طرح المدّعي دعواه وكانت مسموعة كان معناه وجود النزاع والاختلاف بينهما وحينئذٍ لا يجوز للقاضي الصبر والانتظار حتّى يطلب المدّعي بالمطالبة أو يأذن للقاضي أن يطالب المدّعى عليه، بل يلزم عليه على حسب وظيفته إحضار المدّعى عليه ليسمع منه الجواب ويحكم بينهما، فكما أنّ القاضي، عند طرح الدعوى من المدّعي موظّف بالتفحّص والتحقيق في الدعوى كي يفهم هل هو واجد لجميع شرائط السماع أو لا؟ وإذا علم جامعية الدعوى للشرائط تصير الدعوى مسموعة؛ كذلك عليه وظيفة اخرى، وهو إحضار المدّعى عليه، واستماع الجواب عنه ثمّ الحكم بينهما على مقتضى الموازين القضائية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أنّه وظيفة بل حقّ عامّ للحاكم كذلك تكون السيرة أيضاً، بل ارتكاز العقلائية عليه فإذا طرحت</w:t>
      </w:r>
    </w:p>
    <w:p>
      <w:pPr>
        <w:pStyle w:val="BookText"/>
        <w:rPr/>
      </w:pPr>
      <w:r>
        <w:rPr>
          <w:rFonts w:ascii="Amiri" w:hAnsi="Amiri" w:eastAsia="Amiri" w:cs="Amiri"/>
          <w:color w:val="111111"/>
          <w:sz w:val="28"/>
          <w:sz w:val="28"/>
          <w:szCs w:val="28"/>
          <w:rtl w:val="true"/>
          <w:lang w:bidi="ar-SA"/>
        </w:rPr>
        <w:t>الدعوى ومضت أيام ثمّ راجع إلى القاضي ورأى أنّه لم يحضر المدّعى عليه ليس للقاضي الاعتذار بأنّك لم تسئل الإحضار ولم تلتمس المطالبة؛ لأنّه مستنكر عند العقلاء ويقولون إنّه لم يعمل بوظيفته بلا شبهة، بل السيرة والارتكاز العقلائية تحكم بأنّ وظيفة القاضي الإحضار بعد طرح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الشريف والوضيع، بل لا بدّ للقاضي من إحضار المدّعى عليه وإن كان له شأن ووجاهة في الاجتماع فإنّ المسلمين سواء سواء تجاه القانون، ويجري القانون عليهم بلاتفاوت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على القول بأنّ الشريف يستدعي منه الوكيل أو يدّعي في منزل القاضي وأمثال ذلك</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لا فرق في ذلك بين الرجل والمرأة سواء كانت برزة أو مخدّرة، أي لا دليل على التفصيل بين البرزة والمخدّرة فإنّ إحضارها للجواب عن ما يدّعي عليها ليست خلاف شأنها وليست منافية للخدرة، غاية الأمر تطلب خلف السترة مثلًا</w:t>
      </w:r>
      <w:r>
        <w:rPr>
          <w:rFonts w:eastAsia="Amiri" w:cs="Amiri" w:ascii="Amiri" w:hAnsi="Amiri"/>
          <w:color w:val="111111"/>
          <w:sz w:val="28"/>
          <w:szCs w:val="28"/>
          <w:rtl w:val="true"/>
          <w:lang w:bidi="ar-SA"/>
        </w:rPr>
        <w:t>.</w:t>
      </w:r>
      <w:bookmarkStart w:id="307" w:name="pg1791_15762"/>
    </w:p>
    <w:p>
      <w:pPr>
        <w:pStyle w:val="Heading3"/>
        <w:numPr>
          <w:ilvl w:val="2"/>
          <w:numId w:val="1"/>
        </w:numPr>
        <w:rPr/>
      </w:pPr>
      <w:bookmarkStart w:id="308" w:name="__RefHeading___Toc2354635_3650668749"/>
      <w:bookmarkStart w:id="309" w:name="_Toc114"/>
      <w:bookmarkEnd w:id="307"/>
      <w:bookmarkEnd w:id="308"/>
      <w:r>
        <w:rPr>
          <w:rtl w:val="true"/>
        </w:rPr>
        <w:t>فصل</w:t>
      </w:r>
      <w:r>
        <w:rPr>
          <w:rtl w:val="true"/>
        </w:rPr>
        <w:t xml:space="preserve">: </w:t>
      </w:r>
      <w:r>
        <w:rPr>
          <w:rtl w:val="true"/>
        </w:rPr>
        <w:t>في جواب المدّعى عليه‌</w:t>
      </w:r>
      <w:bookmarkEnd w:id="309"/>
    </w:p>
    <w:p>
      <w:pPr>
        <w:pStyle w:val="Heading4"/>
        <w:numPr>
          <w:ilvl w:val="3"/>
          <w:numId w:val="1"/>
        </w:numPr>
        <w:rPr/>
      </w:pPr>
      <w:bookmarkStart w:id="310" w:name="__RefHeading___Toc2354637_3650668749"/>
      <w:bookmarkStart w:id="311" w:name="_Toc115"/>
      <w:bookmarkEnd w:id="310"/>
      <w:r>
        <w:rPr>
          <w:rtl w:val="true"/>
        </w:rPr>
        <w:t>اشارة</w:t>
      </w:r>
      <w:bookmarkEnd w:id="311"/>
    </w:p>
    <w:p>
      <w:pPr>
        <w:pStyle w:val="BookText"/>
        <w:rPr/>
      </w:pPr>
      <w:r>
        <w:rPr>
          <w:rFonts w:ascii="Amiri" w:hAnsi="Amiri" w:eastAsia="Amiri" w:cs="Amiri"/>
          <w:color w:val="111111"/>
          <w:sz w:val="28"/>
          <w:sz w:val="28"/>
          <w:szCs w:val="28"/>
          <w:rtl w:val="true"/>
          <w:lang w:bidi="ar-SA"/>
        </w:rPr>
        <w:t>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يسكت عن الجواب، أو يقرّ، أو ينكر، 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ممّا هو تكذيب للمدّعي</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2354639_3650668749"/>
      <w:bookmarkStart w:id="313" w:name="_Toc116"/>
      <w:bookmarkEnd w:id="312"/>
      <w:r>
        <w:rPr>
          <w:rtl w:val="true"/>
        </w:rPr>
        <w:t>القول</w:t>
      </w:r>
      <w:r>
        <w:rPr>
          <w:rtl w:val="true"/>
        </w:rPr>
        <w:t xml:space="preserve">: </w:t>
      </w:r>
      <w:r>
        <w:rPr>
          <w:rtl w:val="true"/>
        </w:rPr>
        <w:t>في الجواب بالإقرار</w:t>
      </w:r>
      <w:bookmarkEnd w:id="313"/>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 المدّعى عليه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أو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جامعاً لشرائط الإقرار وحكم الحاكم ألزمه به، وانفصلت الخصومة، ويترتّب عليه لوازم الحكم، كعدم جواز نقضه، وعدم جواز رفعه إلى حاكم آخر، وعدم جواز سماع الحاكم دعواه،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أقرّ ولم يحكم فهو مأخوذ بإقراره، فلا يجوز لأحد التصرّف فيما عنده إذا أقرّ به إلا بإذن المقرّ له، وجاز لغيره إلزامه، بل وجب من باب الأمر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لو قامت البيّنة على حقّه من جواز ترتيب الأثر على البيّنة، وعدم جواز التصرّف إلا بإذن من قامت على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جواز إلزامه أو وجوبه مع</w:t>
      </w:r>
    </w:p>
    <w:p>
      <w:pPr>
        <w:pStyle w:val="BookText"/>
        <w:rPr/>
      </w:pPr>
      <w:r>
        <w:rPr>
          <w:rFonts w:ascii="Amiri" w:hAnsi="Amiri" w:eastAsia="Amiri" w:cs="Amiri"/>
          <w:color w:val="111111"/>
          <w:sz w:val="28"/>
          <w:sz w:val="28"/>
          <w:szCs w:val="28"/>
          <w:rtl w:val="true"/>
          <w:lang w:bidi="ar-SA"/>
        </w:rPr>
        <w:t>قيام البيّنة من باب الأمر بالمعروف إشكال؛ لاحتمال أن لا يكون الحقّ عنده ثابتاً ولم تكن البيّنة عنده عادلة، ومعه لا يجوز أمره ونهيه، بخلاف الثبوت بالإقرار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المدّعي على شخص عند الحاكم فجواب 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تفهيم الاتّهام عند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عن إحدي الحالات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يقرّ المدّعى عليه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صادق في ادّعائه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ينكر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كاذب في ادّعائه وليس له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 يسكت ولا يجيب نفياً أو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السكوت ليس بجواب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إطلاق الجواب على السكوت مسامحة من ناحية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 البحث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يصدر من 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طرح الدعوى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منه ردّ فعل المدّعى عليه عند طرح الدعوى وهذا يعمّ السكوت أيضاً، فإنّ ردّ الفعل يمكن أن يكون بالإقرار أو بالإنكار وثالثة بالسكوت، فالسكوت ليس بجواب بالدقّة وإذا عبّرنا عنه بالجواب يكون مسامحة في التعبير والمقصود هو ردّ الفعل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الجواب يصدق على السكوت أيضاً، لأنّ نتيجة الإصرار على السكوت هو الإنكار فإنّ السكوت عن الجواب كالنكول، حيث إنّه لا يحلف 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يرد القسم على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النكول لا يخرج عن</w:t>
      </w:r>
      <w:bookmarkStart w:id="314" w:name="pg1791_15766"/>
    </w:p>
    <w:p>
      <w:pPr>
        <w:pStyle w:val="BookText"/>
        <w:rPr/>
      </w:pPr>
      <w:bookmarkEnd w:id="314"/>
      <w:r>
        <w:rPr>
          <w:rFonts w:ascii="Amiri" w:hAnsi="Amiri" w:eastAsia="Amiri" w:cs="Amiri"/>
          <w:color w:val="111111"/>
          <w:sz w:val="28"/>
          <w:sz w:val="28"/>
          <w:szCs w:val="28"/>
          <w:rtl w:val="true"/>
          <w:lang w:bidi="ar-SA"/>
        </w:rPr>
        <w:t>أحد الأمرين إمّا يقضي عليه بمجرّد النكول أم يرد القاضي اليمين على المدّعي والسكوت أيضاً في حكم النكول وحكمه أحد الأمرين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يهمّنا البحث عن هذا فلنبحث عن حكم الحالات الثلاثة</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2354641_3650668749"/>
      <w:bookmarkStart w:id="316" w:name="_Toc117"/>
      <w:bookmarkEnd w:id="315"/>
      <w:r>
        <w:rPr>
          <w:rtl w:val="true"/>
        </w:rPr>
        <w:t>القول في إقرار المدّعى عليه‌</w:t>
      </w:r>
      <w:bookmarkEnd w:id="316"/>
    </w:p>
    <w:p>
      <w:pPr>
        <w:pStyle w:val="Heading5"/>
        <w:numPr>
          <w:ilvl w:val="4"/>
          <w:numId w:val="1"/>
        </w:numPr>
        <w:rPr/>
      </w:pPr>
      <w:bookmarkStart w:id="317" w:name="__RefHeading___Toc2354643_3650668749"/>
      <w:bookmarkStart w:id="318" w:name="_Toc118"/>
      <w:bookmarkEnd w:id="317"/>
      <w:r>
        <w:rPr>
          <w:rtl w:val="true"/>
        </w:rPr>
        <w:t>اشارة</w:t>
      </w:r>
      <w:bookmarkEnd w:id="318"/>
    </w:p>
    <w:p>
      <w:pPr>
        <w:pStyle w:val="BookText"/>
        <w:rPr/>
      </w:pPr>
      <w:r>
        <w:rPr>
          <w:rFonts w:ascii="Amiri" w:hAnsi="Amiri" w:eastAsia="Amiri" w:cs="Amiri"/>
          <w:color w:val="111111"/>
          <w:sz w:val="28"/>
          <w:sz w:val="28"/>
          <w:szCs w:val="28"/>
          <w:rtl w:val="true"/>
          <w:lang w:bidi="ar-SA"/>
        </w:rPr>
        <w:t>إن أقرّ المدّعى عليه بما ادّعى المدّعي فحينئذٍ إن حكم الحاكم ألزم المدّعى عليه بالحكم، ولا فرق في ذلك بين إقرار المدّعى عليه واقامة البيّنة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القصاص أو الدية أو الغرامة المالية أو غير ذلك، وينتهي الدعوى و يترتّب عليه آثار الحكم من عدم جواز طرح الدعوى في محكمة اخرى، وعدم جواز استماع الدعوى للقاضي الثاني أيضاً لو طرح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يحكم بعد الإقرار فهل يلزم المقرّ بالإقرار أيضاً من باب الأمر بالمعروف والنهي عن المنكر، أو نصبر حتّى يحكم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هذا أيضاً محطّ البحث في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الفرق بين الإقرار بالشي‌ء والإقرار عليه تبعاً للشهيد</w:t>
      </w:r>
      <w:r>
        <w:rPr>
          <w:rStyle w:val="FootnoteAnchor"/>
          <w:rtl w:val="true"/>
        </w:rPr>
        <w:footnoteReference w:id="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حاصله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 المدّعى عليه بشي‌ء للمدّعي ولم يحكم القاضي بعد، لا يجوز لأحد التصرّف فيه إلا بإذن المقرّ ويجوز إلزام المدّعى عليه من باب الأمر بالمعروف والنهي عن المنكر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إقرار العقلاء على أنفسهم نافذ، والمقرّ بما أنّه من العقلاء؛ فإقراره نافذ في حقّ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أشكل على جواز ترتّب الأثر وإلزام المدّعى عليه من باب</w:t>
      </w:r>
    </w:p>
    <w:p>
      <w:pPr>
        <w:pStyle w:val="BookText"/>
        <w:rPr/>
      </w:pPr>
      <w:r>
        <w:rPr>
          <w:rFonts w:ascii="Amiri" w:hAnsi="Amiri" w:eastAsia="Amiri" w:cs="Amiri"/>
          <w:color w:val="111111"/>
          <w:sz w:val="28"/>
          <w:sz w:val="28"/>
          <w:szCs w:val="28"/>
          <w:rtl w:val="true"/>
          <w:lang w:bidi="ar-SA"/>
        </w:rPr>
        <w:t>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المدّعى عليه لا يصدق البيّنة وسوف يجرح البيّنة ويسقطها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لعلّ البيّنة لم يكن واجدة الشرائط من العدالة وغيرها ولا يقبل القاضي عدالة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نصبر حتّى يحكم القاضي ويلزم 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 الشهيد أنّ البيّنة مختصّة بالقاضي فالإقرار علّة تامّة للإلزام بخلاف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ناقش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02"/>
      </w:r>
      <w:r>
        <w:rPr>
          <w:rFonts w:ascii="Amiri" w:hAnsi="Amiri" w:eastAsia="Amiri" w:cs="Amiri"/>
          <w:color w:val="111111"/>
          <w:sz w:val="28"/>
          <w:sz w:val="28"/>
          <w:szCs w:val="28"/>
          <w:rtl w:val="true"/>
          <w:lang w:bidi="ar-SA"/>
        </w:rPr>
        <w:t>بالعموم أو إطلاق ما دلّ على قبوله بدلالة هؤلاء الروايات على قبول البيّنة وترتّب الأثر بمقتضاها من غير فرق بين أن يكون قبل حكم الحاكم أو بعد الحكم، بل كما أنّ القاضي يحكم بمقتضى البيّنة فعموم الناس يلزمون من عليه البيّنة من باب الأمر بالمعروف والنهي عن المنكر جاري هنا أيضاً، فلا اختصاص للبيّنة بالقاضي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وكمثال نقول عند ما تقام البيّنة على نجاسة ماء مثلًا يعامل معها بالنجاسة في الناس بدون أي تفاوت، غير أنّ القاضي بما أنّه في مقام القضاء بإمكانه أن 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القبول أو الردّ في البيّنة يحتاج إلى التحقيق والتفحّص 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قدرات القاضي في مقام القضاء لا أيّ شخص غير الحاكم والقاضي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الإقرار فإنّه لا يحتاج إلى التفحّص والاجتهاد</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الإقرار أيضاً يحتاج إلى التفحّص والاجتهاد ولا يعلمه الناس والقاضي بإمكانه أن يعلم، فكما أنّه نفرض لقبول البيّنة شرائط، فلقبول</w:t>
      </w:r>
      <w:bookmarkStart w:id="319" w:name="pg1791_15770"/>
    </w:p>
    <w:p>
      <w:pPr>
        <w:pStyle w:val="BookText"/>
        <w:rPr/>
      </w:pPr>
      <w:bookmarkEnd w:id="319"/>
      <w:r>
        <w:rPr>
          <w:rFonts w:ascii="Amiri" w:hAnsi="Amiri" w:eastAsia="Amiri" w:cs="Amiri"/>
          <w:color w:val="111111"/>
          <w:sz w:val="28"/>
          <w:sz w:val="28"/>
          <w:szCs w:val="28"/>
          <w:rtl w:val="true"/>
          <w:lang w:bidi="ar-SA"/>
        </w:rPr>
        <w:t>الإقرار أيضاً شرائط خاصّة يطبقها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البحث في البيّنة والإقرار التامّ الواجد للشرائط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وعندئذٍ لا فرق بين البيّنة والإقرار في القبول أو الردّ</w:t>
      </w:r>
      <w:r>
        <w:rPr>
          <w:rFonts w:eastAsia="Amiri" w:cs="Amiri" w:ascii="Amiri" w:hAnsi="Amiri"/>
          <w:color w:val="111111"/>
          <w:sz w:val="28"/>
          <w:szCs w:val="28"/>
          <w:rtl w:val="true"/>
          <w:lang w:bidi="ar-SA"/>
        </w:rPr>
        <w:t>.</w:t>
      </w:r>
    </w:p>
    <w:p>
      <w:pPr>
        <w:pStyle w:val="Heading5"/>
        <w:numPr>
          <w:ilvl w:val="4"/>
          <w:numId w:val="1"/>
        </w:numPr>
        <w:rPr/>
      </w:pPr>
      <w:bookmarkStart w:id="320" w:name="__RefHeading___Toc2354645_3650668749"/>
      <w:bookmarkStart w:id="321" w:name="_Toc119"/>
      <w:bookmarkEnd w:id="320"/>
      <w:r>
        <w:rPr>
          <w:rtl w:val="true"/>
        </w:rPr>
        <w:t>النتيجة</w:t>
      </w:r>
      <w:r>
        <w:rPr>
          <w:rtl w:val="true"/>
        </w:rPr>
        <w:t xml:space="preserve">: </w:t>
      </w:r>
      <w:r>
        <w:rPr>
          <w:rtl w:val="true"/>
        </w:rPr>
        <w:t xml:space="preserve">ممّا قاله الشهيد والإمام </w:t>
      </w:r>
      <w:r>
        <w:rPr>
          <w:rtl w:val="true"/>
        </w:rPr>
        <w:t>(</w:t>
      </w:r>
      <w:r>
        <w:rPr>
          <w:rtl w:val="true"/>
        </w:rPr>
        <w:t>رحمهما الله</w:t>
      </w:r>
      <w:r>
        <w:rPr>
          <w:rtl w:val="true"/>
        </w:rPr>
        <w:t>)</w:t>
      </w:r>
      <w:bookmarkEnd w:id="321"/>
    </w:p>
    <w:p>
      <w:pPr>
        <w:pStyle w:val="BookText"/>
        <w:rPr/>
      </w:pPr>
      <w:r>
        <w:rPr>
          <w:rFonts w:ascii="Amiri" w:hAnsi="Amiri" w:eastAsia="Amiri" w:cs="Amiri"/>
          <w:color w:val="111111"/>
          <w:sz w:val="28"/>
          <w:sz w:val="28"/>
          <w:szCs w:val="28"/>
          <w:rtl w:val="true"/>
          <w:lang w:bidi="ar-SA"/>
        </w:rPr>
        <w:t xml:space="preserve">إنّ الشهيد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بالفرق بين البيّنة والإقرار في المسألة وجاءا بالدليل وناقشنا في دليليهما، كما قال به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03"/>
      </w:r>
      <w:r>
        <w:rPr>
          <w:rFonts w:ascii="Amiri" w:hAnsi="Amiri" w:eastAsia="Amiri" w:cs="Amiri"/>
          <w:color w:val="111111"/>
          <w:sz w:val="28"/>
          <w:sz w:val="28"/>
          <w:szCs w:val="28"/>
          <w:rtl w:val="true"/>
          <w:lang w:bidi="ar-SA"/>
        </w:rPr>
        <w:t>وأشرنا إلى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السيّد اليزدي أيضاً في الردّ على الفرق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هذا كما أنّه يجوز لكلّ من سمع الإقرار مع تحقّق شرائط أن يلزم المقرّ بالحقّ كذلك يجوز لكلّ من سمع شهادة الشاهدين مع علمه</w:t>
      </w:r>
      <w:r>
        <w:rPr>
          <w:rFonts w:eastAsia="Amiri" w:cs="Amiri" w:ascii="Amiri" w:hAnsi="Amiri"/>
          <w:color w:val="111111"/>
          <w:sz w:val="28"/>
          <w:szCs w:val="28"/>
          <w:rtl w:val="true"/>
          <w:lang w:bidi="ar-SA"/>
        </w:rPr>
        <w:t>»</w:t>
      </w:r>
      <w:r>
        <w:rPr>
          <w:rStyle w:val="FootnoteAnchor"/>
          <w:rtl w:val="true"/>
        </w:rPr>
        <w:footnoteReference w:id="604"/>
      </w:r>
      <w:r>
        <w:rPr>
          <w:rFonts w:ascii="Amiri" w:hAnsi="Amiri" w:eastAsia="Amiri" w:cs="Amiri"/>
          <w:color w:val="111111"/>
          <w:sz w:val="28"/>
          <w:sz w:val="28"/>
          <w:szCs w:val="28"/>
          <w:rtl w:val="true"/>
          <w:lang w:bidi="ar-SA"/>
        </w:rPr>
        <w:t>بعد التهمة أن يلزم المدّعى عليه بما شهد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هناك نكتة لعلّها لا يفهم من كلام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وجوب الإقرار بالبيّنة من باب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ثبت جواز الإلزام أو وجوب الإلزام بعد الإقرار أو إقامة البيّنة فلا تحتاج إلى حكم الحاكم ولا الإلزام بحكم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يوجب لغوية الحكم مع أنّ لزوم حكم الحاكم متّفق عليه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يترتّب على حكم الحاكم آثار اخر غير الإلزام أيضاً، فنقول بعد الإلزام ننتظر حكم الحاكم حتّى نتحصّل على تلك الآثار</w:t>
      </w:r>
      <w:r>
        <w:rPr>
          <w:rFonts w:eastAsia="Amiri" w:cs="Amiri" w:ascii="Amiri" w:hAnsi="Amiri"/>
          <w:color w:val="111111"/>
          <w:sz w:val="28"/>
          <w:szCs w:val="28"/>
          <w:rtl w:val="true"/>
          <w:lang w:bidi="ar-SA"/>
        </w:rPr>
        <w:t>.</w:t>
      </w:r>
      <w:bookmarkStart w:id="322" w:name="pg1791_15772"/>
    </w:p>
    <w:p>
      <w:pPr>
        <w:pStyle w:val="BookText"/>
        <w:rPr/>
      </w:pPr>
      <w:bookmarkEnd w:id="322"/>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إقرار المدّعى‌عليه ليس للحاكم على الظاهر الحكم إلا بعد طلب المدّعي، فإذا طلب منه يجب عليه الحكم فيما يتوقّف استيفاء حقّه عليه على الأقوى، ومع عدم التوقّف على الأحوط، بل لا يخلو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يطلب منه الحكم أو طلب عدمه فحكم الحاكم، ففي فصل الخصومة به تردّد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323" w:name="__RefHeading___Toc2354647_3650668749"/>
      <w:bookmarkStart w:id="324" w:name="_Toc120"/>
      <w:bookmarkEnd w:id="323"/>
      <w:r>
        <w:rPr>
          <w:rtl w:val="true"/>
        </w:rPr>
        <w:t>مطالبة المدّعي للحكم‌</w:t>
      </w:r>
      <w:bookmarkEnd w:id="3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طرح الدعوى والإقرار أو إقامة البيّنة هل الحكم متوقّف على مطالبة المدّعي، أم يحكم الحاكم بين المترافعين حيث شاء؟ الأقوال فيها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ذو صور مختلفة وجعل الصور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طلب المدّعي عن الحاكم الحكم بعد سماع الدعوى والإقرار أو البيّنة، فإن كان استيفاء الحقّ متوقّفاً على الحكم، يجب على الحاكم الحكم،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استيفاء الحقّ متوقّفاً على حكم الحاكم يجب على الحاكم الحكم على الأحوط، بل الوجوب في هذه الصورة لا يخلو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يطلب المدّعي من الحاكم الحكم لا يجب على الحاكم صدور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حكم في هذه الصورة أو إذا طلب المدّعي عدم الحكم ومع ذلك حكم الحاكم؛ ففي فصل الخصومة بهذا الحكم تردّد</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دليل تردّد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تحقّق فصل الخصومة إذا حكم الحاكم بدون</w:t>
      </w:r>
      <w:bookmarkStart w:id="325" w:name="pg1791_15774"/>
    </w:p>
    <w:p>
      <w:pPr>
        <w:pStyle w:val="BookText"/>
        <w:rPr/>
      </w:pPr>
      <w:bookmarkEnd w:id="325"/>
      <w:r>
        <w:rPr>
          <w:rFonts w:ascii="Amiri" w:hAnsi="Amiri" w:eastAsia="Amiri" w:cs="Amiri"/>
          <w:color w:val="111111"/>
          <w:sz w:val="28"/>
          <w:sz w:val="28"/>
          <w:szCs w:val="28"/>
          <w:rtl w:val="true"/>
          <w:lang w:bidi="ar-SA"/>
        </w:rPr>
        <w:t>استدعاء المدّعي واستظهاره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صدور الحكم عند عدم الطلب؛ أنّ صدور الحكم حقّ للمدّعي فلا يستوفي إلا بعد طلب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أيضاً أثبت المحقّق</w:t>
      </w:r>
      <w:r>
        <w:rPr>
          <w:rStyle w:val="FootnoteAnchor"/>
          <w:rtl w:val="true"/>
        </w:rPr>
        <w:footnoteReference w:id="605"/>
      </w:r>
      <w:r>
        <w:rPr>
          <w:rFonts w:ascii="Amiri" w:hAnsi="Amiri" w:eastAsia="Amiri" w:cs="Amiri"/>
          <w:color w:val="111111"/>
          <w:sz w:val="28"/>
          <w:sz w:val="28"/>
          <w:szCs w:val="28"/>
          <w:rtl w:val="true"/>
          <w:lang w:bidi="ar-SA"/>
        </w:rPr>
        <w:t>القول بعدم توقّف الحكم على طلب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قول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لهما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كلام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حقّ للحاكم وعليه الحكم بعد استماع الدعوى والأدلّة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يرضى المدّعى بصدور الحكم بما أنّ الحكم ربما يكون بضرره</w:t>
      </w:r>
      <w:r>
        <w:rPr>
          <w:rStyle w:val="FootnoteAnchor"/>
          <w:rtl w:val="true"/>
        </w:rPr>
        <w:footnoteReference w:id="606"/>
      </w:r>
      <w:r>
        <w:rPr>
          <w:rFonts w:ascii="Amiri" w:hAnsi="Amiri" w:eastAsia="Amiri" w:cs="Amiri"/>
          <w:color w:val="111111"/>
          <w:sz w:val="28"/>
          <w:sz w:val="28"/>
          <w:szCs w:val="28"/>
          <w:rtl w:val="true"/>
          <w:lang w:bidi="ar-SA"/>
        </w:rPr>
        <w:t>إلا أن يرفعا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المدّعي والمدّعى عليه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ووافقه السيّد اليزدي</w:t>
      </w:r>
      <w:r>
        <w:rPr>
          <w:rStyle w:val="FootnoteAnchor"/>
          <w:rtl w:val="true"/>
        </w:rPr>
        <w:footnoteReference w:id="607"/>
      </w:r>
      <w:r>
        <w:rPr>
          <w:rFonts w:ascii="Amiri" w:hAnsi="Amiri" w:eastAsia="Amiri" w:cs="Amiri"/>
          <w:color w:val="111111"/>
          <w:sz w:val="28"/>
          <w:sz w:val="28"/>
          <w:szCs w:val="28"/>
          <w:rtl w:val="true"/>
          <w:lang w:bidi="ar-SA"/>
        </w:rPr>
        <w:t>أيضاً حيث قوى القول بعدم الحاجة في صدور الحكم إلى طلب المدّعي أو المدّعى عليه</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2354649_3650668749"/>
      <w:bookmarkStart w:id="327" w:name="_Toc121"/>
      <w:bookmarkEnd w:id="326"/>
      <w:r>
        <w:rPr>
          <w:rtl w:val="true"/>
        </w:rPr>
        <w:t xml:space="preserve">حول نفوذ </w:t>
      </w:r>
      <w:r>
        <w:rPr>
          <w:rtl w:val="true"/>
        </w:rPr>
        <w:t>«</w:t>
      </w:r>
      <w:r>
        <w:rPr>
          <w:rtl w:val="true"/>
        </w:rPr>
        <w:t>الإقرار العقلاء</w:t>
      </w:r>
      <w:r>
        <w:rPr>
          <w:rtl w:val="true"/>
        </w:rPr>
        <w:t xml:space="preserve">» </w:t>
      </w:r>
      <w:r>
        <w:rPr>
          <w:rtl w:val="true"/>
        </w:rPr>
        <w:t>في القضاء</w:t>
      </w:r>
      <w:bookmarkEnd w:id="327"/>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 مشكلة مهمّة في المسألة لم يتعرّض لها من الفقهاء سوى المحقّق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 ضياء</w:t>
      </w:r>
      <w:r>
        <w:rPr>
          <w:rFonts w:eastAsia="Amiri" w:cs="Amiri" w:ascii="Amiri" w:hAnsi="Amiri"/>
          <w:color w:val="111111"/>
          <w:sz w:val="28"/>
          <w:szCs w:val="28"/>
          <w:rtl w:val="true"/>
          <w:lang w:bidi="ar-SA"/>
        </w:rPr>
        <w:t>-</w:t>
      </w:r>
      <w:r>
        <w:rPr>
          <w:rStyle w:val="FootnoteAnchor"/>
          <w:rtl w:val="true"/>
        </w:rPr>
        <w:footnoteReference w:id="608"/>
      </w:r>
      <w:r>
        <w:rPr>
          <w:rFonts w:ascii="Amiri" w:hAnsi="Amiri" w:eastAsia="Amiri" w:cs="Amiri"/>
          <w:color w:val="111111"/>
          <w:sz w:val="28"/>
          <w:sz w:val="28"/>
          <w:szCs w:val="28"/>
          <w:rtl w:val="true"/>
          <w:lang w:bidi="ar-SA"/>
        </w:rPr>
        <w:t>وهو أنّه قد قلنا في باب الإقرار أنّ دليل حجّية الإقرار هو القول بنفوذ إقرار العقلاء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العقلاء على أنفسهم نافذ أو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يتصوّر أربعة صور</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المدّعى عليه لنفع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المدّعى عليه لضرر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المدّعى عليه لنفع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المدّعى عليه لضرر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ومحلّ البحث صورة واحدة من هذه الأربعة، لأنّ الإقرار لنفع الغير لا يسمع بما أنّ المقرّ ربّما لا يكون عادلًا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والإقرار لنفع نفسه أيضاً لا يسمع لأنّ المقرّ ذي نفع في الإقرار والإقرار لضرر الغير أيضاً لا يسمع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يبقى صورة واحدة وهو الإقرار لضرر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 المدّعى عليه بالدعوى فلا يجوز له التصرّف في موردالمرافعة، لأنّه أقرّ على نفسه وأمّا بالنسبة إلى جواز تصرّف المدّعي وعدم جواز تصرّف غير المدّعي فلا يسمع إقراره لأنّ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تشمل هذين الصورتين، حيث إنّه ولو كان عادلًا يسمع شهادته لنفع الغير بضميمة شاهد آخر</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يوجد التباني بين المدّعي والمدّعى عليه في إقرار 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فالثمرة الوحيدة لإقرار المدّعى عليه على نفسه هو عدم جواز تصرّف المدّعى عليه في مورد الإقرار</w:t>
      </w:r>
      <w:r>
        <w:rPr>
          <w:rFonts w:eastAsia="Amiri" w:cs="Amiri" w:ascii="Amiri" w:hAnsi="Amiri"/>
          <w:color w:val="111111"/>
          <w:sz w:val="28"/>
          <w:szCs w:val="28"/>
          <w:rtl w:val="true"/>
          <w:lang w:bidi="ar-SA"/>
        </w:rPr>
        <w:t>.</w:t>
      </w:r>
      <w:bookmarkStart w:id="328" w:name="pg1791_15778"/>
    </w:p>
    <w:p>
      <w:pPr>
        <w:pStyle w:val="BookText"/>
        <w:rPr/>
      </w:pPr>
      <w:bookmarkEnd w:id="328"/>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ثبوت شي‌ء، أو ثبوت شي‌ء على ذمّة شخص، أو الإلزام بشي‌ء،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فيه لفظ خاصّ، بل اللازم الإنشاء بكلّ ما دلّ على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ألزمتُ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دين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الشي‌ء لفلان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لغة كان إذا اريد الإنشاء، ودلّ اللفظ بظاهره عليه ولو مع القرينة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329" w:name="__RefHeading___Toc2354651_3650668749"/>
      <w:bookmarkStart w:id="330" w:name="_Toc122"/>
      <w:bookmarkEnd w:id="329"/>
      <w:r>
        <w:rPr>
          <w:rtl w:val="true"/>
        </w:rPr>
        <w:t>في معنى الحكم‌</w:t>
      </w:r>
      <w:bookmarkEnd w:id="3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الإنشاء في مقابل الإخبار، وهو بمعنى إيجاد ما لم يكن موجوداً، لكن في وعاء الاعتبار فإذا قال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أوجد البيع اعتباراً وإذا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أوجد علقة النكاح بين الزوجين، وهو أمر لم يكن موجوداً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والإخبار حكاية عن الأمر المتحقّق في الماضي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الإخبار عن تحقّق البيع في الماضي أو أنكحت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نقصد أنّ الحاكم يوجد بإنشائه أمراً في مقام الاعتبار ما لم يكن موجوداً من قبل، كالحكم بثبوت عقد النكاح أو البيع أو الإيقاع أو الإلزام بأداء الدين، أو الحكم بثبوت الدين على عهدة زيد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يعتبر في الإنشاء لفظ خاصّ، بل اللازم الإنشاء بما دلّ على المقصود،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ألزمت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إدفع إليه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لغة كان ولا اختصاص باللغة العربيّة لعدم الدليل عليه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فيعبّر عنه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بالإنشاء القولي أي باللفظ بأيّ لغة كان، ولو دلّ اللفظ عليه بالقرينة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يكفي فيه الفعل الدالّ إذا قصد به الإنشاء كما إذا أمر ببيع مال المحكوم عليه أو أخذ ماله ودفعه إلى المحكوم له</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وأجاب عنه 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في تقريراته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مشكل‌لعدم تحقّق الحكم بالفعل عند أهل العرف وشمول الإطلاقات له غيرمعلوم</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عليه بثبوت صدق العرفي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وكمثال نقول إذا كانت المخاصمة على عين وهو موجود في المحكمة في مقابل الحاكم فأخذه الحاكم ودفعه إلى المحكوم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الانشاء، وأظهر أنّ هذا الفعل بعنوان الحكم، فيصدق عليه عرفاً أنّه قضى وحكم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كذلك لو أخذ تمرة وأكله بقصد إنشاء الحكم بالعيد ووجوب الإفطار، فيصدق عليه عرفاً الحكم بالعيد، بل يحتمل صدق الإنشاء عرفاً بوجوده الكتبي كما إذا كتب ما انتهى إليه نظره في المحكمة بعنوان إنشاء الحكم وأعطاه الطرفين فيعلمان الحكم في القضيّة، ممّا في الكتابة، وليس هذا من باب أنّ المكتوب كاشف عن حكمه ورأيه، بل يفهم أنّه كتبه بقصد إنشاء الحكم بالكتابة فيصدق عرفاً أنّه حكم من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والمتعارف فعلًا في المحاكم أيضاً ذلك ولم يقل أحد أنّه ليس بحكم ولا يعترض عليه أحد، فهذا شاهد على صدق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ذلك أيضاً من كلام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bookmarkStart w:id="331" w:name="pg1791_15782"/>
    </w:p>
    <w:p>
      <w:pPr>
        <w:pStyle w:val="BookText"/>
        <w:rPr/>
      </w:pPr>
      <w:bookmarkEnd w:id="331"/>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التمس المدّعي أن يكتب له صورة الحكم أو إقرار المقرّ، فالظاهر عدم وجوبه إلا إذا توقّف عليه استنقاذ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هل يجوز له مطالبة الأجر أم لا؟ الأحوط ذلك وإن لا يبعد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إشكال في جواز مطالبة قيمة القرطاس والمداد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عدم التوقّف فلا شبهة في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لم يكتب حتّى يعلم اسم المحكوم عليه ونسبه على وجه يخرج عن الاشتراك والإبهام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يعلم لم يكتب إلا مع قيام شهادة عدلين بذلك، ويكتب مع المشخّصات النافية للإيهام والتدليس، ولو لم يحتج إلى ذكر النسب وكفى ذكر مشخّصاته اكتفى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332" w:name="__RefHeading___Toc2354653_3650668749"/>
      <w:bookmarkStart w:id="333" w:name="_Toc123"/>
      <w:bookmarkEnd w:id="332"/>
      <w:r>
        <w:rPr>
          <w:rtl w:val="true"/>
        </w:rPr>
        <w:t>هل يجب على القاضي كتابة صورة الحكم أو إقرار المدّعى عليه؟</w:t>
      </w:r>
      <w:bookmarkEnd w:id="3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واضحة ولكن هناك امور نشير إليها اختصاراً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الأشهر وجوب كتابة الحكم على القاضي بعد الإنشاء لو التمس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توقّف استنفاذ الحقّ على كتابة الحكم، فهو، وإلا لا يجب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كتب لا يجوز للحاكم مطالبة الأجر على الكتابة على الأحوط ولا يبعد القول بجواز مطالبة الأجر للكتابة كما يجوز مطالبة قيمة القرطاس والمداد وغيره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يتوقّف استنقاذ الحقّ على الكتابة لا يجب على القاضي الكتابة ولا يأتي أحكامه من أجر الكتابة وأخذ قيمة القرطاس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المُقرّ واجداً الزم بالتأدية، ولو امتنع أجبره الحاكم، وإن ماطل وأصرّ على المماطلة، جازت عقوبته بالتغليظ بالقول حسب مراتب الأمر بالمعروف، بل مثل ذلك جائز لسائر الناس، ولو ماطل حبسه الحاكم حتّى يؤدّي ما عليه، وله أن يبيع ماله إن لم يمكن إلزامه ببيعه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المقرّ به عيناً يأخذها الحاكم بل وغيره من باب الأمر بالمعروف، ولو كان ديناً أخذ الحاكم مثله في المثليات وقيمته في القيميات بعد مراعاة مستثنيات الدين، ولا فرق بين الرجل والمرأة فيما ذكر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الكتابة فعليه كتابة الاسم والنسب لو يعرفهما وإن لم يعرفهما فليأتي الشاهدان عدلان ويكتب الاسم والنسب بعد شهادة البيّنة بالاسم والنسب، ولو كفي كتابة الاسم فقط يكتفي بالاسم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ذلك يعلم أنّه إذا آل الأمر إلى العقوبة والإيذاء لا يجوز لغير الحاكم، لأنّها أعمال غير جائزة في الأصل يجب الاقتصار فيها على موضع الرخصة، ولأنّ غيره لا يعلم قدر الجائز منها فيتعدّي عن الحقّ</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نضيف إلى ذلك أنّ هذه الاستدلالات مقيدة بغير زمن استقرار الحكومة الإسلامية وعندئذٍ لا بدّ أن يرجع إلى الحاكم وهو يعمل بمقتضى اللزوم لدفع الهرج والمرج والحفظ من الإخلال في النظام</w:t>
      </w:r>
      <w:r>
        <w:rPr>
          <w:rFonts w:eastAsia="Amiri" w:cs="Amiri" w:ascii="Amiri" w:hAnsi="Amiri"/>
          <w:color w:val="111111"/>
          <w:sz w:val="28"/>
          <w:szCs w:val="28"/>
          <w:rtl w:val="true"/>
          <w:lang w:bidi="ar-SA"/>
        </w:rPr>
        <w:t>.</w:t>
      </w:r>
      <w:bookmarkStart w:id="334" w:name="pg1791_15786"/>
    </w:p>
    <w:p>
      <w:pPr>
        <w:pStyle w:val="BookText"/>
        <w:rPr/>
      </w:pPr>
      <w:bookmarkEnd w:id="334"/>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المقرّ الإعسار وأنكره المدّعي، فإن كان مسبوقاً باليسار فادّعى عروض الإعسار فالقول قول منكر العسر، وإن كان مسبوقاً بالعسر فالقول قوله، فإن جهل الأمران ففي كونه من التداعي أو تقديم قول مدّعي العسر تردّد؛ وإن لا يبعد تقديم قوله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2354655_3650668749"/>
      <w:bookmarkStart w:id="336" w:name="_Toc124"/>
      <w:bookmarkEnd w:id="335"/>
      <w:r>
        <w:rPr>
          <w:rtl w:val="true"/>
        </w:rPr>
        <w:t>في ادّعاء المدّعى عليه الإعسار</w:t>
      </w:r>
      <w:bookmarkEnd w:id="3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المقرّ الإعسار فإن ثبتت إعساره عند القاضي إمّا بعلمه أو بتصديق صاحب الدين، وإن لم يثبت الإعسار عند القاضي فإمّا أن يصدقه المدّعي أو ينكره فتصير الصور مختلفة، قد تعرّض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ثبوت إعسار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السلسلة ويأتي آنفاً وهنا في 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عن الصورة الثانية وهي صورة عدم ثبوت الإعسار للقاضي وإنكار المدّعي ادّعاء الإعسار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ينبغي تقديم صورة الإثباتي وهو ثبوت إعسار المقرّ عند القاضي فنبحث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البداية عن صورة إنكار المدّعي إعسار المقرّ،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المقرّ الإعسار وأنكره المدّعي، فإن كان الحالة السابقة للمدّعى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اليسار فنستصحب إيسار المقرّ؛ فحينئذٍ ادّعاء الإعسار مخالف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فالمقرّ هو المدّعي للإعسار وعليه أن يأتي بالبيّنة لإثبات الإعسار، وإلا يحلف المدّعي بما أنّه منكر ويعامل مع المقرّ معاملة المؤسر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حالته السابقة هو الإعسار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الآن أيضاً يدّعي الإعسار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مطابق للأصل فيصير منكراً فالمدّعي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الشاكي في أصل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مدّعياً بما</w:t>
      </w:r>
    </w:p>
    <w:p>
      <w:pPr>
        <w:pStyle w:val="BookText"/>
        <w:rPr/>
      </w:pPr>
      <w:r>
        <w:rPr>
          <w:rFonts w:ascii="Amiri" w:hAnsi="Amiri" w:eastAsia="Amiri" w:cs="Amiri"/>
          <w:color w:val="111111"/>
          <w:sz w:val="28"/>
          <w:sz w:val="28"/>
          <w:szCs w:val="28"/>
          <w:rtl w:val="true"/>
          <w:lang w:bidi="ar-SA"/>
        </w:rPr>
        <w:t>أنّ إنكاره للإعسار مخالف الحالة السابقة للمعسر، وعليه أن يأتي بالبيّنة على إيسار المقرّ وإلا يحلف المقرّ ويعامل معه معاملة المعسر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Style w:val="FootnoteAnchor"/>
          <w:rtl w:val="true"/>
        </w:rPr>
        <w:footnoteReference w:id="613"/>
      </w:r>
      <w:r>
        <w:rPr>
          <w:rFonts w:ascii="Amiri" w:hAnsi="Amiri" w:eastAsia="Amiri" w:cs="Amiri"/>
          <w:color w:val="111111"/>
          <w:sz w:val="28"/>
          <w:sz w:val="28"/>
          <w:szCs w:val="28"/>
          <w:rtl w:val="true"/>
          <w:lang w:bidi="ar-SA"/>
        </w:rPr>
        <w:t>يرى أنّ الاستصحاب هناك أصل مثبت لأنّه يرى أنّ الحالة السابقة هو عدم المال أو واجد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النقاش في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نقول الحالة السابقة هو اليسر أو العسر إذاً ليس الأصل مثبتاً، والحكم يترتّب على العسر أو اليسر نفسهما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جهل الأمران ولم يكن حالته السابقة بمعلومة فهناك تردّد؛ كما قال 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المحتمل أن يكون من التداعي بما أنّ كلّ واحد منهما مدّعي من وجه ومنكر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المحتمل أن يقدّم قول من يدّعي الإعسار لأنّ اليسر أمر وجودي والعسر أمر عدمي مطابق للأصل، وهو أصل عدم المال قبل الولادة، فيصير مدّعي العسر منكراً ومنكر العسر مدّعياً فعلى المدّعي الأوّل أي الشاكي أن يأتي بالبيّنة وإلا يحلف المقرّ المدّعي للعسر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أن نقول يوجد في كلام الإمام هنا نوع من الإجمال ولعلّه منشأ من رعاية الاختصار، حيث لم يتعرّض هنا بيّنة المدّعي وذكر حلف المنكر المقرّ فقط</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ادّعى الإعسار كشف عن حاله فإن استبان فقره، أنظره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تسليمه إلى غرمائه، ليستعملوه أو يؤاجروه روايتان، أشهرهما الإنظار حتّى يؤسر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يحبس حتّى يتبيّن حاله؟ فيه تفصيل ذكر في باب المفلس</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bookmarkStart w:id="337" w:name="pg1791_15789"/>
    </w:p>
    <w:p>
      <w:pPr>
        <w:pStyle w:val="BookText"/>
        <w:rPr/>
      </w:pPr>
      <w:bookmarkEnd w:id="337"/>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 عسره، فإن لم يكن له صنعة أو قوّة على العمل، فلا إشكال في إنظاره إلى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له نحو ذلك، فهل يُسلّمه الحاكم إلى غريمه ليستعمله أو يؤاجره، أو أنظره وألزمه بالكسب لتأدية ما عليه، ويجب عليه الكسب لذلك، أو أنظره ولم يلزمه بالكسب، ولم يجب عليه الكسب لذلك، بل لو حصل له مال يجب أداء ما عليه؟ وجوه، لعلّ الأوجه أوسطها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توقّف إلزامه بالكسب على تسليمه إلى غريمه يسلّمه إليه ليستعمله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توجد صورتين مختلفتين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المعسر الذي لم يكن به صنعة أو حرفة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له صنعة أو حرفة فلينظر إلى أيساره وهذا لا بحث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المعسر إذا كان له صنعة أو حرفة</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2354657_3650668749"/>
      <w:bookmarkStart w:id="339" w:name="_Toc125"/>
      <w:bookmarkEnd w:id="338"/>
      <w:r>
        <w:rPr>
          <w:rtl w:val="true"/>
        </w:rPr>
        <w:t>صور المسألة إذا كان للمعسر صنعة أو حرفة</w:t>
      </w:r>
      <w:bookmarkEnd w:id="339"/>
    </w:p>
    <w:p>
      <w:pPr>
        <w:pStyle w:val="BookText"/>
        <w:rPr/>
      </w:pPr>
      <w:r>
        <w:rPr>
          <w:rFonts w:ascii="Amiri" w:hAnsi="Amiri" w:eastAsia="Amiri" w:cs="Amiri"/>
          <w:color w:val="111111"/>
          <w:sz w:val="28"/>
          <w:sz w:val="28"/>
          <w:szCs w:val="28"/>
          <w:rtl w:val="true"/>
          <w:lang w:bidi="ar-SA"/>
        </w:rPr>
        <w:t>وإن كان له صنعة أو حرفة ففي حكمه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يعطيه الحاكم إلى غريمه ليأخذ من عمله أو من اجرة عمله دينه، وهذا ما يميل إليه النراقي</w:t>
      </w:r>
      <w:r>
        <w:rPr>
          <w:rStyle w:val="FootnoteAnchor"/>
          <w:rtl w:val="true"/>
        </w:rPr>
        <w:footnoteReference w:id="615"/>
      </w:r>
      <w:r>
        <w:rPr>
          <w:rFonts w:ascii="Amiri" w:hAnsi="Amiri" w:eastAsia="Amiri" w:cs="Amiri"/>
          <w:color w:val="111111"/>
          <w:sz w:val="28"/>
          <w:sz w:val="28"/>
          <w:szCs w:val="28"/>
          <w:rtl w:val="true"/>
          <w:lang w:bidi="ar-SA"/>
        </w:rPr>
        <w:t>كما سيأتي في الإشكال على الوجه الثاني</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يساره ويجب عليه الكسب ويلزمه الحاكم أيضاً بالكسب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الوجه الذي أوجهه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 وسمّاه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يساره ولا يجب عليه الكسب والحاكم أيضاً لا يلزمه، بل يجب عليه الأداء لو حصل له مال، وهذا مختار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يقدّم بالكسب إلا على فرض تسليمه للغريم يسلمه الحاكم إلى الغريم حتّى يستعمله ويأخذ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الوجه الذي ذكرها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أخيراً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لو توقّف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المشهور بالأنظار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بالآية</w:t>
      </w:r>
      <w:r>
        <w:rPr>
          <w:rStyle w:val="FootnoteAnchor"/>
          <w:rtl w:val="true"/>
        </w:rPr>
        <w:footnoteReference w:id="616"/>
      </w:r>
      <w:r>
        <w:rPr>
          <w:rFonts w:ascii="Amiri" w:hAnsi="Amiri" w:eastAsia="Amiri" w:cs="Amiri"/>
          <w:color w:val="111111"/>
          <w:sz w:val="28"/>
          <w:sz w:val="28"/>
          <w:szCs w:val="28"/>
          <w:rtl w:val="true"/>
          <w:lang w:bidi="ar-SA"/>
        </w:rPr>
        <w:t>حيث إنّ وجوب الأنظار تعلّق بمن ذا عسرة وهو من لم يقدر على أداء دينه وكان في الضيق والشدّة من المال وعاجزاً عن أداء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عدم دلالة الآية على أنظار القادر بالاكتساب وأنّه لا يكون عاجزاً من الأداء، بل بإمكانه الاكتساب والأداء، ولذا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تمكّن من الأداء بالاكتساب لم يجز له أخذ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تمكّن من الاكتساب ولكن الاكتساب حرج عليه من جهة المنافاة لشأنه ولا يليق شأنه هذا للكسب أو يستطيع التكسّب بأمر لا يعد عرفاً من الكسب كتزويج المرأة حتّى يأخذ المهر وتؤدّي ديونه، فحينئذٍ في حكم العاجز عن الأداء</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الثاني للمشهور رواية غياث بن إبراهيم، عن جعفر،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يحبس في الدين فإذا تبيّن له حاجة وإفلاس خلى سبيله حتّى يستفيد مالًا</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 xml:space="preserve">والظاهر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تعليلية ولو احتمل الغاية فتكون مجملة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السكوني،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امرأة استعدّت على زوجها أنّه لا ينفق عليها، وكان زوجها معسراً فأبى أن يحبسه،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العسر يسراً</w:t>
      </w:r>
      <w:r>
        <w:rPr>
          <w:rFonts w:eastAsia="Amiri" w:cs="Amiri" w:ascii="Amiri" w:hAnsi="Amiri"/>
          <w:color w:val="111111"/>
          <w:sz w:val="28"/>
          <w:szCs w:val="28"/>
          <w:rtl w:val="true"/>
          <w:lang w:bidi="ar-SA"/>
        </w:rPr>
        <w:t>»</w:t>
      </w:r>
      <w:r>
        <w:rPr>
          <w:rStyle w:val="FootnoteAnchor"/>
          <w:rtl w:val="true"/>
        </w:rPr>
        <w:footnoteReference w:id="618"/>
      </w:r>
      <w:r>
        <w:rPr>
          <w:rFonts w:ascii="Amiri" w:hAnsi="Amiri" w:eastAsia="Amiri" w:cs="Amiri"/>
          <w:color w:val="111111"/>
          <w:sz w:val="28"/>
          <w:sz w:val="28"/>
          <w:szCs w:val="28"/>
          <w:rtl w:val="true"/>
          <w:lang w:bidi="ar-SA"/>
        </w:rPr>
        <w:t>، فهي قضية في 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أنّه كان عاجزاً عن التكسّب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واستشكل الفاضل النراقي في التمسّك بالأخبار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مايلًا إلى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ما حاصله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رواية غياث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 سبيله حتّى يستفيد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ليستفيد أي يجب عليه الاكتساب لأداء الدين، كما في رواية السكوني دفعه إلى الغرماء ليستعملوه أو يؤاجروه، أي يجب الاكتساب</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روايات المستفيضة في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يجب على الإمام قضاء الدين عن المؤمن المعسر عن سهم الغارمين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كحديث النجّار</w:t>
      </w:r>
      <w:r>
        <w:rPr>
          <w:rStyle w:val="FootnoteAnchor"/>
          <w:rtl w:val="true"/>
        </w:rPr>
        <w:footnoteReference w:id="620"/>
      </w:r>
      <w:r>
        <w:rPr>
          <w:rFonts w:ascii="Amiri" w:hAnsi="Amiri" w:eastAsia="Amiri" w:cs="Amiri"/>
          <w:color w:val="111111"/>
          <w:sz w:val="28"/>
          <w:sz w:val="28"/>
          <w:szCs w:val="28"/>
          <w:rtl w:val="true"/>
          <w:lang w:bidi="ar-SA"/>
        </w:rPr>
        <w:t xml:space="preserve">الذي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621"/>
      </w:r>
      <w:r>
        <w:rPr>
          <w:rFonts w:ascii="Amiri" w:hAnsi="Amiri" w:eastAsia="Amiri" w:cs="Amiri"/>
          <w:color w:val="111111"/>
          <w:sz w:val="28"/>
          <w:sz w:val="28"/>
          <w:szCs w:val="28"/>
          <w:rtl w:val="true"/>
          <w:lang w:bidi="ar-SA"/>
        </w:rPr>
        <w:t>ومرسلة العبّاس</w:t>
      </w:r>
      <w:r>
        <w:rPr>
          <w:rStyle w:val="FootnoteAnchor"/>
          <w:rtl w:val="true"/>
        </w:rPr>
        <w:footnoteReference w:id="622"/>
      </w:r>
      <w:r>
        <w:rPr>
          <w:rFonts w:ascii="Amiri" w:hAnsi="Amiri" w:eastAsia="Amiri" w:cs="Amiri"/>
          <w:color w:val="111111"/>
          <w:sz w:val="28"/>
          <w:sz w:val="28"/>
          <w:szCs w:val="28"/>
          <w:rtl w:val="true"/>
          <w:lang w:bidi="ar-SA"/>
        </w:rPr>
        <w:t>بما أنّ أمير المؤمنين كان مبسوط اليد وعنده بيت المال والزكاة ومع ذلك لم يؤدّ من بيت مال المسلمين شيئاً تحمل هذه الروايات على القضية في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نقول لا يمكن الحمل على القضية في الواقعة لأنّه جاء في الرواية كان على يحبس، وهذا يدلّ على الاستمرار وهو ينافي القضية في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الروايات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 يرتفع التنافي بين الأخبار 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الذي أفاده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سمّيناه في التقسيم؛ بالوجه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لو لم يكن له حرفة أو لم يقدر على الاكتساب ينظر ليستطيع وإن لم يكن طريق للاكتساب إلا التسليم إلى الغرماء ليستعملوه يسلمه الحاكم إلى الغرماء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وقوّى السيّد اليزدي هذا القول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ذهب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فالغريم وإن لم يكن مسلّطاً على منافعه وليست حقّاً له إلا أنّه من حيث استحقاقه للمطالبة مع فرض تمكّنه لأداء حقّه قد يجوز له إجارته أو استعماله بإذن الحاكم إذا لم يمكن استيفاء حقّه منه إلا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الأقوى لأنّ أداء الدين واجب فيجب مقدّمته، بل مع قدرته على الاكتساب لا يعدّ معسراً</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كان الاكتساب حرجاً عليه من حيث هو، أو منافاته لشأنه، أو الكسب الذي تمكّن منه لا يليق شأنه، كما أنّ الظاهر عدم وجوب ما لا يعدّ اكتساباً عرفاً كما إذا تمكّنت المرأة من التزويج</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الأردبيلي ردّ هذه الروايات وقال هؤلاء الروايات لا يلائم روح الإسلام</w:t>
      </w:r>
      <w:r>
        <w:rPr>
          <w:rFonts w:eastAsia="Amiri" w:cs="Amiri" w:ascii="Amiri" w:hAnsi="Amiri"/>
          <w:color w:val="111111"/>
          <w:sz w:val="28"/>
          <w:szCs w:val="28"/>
          <w:rtl w:val="true"/>
          <w:lang w:bidi="ar-SA"/>
        </w:rPr>
        <w:t>.</w:t>
      </w:r>
      <w:bookmarkStart w:id="340" w:name="pg1791_15797"/>
    </w:p>
    <w:p>
      <w:pPr>
        <w:pStyle w:val="BookText"/>
        <w:rPr/>
      </w:pPr>
      <w:bookmarkEnd w:id="340"/>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إعساره وإيساره وطلب المدّعي حبسه إلى أن يتبيّن الحال حبسه الحاكم، وإذا تبيّن إعساره خلّى سبيله وعمل معه كما تقدّم، ولا فرق في ذلك وغيره بين الرجل والمرأة، فالمرأة المماطلة يعمل معها نحو الرجل المماطل، ويحبسها الحاكم كما يحبس الرجل إلى تبيّن الحال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نكتة جدير بالذكر وهو أنّ على الدولة الإسلامية في الجمهورية الإسلامية في إيران أن يأخذ سهماً للغارمين في مصارفه السنوية ولا يليق بالقوّة القضائية أن يسجن هؤلاء المدينين الذين لا يستطيعون على الأداء ولا يقدرون على الكسب</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2354659_3650668749"/>
      <w:bookmarkStart w:id="342" w:name="_Toc126"/>
      <w:bookmarkEnd w:id="341"/>
      <w:r>
        <w:rPr>
          <w:rtl w:val="true"/>
        </w:rPr>
        <w:t>الشكّ في الإعسار</w:t>
      </w:r>
      <w:bookmarkEnd w:id="3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المدّعى عليه الإعساره فللمسألة وجوه وبحّثنا عنها مفصّلًا والآن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الإعسار أو إيسار المدّعى عليه فهل يجوز للمدّعي طلب حبس المدّعى عليه حتّى يتبين الحال أم لا؟ قولان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يعلم صحّة دعواه في الإعسار كان له حبسه حتّى يرضي خصمه</w:t>
      </w:r>
      <w:r>
        <w:rPr>
          <w:rFonts w:eastAsia="Amiri" w:cs="Amiri" w:ascii="Amiri" w:hAnsi="Amiri"/>
          <w:color w:val="111111"/>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 xml:space="preserve">وبمثل هذا قال الحلبي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Style w:val="FootnoteAnchor"/>
          <w:rtl w:val="true"/>
        </w:rPr>
        <w:footnoteReference w:id="626"/>
      </w:r>
      <w:r>
        <w:rPr>
          <w:rFonts w:ascii="Amiri" w:hAnsi="Amiri" w:eastAsia="Amiri" w:cs="Amiri"/>
          <w:color w:val="111111"/>
          <w:sz w:val="28"/>
          <w:sz w:val="28"/>
          <w:szCs w:val="28"/>
          <w:rtl w:val="true"/>
          <w:lang w:bidi="ar-SA"/>
        </w:rPr>
        <w:t xml:space="preserve">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27"/>
      </w:r>
      <w:r>
        <w:rPr>
          <w:rFonts w:ascii="Amiri" w:hAnsi="Amiri" w:eastAsia="Amiri" w:cs="Amiri"/>
          <w:color w:val="111111"/>
          <w:sz w:val="28"/>
          <w:sz w:val="28"/>
          <w:szCs w:val="28"/>
          <w:rtl w:val="true"/>
          <w:lang w:bidi="ar-SA"/>
        </w:rPr>
        <w:t>التفصيل بين أن يعلم منه المال سابقاً، أو كان أصل الدعوى مالًا فيستصحب ويجوز حبسه بخلاف ما لو لم يكن كذلك مثل أن تكون جناية أو صداقاً أنفقه قبل قوله بيمينه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قول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الاستظهار من الآية الشريفة</w:t>
      </w:r>
      <w:r>
        <w:rPr>
          <w:rStyle w:val="FootnoteAnchor"/>
          <w:rtl w:val="true"/>
        </w:rPr>
        <w:footnoteReference w:id="628"/>
      </w:r>
      <w:r>
        <w:rPr>
          <w:rFonts w:ascii="Amiri" w:hAnsi="Amiri" w:eastAsia="Amiri" w:cs="Amiri"/>
          <w:color w:val="111111"/>
          <w:sz w:val="28"/>
          <w:sz w:val="28"/>
          <w:szCs w:val="28"/>
          <w:rtl w:val="true"/>
          <w:lang w:bidi="ar-SA"/>
        </w:rPr>
        <w:t>حيث دلّ على أنّ الشرط في وجوب الأنظار تحقّق العسر، وإذا لم يثبت العسر لا يجب الأنظار فيجوز الحبس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غياث بن إبراهيم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اختصم إليه رجلان في دابّة، وكلاهما أقاما البيّنة أنّه انتجها، فقضى بها للذي في 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تكن في يده جعلتها بينها نصفين</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المناقشة في دليلي 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الواجد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العقوبة مشروط بتحقّق الواجدية واليسار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يثبت، لا يجوز حبسه ومطالبته، ولا بدّ من إحرازه حتّى يجوز العقوبة ومن جملته 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يخالف ما يستفاد من الآية ورواية غياث فحينئذٍ لا بدّ من الرجوع إلى الاصول، فالترجيح مع قول المحقّق والشهيد وهو القول بالتفصيل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في المسألة بين المرأة والرجل بمعنى أنّ القولين الدين كان رأينا، يعمّ الرجل والمرأة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المديون مريضاً يضرّه الحبس، أو كان أجيراً للغير قبل حكم الحبس عليه، فالظاهر عدم جواز حبسه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عدم جواز حبس المريض يمكن أن يكون أحد الامور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الرواية و هي رواية غياث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على يحبس في الدين</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إمّا بأن نقول القدر المتيقّن في فعل على صورة غير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مدخولة بأنّ الحاكي لفعل المعصوم إن كان معصوماً وكان غرض الحكاية بيان الحكم الشرعي، فيجوز التمسّك بإطلاق كلامه، والرواية ليست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لا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أيضاً مبتني على أن يكون مفاد قاعدة لا ضرر بيان الحكم الثانوي، وهذا ليس بثابت كما قال به الشيخ الأنصاري</w:t>
      </w:r>
      <w:r>
        <w:rPr>
          <w:rStyle w:val="FootnoteAnchor"/>
          <w:rtl w:val="true"/>
        </w:rPr>
        <w:footnoteReference w:id="631"/>
      </w:r>
      <w:r>
        <w:rPr>
          <w:rFonts w:ascii="Amiri" w:hAnsi="Amiri" w:eastAsia="Amiri" w:cs="Amiri"/>
          <w:color w:val="111111"/>
          <w:sz w:val="28"/>
          <w:sz w:val="28"/>
          <w:szCs w:val="28"/>
          <w:rtl w:val="true"/>
          <w:lang w:bidi="ar-SA"/>
        </w:rPr>
        <w:t>والمحقّق الخراساني</w:t>
      </w:r>
      <w:r>
        <w:rPr>
          <w:rStyle w:val="FootnoteAnchor"/>
          <w:rtl w:val="true"/>
        </w:rPr>
        <w:footnoteReference w:id="632"/>
      </w:r>
      <w:r>
        <w:rPr>
          <w:rFonts w:ascii="Amiri" w:hAnsi="Amiri" w:eastAsia="Amiri" w:cs="Amiri"/>
          <w:color w:val="111111"/>
          <w:sz w:val="28"/>
          <w:sz w:val="28"/>
          <w:szCs w:val="28"/>
          <w:rtl w:val="true"/>
          <w:lang w:bidi="ar-SA"/>
        </w:rPr>
        <w:t xml:space="preserve">وأمّا على مبنى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قاعدة لا ضرر صورة حكومية من ناحية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ترتبط بالمسائل الفقهية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لا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قلنا من إلزام المعسر بالكسب مع قدرته عليه، إنّما هو فيما إذا لم يكن الكسب بنفسه حرجاً عليه أو منافياً لشأنه، أو الكسب الذي أمكنه لا يليق بشأنه بحيث كان تحمّله حرجاً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المرأة التزوّج لأخذ المهر وأداء دينها، ولا على الرجل طلاق زوجته لدفع نفقتها لأداء الدين، ولو وهبه ولم يكن في قبولها مهانة وحرج عليه يجب القبول لأداء دينه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يبقى نكتة وهو أنّه إذا كان الحكم حرجياً فبشمول قاعدة لا حرج نقول بعدم جواز الحبس وكذا لو كان أجيراً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المديون مريضاً يضرّه الحبس يشكل جواز حبسه، كما أنّه لو كان له مانع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أجيراً للغير أو كان عليه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الحبس منافياً له</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منّا البحث في أنّ المعسر لو كان نفس الاكتساب حرجيّاً عليه وكان منافياً لشأنه، أو الكسب الذي أمكنه لا يليق شأنه فلا يجوز إلزامه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لا يجب التكسّب بما لا يصدق عليه الاكتساب وكمثال نقول لا يجب على المرأة التزويج لتأخذ المهر وتؤدّي ديونه، ولا يجب على المرء طلاق زوجته ليصرف نفقته في أداء الديون، ولكن في الهدية نرى وجوب القبول؛ لأنّه مقدّمة عرفاً للإيسار وأداء الديون</w:t>
      </w:r>
      <w:r>
        <w:rPr>
          <w:rFonts w:eastAsia="Amiri" w:cs="Amiri" w:ascii="Amiri" w:hAnsi="Amiri"/>
          <w:color w:val="111111"/>
          <w:sz w:val="28"/>
          <w:szCs w:val="28"/>
          <w:rtl w:val="true"/>
          <w:lang w:bidi="ar-SA"/>
        </w:rPr>
        <w:t>.</w:t>
      </w:r>
      <w:bookmarkStart w:id="343" w:name="pg1791_15804"/>
    </w:p>
    <w:p>
      <w:pPr>
        <w:pStyle w:val="Heading3"/>
        <w:numPr>
          <w:ilvl w:val="2"/>
          <w:numId w:val="1"/>
        </w:numPr>
        <w:rPr/>
      </w:pPr>
      <w:bookmarkStart w:id="344" w:name="__RefHeading___Toc2354661_3650668749"/>
      <w:bookmarkStart w:id="345" w:name="_Toc127"/>
      <w:bookmarkEnd w:id="343"/>
      <w:bookmarkEnd w:id="344"/>
      <w:r>
        <w:rPr>
          <w:rtl w:val="true"/>
        </w:rPr>
        <w:t>القول</w:t>
      </w:r>
      <w:r>
        <w:rPr>
          <w:rtl w:val="true"/>
        </w:rPr>
        <w:t xml:space="preserve">: </w:t>
      </w:r>
      <w:r>
        <w:rPr>
          <w:rtl w:val="true"/>
        </w:rPr>
        <w:t>في الجواب بالإنكار</w:t>
      </w:r>
      <w:bookmarkEnd w:id="345"/>
    </w:p>
    <w:p>
      <w:pPr>
        <w:pStyle w:val="Heading4"/>
        <w:numPr>
          <w:ilvl w:val="3"/>
          <w:numId w:val="1"/>
        </w:numPr>
        <w:rPr/>
      </w:pPr>
      <w:bookmarkStart w:id="346" w:name="__RefHeading___Toc2354663_3650668749"/>
      <w:bookmarkStart w:id="347" w:name="_Toc128"/>
      <w:bookmarkEnd w:id="346"/>
      <w:r>
        <w:rPr>
          <w:rtl w:val="true"/>
        </w:rPr>
        <w:t>اشارة</w:t>
      </w:r>
      <w:bookmarkEnd w:id="34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أجاب المدّعى عليه بالإنكار، فأنكر ما ادّعى المدّعي، فإن لم يعلم أنّ عليه البيّنة، أو علم وظنّ أن لا تجوز إقامتها إلا مع مطالبة الحاكم، وجب على الحاكم أن يعرّفه ذلك؛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2354665_3650668749"/>
      <w:bookmarkStart w:id="349" w:name="_Toc129"/>
      <w:bookmarkEnd w:id="348"/>
      <w:r>
        <w:rPr>
          <w:rtl w:val="true"/>
        </w:rPr>
        <w:t>القول في إنكار المدّعى عليه‌</w:t>
      </w:r>
      <w:bookmarkEnd w:id="349"/>
    </w:p>
    <w:p>
      <w:pPr>
        <w:pStyle w:val="Heading5"/>
        <w:numPr>
          <w:ilvl w:val="4"/>
          <w:numId w:val="1"/>
        </w:numPr>
        <w:rPr/>
      </w:pPr>
      <w:bookmarkStart w:id="350" w:name="__RefHeading___Toc2354667_3650668749"/>
      <w:bookmarkStart w:id="351" w:name="_Toc130"/>
      <w:bookmarkEnd w:id="350"/>
      <w:r>
        <w:rPr>
          <w:rtl w:val="true"/>
        </w:rPr>
        <w:t>اشارة</w:t>
      </w:r>
      <w:bookmarkEnd w:id="3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لو أجاب المدّعى عليه بالإقرار أمّا لو أجاب بالإنكار فلا بدّ أن يقضي الحاكم على طبق موازين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أقضى بينكم بالبيّنات والأيمان</w:t>
      </w:r>
      <w:r>
        <w:rPr>
          <w:rFonts w:eastAsia="Amiri" w:cs="Amiri" w:ascii="Amiri" w:hAnsi="Amiri"/>
          <w:color w:val="111111"/>
          <w:sz w:val="28"/>
          <w:szCs w:val="28"/>
          <w:rtl w:val="true"/>
          <w:lang w:bidi="ar-SA"/>
        </w:rPr>
        <w:t>»</w:t>
      </w:r>
      <w:r>
        <w:rPr>
          <w:rStyle w:val="FootnoteAnchor"/>
          <w:rtl w:val="true"/>
        </w:rPr>
        <w:footnoteReference w:id="634"/>
      </w:r>
      <w:r>
        <w:rPr>
          <w:rFonts w:ascii="Amiri" w:hAnsi="Amiri" w:eastAsia="Amiri" w:cs="Amiri"/>
          <w:color w:val="111111"/>
          <w:sz w:val="28"/>
          <w:sz w:val="28"/>
          <w:szCs w:val="28"/>
          <w:rtl w:val="true"/>
          <w:lang w:bidi="ar-SA"/>
        </w:rPr>
        <w:t>والحصر إضافي، أي أنّ الغالب من قضاء النبي هو القضاء بالبينات والأيمان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مجمل ولا يعلم أن أيّهما لأيّهما، أي ليس بصريح في أنّ البيّنة على من؟</w:t>
      </w:r>
    </w:p>
    <w:p>
      <w:pPr>
        <w:pStyle w:val="BookText"/>
        <w:rPr/>
      </w:pPr>
      <w:r>
        <w:rPr>
          <w:rFonts w:ascii="Amiri" w:hAnsi="Amiri" w:eastAsia="Amiri" w:cs="Amiri"/>
          <w:color w:val="111111"/>
          <w:sz w:val="28"/>
          <w:sz w:val="28"/>
          <w:szCs w:val="28"/>
          <w:rtl w:val="true"/>
          <w:lang w:bidi="ar-SA"/>
        </w:rPr>
        <w:t>فهل هو للمدّعي أم المنكر، وكذلك اليمين على من فهل للمدّعي أم المنكر؟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 الذي لا إجمال فيه من جهة ومجمل من جهة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من ادّعى، واليمين على من ادّعي عليه</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فتدلّ على أنّ وظيفة المدّعي إقامة البيّنة وعلى المنكر الحلف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وإن صرّح بأنّ البيّنة على من؟ واليمين على من؟ لكنّه أيضاً مجمل من حيث إنّه لم يبين أن أيّهما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المدّعي والمنكر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وذلك غير مطّرد في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إليه النراقي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يستفاد من بعض الروايات أنّ الإتيان بالبيّنة مقدّمة على الحلف</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روايات كثيرة نقرء أحداها كنموذج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نبياً من الأنبياء شكا كيف أقضى فيما لم أر ولم أشهد؟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أضفهم إلى اسمي</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يقال أنّ التفصيل قاطع للشركة بمعنى أنّه عند ما يطرح بأنّ البيّنة للمدّعي واليمين على المنكر نفهم أنّ اليمين لا يكون على عهدة المنكر وكذلك البيّنة لا يكون على عهدة المدّعي بداية، إلا ما خرج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فإن لم يعلم المدّعي أنّ عليه البيّنة أو علم أو ظنّ أنّه لا تجوز إقامتها إلا مع مطالبة الحاكم وجب على الحاكم أن 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ادّعي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على الناس حجّ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به</w:t>
      </w:r>
      <w:bookmarkStart w:id="352" w:name="pg1791_15808"/>
    </w:p>
    <w:p>
      <w:pPr>
        <w:pStyle w:val="BookText"/>
        <w:rPr/>
      </w:pPr>
      <w:bookmarkEnd w:id="352"/>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 الشريعة</w:t>
      </w:r>
      <w:r>
        <w:rPr>
          <w:rFonts w:eastAsia="Amiri" w:cs="Amiri" w:ascii="Amiri" w:hAnsi="Amiri"/>
          <w:color w:val="111111"/>
          <w:sz w:val="28"/>
          <w:szCs w:val="28"/>
          <w:rtl w:val="true"/>
          <w:lang w:bidi="ar-SA"/>
        </w:rPr>
        <w:t>»</w:t>
      </w:r>
      <w:r>
        <w:rPr>
          <w:rStyle w:val="FootnoteAnchor"/>
          <w:rtl w:val="true"/>
        </w:rPr>
        <w:footnoteReference w:id="638"/>
      </w:r>
      <w:r>
        <w:rPr>
          <w:rFonts w:ascii="Amiri" w:hAnsi="Amiri" w:eastAsia="Amiri" w:cs="Amiri"/>
          <w:color w:val="111111"/>
          <w:sz w:val="28"/>
          <w:sz w:val="28"/>
          <w:szCs w:val="28"/>
          <w:rtl w:val="true"/>
          <w:lang w:bidi="ar-SA"/>
        </w:rPr>
        <w:t>أي لا دلالة لها على التكليف النفسي، بل أراد الحكم بنفع نفسه عليه أن يأتي بالبيّنة</w:t>
      </w:r>
      <w:r>
        <w:rPr>
          <w:rFonts w:eastAsia="Amiri" w:cs="Amiri" w:ascii="Amiri" w:hAnsi="Amiri"/>
          <w:color w:val="111111"/>
          <w:sz w:val="28"/>
          <w:szCs w:val="28"/>
          <w:rtl w:val="true"/>
          <w:lang w:bidi="ar-SA"/>
        </w:rPr>
        <w:t>.</w:t>
      </w:r>
    </w:p>
    <w:p>
      <w:pPr>
        <w:pStyle w:val="Heading5"/>
        <w:numPr>
          <w:ilvl w:val="4"/>
          <w:numId w:val="1"/>
        </w:numPr>
        <w:rPr/>
      </w:pPr>
      <w:bookmarkStart w:id="353" w:name="__RefHeading___Toc2354669_3650668749"/>
      <w:bookmarkStart w:id="354" w:name="_Toc131"/>
      <w:bookmarkEnd w:id="353"/>
      <w:r>
        <w:rPr>
          <w:rtl w:val="true"/>
        </w:rPr>
        <w:t>حكم أخذ الحاكم من مال المحكوم عليه، للمحكوم له‌</w:t>
      </w:r>
      <w:bookmarkEnd w:id="354"/>
    </w:p>
    <w:p>
      <w:pPr>
        <w:pStyle w:val="BookText"/>
        <w:rPr/>
      </w:pPr>
      <w:r>
        <w:rPr>
          <w:rFonts w:ascii="Amiri" w:hAnsi="Amiri" w:eastAsia="Amiri" w:cs="Amiri"/>
          <w:color w:val="111111"/>
          <w:sz w:val="28"/>
          <w:sz w:val="28"/>
          <w:szCs w:val="28"/>
          <w:rtl w:val="true"/>
          <w:lang w:bidi="ar-SA"/>
        </w:rPr>
        <w:t>قال السيّد اليزدي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يجوز حبس المماطل كذا يجوز للحاكم أن يأخذ من ماله ويؤدّيه للمحكوم له إذا كان عنده من حبس ما عليه، ويجوز بيع ماله، وأداء ما عليه من ثمنه إذا لم يكن عنده من جنسه، وحينئذٍ فإن لم يتمكّن إلا عن أحدهما تعيّن وإن تمكّن من كلّ منهما فهل يقدّم الأوّل؛ لأنّه من تتمّة الإجبار اللازم تقديمه على التصرّف في ماله، أو الثاني لأنّ أداء ما عليه واجب على أيّ حال، فهو ممّا لا بدّ منه، والحبس عقوبة زائدة فإذا امتنع من أدائه يتصدّاه الحاكم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التخيير لعدم صلاحية الوجهين للتقديم، مع كون كلّ منهما خلاف الأصل وفي عرض واحد، فيتخيّر بينهما بعد ثبوت جوازهما في الجملة، وهذا هو الأقوى كما اختاره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الظاهر الترتيب فإنّه كما أنّ العقوبة والحبس مخالفة للأصل ولا يرتكب إلا مع الدليل؛ فكذلك إعطاء ماله وبيعه على خلاف الأصل ويحتاج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حلّية العقوبة ثابت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 الواجد بالدين يحلّ عرضه وعقوبته ما لم يكن دينه فيما يكره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لم يؤثّر العقوبة فلمّا توقّف أداء الدين وإيصال الحقّ الواجب على أدائه من ماله أو بيع ماله،</w:t>
      </w:r>
      <w:bookmarkStart w:id="355" w:name="pg1791_15810"/>
    </w:p>
    <w:p>
      <w:pPr>
        <w:pStyle w:val="BookText"/>
        <w:rPr/>
      </w:pPr>
      <w:bookmarkEnd w:id="355"/>
      <w:r>
        <w:rPr>
          <w:rFonts w:ascii="Amiri" w:hAnsi="Amiri" w:eastAsia="Amiri" w:cs="Amiri"/>
          <w:color w:val="111111"/>
          <w:sz w:val="28"/>
          <w:sz w:val="28"/>
          <w:szCs w:val="28"/>
          <w:rtl w:val="true"/>
          <w:lang w:bidi="ar-SA"/>
        </w:rPr>
        <w:t>فإن لم تكن له بيّنة ولم يعلم أنّ له حقّ إحلاف المنكر، يجب على الحاكم إعلامه بذلك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فيجوز التصرّف في ماله فالتصرّف في ماله لا يجوز إلا بعد عدم تأثير العقوبة كما قال به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وتدلّ عليه بعض الروايات مثل رواية غياث بن إبراهيم، عن جعفر،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فإن أبى باعه فقسّم بينهم</w:t>
      </w:r>
      <w:r>
        <w:rPr>
          <w:rFonts w:eastAsia="Amiri" w:cs="Amiri" w:ascii="Amiri" w:hAnsi="Amiri"/>
          <w:color w:val="111111"/>
          <w:sz w:val="28"/>
          <w:szCs w:val="28"/>
          <w:rtl w:val="true"/>
          <w:lang w:bidi="ar-SA"/>
        </w:rPr>
        <w:t>»</w:t>
      </w:r>
      <w:r>
        <w:rPr>
          <w:rStyle w:val="FootnoteAnchor"/>
          <w:rtl w:val="true"/>
        </w:rPr>
        <w:footnoteReference w:id="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رواية زرارة</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يظهر من عبارة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الترتيب لا التخيير وإن احتمل بعض التخيير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2354671_3650668749"/>
      <w:bookmarkStart w:id="357" w:name="_Toc132"/>
      <w:bookmarkEnd w:id="356"/>
      <w:r>
        <w:rPr>
          <w:rtl w:val="true"/>
        </w:rPr>
        <w:t>بيان حقّين للمدّعي‌</w:t>
      </w:r>
      <w:bookmarkEnd w:id="3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للمدّعي حقّان في المحكمة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إرائة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إحلاف المنكر فإن لم تكن للمدّعي بيّنة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بيّنة لي فَقَدَ حقّ إحضار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بقي له حقّ إحلاف المدّعى عليه، المنكر فإن لم يكن المدّعى عالماً بهذا الحقّ أو يزعم أنّ عليه الصبر حتّى يجيز القاضي فعلى الحاكم أن يعرفه حقّه ليعلم أنّ له حقّ آخر وهو إحلاف المنكر</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العمدة عليه رواية عبدالله بن يعفور عن أب 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رضي</w:t>
      </w:r>
      <w:bookmarkStart w:id="358" w:name="pg1791_15812"/>
    </w:p>
    <w:p>
      <w:pPr>
        <w:pStyle w:val="BookText"/>
        <w:rPr/>
      </w:pPr>
      <w:bookmarkEnd w:id="358"/>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للحاكم إحلاف المنكر إلا بالتماس المدّعي، وليس للمنكر التبرّع بالحلف قبل التماسه، فلو تبرّع هو أو الحاكم لم يعتدّ بتلك اليمين، ولا بدّ من الإعادة بعد السؤال، وكذا ليس للمدّعي إحلافه بدون إذن الحاكم، فلو أحلفه لم يعتدّ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الحقّ بيمين المنكر فاستحلفه</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9" w:name="__RefHeading___Toc2354673_3650668749"/>
      <w:bookmarkStart w:id="360" w:name="_Toc133"/>
      <w:bookmarkEnd w:id="359"/>
      <w:r>
        <w:rPr>
          <w:rtl w:val="true"/>
        </w:rPr>
        <w:t>كيفية إحلاف المنكر</w:t>
      </w:r>
      <w:bookmarkEnd w:id="3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ثلاثة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للقاضي أن يستحلف المنكر قبل أن يلتمس المدّعي من القاضي إحلاف المنكر؟</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تبرء ذمّة المدّعى عليه لو حلف تبرّئاً، وهل ينفذ هذا الحلف أم لا؟</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توافقا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المدّعي والمدّعى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يحلف المدّعى عليه أي لم يسئل المدّعي الاستحلاف عن القاضي، بل حلف المدّعى عليه بتوافق مع المدّعي فهل ينفذ الحلف أم لا؟</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النقطة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w:t>
      </w:r>
      <w:r>
        <w:rPr>
          <w:rStyle w:val="FootnoteAnchor"/>
          <w:rtl w:val="true"/>
        </w:rPr>
        <w:footnoteReference w:id="645"/>
      </w:r>
      <w:r>
        <w:rPr>
          <w:rFonts w:ascii="Amiri" w:hAnsi="Amiri" w:eastAsia="Amiri" w:cs="Amiri"/>
          <w:color w:val="111111"/>
          <w:sz w:val="28"/>
          <w:sz w:val="28"/>
          <w:szCs w:val="28"/>
          <w:rtl w:val="true"/>
          <w:lang w:bidi="ar-SA"/>
        </w:rPr>
        <w:t xml:space="preserve">لا ينفذ، وقال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46"/>
      </w:r>
      <w:r>
        <w:rPr>
          <w:rFonts w:ascii="IRNazanin" w:hAnsi="IRNazanin" w:eastAsia="IRNazanin"/>
          <w:color w:val="111111"/>
          <w:sz w:val="28"/>
          <w:sz w:val="28"/>
          <w:szCs w:val="28"/>
          <w:rtl w:val="true"/>
          <w:lang w:bidi="fa-IR"/>
        </w:rPr>
        <w:t>، بلا</w:t>
      </w:r>
    </w:p>
    <w:p>
      <w:pPr>
        <w:pStyle w:val="BookText"/>
        <w:rPr/>
      </w:pPr>
      <w:r>
        <w:rPr>
          <w:rFonts w:ascii="Amiri" w:hAnsi="Amiri" w:eastAsia="Amiri" w:cs="Amiri"/>
          <w:color w:val="111111"/>
          <w:sz w:val="28"/>
          <w:sz w:val="28"/>
          <w:szCs w:val="28"/>
          <w:rtl w:val="true"/>
          <w:lang w:bidi="ar-SA"/>
        </w:rPr>
        <w:t xml:space="preserve">خلاف أجده هنا،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647"/>
      </w:r>
      <w:r>
        <w:rPr>
          <w:rFonts w:ascii="Amiri" w:hAnsi="Amiri" w:eastAsia="Amiri" w:cs="Amiri"/>
          <w:color w:val="111111"/>
          <w:sz w:val="28"/>
          <w:sz w:val="28"/>
          <w:szCs w:val="28"/>
          <w:rtl w:val="true"/>
          <w:lang w:bidi="ar-SA"/>
        </w:rPr>
        <w:t xml:space="preserve">قولًا واحداً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648"/>
      </w:r>
      <w:r>
        <w:rPr>
          <w:rFonts w:ascii="Amiri" w:hAnsi="Amiri" w:eastAsia="Amiri" w:cs="Amiri"/>
          <w:color w:val="111111"/>
          <w:sz w:val="28"/>
          <w:sz w:val="28"/>
          <w:szCs w:val="28"/>
          <w:rtl w:val="true"/>
          <w:lang w:bidi="ar-SA"/>
        </w:rPr>
        <w:t xml:space="preserve">اتّفاقاً وادّعى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49"/>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والدليل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حقّ له، فيتوقّف استيفائه على 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للمدّعي إعمال الحقّ أو إسقاطه أو إيقاف الدعوى إلى مدّة معينة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اليمين مسقط الدعوى وقد لا يريد الإحلاف في الحال توقّعاً لوجود شهود، أو ارتداع المنكر عن إنكاره، أو طيّ الدعوى بالصلح،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ليس للقاضي إيقاف دعوى الغير إلا بإذنه 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إحضار المدّعى عليه بعد طرح الدعوى لا يتوقّف على استدعاء المدّعي إلا أنّ هنا يفارق هناك كما صرّح به الشهيد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إحلاف المدّعى عليه ربما يوجب الخسارة على المدّعي، لعلّه يريد طرقاً آخر لإحقاق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روايات ثلاث كما يلي</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بن أبي يعفور</w:t>
      </w:r>
      <w:r>
        <w:rPr>
          <w:rStyle w:val="FootnoteAnchor"/>
          <w:rtl w:val="true"/>
        </w:rPr>
        <w:footnoteReference w:id="650"/>
      </w:r>
      <w:r>
        <w:rPr>
          <w:rFonts w:ascii="Amiri" w:hAnsi="Amiri" w:eastAsia="Amiri" w:cs="Amiri"/>
          <w:color w:val="111111"/>
          <w:sz w:val="28"/>
          <w:sz w:val="28"/>
          <w:szCs w:val="28"/>
          <w:rtl w:val="true"/>
          <w:lang w:bidi="ar-SA"/>
        </w:rPr>
        <w:t>، عن أبي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رضي صاحب الحقّ بيمين المنكر حقّه فاستحلفه ذهبت اليمين بحقّ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جعل الرضا المدّعي شرطاً لاستحلاف القاضي، فنستفيد أنّه إذا استحلف القاضي مستقلًا وبلا إذن من المدّعي لم ينفذ إلا أن يكون استحلافاً لا يحتاج إلى إذن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خضر النخعي،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يكون له على الرجل المال فيجحده،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استحلفه فليس له أن يأخذ شيئاً، وإن تركه ولم يستحلفه، فهو على حقّه</w:t>
      </w:r>
      <w:r>
        <w:rPr>
          <w:rFonts w:eastAsia="Amiri" w:cs="Amiri" w:ascii="Amiri" w:hAnsi="Amiri"/>
          <w:color w:val="111111"/>
          <w:sz w:val="28"/>
          <w:szCs w:val="28"/>
          <w:rtl w:val="true"/>
          <w:lang w:bidi="ar-SA"/>
        </w:rPr>
        <w:t>»</w:t>
      </w:r>
      <w:r>
        <w:rPr>
          <w:rStyle w:val="FootnoteAnchor"/>
          <w:rtl w:val="true"/>
        </w:rPr>
        <w:footnoteReference w:id="651"/>
      </w:r>
      <w:r>
        <w:rPr>
          <w:rFonts w:ascii="Amiri" w:hAnsi="Amiri" w:eastAsia="Amiri" w:cs="Amiri"/>
          <w:color w:val="111111"/>
          <w:sz w:val="28"/>
          <w:sz w:val="28"/>
          <w:szCs w:val="28"/>
          <w:rtl w:val="true"/>
          <w:lang w:bidi="ar-SA"/>
        </w:rPr>
        <w:t>حيث لم يذكر فيها عن القاضي عين ولا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وضّاح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لا أنّك رضيت بيمينه فحلفته لأمرتك أن تأخذ من تحت يدك، ولكنّك رضيت بيمينه</w:t>
      </w:r>
      <w:r>
        <w:rPr>
          <w:rFonts w:eastAsia="Amiri" w:cs="Amiri" w:ascii="Amiri" w:hAnsi="Amiri"/>
          <w:color w:val="111111"/>
          <w:sz w:val="28"/>
          <w:szCs w:val="28"/>
          <w:rtl w:val="true"/>
          <w:lang w:bidi="ar-SA"/>
        </w:rPr>
        <w:t>»</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جعل الرضا باليمين دليلًا على سقوط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فنستنتج من الدليلين والروايات الثلاثة أنّه ليس للقاضي إحلاف المدّعى عليه قبل استحلافه المدّعي ولا يجوز للمدّعى عليه الحلف رأساً وتبرّعاً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ينفذ الحلف أيضاً لو توافقا على الحلف بدون اطّلاع من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الاستحلاف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صريح بقول المدّعي خطاباً للقاضي استحلف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 غير صريح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أمين في مراحل الدعوى وهذا شاهد حال على الرضا بالمراحل ومنها حقّ الاستحلاف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النقطة الثانية؛ أي لو تبرّع المدّعى عليه بالحلف لا ينفذ ولو راعى تمام شرائط الحلف إلا استدعاء المدّعي وإحلاف الحاكم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ودليل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قلنا في النقطة الاولى بالضبط أي أنّه حقّ فيتوقّف استيفائه على المطالبة وأنّ اليمين مسقط للدعوى وقد لا يريد المدّعي إسقاط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وللروايات الثلاثة التي سبقت ذكرها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حلف المدّعى عليه بتوافق منه مع المدّعي بلا إحلاف من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إنّ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هذه النقاط في المسألة الثانية من القول في الجواب بالإنكار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بيان النقطة الاولى والثانية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لا يعتدّ بإحلاف المدّعي من دون إذن الحاكم</w:t>
      </w:r>
      <w:r>
        <w:rPr>
          <w:rFonts w:eastAsia="Amiri" w:cs="Amiri" w:ascii="Amiri" w:hAnsi="Amiri"/>
          <w:color w:val="111111"/>
          <w:sz w:val="28"/>
          <w:szCs w:val="28"/>
          <w:rtl w:val="true"/>
          <w:lang w:bidi="ar-SA"/>
        </w:rPr>
        <w:t>»</w:t>
      </w:r>
      <w:r>
        <w:rPr>
          <w:rStyle w:val="FootnoteAnchor"/>
          <w:rtl w:val="true"/>
        </w:rPr>
        <w:footnoteReference w:id="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كما ادّعى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54"/>
      </w:r>
      <w:r>
        <w:rPr>
          <w:rFonts w:ascii="Amiri" w:hAnsi="Amiri" w:eastAsia="Amiri" w:cs="Amiri"/>
          <w:color w:val="111111"/>
          <w:sz w:val="28"/>
          <w:sz w:val="28"/>
          <w:szCs w:val="28"/>
          <w:rtl w:val="true"/>
          <w:lang w:bidi="ar-SA"/>
        </w:rPr>
        <w:t>أيضاً الإجماع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ترتّب الأثر، لأنّ القدر المتيقّن في تأثير القسم هو أن يحلف باستحلاف المدّعي وإحلاف الحاكم؛ فإذا حلف بدونهما نشكّ في أثر الحلف والأصل عدم ترتّب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منصرف الأخبار في الحلف هو الحلف بعد استدعاء المدّعي وإحلاف المنكر، وما كان غير هذا لا ينفذ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المشتملة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أضفهم إلى إسمي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يستظهر منها أنّ الإحلاف وظيفة القاضي والحلف بدون إحلاف القاضي خلاف مقتضى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قطع النظر عن الروايات ففي الإجماع والأصل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المناقشة في أدلّة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يحتمل أن يكون مدركياً، وأن يكون منشأ الإجماع هذه</w:t>
      </w:r>
    </w:p>
    <w:p>
      <w:pPr>
        <w:pStyle w:val="BookText"/>
        <w:rPr/>
      </w:pPr>
      <w:r>
        <w:rPr>
          <w:rFonts w:ascii="Amiri" w:hAnsi="Amiri" w:eastAsia="Amiri" w:cs="Amiri"/>
          <w:color w:val="111111"/>
          <w:sz w:val="28"/>
          <w:sz w:val="28"/>
          <w:szCs w:val="28"/>
          <w:rtl w:val="true"/>
          <w:lang w:bidi="ar-SA"/>
        </w:rPr>
        <w:t>الاستدلالات التي دارت في ألسنة الفقهاء إذن لا يكشف عن قول المعصوم حتّى يكون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مؤثّر إذا لم يكن إطلاق في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نسلم انصراف الأخبار إلى صورة استحلاف المدّعي وإحلاف القاضي وكمثال نفحص في خبر ابن أبي يعفور عن أبي عبدالله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رضي صاحب الحقّ بيمين المنكر فاستحلفه، فحلف أن لا حقّ له قبله، ذهبت اليمين بحقّ المدّعي فلا دعوى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عليه بيّنة عادلة؟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وإن أقام بعد ما استحلفه بالله خمسين قسامة ماكان له، وكانت اليمين قد أبطلت كل ما ادّعاه قبله ممّا قد استحلفه عليه</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والإطلاق في هذه الرواية واضح يشمل صورة استحلاف المدّعي مع إحلاف القاضي وحلف المدّعى عليه وصورة استحلاف المدّعي والحلف من المدّعى عليه بدون إحلاف القاضي</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لا تدلّ على عدم جواز إطلاق المدّعي رأساً وبلا استدعاء من القاضي، بل لزوم الاستدعاء من القاضي يفهم من روايات ذكرت في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استظهر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Style w:val="FootnoteAnchor"/>
          <w:rtl w:val="true"/>
        </w:rPr>
        <w:footnoteReference w:id="656"/>
      </w:r>
      <w:r>
        <w:rPr>
          <w:rFonts w:ascii="Amiri" w:hAnsi="Amiri" w:eastAsia="Amiri" w:cs="Amiri"/>
          <w:color w:val="111111"/>
          <w:sz w:val="28"/>
          <w:sz w:val="28"/>
          <w:szCs w:val="28"/>
          <w:rtl w:val="true"/>
          <w:lang w:bidi="ar-SA"/>
        </w:rPr>
        <w:t>من رواية عبدالله بن وضّاح</w:t>
      </w:r>
      <w:r>
        <w:rPr>
          <w:rStyle w:val="FootnoteAnchor"/>
          <w:rtl w:val="true"/>
        </w:rPr>
        <w:footnoteReference w:id="657"/>
      </w:r>
      <w:r>
        <w:rPr>
          <w:rFonts w:ascii="Amiri" w:hAnsi="Amiri" w:eastAsia="Amiri" w:cs="Amiri"/>
          <w:color w:val="111111"/>
          <w:sz w:val="28"/>
          <w:sz w:val="28"/>
          <w:szCs w:val="28"/>
          <w:rtl w:val="true"/>
          <w:lang w:bidi="ar-SA"/>
        </w:rPr>
        <w:t>أنّه يجوز للمدّعي الإحلاف رأساً؛ لأنّه من البديهي أنّ عدم جواز بقاء المال في يد</w:t>
      </w:r>
      <w:bookmarkStart w:id="361" w:name="pg1791_15821"/>
    </w:p>
    <w:p>
      <w:pPr>
        <w:pStyle w:val="BookText"/>
        <w:rPr/>
      </w:pPr>
      <w:bookmarkEnd w:id="361"/>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للمدّعي بيّنة واستحلف المنكر فحلف، سقطت دعوى المدّعي في ظاهر الشرع، فليس له بعد الحلف مطالبة حقّه، ولا مقاصّته، ولا رفع الدعوى إلى الحاكم، ولا تسمع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تبرأ ذمّة المدّعى‌عليه، ولا تصير العين الخارجية بالحلف خارجاً عن ملك مالكها، فيجب عليه ردّها وإفراغ ذمّته؛ وإن لم يجز للمالك أخذها ولا التقاصّ منه، ولا يجوز بيعها وهبتها وسائر التصرّفات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إبراء المديون من دينه على تأمّل فيه، فلو أقام المدّعي البيّنة بعد حلف المنكر لم تسمع، ولو غفل الحاكم، أو رفع الأمر إلى حاكم آخر، فحكم ببيّنة المدّعي لم يعتدّ بحكمه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المدّعي بعد الحلف ليس بدليل الحلف عند حاكم؛ لأنّ الحلف عند الحاكم كلا حلف بما أنّه جائر، فنستفيد أنّ إحلاف المدّعي بنفسه كان جائزاً ومؤثّراً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السيّد اليزدي إلى الإجماع والأصل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الإجماع كما قال به النراقي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الأدلّة كلّها كما رأيت مخدوشة وإنّ الحلف بلا إحلاف من القاضي غير نافذ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أثر لحلف المدّعي من غير الإحلاف يعني أنّه يجوز أن يطرح الدعوى عند قاض آخر، ولكن آثار الحلف تتبّع</w:t>
      </w:r>
      <w:r>
        <w:rPr>
          <w:rFonts w:eastAsia="Amiri" w:cs="Amiri" w:ascii="Amiri" w:hAnsi="Amiri"/>
          <w:color w:val="111111"/>
          <w:sz w:val="28"/>
          <w:szCs w:val="28"/>
          <w:rtl w:val="true"/>
          <w:lang w:bidi="ar-SA"/>
        </w:rPr>
        <w:t>.</w:t>
      </w:r>
    </w:p>
    <w:p>
      <w:pPr>
        <w:pStyle w:val="Heading4"/>
        <w:numPr>
          <w:ilvl w:val="3"/>
          <w:numId w:val="1"/>
        </w:numPr>
        <w:rPr/>
      </w:pPr>
      <w:bookmarkStart w:id="362" w:name="__RefHeading___Toc2354675_3650668749"/>
      <w:bookmarkStart w:id="363" w:name="_Toc134"/>
      <w:bookmarkEnd w:id="362"/>
      <w:r>
        <w:rPr>
          <w:rtl w:val="true"/>
        </w:rPr>
        <w:t>صور المسألة بعد طرح الدعوى عند القاضي‌</w:t>
      </w:r>
      <w:bookmarkEnd w:id="3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طرح الدعوى عند القاضي ففي المسألة صور وأحكام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للمدّعي بيّنة فحينئذٍ يأتي بها ويحكم بها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للمدّعي بيّنة فحينئذٍ يجوز أن يستحلف المدّعي من القاضي فيحلف المدّعى عليه بعد إحلاف القاضي فلها ثلاثة آثار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الدعوى في ظاهر الشرع يعني أنّه لا يبرء ذمّة المدّعى عليه لو كان مديوناً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بيان كلام المحقّق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الدنيا ويجب التخلّص في بينه وبين ربّه من حقّ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السيّد اليزدي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ظاهر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للمدّعي مطالبة المجدّد؛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التقاصّ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وجدير بالذكر أنّ هنا بحث طرحها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في المسألة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هذه الآثار هل هو لحلف المدّعى عليه أم آثار لحكم القاضي؟</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للمدّعي بيّنة واستحلف المدّعى عليه ولا يحلف المدّعى عليه، بل يرد اليمين على المدّعي ويحلف المدّعي اليمين المردودة ويثبت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للمدّعي بيّنة واستحلف المدّعى عليه ونكل المدّعى عليه، أي لا يحلف ولا يرد اليمين على المدّعي، فحينئذٍ ثبت حقّ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 صورة مباحثها الخاصّة فلنذكرها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المسألة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هشام بن الحكم،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أقضي بينكم بالبيّنات والأيمان</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ابن أبي يعفور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رضي صاحب الحقّ بيمين المنكر فاستحلفه، فحلف أن لا حقّ له قبله، ذهبت اليمين بحقّ المدّعي فلا دعوى له،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عليه بيّنة عادلة؟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وإن أقام بعد ما استحلفه بالله خمسين قسامة ما كان له، وكانت اليمين قد أبطلت كلّ ما ادّعاه قبله</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صرّح الرواية بإذهاب اليمين بحقّ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نقول بالذهاب في ظاهر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خضر نخعي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يكون له على الرجل المال فيجحده،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استحلفه فليس له أن يأخذ شيئاً، وإن تركه ولم يستحلفه، فهو على حقّه</w:t>
      </w:r>
      <w:r>
        <w:rPr>
          <w:rFonts w:eastAsia="Amiri" w:cs="Amiri" w:ascii="Amiri" w:hAnsi="Amiri"/>
          <w:color w:val="111111"/>
          <w:sz w:val="28"/>
          <w:szCs w:val="28"/>
          <w:rtl w:val="true"/>
          <w:lang w:bidi="ar-SA"/>
        </w:rPr>
        <w:t>»</w:t>
      </w:r>
      <w:r>
        <w:rPr>
          <w:rStyle w:val="FootnoteAnchor"/>
          <w:rtl w:val="true"/>
        </w:rPr>
        <w:footnoteReference w:id="660"/>
      </w:r>
      <w:r>
        <w:rPr>
          <w:rFonts w:ascii="Amiri" w:hAnsi="Amiri" w:eastAsia="Amiri" w:cs="Amiri"/>
          <w:color w:val="111111"/>
          <w:sz w:val="28"/>
          <w:sz w:val="28"/>
          <w:szCs w:val="28"/>
          <w:rtl w:val="true"/>
          <w:lang w:bidi="ar-SA"/>
        </w:rPr>
        <w:t>حيث تدلّ على أن ليس له حقّ بعد الحلف</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وضّاح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بيني وبين رجل من اليهود معاملة فخانني بألف درهم، فقدمته إلى الوالي فأحلفته فحلف، وقد علمت أنّه حلف يميناً فاجرة، فوقع له بعد ذلك عندي أرباح ودراهم كثيرة، فأردت أن أقتصّ الألف درهم التي كانت لي عنده وأحلف عليها، فكتبت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أنّي قد أحلفته فحلف، وقد وقع له عندي مال فإن أمرتني أن آخذ منه الألف درهم التي حلف عليها فعلت،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تأخذ منه شيئاً إن كان ظلمك فلا</w:t>
      </w:r>
    </w:p>
    <w:p>
      <w:pPr>
        <w:pStyle w:val="BookText"/>
        <w:rPr/>
      </w:pPr>
      <w:r>
        <w:rPr>
          <w:rFonts w:ascii="Amiri" w:hAnsi="Amiri" w:eastAsia="Amiri" w:cs="Amiri"/>
          <w:color w:val="111111"/>
          <w:sz w:val="28"/>
          <w:sz w:val="28"/>
          <w:szCs w:val="28"/>
          <w:rtl w:val="true"/>
          <w:lang w:bidi="ar-SA"/>
        </w:rPr>
        <w:t xml:space="preserve">تظلمه، ولولا أنّك رضيت بيمينه فحلفته لأمرتك أن تأخذ من تحت يدك، ولكنّك رضيت بيمينه،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بما فيها، فلم آخذ منه شيئاً، وانتهيت إلى كتاب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وقع لي عنده مال فكابرني عليه وحلف ثمّ وقع له عندي مال آخذه لمكان مالي الذي أخذه وأجحده وأحلف عليه كما 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خانك فلا تخنه ولا تدخل فيما عتبه عليه</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ملاحظة رواية 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عليه دراهم فجحدني وحلف عليها، أيجوز لي إن وقع له قبلي دراهم أن آخذ منه بقدر حقّي؟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ولكن لهذا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لا آخذه ظلماً ولا خيانة وإنّما أخذته مكان مالي الذي أخذ منّي لم أزدد عليه شيئاً</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رواية تدلّ على جواز التقاصّ وتعارض الروايات المانعة من التقاصّ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الخوئي في توجيه هذه الرواية أنّ الحلف كان تبرّعياً بلا استحلاف من المدّعى والإحلاف من القاضي ولهذا لا يترتّب عليه الأثر</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نسلّم أن يكون الحلف تبرّعياً والذي ألجأ السيّد الخوئي على هذا،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لاعراض المشهور عن الرواية أثراً مع أنّ هذه كانت في المرئى من</w:t>
      </w:r>
    </w:p>
    <w:p>
      <w:pPr>
        <w:pStyle w:val="BookText"/>
        <w:rPr/>
      </w:pPr>
      <w:r>
        <w:rPr>
          <w:rFonts w:ascii="Amiri" w:hAnsi="Amiri" w:eastAsia="Amiri" w:cs="Amiri"/>
          <w:color w:val="111111"/>
          <w:sz w:val="28"/>
          <w:sz w:val="28"/>
          <w:szCs w:val="28"/>
          <w:rtl w:val="true"/>
          <w:lang w:bidi="ar-SA"/>
        </w:rPr>
        <w:t>الكليني</w:t>
      </w:r>
      <w:r>
        <w:rPr>
          <w:rStyle w:val="FootnoteAnchor"/>
          <w:rtl w:val="true"/>
        </w:rPr>
        <w:footnoteReference w:id="664"/>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665"/>
      </w:r>
      <w:r>
        <w:rPr>
          <w:rFonts w:ascii="Amiri" w:hAnsi="Amiri" w:eastAsia="Amiri" w:cs="Amiri"/>
          <w:color w:val="111111"/>
          <w:sz w:val="28"/>
          <w:sz w:val="28"/>
          <w:szCs w:val="28"/>
          <w:rtl w:val="true"/>
          <w:lang w:bidi="ar-SA"/>
        </w:rPr>
        <w:t xml:space="preserve">والصدوق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666"/>
      </w:r>
      <w:r>
        <w:rPr>
          <w:rFonts w:ascii="Amiri" w:hAnsi="Amiri" w:eastAsia="Amiri" w:cs="Amiri"/>
          <w:color w:val="111111"/>
          <w:sz w:val="28"/>
          <w:sz w:val="28"/>
          <w:szCs w:val="28"/>
          <w:rtl w:val="true"/>
          <w:lang w:bidi="ar-SA"/>
        </w:rPr>
        <w:t>ونقلوها وأعرضوا عن العمل بها والأقوى عندنا عدم العمل بهذه الرواية فلا يجوز التقاصّ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عدم جواز التقاصّ بين العين والحقّ، أي كما أنّه لا يجوز أخذ المال أو الدار أو الألبسة و غيره تقاصّاً، كذلك لا يجوز أخذ الحقّ تقاصّاً كحقّ التقدّم وحقّ التصرّف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محاسبة الخمس أو الزكاة وغيره تقاصّاً، أي إذا كان الشخص مديوناً وحلف وبطل الدعوى يجوز للمدّعي أن يحاسب الزكاة أو الخمس قبال طلبه على المدّعى عليه وينوي ما يطلبه عن المدّعى عليه، زكاة مثلًا؛ لأنّ هذا لا يعارض آثار الحلف كما عليه السيّد اليزدي أيضاً</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نقطة للملاحظة لم يتعرّضها السيّد الإمام الخميني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وهو أنّه إذا رأى المدّعي أنّ المدّعى عليه أنكر الدعوى ويريد الحلف ظلماً، فهل يجوز للمدّعي عدم الاستحلاف حتّى لا يبطل الدعوى ويبقى له حقّ التقاصّ وغيره أم لا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غير إيقاف الدعوى، بل نوع من الانصراف عن الدعوى موقّتاً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للمدّعي حقّ الاستحلاف، ولا يجوز للقاضي الإحلاف قبل استحلاف المدّعي</w:t>
      </w:r>
      <w:bookmarkStart w:id="364" w:name="pg1791_15832"/>
    </w:p>
    <w:p>
      <w:pPr>
        <w:pStyle w:val="BookText"/>
        <w:rPr/>
      </w:pPr>
      <w:bookmarkEnd w:id="364"/>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تبيّن للحاكم بعد حكمه كون الحلف كذباً يجوز بل يجب عليه نقض حكمه، فحينئذٍ يجوز للمدّعي المطالبة والمقاصّة وسائر ما هو آثار كونه محقّاً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أقرّ المدّعى‌عليه بأنّ المال للمدّعي جاز له التصرّف والمقاصّة ونحوهما؛ سواء تاب وأقرّ أم 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ماطل المدّعي بلا دليل في الاستحلاف لا يجوز الإيقاف وعلى القاضي فصل الخصومة ولكن هذا حقّ للمدّعي ليسدّ عن إبطال حقّه ظلماً لأنّ الأصل جواز التقاصّ إلا ما خرج بالدليل، وهو عدم جواز التقاصّ بعد استحلاف المدّعي مع إحلاف القاضي وحلف المدّعى عليه الذي أثبتناه بالروايات الثلاثة المتقدّمة وهو رواية عبدالله بن وضّاح ورواية خضر النخعي ورواية ابن أبي يعفور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أنّه يفهم من فحوى هؤلاء الروايات جواز التقاصّ في صورة عدم الحلف وكما قلنا هذا فرع لم يتعرّض لها البجنوردي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ولكن تعرّض لها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الفقهية</w:t>
      </w:r>
      <w:r>
        <w:rPr>
          <w:rFonts w:eastAsia="Amiri" w:cs="Amiri" w:ascii="Amiri" w:hAnsi="Amiri"/>
          <w:color w:val="111111"/>
          <w:sz w:val="28"/>
          <w:szCs w:val="28"/>
          <w:rtl w:val="true"/>
          <w:lang w:bidi="ar-SA"/>
        </w:rPr>
        <w:t>»</w:t>
      </w:r>
      <w:r>
        <w:rPr>
          <w:rStyle w:val="FootnoteAnchor"/>
          <w:rtl w:val="true"/>
        </w:rPr>
        <w:footnoteReference w:id="668"/>
      </w:r>
      <w:r>
        <w:rPr>
          <w:rFonts w:ascii="Amiri" w:hAnsi="Amiri" w:eastAsia="Amiri" w:cs="Amiri"/>
          <w:color w:val="111111"/>
          <w:sz w:val="28"/>
          <w:sz w:val="28"/>
          <w:szCs w:val="28"/>
          <w:rtl w:val="true"/>
          <w:lang w:bidi="ar-SA"/>
        </w:rPr>
        <w:t>وهو بحث المبتلى به في زماننا هذا</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2354677_3650668749"/>
      <w:bookmarkStart w:id="366" w:name="_Toc135"/>
      <w:bookmarkEnd w:id="365"/>
      <w:r>
        <w:rPr>
          <w:rtl w:val="true"/>
        </w:rPr>
        <w:t>لو تبيّن كذب الحالف للقاضي بعد الحكم‌</w:t>
      </w:r>
      <w:bookmarkEnd w:id="3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فرعان</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تبين للحاكم بعد أن حكم بالحلف كذب الحالف في حلفه وعلم أو اطمئنّ أنّ المدّعى عليه حلف ظلماً يجب عليه نقض الحكم، ويذهب</w:t>
      </w:r>
    </w:p>
    <w:p>
      <w:pPr>
        <w:pStyle w:val="BookText"/>
        <w:rPr/>
      </w:pPr>
      <w:r>
        <w:rPr>
          <w:rFonts w:ascii="Amiri" w:hAnsi="Amiri" w:eastAsia="Amiri" w:cs="Amiri"/>
          <w:color w:val="111111"/>
          <w:sz w:val="28"/>
          <w:sz w:val="28"/>
          <w:szCs w:val="28"/>
          <w:rtl w:val="true"/>
          <w:lang w:bidi="ar-SA"/>
        </w:rPr>
        <w:t>آثار الحكم كلّها ويصير الدعوى ابتدائياً لأنّ مستند الحكم قد ذهب وهو الحلف فيذهب آثار الحكم أيضاً فإن شاء المدّعي يرفعه إلى حكم آخر أو هذا الحاكم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أكذب المدّعى عليه نفسه بعد الحلف و بعد حكم الحاكم وأقرّ بأنّ المال للمدّعي قال الفقهاء بسقوط آثار حكم الحاكم لأنّه كان مستنداً بالحلف فتذهب الآثار بذهاب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المدّعي والمدّعى عليه بعد تكذيب الحلف متصادقان في ثبوت الدين وعدم براءة ذمّة المدّعى عليه كما أشار إليه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المسألة إجماعي كما أشار إليه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دليل إقرار العقلاء على أنفسهم نافذ يدلّ على سقوط آثار الحكم المكذوب المستند، ولكن يعارضه إطلاق رواية ابن أبي يعفور،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رضي صاحب الحقّ بيمين المنكر لحقّه فاستحلفه، فحلف أن لا حقّ له قبله، ذهبت اليمين بحقّ المدّعي فلا دعوى له،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عليه بيّنة عادلة؟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وإن أقام بعد ما استحلفه بالله خمسين قسامة ما كان له، وكانت اليمين قد أبطلت كلّ ما ادّعاه قبله ممّا قد استحلفه عليه</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ويقال في توجيه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بالقول بانصراف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مورد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أبيت عن قبول الانصراف نقول إنّ هناك بين الدليلين 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ومادّة اجتماعه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 على عدم الدين ثمّ الإقرار بالدين فيتعارضان أي أنّ دليل إقرار العقلاء يدلّ على تأثير الإقرار وترتّب الآثار ودليل ذهبت اليمين بحقّه يدلّ على نفوذ الحلف فيتعارضان، فالرجوع إلى المرجّحات والترجيح مع دليل الإقرار لأنّه مطابق لفتوى المشهور، بل مطابق للإجماع وإن أبينا عن قبول الإجماع فالمشهور يكفينا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رواية مسمع بن أبي سيّار وهي بدرجة صحّحها السيّد الخوئي</w:t>
      </w:r>
      <w:r>
        <w:rPr>
          <w:rStyle w:val="FootnoteAnchor"/>
          <w:rtl w:val="true"/>
        </w:rPr>
        <w:footnoteReference w:id="672"/>
      </w:r>
      <w:r>
        <w:rPr>
          <w:rFonts w:ascii="Amiri" w:hAnsi="Amiri" w:eastAsia="Amiri" w:cs="Amiri"/>
          <w:color w:val="111111"/>
          <w:sz w:val="28"/>
          <w:sz w:val="28"/>
          <w:szCs w:val="28"/>
          <w:rtl w:val="true"/>
          <w:lang w:bidi="ar-SA"/>
        </w:rPr>
        <w:t>مع كمال دقّته واحتياطه الوافر في تصحيح الروايات وإن جعلها بعض الفقهاء معتبرة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ما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استودعت رجلًا مالًا فيجحدنيه وحلف لي عليه ثمّ إنّه جاءني بعد ذلك بسنتين بالمال الذي أودعته إيّاه،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هذامالك فخذه، وهذه أربعة آلاف درهم ربحتها فهي لك مع مالك، واجعلني في حلّ، فأخذت منه المال وأبيت أن آخذ الربح منه ورفعت المال الذي كنت استودعته، وأبيت أخذه حتّى استطلع رأيك فما ترى؟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الربح وأعطه النصف وحلله فان هذا رجل تائب والله يحب التوّابين</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bookmarkStart w:id="367" w:name="pg1791_15838"/>
    </w:p>
    <w:p>
      <w:pPr>
        <w:pStyle w:val="BookText"/>
        <w:rPr/>
      </w:pPr>
      <w:bookmarkEnd w:id="367"/>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الحلف بمجرّده موجب لسقوط حقّ المدّعي مطلقاً، أو بعد إذن الحاكم، أو إذا تعقّبه حكم الحاكم، أو حكمه موجب له إذا استند إلى الحلف؟ الظاهر أنّ الحلف بنفسه لا يوجبه ولو كان بإذن الحاكم، بل بعد حكم الحاكم يسقط الحقّ؛ بمعنى أنّ الحلف بشرط حصول الحكم موجب للسقوط بنحو الشرط المقارن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إنّه ترى أنّ تكذيب النفس تؤثر ولهذا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أصل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والإقرار نافذ ولا يبعد أن نقول الأمر بأخذ نصف الربح كان من باب الاستحباب لأنّه إذا كان المال له، فالربح أيضاً ماله فالأمر بعدم الأخذ استحبابي بما أنّ الرجل وإن لم يكن له أجر في تحصيل الربح، ولكن حيث إنّه تاب وأصلح ينبغي أن يكون له نصف الربح</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2354679_3650668749"/>
      <w:bookmarkStart w:id="369" w:name="_Toc136"/>
      <w:bookmarkEnd w:id="368"/>
      <w:r>
        <w:rPr>
          <w:rtl w:val="true"/>
        </w:rPr>
        <w:t>لو لم يكن للمدّعي بيّنة</w:t>
      </w:r>
      <w:bookmarkEnd w:id="3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فعل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للمدّعي بيّنة ففي المسألة أربعة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الحقّ من آثار الحلف مطلقاً، سواء كان الحلف باستحلاف من المدّعي وإحلاف القاضي أم لا؟ فحينئذٍ يترتّب آثار الحلف من عدم جواز التقاصّ وغيره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الحقّ من آثار الحلف بشرط إذن الحاكم، أي إذا كان الحلف بعد استحلاف المدّعي وإحلاف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الحقّ من آثار الحلف بشرط تعقّب حكم الحاكم، أي إذا كان الحلف باستحلاف من المدّعي وإحلاف الحاكم ثمّ الحلف إنشاء الحاكم الحكم فحينئذٍ يسقط الحقّ ويترتّب آثار الحلف من التقاصّ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الحقّ من آثار حكم الحاكم المستند بالحلف، أي لما حلف المنكر وحكم الحاكم باستناد الحلف يسقط الحقّ ويترتّب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 الرابع، أي يرى أنّ محور سقوط الحقّ هو حكم الحاكم، فإذا أحلف المنكر ولكن لم يحكم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يترتّب عليه الأثر، وهذا موافق 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يتوهّم من ظاهر النصوص سقوط الدعوى</w:t>
      </w:r>
      <w:r>
        <w:rPr>
          <w:rFonts w:eastAsia="Amiri" w:cs="Amiri" w:ascii="Amiri" w:hAnsi="Amiri"/>
          <w:color w:val="111111"/>
          <w:sz w:val="28"/>
          <w:szCs w:val="28"/>
          <w:rtl w:val="true"/>
          <w:lang w:bidi="ar-SA"/>
        </w:rPr>
        <w:t>»</w:t>
      </w:r>
      <w:r>
        <w:rPr>
          <w:rStyle w:val="FootnoteAnchor"/>
          <w:rtl w:val="true"/>
        </w:rPr>
        <w:footnoteReference w:id="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أخذنا ظاهر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نحتاج من أساس إلى حكم الحاكم، بل إقامة البيّنة أو الحلف يكفي في ثبوت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المحور الأصل إنشاء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التحقيق خلافه، ضرورة كون المراد من هذه النصوص وما شابهها تعليم ما به يحكم الحاكم وإلا فلا بدّ من القضاء والفصل بعد بذلك، كما أومأ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أقضى بينكم بالبيّنات والأيمان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لو أخذ بظاهر هذه النصوص وشبهها لم يحتج إلى إنشاء الحكومة من الحاكم مطلقاً ضرورة ظهورها في سقوط دعوى المدّعي وثبوت الحقّ بالبيّنة</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ظاهرة في بيان حكم الشرعي باليمين، أي إذا جاء اليمين يتحقّق الآثار سواء كان التعليم للقاضي مقصوداً من الرواية أم لا؟ مع أن صاحب</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للمنكر أن يردّ اليمين على المدّعي، فإن حلف ثبت دعواه وإلا سقطت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السقوط بمجرّد عدم الحلف والنكول، أو بحكم الحاكم، كالمسألة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سقوط دعواه ليس له طرح الدعوى ولو في مجلس آخر؛ كانت له بيّنة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ادّعى بعد الردّ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لي بيّنة، يسمع منه الحاكم، وكذا لو استمهل في الحلف لم يسقط حقّه، وليس للمدّعي بعد الردّ عليه أن يردّ على المنكر، بل عليه إمّا الحلف أو النكول، وللمنكر أن يرجع عن ردّه قبل أن يحلف المدّعي، وكذا للمدّعي أن يرجع عنه لو طلبه من المنكر قبل حلفه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 في ذيل كلامه 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حاجة إلى إنشاء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قال السيّد اليزدي</w:t>
      </w:r>
      <w:r>
        <w:rPr>
          <w:rStyle w:val="FootnoteAnchor"/>
          <w:rtl w:val="true"/>
        </w:rPr>
        <w:footnoteReference w:id="676"/>
      </w:r>
      <w:r>
        <w:rPr>
          <w:rFonts w:ascii="Amiri" w:hAnsi="Amiri" w:eastAsia="Amiri" w:cs="Amiri"/>
          <w:color w:val="111111"/>
          <w:sz w:val="28"/>
          <w:sz w:val="28"/>
          <w:szCs w:val="28"/>
          <w:rtl w:val="true"/>
          <w:lang w:bidi="ar-SA"/>
        </w:rPr>
        <w:t>الظاهر من كلمات الفقهاء أنّ سقوط الدعوى من آثار حكم الحاكم ويستظهر أيضاً أنّه ليس لليمين خصوصية حتّى يوجب سقوط الدعوى، وبراءة 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نفس الإقرار مثبت للحقّ وبعد أن طرح هذه الثلاثة من الاحتمالات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البراءة وسقوط الحقّ بالبيّنة واليمين والإقرار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نحتاج في تأثير الحلف إلى حكم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والإنصاف أنّه ليس من البعيد إن لم يمكن إجماع على خلافه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حلف ثبت دعواه وإلا سقطت وقد تقدّم أنّ المنكر بعد الاستحلاف إمّا أن يحلف وإمّا أن يردّ اليمين على المدّعي وإمّا أن ينكل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تمّ البحث عن الأوّل و يقع الكلام في الثاني؛ يعني أنّه يجوز للمنكر أن يردّ اليمين على المدّعي ولا يحلف بنفسه؛ فحينئذٍ لو حلف المدّعي يثبت حقّه، ولو نكل ولم يحلف يسقط حقّه ولا حقّ له بعد، فهنا ثلاثة مسائل؛ لا بدّ أن يستدلّ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ردّ اليمين الذي هو وظيفة المدّعى عليه على المدّعي، وحلفه يمين المردودة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حلف يثبت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ردّ ولم يحلف يسقط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فيها هي الروايات المستفيضة أو المتواترة، كما قال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تمسّك بالإجماع أيضاً بقسميه، ولكنّه مدركيّ لاحتمال كون المستند للمجمعين نفس تلك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والمعتبر والضعيف والمرسل والمضمر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وبعضها تدلّ على المسائل الثلاث بالمنطوق وبعضها على بعضها بالمنطوق وعلى بعضها بالمفهوم وبعضها تدلّ على بعض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عن أحدهما في الرجل يدّعي ولا بيّنة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يستحلفه، فإن ردّ اليمين على صاحب الحقّ فلم يحلف فلا حقّ له</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تدلّ على الاولى، والثالثة بالمنطوق، وعلى الثانيه بالمفهوم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عبيد بن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يدّعى عليه</w:t>
      </w:r>
    </w:p>
    <w:p>
      <w:pPr>
        <w:pStyle w:val="BookText"/>
        <w:rPr/>
      </w:pPr>
      <w:r>
        <w:rPr>
          <w:rFonts w:ascii="Amiri" w:hAnsi="Amiri" w:eastAsia="Amiri" w:cs="Amiri"/>
          <w:color w:val="111111"/>
          <w:sz w:val="28"/>
          <w:sz w:val="28"/>
          <w:szCs w:val="28"/>
          <w:rtl w:val="true"/>
          <w:lang w:bidi="ar-SA"/>
        </w:rPr>
        <w:t>الحقّ ولا بيّنة للمدّعي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يستحلف أو يردّ اليمين على صاحب الحقّ، فإن لم يفعل فلا حقّ له</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عبّر عنهما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80"/>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681"/>
      </w:r>
      <w:r>
        <w:rPr>
          <w:rFonts w:ascii="Amiri" w:hAnsi="Amiri" w:eastAsia="Amiri" w:cs="Amiri"/>
          <w:color w:val="111111"/>
          <w:sz w:val="28"/>
          <w:sz w:val="28"/>
          <w:szCs w:val="28"/>
          <w:rtl w:val="true"/>
          <w:lang w:bidi="ar-SA"/>
        </w:rPr>
        <w:t xml:space="preserve">بالصحيح وعبّر عنهما المجلسيين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ملاذ الأخيار</w:t>
      </w:r>
      <w:r>
        <w:rPr>
          <w:rFonts w:eastAsia="Amiri" w:cs="Amiri" w:ascii="Amiri" w:hAnsi="Amiri"/>
          <w:color w:val="111111"/>
          <w:sz w:val="28"/>
          <w:szCs w:val="28"/>
          <w:rtl w:val="true"/>
          <w:lang w:bidi="ar-SA"/>
        </w:rPr>
        <w:t>»</w:t>
      </w:r>
      <w:r>
        <w:rPr>
          <w:rStyle w:val="FootnoteAnchor"/>
          <w:rtl w:val="true"/>
        </w:rPr>
        <w:footnoteReference w:id="68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المرآة</w:t>
      </w:r>
      <w:r>
        <w:rPr>
          <w:rFonts w:eastAsia="Amiri" w:cs="Amiri" w:ascii="Amiri" w:hAnsi="Amiri"/>
          <w:color w:val="111111"/>
          <w:sz w:val="28"/>
          <w:szCs w:val="28"/>
          <w:rtl w:val="true"/>
          <w:lang w:bidi="ar-SA"/>
        </w:rPr>
        <w:t>»</w:t>
      </w:r>
      <w:r>
        <w:rPr>
          <w:rStyle w:val="FootnoteAnchor"/>
          <w:rtl w:val="true"/>
        </w:rPr>
        <w:footnoteReference w:id="683"/>
      </w:r>
      <w:r>
        <w:rPr>
          <w:rFonts w:ascii="IRNazanin" w:hAnsi="IRNazanin" w:eastAsia="IRNazanin"/>
          <w:color w:val="111111"/>
          <w:sz w:val="28"/>
          <w:sz w:val="28"/>
          <w:szCs w:val="28"/>
          <w:rtl w:val="true"/>
          <w:lang w:bidi="fa-IR"/>
        </w:rPr>
        <w:t>بالمجهول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والوجه فيه أنّه وقع قاسم بن سليمان في السند؛ فإنّه لم يذكر بمدح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بهجة الآمال</w:t>
      </w:r>
      <w:r>
        <w:rPr>
          <w:rFonts w:eastAsia="Amiri" w:cs="Amiri" w:ascii="Amiri" w:hAnsi="Amiri"/>
          <w:color w:val="111111"/>
          <w:sz w:val="28"/>
          <w:szCs w:val="28"/>
          <w:rtl w:val="true"/>
          <w:lang w:bidi="ar-SA"/>
        </w:rPr>
        <w:t>»</w:t>
      </w:r>
      <w:r>
        <w:rPr>
          <w:rStyle w:val="FootnoteAnchor"/>
          <w:rtl w:val="true"/>
        </w:rPr>
        <w:footnoteReference w:id="6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للصدوق طريق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يؤمي إلى اعتماده إليه مضافاً إلى نقل من كان ثقة عنه وهذا أيضاً توثيق على قوله والراوي عنه في الرواية هو نصر بن سويد ويذكر في حالاته أنّه صحيح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أنّها صحيحة وهذه الرواية دلالتها مثل صحيحة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جميل،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أقام المدّعي البيّنة فليس عليه يمين، وإن لم يقم البيّنة، فردّ عليه الذي ادّعى عليه اليمين فأبى، فلا حقّ له</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ودلالتها مثل ما تقدّم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هشام،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تردّ اليمين على المدّعي</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تدلّ على المسألة الاولى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يونس ومضمرته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استخراج الحقوق بأربعة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رجلين عدلين، فإن لم يكونا رجلين فرجل وامرأتان، فإن لم تكن امرأتان فرجل ويمين المدّعي، فإن لم يكن شاهد فاليمين على المدّعى عليه، فإن لم يحلف ورد اليمين على المدّعي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يحلف، ويأخذ حقّه، فإن أبى أن يحلف فلا شي‌ء له</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تدلّ على الثلاثة بالمنطوق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واجبة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الوجوب الوضعي، لا التكليفي بمعنى أنّه لو أراد استيفاء حقّه لا بدّ أن يحلف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أبان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يدّعى عليه الحقّ، وليس لصاحب الحقّ بيّنة،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يستحلف المدّعى عليه، فإن أبى أن يحلف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أرد اليمين عليك لصاحب الحقّ فإنّ ذلك واجب على صاحب الحقّ أن يحلف ويأخذ ماله</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تدلّ على الاولى والثانية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العبّاس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أقام الرجل البيّنة على حقّه، فليس عليه يمين، فإن لم يقم البيّنة فرد عليه الذي ادّعى عليه اليمين، فإن أبى أن يحلف فلا حقّ له</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تدلّ على الاولى والثالثة بالمنطوق وعلى الثانية بالمفهوم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عبدالرحمن بن أبي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خبّرني عن الرجل يدّعي قبل الرجل الحقّ فلم تكن له بيّنة بما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فيمين المدّعى عليه، فإن حلف فلا حقّ له، وإن ردّ اليمين على المدّعي فلم يحلف فلا حقّ له وإن لم يحلف فعليه وإن كان المطلوب بالحقّ قد مات، فاقيمت عليه البيّنة، فعلى المدّعي اليمين بالله الذي لا إله إلا هو، لقد مات فلان، وأنّ حقّه لعليه، فإن حلف، وإلا فلا حقّ له، لأنّا لا ندري لعلّه قد أوفاه ببيّنة لا نعلم موضعها، أو غير بيّنة قبل الموت، فمن ثمّ صارت عليه اليمين مع البيّنة، فإن ادّعى بلا بيّنة فلا حقّ له، لأنّ المدّعى عليه ليس بحيّ، ولو كان حيّاً لألزم اليمين، أو الحقّ، أو يرد اليمين عليه، فمن ثمّ لم يثبت الحقّ</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من الشيخ هو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Style w:val="FootnoteAnchor"/>
          <w:rtl w:val="true"/>
        </w:rPr>
        <w:footnoteReference w:id="691"/>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للشيخ يعني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من الراوي؛ أو من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السند ياسين الضرير ولم يذكر بمدح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Style w:val="FootnoteAnchor"/>
          <w:rtl w:val="true"/>
        </w:rPr>
        <w:footnoteReference w:id="692"/>
      </w:r>
      <w:r>
        <w:rPr>
          <w:rFonts w:ascii="Amiri" w:hAnsi="Amiri" w:eastAsia="Amiri" w:cs="Amiri"/>
          <w:color w:val="111111"/>
          <w:sz w:val="28"/>
          <w:sz w:val="28"/>
          <w:szCs w:val="28"/>
          <w:rtl w:val="true"/>
          <w:lang w:bidi="ar-SA"/>
        </w:rPr>
        <w:t>أنّها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تدلّ على الأوّل والثالثة بالمنطوق وعلى الثانية بالمفهوم</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الروايات أنّ اليمين وإن كانت وظيفة للمدّعى عليه بمقتضى قوله البيّنة على المدّعي واليمين على المدّعى عليه، ولكن يجوز له أن لا يحلف ويردّ اليمين على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وللمدّعي حالتان إمّا أن يحلف فيثبت حقّه وإمّا أن لا يحلف فيسقط حقّه</w:t>
      </w:r>
      <w:r>
        <w:rPr>
          <w:rFonts w:eastAsia="Amiri" w:cs="Amiri" w:ascii="Amiri" w:hAnsi="Amiri"/>
          <w:color w:val="111111"/>
          <w:sz w:val="28"/>
          <w:szCs w:val="28"/>
          <w:rtl w:val="true"/>
          <w:lang w:bidi="ar-SA"/>
        </w:rPr>
        <w:t>.</w:t>
      </w:r>
      <w:bookmarkStart w:id="370" w:name="pg1791_15853"/>
    </w:p>
    <w:p>
      <w:pPr>
        <w:pStyle w:val="BookText"/>
        <w:rPr/>
      </w:pPr>
      <w:bookmarkEnd w:id="370"/>
      <w:r>
        <w:rPr>
          <w:rFonts w:ascii="Amiri" w:hAnsi="Amiri" w:eastAsia="Amiri" w:cs="Amiri"/>
          <w:color w:val="111111"/>
          <w:sz w:val="28"/>
          <w:sz w:val="28"/>
          <w:szCs w:val="28"/>
          <w:rtl w:val="true"/>
          <w:lang w:bidi="ar-SA"/>
        </w:rPr>
        <w:t>ويستظهر منها أنّ أثر اليمين لو اتي بها المدّعى عليه هو سقوط الحقّ ولو اتي به المدّعي هو ثبوت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يستثني من جواز الردّ ما لا يصحّ للمدّعي اليمين كما لو كان الدعوى ظنّية فيما يسمع الدعوى كذلك، أو كان المدّعي وكيلًا أو وليّاً يدّعي لليتيم مالًا على غيره مثلًا، أو كان وصيّاً يدّعي على الوارث أنّ الموصي أوصي بخمس أو صدقة أو حجّ فيما لا مستحقّ خصوصاً للمال؛ لأنّه يعتبر في اليمين 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بدّ أن يحلف من نفسه لا للغير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لظهور الأخبار الماضية فيما أمكن الردّ، ففي تلك الموارد لا دليل على جواز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يقال في الوكيل و الوليّ بجواز ردّ اليمين و يتوقّف الدعوى حتّى حضور الموكّل أو رشد المولّى عليه أو بلوغه</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2354681_3650668749"/>
      <w:bookmarkStart w:id="372" w:name="_Toc137"/>
      <w:bookmarkEnd w:id="371"/>
      <w:r>
        <w:rPr>
          <w:rtl w:val="true"/>
        </w:rPr>
        <w:t>في المسألة فروع لا بدّ أن يبحث عنها</w:t>
      </w:r>
      <w:r>
        <w:rPr>
          <w:rtl w:val="true"/>
        </w:rPr>
        <w:t>.</w:t>
      </w:r>
      <w:bookmarkEnd w:id="372"/>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يسقط حقّ المدّعي بمجرّد عدم الحلف أو بعد حكم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كالمسألة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في 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فيه أربعة احتمالات، واختار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الأخير، ورجّحنا الاحتمال الأوّل وهنا أيضاً نقول بسقوط حقّه بمجرّد عدم الحلف</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الروايات التي ذكرنا في الباب أيضاً، ذلك،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ردّ اليمين على صاحب الحقّ فلم يحلف فلا حقّ له</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أبي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أبى أن يحلف فلا حقّ له</w:t>
      </w:r>
      <w:r>
        <w:rPr>
          <w:rFonts w:eastAsia="Amiri" w:cs="Amiri" w:ascii="Amiri" w:hAnsi="Amiri"/>
          <w:color w:val="111111"/>
          <w:sz w:val="28"/>
          <w:szCs w:val="28"/>
          <w:rtl w:val="true"/>
          <w:lang w:bidi="ar-SA"/>
        </w:rPr>
        <w:t>»</w:t>
      </w:r>
      <w:r>
        <w:rPr>
          <w:rStyle w:val="FootnoteAnchor"/>
          <w:rtl w:val="true"/>
        </w:rPr>
        <w:footnoteReference w:id="694"/>
      </w:r>
      <w:r>
        <w:rPr>
          <w:rFonts w:ascii="Amiri" w:hAnsi="Amiri" w:eastAsia="Amiri" w:cs="Amiri"/>
          <w:color w:val="111111"/>
          <w:sz w:val="28"/>
          <w:sz w:val="28"/>
          <w:szCs w:val="28"/>
          <w:rtl w:val="true"/>
          <w:lang w:bidi="ar-SA"/>
        </w:rPr>
        <w:t>ظاهر في أنّ السقوط مترتّب على عدم الحلف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لحكم الحاكم آثار في مقام حلّ المسألة ورفع النزاع وإيجاد الفصل وهو حرمة نقضه وعدم جواز طرحه في هذه المحكمة مجدّداً أو غيره، وعدم جواز سماعه؛ فترتّب هذه الآثار يحتاج إلى حكم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سقوط دعواه لا يجوز له طرح الدعوى ولو في مجلس آخر أو عند حاكم آخر، سواء كان له بيّنة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لارتفاع المخاصمة بعد حكم الحاكم وسقوط حقّه وإطلاقها يشمل ما لو كان له بيّنة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بعد الردّ عليه وقبل الحلف أنّ له بيّنة يسمع دعواه وله إقامتها عند الحاكم؛ فإنّ الدعوى قائمة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الآن لم يحلف المنكر حتّى يسقط حقّه ولا يصدق عليه بذلك أنّه لم يحلف حتّى يسقط أيضاً حقّه، بل استدعى من الحاكم إجازة إقامة البيّنة لإثبات دعواه فيكون له ذلك كما يقتضيه موازين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استمهل المدّعي في الحلف ليرى ما هو الأصلح له مثلًا، لم يسقط حقّه؛ فإنّ سقوط الحقّ إنّما يكون بالامتناع عن الحلف لا بالاستمهال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أنّه لا بدّ في الاستمهال التهديد بالزمان</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ذكر المدّعي لامتناعه سبباّ،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أن آتي بالبيّنة، أو أسأل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أو أنظر في الحساب ونحو ذلك، ترك ولم يبطل حقّه من اليمين</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واستشكل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النصوص السابقة يقتضي سقوط حقّه مطلقاً؛ بمجرّد ردّ اليمين وأبى عن وقوقها في ذلك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أنّ المتبادر والمنساق منها ما لم يذكر عذراً، واضحة المنع</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يحلف أو أبى أن يحلف فلا حقّ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الامتناع عن الحلف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أحلف ولا يصدق على الاستمهال الإباء عن الحلف عرفاً بلا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Style w:val="FootnoteAnchor"/>
          <w:rtl w:val="true"/>
        </w:rPr>
        <w:footnoteReference w:id="697"/>
      </w:r>
      <w:r>
        <w:rPr>
          <w:rFonts w:ascii="Amiri" w:hAnsi="Amiri" w:eastAsia="Amiri" w:cs="Amiri"/>
          <w:color w:val="111111"/>
          <w:sz w:val="28"/>
          <w:sz w:val="28"/>
          <w:szCs w:val="28"/>
          <w:rtl w:val="true"/>
          <w:lang w:bidi="ar-SA"/>
        </w:rPr>
        <w:t>كما أنّه لو كان عدم حلفه استمهالًا ليرى ما هو الأصلح له لا يكون مسقطاً لحقّه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للمدّعي بعد ردّ الحلف عليه، أن يردّ على المنكر فإنّ المستفاد من الروايات أنّ له الحلف أو النكول، فلو ردّ على المنكر يصدق عليه أنّه لم يحلف فيسقط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ولاستلزام جوازه التسلسل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للمنكر الرجوع عن ردّه قبل حلف المدّعي فإنّه لا دليل شرعاً على المنع فالأصل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حلف المدّعي فلا يجوز الردّ، فإنّ المستفاد من الروايات هو ثبوت الحقّ حينئذٍ فلا وجه لرجوعه، بل لا يجوز حلف المدّعي حينئذٍ لعدم ترتّب الأثر عليه بعد الرجوع عن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يجوز للمدّعي الرجوع عن الاستحلاف قبل حلف المنكر فإنّه لا دليل على اللزوم بعد طلب الحلف</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اليمين المردودة إذا وقعت من المدّعي تكون بمنزلة البيّنة، أو بمنزلة إقرار المنكر؟ لم يتعرّض له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ذكر هذا الفرع</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98"/>
      </w:r>
      <w:r>
        <w:rPr>
          <w:rFonts w:ascii="Amiri" w:hAnsi="Amiri" w:eastAsia="Amiri" w:cs="Amiri"/>
          <w:color w:val="111111"/>
          <w:sz w:val="28"/>
          <w:sz w:val="28"/>
          <w:szCs w:val="28"/>
          <w:rtl w:val="true"/>
          <w:lang w:bidi="ar-SA"/>
        </w:rPr>
        <w:t>وغيره</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المردودة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 فخر المحقّقين</w:t>
      </w:r>
      <w:r>
        <w:rPr>
          <w:rStyle w:val="FootnoteAnchor"/>
          <w:rtl w:val="true"/>
        </w:rPr>
        <w:footnoteReference w:id="700"/>
      </w:r>
      <w:r>
        <w:rPr>
          <w:rFonts w:ascii="Amiri" w:hAnsi="Amiri" w:eastAsia="Amiri" w:cs="Amiri"/>
          <w:color w:val="111111"/>
          <w:sz w:val="28"/>
          <w:sz w:val="28"/>
          <w:szCs w:val="28"/>
          <w:rtl w:val="true"/>
          <w:lang w:bidi="ar-SA"/>
        </w:rPr>
        <w:t>، وقواه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بمنزلة البيّنة، والوجه فيه أنّ الذي يطلب من المدّعي هو البيّنة فاليمين المردودة إليه، إذا وقعت منه فهي بمنزلة البيّنة وتقوم مقامها في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المردودة 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بمنزلة إقرار المنكر والوجه فيه أنّ في ردّ المنكر اليمين إلى المدّعي وامتناعه عن الحلف إشعار باعترافه بالحقّ مضافاً إلى أنّ إثبات الحقّ بيمين المدّعي قد جاء من قبله، وكان هو الموجب له فكأنّه أقرّ بذلك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فرّعوا على القولين فروعاً كثيرة مذكورة في أبواب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حلف المدّعي هل يجوز للمدّعى عليه إقامة البيّنة على أداء المال، أو إبراء المدّعي إيّاه عنه ويسمع تلك البيّنة أم لا؟ فلو قلنا بالأوّل، فقد سمعت بيّنته وإن قلنا بالثاني فلا؛ لأنّ الإقرار تكذيب لبيّنته فلا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بمنزلة البيّنة فثبوت الحقّ يحتاج إلى حكم الحاكم، ولو كان بمنزلة الإقرار فلا يحتاج إليه وهذا بناءً على ثبوت الفرق بين البيّنة والإقرار بذلك</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على التفريع الأوّل أنّ الأثر، أي عدم قبول البيّنة بعد الإقرار مترتّب</w:t>
      </w:r>
    </w:p>
    <w:p>
      <w:pPr>
        <w:pStyle w:val="BookText"/>
        <w:rPr/>
      </w:pPr>
      <w:r>
        <w:rPr>
          <w:rFonts w:ascii="Amiri" w:hAnsi="Amiri" w:eastAsia="Amiri" w:cs="Amiri"/>
          <w:color w:val="111111"/>
          <w:sz w:val="28"/>
          <w:sz w:val="28"/>
          <w:szCs w:val="28"/>
          <w:rtl w:val="true"/>
          <w:lang w:bidi="ar-SA"/>
        </w:rPr>
        <w:t>على عنوان الإقرار ولا يمكن إسرائه إلى ما هو بمنزلته لعدم دليل على التنزيل في مقام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يرد على الثاني أنّ الأثر وهو الحاجة إلى حكم الحاكم مترتّب على عنوان البيّنة على القول به ولا يمكن إسراؤه إلى اليمين الذي ليست من البيّنة، بل بمنزلتها لعدم الدليل على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الوجه في الترديد المذكور في كلماتهم بأنّ اليمين المردودة إمّا بمنزلة الإقرار أو البيّنة هو الحصر المستفاد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أقضى بينكم بالبيّنات والأيمان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1"/>
      </w:r>
      <w:r>
        <w:rPr>
          <w:rFonts w:ascii="Amiri" w:hAnsi="Amiri" w:eastAsia="Amiri" w:cs="Amiri"/>
          <w:color w:val="111111"/>
          <w:sz w:val="28"/>
          <w:sz w:val="28"/>
          <w:szCs w:val="28"/>
          <w:rtl w:val="true"/>
          <w:lang w:bidi="ar-SA"/>
        </w:rPr>
        <w:t>فإنّ الظاهر منه يمين المنكر المسقط للحقّ واليمين المردودة المثبتةللحقّ، خارجة عنها فلا بدّ من أن يرجع إلى أحدهما حتّى يصحّ للقاضي الاستناد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تقدّم أنّ الحصر هنا إضافي بلحاظ الأغلب، وإلا يصحّ القضاء بالعلم والإقرار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ظهور الأيمان في الرواية في يمين المنكر ممنوع، بل المراد مطلق اليمين كما في اليمين مع الشاهد الواحد وغيره، فيشمل اليمين المردودة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المختار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أنّها أمر مستقلّ برأسه لا بمنزلة الإقرار ولا بمنزلة البيّنة، كما قال به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هنا اتّجه جعلها قسماً مستقلًا برأسه</w:t>
      </w:r>
      <w:r>
        <w:rPr>
          <w:rFonts w:eastAsia="Amiri" w:cs="Amiri" w:ascii="Amiri" w:hAnsi="Amiri"/>
          <w:color w:val="111111"/>
          <w:sz w:val="28"/>
          <w:szCs w:val="28"/>
          <w:rtl w:val="true"/>
          <w:lang w:bidi="ar-SA"/>
        </w:rPr>
        <w:t>»</w:t>
      </w:r>
      <w:r>
        <w:rPr>
          <w:rStyle w:val="FootnoteAnchor"/>
          <w:rtl w:val="true"/>
        </w:rPr>
        <w:footnoteReference w:id="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Style w:val="FootnoteAnchor"/>
          <w:rtl w:val="true"/>
        </w:rPr>
        <w:footnoteReference w:id="7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والأقوى أنّها أمر مستقلّ ففي الفروع التي فرّعوها على القولين لا بدّ</w:t>
      </w:r>
      <w:bookmarkStart w:id="373" w:name="pg1791_15863"/>
    </w:p>
    <w:p>
      <w:pPr>
        <w:pStyle w:val="BookText"/>
        <w:rPr/>
      </w:pPr>
      <w:bookmarkEnd w:id="373"/>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نكل المنكر فلم يحلف ولم يردّ، فهل يحكم عليه بمجرّد النكول، أو يردّ الحاكم اليمين على المدّعي؛ فإن حلف ثبت دعواه وإلا سقطت؟ قولان، والأشبه 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الرجوع إلى سائر الاصول والقواعد</w:t>
      </w:r>
      <w:r>
        <w:rPr>
          <w:rFonts w:eastAsia="IRNazanin" w:cs="IRNazanin"/>
          <w:color w:val="111111"/>
          <w:sz w:val="28"/>
          <w:szCs w:val="28"/>
          <w:rtl w:val="true"/>
          <w:lang w:bidi="fa-IR"/>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لا بدّ في الفرع الأوّل الرجوع إلى إطلاقات حجّية البيّنة فتسمع بيّنته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الأدلّة في الباب هو ثبوت الحقّ باليمين، سواء كان للمنكر البيّنة على الأداء أو الإبراء أم لا، وهو مقدّم على إطلاقات حجّية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الفرع الثاني فقد تقدّم أنّ آثار اليمين والبيّنة يترتّب عليهما من دون توقّف على حكم الحاكم وما هو متوقّف عليه هو الفصل، وحلّ النزاع وحرمة نقضه أو طرحه مجدّداً</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2354683_3650668749"/>
      <w:bookmarkStart w:id="375" w:name="_Toc138"/>
      <w:bookmarkEnd w:id="374"/>
      <w:r>
        <w:rPr>
          <w:rtl w:val="true"/>
        </w:rPr>
        <w:t>في نكول المنكر عن الحلف والرّد</w:t>
      </w:r>
      <w:bookmarkEnd w:id="375"/>
    </w:p>
    <w:p>
      <w:pPr>
        <w:pStyle w:val="Heading5"/>
        <w:numPr>
          <w:ilvl w:val="4"/>
          <w:numId w:val="1"/>
        </w:numPr>
        <w:rPr/>
      </w:pPr>
      <w:bookmarkStart w:id="376" w:name="__RefHeading___Toc2354685_3650668749"/>
      <w:bookmarkStart w:id="377" w:name="_Toc139"/>
      <w:bookmarkEnd w:id="376"/>
      <w:r>
        <w:rPr>
          <w:rtl w:val="true"/>
        </w:rPr>
        <w:t>اشارة</w:t>
      </w:r>
      <w:bookmarkEnd w:id="3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هي القسم الثالث المفروض في المنكِر إذا طولب منه اليمين فإنّه إمّا أن يحلف أو يردّ اليمين على المدّعي أو ينكل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والنكول بمعنى الامتناع</w:t>
      </w:r>
      <w:r>
        <w:rPr>
          <w:rStyle w:val="FootnoteAnchor"/>
          <w:rtl w:val="true"/>
        </w:rPr>
        <w:footnoteReference w:id="705"/>
      </w:r>
      <w:r>
        <w:rPr>
          <w:rFonts w:ascii="Amiri" w:hAnsi="Amiri" w:eastAsia="Amiri" w:cs="Amiri"/>
          <w:color w:val="111111"/>
          <w:sz w:val="28"/>
          <w:sz w:val="28"/>
          <w:szCs w:val="28"/>
          <w:rtl w:val="true"/>
          <w:lang w:bidi="ar-SA"/>
        </w:rPr>
        <w:t>يعني أنّه يمتنع عن الحلف وعن الردّ كليهما؛ ففيها قولان</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يحكم عليه بمجرّد النكول</w:t>
      </w:r>
      <w:r>
        <w:rPr>
          <w:rFonts w:eastAsia="Amiri" w:cs="Amiri" w:ascii="Amiri" w:hAnsi="Amiri"/>
          <w:color w:val="111111"/>
          <w:sz w:val="28"/>
          <w:szCs w:val="28"/>
          <w:rtl w:val="true"/>
          <w:lang w:bidi="ar-SA"/>
        </w:rPr>
        <w:t>.</w:t>
      </w:r>
      <w:bookmarkStart w:id="378" w:name="pg1791_15865"/>
    </w:p>
    <w:p>
      <w:pPr>
        <w:pStyle w:val="BookText"/>
        <w:rPr/>
      </w:pPr>
      <w:bookmarkEnd w:id="378"/>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يرد الحاكم اليمين على المدّعي، وهو إمّا أن يحلف فيثبت حقّه وإمّا أن ينكل فيسقط حقّه</w:t>
      </w:r>
      <w:r>
        <w:rPr>
          <w:rFonts w:eastAsia="Amiri" w:cs="Amiri" w:ascii="Amiri" w:hAnsi="Amiri"/>
          <w:color w:val="111111"/>
          <w:sz w:val="28"/>
          <w:szCs w:val="28"/>
          <w:rtl w:val="true"/>
          <w:lang w:bidi="ar-SA"/>
        </w:rPr>
        <w:t>.</w:t>
      </w:r>
    </w:p>
    <w:p>
      <w:pPr>
        <w:pStyle w:val="Heading5"/>
        <w:numPr>
          <w:ilvl w:val="4"/>
          <w:numId w:val="1"/>
        </w:numPr>
        <w:rPr/>
      </w:pPr>
      <w:bookmarkStart w:id="379" w:name="__RefHeading___Toc2354687_3650668749"/>
      <w:bookmarkStart w:id="380" w:name="_Toc140"/>
      <w:bookmarkEnd w:id="379"/>
      <w:r>
        <w:rPr>
          <w:rtl w:val="true"/>
        </w:rPr>
        <w:t>القول الأوّل</w:t>
      </w:r>
      <w:r>
        <w:rPr>
          <w:rtl w:val="true"/>
        </w:rPr>
        <w:t xml:space="preserve">: </w:t>
      </w:r>
      <w:r>
        <w:rPr>
          <w:rtl w:val="true"/>
        </w:rPr>
        <w:t>حكم الحاكم بمجرّد النكول‌</w:t>
      </w:r>
      <w:bookmarkEnd w:id="380"/>
    </w:p>
    <w:p>
      <w:pPr>
        <w:pStyle w:val="BookText"/>
        <w:rPr/>
      </w:pPr>
      <w:r>
        <w:rPr>
          <w:rFonts w:ascii="Amiri" w:hAnsi="Amiri" w:eastAsia="Amiri" w:cs="Amiri"/>
          <w:color w:val="111111"/>
          <w:sz w:val="28"/>
          <w:sz w:val="28"/>
          <w:szCs w:val="28"/>
          <w:rtl w:val="true"/>
          <w:lang w:bidi="ar-SA"/>
        </w:rPr>
        <w:t xml:space="preserve">قال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نكل المنكر، بمعنى أنّه لم يحلف ولم يرد،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جعلتك ناكلًا، ويكرّر ذلك ثلاثاً، استظهاراً لا فرضاً</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هذا الكلام من القاضي لا دليل على فرضه، ولا على استحبابه، بل يكون المنكر بامتناعه ناكلًا قبل جعل الحاكم إيّاه ناكلًا، ولا يحتاج إلى جعله ناكلًا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منع له من باب إتمام الحجّة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وحصول الاطّلاع منه عن عواقب نكوله أو من باب أنّ وظيفة الحاكم إعلامه بذلك لو علم أنّه لا يعلم الحكم فحينئذٍ يكفي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إدامة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أصرّ،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عليه بالنكول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يرد اليمين على المدّعي، فإن حلف ثبت حقّه وإن امتنع سقط، والأوّل أظهر وهو المرويّ</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هذا القول جماعة من القدماء والمتأخّرين وجماعة من متأخّري المتأخّرين وذكرهم بأسمائهم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الحقّ</w:t>
      </w:r>
      <w:r>
        <w:rPr>
          <w:rStyle w:val="FootnoteAnchor"/>
          <w:rtl w:val="true"/>
        </w:rPr>
        <w:footnoteReference w:id="708"/>
      </w:r>
      <w:r>
        <w:rPr>
          <w:rFonts w:ascii="IRNazanin" w:hAnsi="IRNazanin" w:eastAsia="IRNazanin"/>
          <w:color w:val="111111"/>
          <w:sz w:val="28"/>
          <w:sz w:val="28"/>
          <w:szCs w:val="28"/>
          <w:rtl w:val="true"/>
          <w:lang w:bidi="fa-IR"/>
        </w:rPr>
        <w:t>وقال</w:t>
      </w:r>
    </w:p>
    <w:p>
      <w:pPr>
        <w:pStyle w:val="BookText"/>
        <w:rPr/>
      </w:pPr>
      <w:r>
        <w:rPr>
          <w:rFonts w:ascii="Amiri" w:hAnsi="Amiri" w:eastAsia="Amiri" w:cs="Amiri"/>
          <w:color w:val="111111"/>
          <w:sz w:val="28"/>
          <w:sz w:val="28"/>
          <w:szCs w:val="28"/>
          <w:rtl w:val="true"/>
          <w:lang w:bidi="ar-SA"/>
        </w:rPr>
        <w:t xml:space="preserve">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والأشبه الثاني</w:t>
      </w:r>
      <w:r>
        <w:rPr>
          <w:rFonts w:eastAsia="Amiri" w:cs="Amiri" w:ascii="Amiri" w:hAnsi="Amiri"/>
          <w:color w:val="111111"/>
          <w:sz w:val="28"/>
          <w:szCs w:val="28"/>
          <w:rtl w:val="true"/>
          <w:lang w:bidi="ar-SA"/>
        </w:rPr>
        <w:t>»</w:t>
      </w:r>
      <w:r>
        <w:rPr>
          <w:rStyle w:val="FootnoteAnchor"/>
          <w:rtl w:val="true"/>
        </w:rPr>
        <w:footnoteReference w:id="709"/>
      </w:r>
      <w:r>
        <w:rPr>
          <w:rFonts w:ascii="Amiri" w:hAnsi="Amiri" w:eastAsia="Amiri" w:cs="Amiri"/>
          <w:color w:val="111111"/>
          <w:sz w:val="28"/>
          <w:sz w:val="28"/>
          <w:szCs w:val="28"/>
          <w:rtl w:val="true"/>
          <w:lang w:bidi="ar-SA"/>
        </w:rPr>
        <w:t>وقال به جماعة من القدماء ومن المتأخّرين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ونسبه بعضهم إلى أكثر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710"/>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711"/>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712"/>
      </w:r>
      <w:r>
        <w:rPr>
          <w:rFonts w:ascii="Amiri" w:hAnsi="Amiri" w:eastAsia="Amiri" w:cs="Amiri"/>
          <w:color w:val="111111"/>
          <w:sz w:val="28"/>
          <w:sz w:val="28"/>
          <w:szCs w:val="28"/>
          <w:rtl w:val="true"/>
          <w:lang w:bidi="ar-SA"/>
        </w:rPr>
        <w:t xml:space="preserve">أنّه مذهب أصحابنا عدا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فالأقرب أنّ الحاكم يرد اليمين على المدّعي</w:t>
      </w:r>
      <w:r>
        <w:rPr>
          <w:rFonts w:eastAsia="Amiri" w:cs="Amiri" w:ascii="Amiri" w:hAnsi="Amiri"/>
          <w:color w:val="111111"/>
          <w:sz w:val="28"/>
          <w:szCs w:val="28"/>
          <w:rtl w:val="true"/>
          <w:lang w:bidi="ar-SA"/>
        </w:rPr>
        <w:t>»</w:t>
      </w:r>
      <w:r>
        <w:rPr>
          <w:rStyle w:val="FootnoteAnchor"/>
          <w:rtl w:val="true"/>
        </w:rPr>
        <w:footnoteReference w:id="7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r>
        <w:rPr>
          <w:rStyle w:val="FootnoteAnchor"/>
          <w:rtl w:val="true"/>
        </w:rPr>
        <w:footnoteReference w:id="7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كتاب العلامة في أربعة خطوط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اختار صاحبه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استدلّوا بالأصل والكتاب والسنّة من طريق العامّة والخاصّة، والإجماع مع موافقته الاعتبار والاحتياط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الاستدلالات وناقش في جميعها،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العروة</w:t>
      </w:r>
      <w:r>
        <w:rPr>
          <w:rFonts w:eastAsia="Amiri" w:cs="Amiri" w:ascii="Amiri" w:hAnsi="Amiri"/>
          <w:color w:val="111111"/>
          <w:sz w:val="28"/>
          <w:szCs w:val="28"/>
          <w:rtl w:val="true"/>
          <w:lang w:bidi="ar-SA"/>
        </w:rPr>
        <w:t>»</w:t>
      </w:r>
      <w:r>
        <w:rPr>
          <w:rStyle w:val="FootnoteAnchor"/>
          <w:rtl w:val="true"/>
        </w:rPr>
        <w:footnoteReference w:id="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استدلال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 ظهر أنّ القول الثاني لا يخلوا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الاستدلال على القول الأوّل وردّ الاستدلالات على القول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كلّ حال فلا ريب أنّ ردّ اليمين على المدّعي أولى</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والجدير بالتوجّه أن المسألة خالية عن النصّ الصريح فليس في آية أو رواية ذكر من النكول أو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والقائلين بكلّ من القولين استندوا لما قالوا به</w:t>
      </w:r>
    </w:p>
    <w:p>
      <w:pPr>
        <w:pStyle w:val="BookText"/>
        <w:rPr/>
      </w:pPr>
      <w:r>
        <w:rPr>
          <w:rFonts w:ascii="Amiri" w:hAnsi="Amiri" w:eastAsia="Amiri" w:cs="Amiri"/>
          <w:color w:val="111111"/>
          <w:sz w:val="28"/>
          <w:sz w:val="28"/>
          <w:szCs w:val="28"/>
          <w:rtl w:val="true"/>
          <w:lang w:bidi="ar-SA"/>
        </w:rPr>
        <w:t>بالأصل، وبالروايات التي استظهروا منها ذلك مع توجيهات غير نقيّة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قول الأوّل؛ أي الحكم بمجرّد النكول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قرّره في ملحقات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 سبعة نذكر أربعة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مشروعية ردّ اليمين من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ثبوت الحلف على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براءة ذمّة الحاكم من التكليف بالردّ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براءة المدّعي من التكليف باليمين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الوجوه في تقرير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واستشكل عليها بأنّ شيئاً من هذه الوجوه لا يفي بإثبات كفاية النكول في الحكم على المنكر بإثبات حقّ المدّعى عليه مع أنّ 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الأصل المثبت فإنّ عدم مشروعية ردّ اليمين من الحاكم، أو براءة ذمّته عن التكليف بالردّ، لا يثبت جواز الحكم عليه بمجرّد النكول؛ بلا شبهة مضافاً إلى معارضة هذه الاصول بما استدلّوا به للقول الآخر الذي سيأتي</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من ادّعى، واليمين على من ادّعي عليه</w:t>
      </w:r>
      <w:r>
        <w:rPr>
          <w:rFonts w:eastAsia="Amiri" w:cs="Amiri" w:ascii="Amiri" w:hAnsi="Amiri"/>
          <w:color w:val="111111"/>
          <w:sz w:val="28"/>
          <w:szCs w:val="28"/>
          <w:rtl w:val="true"/>
          <w:lang w:bidi="ar-SA"/>
        </w:rPr>
        <w:t>»</w:t>
      </w:r>
      <w:r>
        <w:rPr>
          <w:rStyle w:val="FootnoteAnchor"/>
          <w:rtl w:val="true"/>
        </w:rPr>
        <w:footnoteReference w:id="717"/>
      </w:r>
      <w:r>
        <w:rPr>
          <w:rFonts w:ascii="Amiri" w:hAnsi="Amiri" w:eastAsia="Amiri" w:cs="Amiri"/>
          <w:color w:val="111111"/>
          <w:sz w:val="28"/>
          <w:sz w:val="28"/>
          <w:szCs w:val="28"/>
          <w:rtl w:val="true"/>
          <w:lang w:bidi="ar-SA"/>
        </w:rPr>
        <w:t>ولعلّ مراد المحقّق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البيّنة وظيفة للمدّعي، واليمين وظيفة للمنكر؛ على وجه الإطلاق والتفصيل قاطع للشركة فلا يكون المدّعى عليه شريكاً للمدّعي في وظيفته في إقامة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المدّعي شريكاً للمنكر في الحلف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خرج منه اليمين المردودة من</w:t>
      </w:r>
    </w:p>
    <w:p>
      <w:pPr>
        <w:pStyle w:val="BookText"/>
        <w:rPr/>
      </w:pPr>
      <w:r>
        <w:rPr>
          <w:rFonts w:ascii="Amiri" w:hAnsi="Amiri" w:eastAsia="Amiri" w:cs="Amiri"/>
          <w:color w:val="111111"/>
          <w:sz w:val="28"/>
          <w:sz w:val="28"/>
          <w:szCs w:val="28"/>
          <w:rtl w:val="true"/>
          <w:lang w:bidi="ar-SA"/>
        </w:rPr>
        <w:t>المدّعى عليه بالدليل، وبقي الباقي تحت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مقام بيان وظيفة الأوّلية لكلّ منهما على حسب طبع موازين القضاء، فإنّ المدّعي لا بدّ أن يثبت دعواه بالبيّنة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والمنكر يحلف لبراءة ذمّته ولا ينافي ذلك الخلاف أحياناً، إذا دلّ عليه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الشاهد واليمين والدعوى على الميّت كما ورد في ردّ المنكر الحلف على المدّعي، فلو ثبت بالدليل جواز ردّ الحاكم اليمين أيضاً، لا يكون منافياً لهذه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فيه عن كيفية حلف الأخرس فنقل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أنّه كتب اليمين، ثم غسله وأمر الأخرس أن يشربه فامتنع فألزمه الدين</w:t>
      </w:r>
      <w:r>
        <w:rPr>
          <w:rStyle w:val="FootnoteAnchor"/>
          <w:rtl w:val="true"/>
        </w:rPr>
        <w:footnoteReference w:id="718"/>
      </w:r>
      <w:r>
        <w:rPr>
          <w:rFonts w:ascii="Amiri" w:hAnsi="Amiri" w:eastAsia="Amiri" w:cs="Amiri"/>
          <w:color w:val="111111"/>
          <w:sz w:val="28"/>
          <w:sz w:val="28"/>
          <w:szCs w:val="28"/>
          <w:rtl w:val="true"/>
          <w:lang w:bidi="ar-SA"/>
        </w:rPr>
        <w:t>والرواية صحيحة سنداً رواها المحمّدون الثلاث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 الاستدلال بها، أنّ الظاهر منها أنّه بمجرّد امتناعه عن الشرب الذي هو يمينه؛ ألزمه القاضي بالدين؛ لمكان الفاء ولو أراد ردّ اليمين إلى المدّعي فلا بدّ أن يذكر، للزوم تأخير البيان عن وقت الخطاب، بل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القول باحتمال اختصاصها بالأخرس منع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فيستفاد منها أنّ الحاكم يحكم عليه بمجرّد نكوله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مع صحّة سندها معرض عنها، عند المشهور؛ لعدم العمل بها في كيفية تحليف الأخرس، بل قالوا بتحليفه بالإشارة المفهمة الدالّة عليه؛ كسائر</w:t>
      </w:r>
    </w:p>
    <w:p>
      <w:pPr>
        <w:pStyle w:val="BookText"/>
        <w:rPr/>
      </w:pPr>
      <w:r>
        <w:rPr>
          <w:rFonts w:ascii="Amiri" w:hAnsi="Amiri" w:eastAsia="Amiri" w:cs="Amiri"/>
          <w:color w:val="111111"/>
          <w:sz w:val="28"/>
          <w:sz w:val="28"/>
          <w:szCs w:val="28"/>
          <w:rtl w:val="true"/>
          <w:lang w:bidi="ar-SA"/>
        </w:rPr>
        <w:t>اموره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واشترط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719"/>
      </w:r>
      <w:r>
        <w:rPr>
          <w:rFonts w:ascii="Amiri" w:hAnsi="Amiri" w:eastAsia="Amiri" w:cs="Amiri"/>
          <w:color w:val="111111"/>
          <w:sz w:val="28"/>
          <w:sz w:val="28"/>
          <w:szCs w:val="28"/>
          <w:rtl w:val="true"/>
          <w:lang w:bidi="ar-SA"/>
        </w:rPr>
        <w:t>مع ذلك وضع يده على اسم الله عزّ وجلّ وحمله ابن إدريس على أخرس لا يكون له إشارة مفهمة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البحث هو النكول عن الحلف والردّ، وليس فيها نكوله عن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السؤال في الرواية عن كيفية تحليف الأخرس 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في مقام بيان جميع ما يحتاج إليه في الحكم، فعدم ذكر الردّ على المدّعي لا يكون تأخيراً للبيان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يذكر امتناعه عن الردّ إلى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قضية في واقعة ولا يكون عامّاً حتّى جاز التمسّك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عدم ردّ اليمين إلى المدّعي لعدم إمكانه في المورد</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عبدالرحمن بن أبي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خبّرني‌عن الرجل يدّعي قبل الرجل الحقّ فلم تكن له بيّنة بما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فيمين المدّعى عليه، فإن حلف فلا حقّ له، وإن ردّ اليمين على المدّعي فلم يحلف فلا حقّ له وإن لم يحلف فعليه وإن كان المطلوب بالحقّ قد مات، فاقيمت عليه البيّنة، فعلى المدّعي اليمين بالله الذي لا إله إلا هو، لقد مات فلان، وأنّ حقّه لعليه، فإن حلف، وإلا فلا حقّ له، لأنّا لا ندري لعلّه قد أوفاه ببيّنة لا نعلم موضعها، أو غير بيّنة قبل الموت، فمن ثمّ‌صارت عليه اليمين مع البيّنة، فإن ادّعى بلا بيّنة فلا حقّ له، لأنّ‌المدّعى عليه ليس بحيّ، ولو كان حيّاً لألزم اليمين، أو الحقّ، أو</w:t>
      </w:r>
    </w:p>
    <w:p>
      <w:pPr>
        <w:pStyle w:val="BookText"/>
        <w:rPr/>
      </w:pPr>
      <w:r>
        <w:rPr>
          <w:rFonts w:ascii="Amiri" w:hAnsi="Amiri" w:eastAsia="Amiri" w:cs="Amiri"/>
          <w:color w:val="111111"/>
          <w:sz w:val="28"/>
          <w:sz w:val="28"/>
          <w:szCs w:val="28"/>
          <w:rtl w:val="true"/>
          <w:lang w:bidi="ar-SA"/>
        </w:rPr>
        <w:t>يرداليمين عليه، فمن ثمّ لم يثبت الحقّ</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تقريب الاستدلال بالرواية احتجّوا بفقرتين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مورد الاستدلال فقرة من الرواية بنقلين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فيمين المدّعى عليه فإن حلف فلا حقّ له وإن لم يحلف فعليه</w:t>
      </w:r>
      <w:r>
        <w:rPr>
          <w:rFonts w:eastAsia="Amiri" w:cs="Amiri" w:ascii="Amiri" w:hAnsi="Amiri"/>
          <w:color w:val="111111"/>
          <w:sz w:val="28"/>
          <w:szCs w:val="28"/>
          <w:rtl w:val="true"/>
          <w:lang w:bidi="ar-SA"/>
        </w:rPr>
        <w:t>»</w:t>
      </w:r>
      <w:r>
        <w:rPr>
          <w:rStyle w:val="FootnoteAnchor"/>
          <w:rtl w:val="true"/>
        </w:rPr>
        <w:footnoteReference w:id="721"/>
      </w:r>
      <w:r>
        <w:rPr>
          <w:rFonts w:ascii="Amiri" w:hAnsi="Amiri" w:eastAsia="Amiri" w:cs="Amiri"/>
          <w:color w:val="111111"/>
          <w:sz w:val="28"/>
          <w:sz w:val="28"/>
          <w:szCs w:val="28"/>
          <w:rtl w:val="true"/>
          <w:lang w:bidi="ar-SA"/>
        </w:rPr>
        <w:t>فيكون الخبر مشيراً إلى نكول المدّعى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نقل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Style w:val="FootnoteAnchor"/>
          <w:rtl w:val="true"/>
        </w:rPr>
        <w:footnoteReference w:id="7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حلف فلا حقّ له وإن ردّ اليمين على المدّعي فلم يحلف فلا حقّ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يكون الخبر مشيراً إلى نكول المدّعى عليه،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وتقريب الاستدلال به أنّ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المنكر،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لمبتداء محذوف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إن لم يحلف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 على القضاء عليه بالنكول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الفقرة الثانية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حيّاً لألزم باليمين أو الحقّ أو يرد اليمين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 الاستدلال أنّ المستفاد منه أنّ المنكر إذا امتنع عن اليمين وعن ردّه إلى المدّعي، فألزم بالحقّ يعني يقضي عليه بالنكول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اعترض على الرواية بضعف السند وعبّر عنها بالمجهول، من جهة ياسين</w:t>
      </w:r>
    </w:p>
    <w:p>
      <w:pPr>
        <w:pStyle w:val="BookText"/>
        <w:rPr/>
      </w:pPr>
      <w:r>
        <w:rPr>
          <w:rFonts w:ascii="Amiri" w:hAnsi="Amiri" w:eastAsia="Amiri" w:cs="Amiri"/>
          <w:color w:val="111111"/>
          <w:sz w:val="28"/>
          <w:sz w:val="28"/>
          <w:szCs w:val="28"/>
          <w:rtl w:val="true"/>
          <w:lang w:bidi="ar-SA"/>
        </w:rPr>
        <w:t>الضرير؛ فإنه لم يمدح ولم يذمّ من أئمّة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ياسين الضرير الزّيات البصري، لقي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بالبصرة روى عنه وصنف هذا الكتاب المنسوب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إليه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المحقّق الداماد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 من المعهود من ديدن النجاشي أنّه إمامي مستقيم المذهب، لنقله ما نقله من غير تعرّض عليه في دينه</w:t>
      </w:r>
      <w:r>
        <w:rPr>
          <w:rFonts w:eastAsia="Amiri" w:cs="Amiri" w:ascii="Amiri" w:hAnsi="Amiri"/>
          <w:color w:val="111111"/>
          <w:sz w:val="28"/>
          <w:szCs w:val="28"/>
          <w:rtl w:val="true"/>
          <w:lang w:bidi="ar-SA"/>
        </w:rPr>
        <w:t>»</w:t>
      </w:r>
      <w:r>
        <w:rPr>
          <w:rStyle w:val="FootnoteAnchor"/>
          <w:rtl w:val="true"/>
        </w:rPr>
        <w:footnoteReference w:id="7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نقل مثل حمّاد عن حريز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كونه صحيح المذهب وثاقته، فالأقوى أنّ رواياته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الأصحاب تلقوا هذه الرواية بالقبول وأفتوا على طبقها في الدعوى على الميّت في لزوم ضمّ اليمين إلى البيّنة، ولا دليل لهم غير هذه الرواية فينجبر ضعف سندها بعمل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الاستدلال بالفقرة الاولى بأنّ الظاهر منها أنّ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إلى الدعوى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حلف فلا حقّ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يحلف فعليه، يعني فعلى المدّعي والمبتدأ المحذوف هو الحلف يعني فالحلف عليه إمّا بردّ المنكر أو ردّ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الاحتمال فلا يجوز التمسّك به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اختلاف النسخة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72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725"/>
      </w:r>
      <w:r>
        <w:rPr>
          <w:rFonts w:ascii="Amiri" w:hAnsi="Amiri" w:eastAsia="Amiri" w:cs="Amiri"/>
          <w:color w:val="111111"/>
          <w:sz w:val="28"/>
          <w:sz w:val="28"/>
          <w:szCs w:val="28"/>
          <w:rtl w:val="true"/>
          <w:lang w:bidi="ar-SA"/>
        </w:rPr>
        <w:t xml:space="preserve">مع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726"/>
      </w:r>
      <w:r>
        <w:rPr>
          <w:rFonts w:ascii="Amiri" w:hAnsi="Amiri" w:eastAsia="Amiri" w:cs="Amiri"/>
          <w:color w:val="111111"/>
          <w:sz w:val="28"/>
          <w:sz w:val="28"/>
          <w:szCs w:val="28"/>
          <w:rtl w:val="true"/>
          <w:lang w:bidi="ar-SA"/>
        </w:rPr>
        <w:t>يمنع عن صحّة التمسّك به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الاستدلال بالفقرة الثانية أنّه يحتمل أن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يرد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بالبناء للمجهول، ويكون المراد هو المدّعى عليه أو الحاكم ويكون الإلزام بالحقّ بعد حلف المدّعي اليمين المردودة من أحدهما وإذا جاء الاحتمال بطل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بصير قال 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القسامة أين كان بدوها؟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قبل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ادّعى على رجل عشرة آلاف درهم أو أقلّ من ذلك أو أكثر لم يكن اليمين على المدّعي وكان اليمين على المدّعى عليه</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عليها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اليمين على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شامل لما نكل المدّعى عليه عن اليمين أو لم ينكل، ردّ اليمين على المدّعي أو لم يرد؛ فخرجت صورة الردّ بالإجماع والنصوص؛ فيبقى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الباقي ما إذا نكل المدّعى عليه، فلا يمين على المدّعي بمقتضى الرواية فلا يخلو إمّا أن يحكم القاضي بالنكول ويلزم المدّعى عليه بالحقّ، أو يلزم المدّعي بترك الدعوى من جهة نكول المدّعى عليه أو يتوقّف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والأخيران باطلان بالإجماع، فيبقى الأوّل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وبتقرير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نكل المدّعى عليه فالأمر دائر بين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اليمين إلى المدّعي</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إلزام المدّعى عليه بالحقّ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باطل بعموم الرواية، فيبقى الباقي وهو المطلوب</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bookmarkStart w:id="381" w:name="pg1791_15881"/>
    </w:p>
    <w:p>
      <w:pPr>
        <w:pStyle w:val="BookText"/>
        <w:rPr/>
      </w:pPr>
      <w:bookmarkEnd w:id="381"/>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اليمين على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والمتبادر منه عرفاً نفي اليمين عليه لإثبات مدّعاه؛ يعني أنّ وظيفته إقامة البيّنة، لا اليمين؛ في قبال المدّعى عليه الذي يطلب منه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نفيه عليه، مطلقاً؛ فلا يكون عامّاً حتّى يشمل مورد النكول أو الردّ وغيرهما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كلّها عمدة الأدلّة في كلمات الأصحاب للقول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بمجردّ النكول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ترى ليست خالية عن الإشكال فلا يصحّ الالتزام بهذا القول</w:t>
      </w:r>
      <w:r>
        <w:rPr>
          <w:rFonts w:eastAsia="Amiri" w:cs="Amiri" w:ascii="Amiri" w:hAnsi="Amiri"/>
          <w:color w:val="111111"/>
          <w:sz w:val="28"/>
          <w:szCs w:val="28"/>
          <w:rtl w:val="true"/>
          <w:lang w:bidi="ar-SA"/>
        </w:rPr>
        <w:t>.</w:t>
      </w:r>
    </w:p>
    <w:p>
      <w:pPr>
        <w:pStyle w:val="Heading5"/>
        <w:numPr>
          <w:ilvl w:val="4"/>
          <w:numId w:val="1"/>
        </w:numPr>
        <w:rPr/>
      </w:pPr>
      <w:bookmarkStart w:id="382" w:name="__RefHeading___Toc2354689_3650668749"/>
      <w:bookmarkStart w:id="383" w:name="_Toc141"/>
      <w:bookmarkEnd w:id="382"/>
      <w:r>
        <w:rPr>
          <w:rtl w:val="true"/>
        </w:rPr>
        <w:t>القول الثاني</w:t>
      </w:r>
      <w:r>
        <w:rPr>
          <w:rtl w:val="true"/>
        </w:rPr>
        <w:t xml:space="preserve">: </w:t>
      </w:r>
      <w:r>
        <w:rPr>
          <w:rtl w:val="true"/>
        </w:rPr>
        <w:t>ردّ الحاكم اليمين على المدّعى بعد نكول المدّعى عليه‌</w:t>
      </w:r>
      <w:bookmarkEnd w:id="383"/>
    </w:p>
    <w:p>
      <w:pPr>
        <w:pStyle w:val="BookText"/>
        <w:rPr/>
      </w:pPr>
      <w:r>
        <w:rPr>
          <w:rFonts w:ascii="Amiri" w:hAnsi="Amiri" w:eastAsia="Amiri" w:cs="Amiri"/>
          <w:color w:val="111111"/>
          <w:sz w:val="28"/>
          <w:sz w:val="28"/>
          <w:szCs w:val="28"/>
          <w:rtl w:val="true"/>
          <w:lang w:bidi="ar-SA"/>
        </w:rPr>
        <w:t>لزوم ردّ الحاكم اليمين على المدّعي، فنقول إنّ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ردّ اليمين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يحلف فيثبت حقّه، وإن لم يحلف يسقط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أدلّة 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ويقرّر الأصل إمّا بأصالة عدم ثبوت الحقّ على المنكر إلا باليمين، وإمّا بأصالة براءة ذمّة المدّعى عليه، ما لم يحلف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يثبت كون النكول مع يمين المدّعي موضوعاً تامّاً للقضاء، إلا على القول بالأصل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عبيد بن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يدّعي عليه الحقّ ولا بيّنة للمدّعي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يستحلف أو يرد اليمين على صاحب الحقّ فإن لم يفعل فلا حقّ له</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والاستدلال بها مبنيّ على قرائة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مبنيّاً للمجهول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إذا لم يكن</w:t>
      </w:r>
    </w:p>
    <w:p>
      <w:pPr>
        <w:pStyle w:val="BookText"/>
        <w:rPr/>
      </w:pPr>
      <w:r>
        <w:rPr>
          <w:rFonts w:ascii="Amiri" w:hAnsi="Amiri" w:eastAsia="Amiri" w:cs="Amiri"/>
          <w:color w:val="111111"/>
          <w:sz w:val="28"/>
          <w:sz w:val="28"/>
          <w:szCs w:val="28"/>
          <w:rtl w:val="true"/>
          <w:lang w:bidi="ar-SA"/>
        </w:rPr>
        <w:t>للمدّعي بيّنة فيستحلف المدّعى عليه أو يرد اليمين على صاحب الحقّ، وقد يكون المراد نفس 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الحاكم فيكون نصّاً للجواز فيردّ الحاكم اليمين إلى المدّعي، فلو حلف يثبت حقّه ولو لم يحلف يسقط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قُرء مبنيّاً للفاعل يصير دليلًا على المسئلة السابقة؛ يعني ردّ المدّعى عليه اليمين على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منها هو أن يكون مبنيّاً للفاعل ويكون المراد المدّعى عليه؛ فإنّه في مقام بيان وظيفة المدّعى عليه بأنّه إمّا أن يحلف وإمّا أن يرد اليمين إلى المدّعي، أمّا أنّه قد يرد الحاكم اليمين فليس في مقام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والمبنى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المبنى للمجهول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الاستدلال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سندها قاسم بن سليمان فمن هذه الجهة قد عبّر بعضهم عنها بالمجهولة وقد تقدّم أنّ الأقوى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هشام، عن أبي عبدالله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تردّ اليمين على المدّعي</w:t>
      </w:r>
      <w:r>
        <w:rPr>
          <w:rFonts w:eastAsia="Amiri" w:cs="Amiri" w:ascii="Amiri" w:hAnsi="Amiri"/>
          <w:color w:val="111111"/>
          <w:sz w:val="28"/>
          <w:szCs w:val="28"/>
          <w:rtl w:val="true"/>
          <w:lang w:bidi="ar-SA"/>
        </w:rPr>
        <w:t>»</w:t>
      </w:r>
      <w:r>
        <w:rPr>
          <w:rStyle w:val="FootnoteAnchor"/>
          <w:rtl w:val="true"/>
        </w:rPr>
        <w:footnoteReference w:id="730"/>
      </w:r>
      <w:r>
        <w:rPr>
          <w:rFonts w:ascii="Amiri" w:hAnsi="Amiri" w:eastAsia="Amiri" w:cs="Amiri"/>
          <w:color w:val="111111"/>
          <w:sz w:val="28"/>
          <w:sz w:val="28"/>
          <w:szCs w:val="28"/>
          <w:rtl w:val="true"/>
          <w:lang w:bidi="ar-SA"/>
        </w:rPr>
        <w:t>وتقريب الاستدلال هو إطلاق ترد وشموله لردّ اليمين من الحاكم أيضاً مثل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جواب عن سؤال غير مذكور ولعلّ المورد ما إذا رضي المدّعى عليه بردّ اليمين فلا يمكن الاستدلال بها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المدّعى عليه مخيّر بين الحلف ورد اليمين إلى المدّعي بمقتضى الروايات فإذا امتنع عنهما فيرد الحاكم اليمين إلى المدّعي من باب أنّه وليّ الممتنع، فردّ الحاكم حينئذٍ بمنزلة ردّه؛ من باب ولايته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عموم ولايته بحيث يشمل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ورد عن العامّة من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ردّ اليمين على المدّعي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رووه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المطلوب أولى باليمين من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المقتضى اشتراكهما في اليمين وإن كان المطلوب أحقّ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لكنّها محلّ النظر والإشكال ولا يصحّ الاعتماد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ظهر ممّا ذكرنا أنّه ليس في النصوص تعرّض لغرض نكول المنكر وأنّ الحكم فيه هو القضاء بالنكول، أو ردّ الحاكم اليمين إلى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يستدلّ به للقولين ليس خالياً عن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يقال كما يستفاد من كلمات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إليه بأنّ المستفاد من الأدلّة أنّ القضاء لا بدّ أن يكون مستنداً إلى حجّة وسبب توجب حكم القاضي باستنادها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أقضى بينكم بالبيّنات والأيمان</w:t>
      </w:r>
      <w:r>
        <w:rPr>
          <w:rFonts w:eastAsia="Amiri" w:cs="Amiri" w:ascii="Amiri" w:hAnsi="Amiri"/>
          <w:color w:val="111111"/>
          <w:sz w:val="28"/>
          <w:szCs w:val="28"/>
          <w:rtl w:val="true"/>
          <w:lang w:bidi="ar-SA"/>
        </w:rPr>
        <w:t>»</w:t>
      </w:r>
      <w:r>
        <w:rPr>
          <w:rStyle w:val="FootnoteAnchor"/>
          <w:rtl w:val="true"/>
        </w:rPr>
        <w:footnoteReference w:id="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خبر أبان بن عثمان عمّن أخبره،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نبيّاً من الأنبياء شكا إلى ربّه القضاء،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أقضى بما لم تر عيني ولم تسمع اذني؟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بينهم بالبيّنات وأضفهم إلى إسمي يحلفون به</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ما دلّ على جواز الحكم على طبق إقرار المدّعى عليه، أو جواز الحكم باستناد علمه ففيما نحن فيه كون مجرّد النكول سبباً للحكم وموجباً لثبوت الحقّ</w:t>
      </w:r>
    </w:p>
    <w:p>
      <w:pPr>
        <w:pStyle w:val="BookText"/>
        <w:rPr/>
      </w:pPr>
      <w:r>
        <w:rPr>
          <w:rFonts w:ascii="Amiri" w:hAnsi="Amiri" w:eastAsia="Amiri" w:cs="Amiri"/>
          <w:color w:val="111111"/>
          <w:sz w:val="28"/>
          <w:sz w:val="28"/>
          <w:szCs w:val="28"/>
          <w:rtl w:val="true"/>
          <w:lang w:bidi="ar-SA"/>
        </w:rPr>
        <w:t>على المنكر مشكوك، والأصل عدم كونه سبباً للحكم، أو لثبوت الحقّ على المنكر فلا وجه، ولا مقتضى للحكم بمجرّد النكول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فرض الإجماع المركّب على أنّ وظيفة القاضي أحد الأمرين واختيار قول ثالث مثل التخيير بين الردّ والقضاء أو إلزام المنكر على اختيار الحلف أو الردّ ولو بحبسه خرق للإجماع المذكور، فينحصر الوظيفة له في ردّ اليمين إلى المدّعي، فلو حلف يحكم له بالحقّ وإن لم يحلف فيسقط حقّه ويحكم عليه بالنكول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الفرض خرج عمّا قلنا بالدليل وفي الواقع لا يكون الحكم بالنكول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بما دلّ على سقوط الحقّ بالامتناع عن الحلف فإذا سقط حقّه شرعاً يحكم‌الحاكم بعدم ثبوت الحقّ له بمقتضى الروايات، لا بالنكول والامتناع عن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سير أدلّة القضاء يشرف الفقيه على القطع بأنّ الأصل في القضاء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القضاء بالبيّنات واليمين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لا قضاء بدون ذلك إلا ما خرج من نكول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ولعلّه لذا جزم ابن إدريس بأنّ القول بالقضاء بمجرّد نكول المنكر من دون حلف المدّعي اشتباه وخطأ محض</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نتيجة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الأقوى القول بلزوم ردّ الحاكم اليمين على المدّعي كما قال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الأشبه الثاني</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السيّد الطباطبائي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ذكرنا ظهر أنّ القول الثاني لا يخلو عن قوّة</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bookmarkStart w:id="384" w:name="pg1791_15889"/>
    </w:p>
    <w:p>
      <w:pPr>
        <w:pStyle w:val="BookText"/>
        <w:rPr/>
      </w:pPr>
      <w:bookmarkEnd w:id="384"/>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رجع المنكر الناكل عن نكوله، فإن كان بعد حكم الحاكم عليه، أو بعد حلف المدّعي المردود عليه الحلف، لا يلتفت إليه، ويثبت الحقّ عليه في الفرض الأوّل، ولزم الحكم عليه في الثاني من غير فرق بين علمه بحكم النكول أو 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2354691_3650668749"/>
      <w:bookmarkStart w:id="386" w:name="_Toc142"/>
      <w:bookmarkEnd w:id="385"/>
      <w:r>
        <w:rPr>
          <w:rtl w:val="true"/>
        </w:rPr>
        <w:t>في رجوع المنكر الناكل عن نكوله‌</w:t>
      </w:r>
      <w:bookmarkEnd w:id="3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ندم المنكر الناكل عن نكوله وبذل اليمين، ففيه صور أربعة قد تعرّض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لصورتين منها وهما الصورتين الاوليين من الصور التي سنذكر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رجوعه عن النكول بعد حكم الحاكم عليه بالنكول بناءً على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رجوعه عنه بعد ردّ اليمين من الحاكم إلى المدّعي وحلفه بناءً على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رجوعه عن النكول بعد تحقّقه وقبل الحكم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إذا كان رجوعه بعد ردّ اليمين إلى المدّعي وقبل الحلف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الصور بالتفصيل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رجوع المنكر عن النكول وبذله اليمين بعد حكم الحاكم عليه بالنكول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عدم الالتفات إلى رجوعه وبذله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w:t>
      </w:r>
    </w:p>
    <w:p>
      <w:pPr>
        <w:pStyle w:val="BookText"/>
        <w:rPr/>
      </w:pPr>
      <w:r>
        <w:rPr>
          <w:rFonts w:ascii="Amiri" w:hAnsi="Amiri" w:eastAsia="Amiri" w:cs="Amiri"/>
          <w:color w:val="111111"/>
          <w:sz w:val="28"/>
          <w:sz w:val="28"/>
          <w:szCs w:val="28"/>
          <w:rtl w:val="true"/>
          <w:lang w:bidi="ar-SA"/>
        </w:rPr>
        <w:t>بعد ثبوت الحقّ عليه ارتفع النزاع، وفصل الخصومة بسبب حكم الحاكم، فلا يبقى وجه لبذله اليمين ورجوعه عن النكول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واليمين على 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على قبول البذل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 منصرف عن ذلك لأنّ الحقّ ثبت عليه بحكم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يبقى مجال لبذل اليمين على البراءة وارتفاع النزاع بحكم الحاكم، فلا يجوز نقضه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بذل المنكر اليمين بعد النكول وردّ الحاكم اليمين إلى المدّعي وحلف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أيضاً في عدم الالتفات إلى رجوعه عن النكول وبذله اليمين، فإنّ المستفاد ممّا تقدّم من الروايات، هو ثبوت الحقّ عليه بسبب حلف المدّعي، فلا يبقى مجال أيضاً لقبول بذله اليمين</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في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كونه عالماً بحكم النكول من حكم الحاكم عليه، أو ردّ اليمين على المدّعي أو لا؛ لأنّ الجهل لا يكون عذراً في الأحكام الوضعية، كما في الإتلاف الموجب للضمان، فإنّه لا فرق فيه بين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بالضمان في الإتلاف أو عدم العلم 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فرق أيضاً بين كون التكليف ثابتاً عليه، أو لا، كالنائم، فما 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لو ادّعى الجهل بحكم النكول ففي نفوذ القضاء إشكال، من تفريطه، وظهور عذره</w:t>
      </w:r>
      <w:r>
        <w:rPr>
          <w:rFonts w:eastAsia="Amiri" w:cs="Amiri" w:ascii="Amiri" w:hAnsi="Amiri"/>
          <w:color w:val="111111"/>
          <w:sz w:val="28"/>
          <w:szCs w:val="28"/>
          <w:rtl w:val="true"/>
          <w:lang w:bidi="ar-SA"/>
        </w:rPr>
        <w:t>»</w:t>
      </w:r>
      <w:r>
        <w:rPr>
          <w:rStyle w:val="FootnoteAnchor"/>
          <w:rtl w:val="true"/>
        </w:rPr>
        <w:footnoteReference w:id="735"/>
      </w:r>
      <w:r>
        <w:rPr>
          <w:rFonts w:ascii="Amiri" w:hAnsi="Amiri" w:eastAsia="Amiri" w:cs="Amiri"/>
          <w:color w:val="111111"/>
          <w:sz w:val="28"/>
          <w:sz w:val="28"/>
          <w:szCs w:val="28"/>
          <w:rtl w:val="true"/>
          <w:lang w:bidi="ar-SA"/>
        </w:rPr>
        <w:t>، ففيه ما لا يخفى، فإنّه قد تقدّم أنّه لا يجب على القاضي عرض حكم</w:t>
      </w:r>
    </w:p>
    <w:p>
      <w:pPr>
        <w:pStyle w:val="BookText"/>
        <w:rPr/>
      </w:pPr>
      <w:r>
        <w:rPr>
          <w:rFonts w:ascii="Amiri" w:hAnsi="Amiri" w:eastAsia="Amiri" w:cs="Amiri"/>
          <w:color w:val="111111"/>
          <w:sz w:val="28"/>
          <w:sz w:val="28"/>
          <w:szCs w:val="28"/>
          <w:rtl w:val="true"/>
          <w:lang w:bidi="ar-SA"/>
        </w:rPr>
        <w:t>النكول عليه، بل ولا يستحبّ لعدم الدليل عليه، والجهل أيضاً ليس بعذر في الأحكام الوضعية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المنكر عن النكول بعد تحقّق النكول وقبل الحكم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الالتفات إلى بذله اليمين، و رجوعه عن النكول، وعدمه،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ثبوت الحقّ عليه قبل حكم الحاكم وإن تحقّق موجبه، فإنّ النكول على هذا القول كان موجباً للقضاء، والحكم بثبوت الحقّ عليه مطلقاً، لا ثبوت الحقّ عليه بقيد كونه قبل حكم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وجب على الحاكم الحكم عليه بعد تحقّق الموجب، فيستصحب بعد البذل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متوقّف على عدم الرجوع عن النكول ولا أقلّ من الشكّ فيه فلا يجري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إطلاق كون الحلف عليه يشمل هذه الصورة، والقدر المتيقّن من حكم النكول ما إذا كان باقياً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المنكر عن النكول قبل حلف المدّعي يمين المردودة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لزوم الالتفات إلى رجوعه فإنّ صرف ردّ اليمين من القاضي إلى المدّعي، لم يوجب سقوط حقّ المنكر عن اليمين، فإنّه لا دليل عليه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 القاضي للمدّعي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قضاءً منه، بل تمهيد للقضاء، فما حكي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36"/>
      </w:r>
      <w:r>
        <w:rPr>
          <w:rFonts w:ascii="Amiri" w:hAnsi="Amiri" w:eastAsia="Amiri" w:cs="Amiri"/>
          <w:color w:val="111111"/>
          <w:sz w:val="28"/>
          <w:sz w:val="28"/>
          <w:szCs w:val="28"/>
          <w:rtl w:val="true"/>
          <w:lang w:bidi="ar-SA"/>
        </w:rPr>
        <w:t xml:space="preserve">عن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737"/>
      </w:r>
      <w:r>
        <w:rPr>
          <w:rFonts w:ascii="Amiri" w:hAnsi="Amiri" w:eastAsia="Amiri" w:cs="Amiri"/>
          <w:color w:val="111111"/>
          <w:sz w:val="28"/>
          <w:sz w:val="28"/>
          <w:szCs w:val="28"/>
          <w:rtl w:val="true"/>
          <w:lang w:bidi="ar-SA"/>
        </w:rPr>
        <w:t xml:space="preserve">من جعل قول الحاكم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أحلف</w:t>
      </w:r>
      <w:r>
        <w:rPr>
          <w:rFonts w:eastAsia="Amiri" w:cs="Amiri" w:ascii="Amiri" w:hAnsi="Amiri"/>
          <w:color w:val="111111"/>
          <w:sz w:val="28"/>
          <w:szCs w:val="28"/>
          <w:rtl w:val="true"/>
          <w:lang w:bidi="ar-SA"/>
        </w:rPr>
        <w:t>»</w:t>
      </w:r>
      <w:bookmarkStart w:id="387" w:name="pg1791_15894"/>
    </w:p>
    <w:p>
      <w:pPr>
        <w:pStyle w:val="BookText"/>
        <w:rPr/>
      </w:pPr>
      <w:bookmarkEnd w:id="387"/>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استمهل المنكر في الحلف و الردّ ليلاحظ ما فيه صلاحه، جاز إمهاله بمقدار لا يضرّ بالمدّعي ولا يوجب تعطيل الحقّ والتأخير الفاحش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أجاز المدّعي جاز مطلقاً بمقدار إجازته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كالقضاء بالنكول؛ فلا وجه له</w:t>
      </w:r>
      <w:r>
        <w:rPr>
          <w:rFonts w:eastAsia="Amiri" w:cs="Amiri" w:ascii="Amiri" w:hAnsi="Amiri"/>
          <w:color w:val="111111"/>
          <w:sz w:val="28"/>
          <w:szCs w:val="28"/>
          <w:rtl w:val="true"/>
          <w:lang w:bidi="ar-SA"/>
        </w:rPr>
        <w:t>.</w:t>
      </w:r>
    </w:p>
    <w:p>
      <w:pPr>
        <w:pStyle w:val="Heading4"/>
        <w:numPr>
          <w:ilvl w:val="3"/>
          <w:numId w:val="1"/>
        </w:numPr>
        <w:rPr/>
      </w:pPr>
      <w:bookmarkStart w:id="388" w:name="__RefHeading___Toc2354693_3650668749"/>
      <w:bookmarkStart w:id="389" w:name="_Toc143"/>
      <w:bookmarkEnd w:id="388"/>
      <w:r>
        <w:rPr>
          <w:rtl w:val="true"/>
        </w:rPr>
        <w:t>استمهال المنكر في الحلف أو الردّ</w:t>
      </w:r>
      <w:bookmarkEnd w:id="38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صورتان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الاستمهال من المدّعي الذي ادّعى عليه الحقّ سواء كان بواسطة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يستدعي من الحاكم أن يستمهل له من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بلا واسطته،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يستدعي المنكر بنفسه منه المهلة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ويريد أن يتفكّر في ذلك، أو يريد المشاورة مع الوكيل وغيره فيما فيه صلاحه من اختيار اليمين أو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جواز الإمهال بمقدار إجازة المدّعي طويلًا أو قصيراً، لأنّ الحقّ للمدّعي على احتمال، لعدم ثبوته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وإجازة الإمهال وعدمها بيده وهو صاحب الحقّ احتمالًا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الاستمهال من الحاكم وهو يريد أن يعطيه المهلة، فهنا لا بدّ أن يقتصر على الإمهال بمدّة لا يضرّ بالمدّعي، ولا يوجب تعطيل الحقّ أو تضييعه ولا التأخير الفاحش، فإنّ القاضي لا بدّ أن يقدّم على ما فيه صلاحها، ولا بدّ له من رعاية صاحب الحقّ في وصول حقّه إليه</w:t>
      </w:r>
      <w:r>
        <w:rPr>
          <w:rFonts w:eastAsia="Amiri" w:cs="Amiri" w:ascii="Amiri" w:hAnsi="Amiri"/>
          <w:color w:val="111111"/>
          <w:sz w:val="28"/>
          <w:szCs w:val="28"/>
          <w:rtl w:val="true"/>
          <w:lang w:bidi="ar-SA"/>
        </w:rPr>
        <w:t>.</w:t>
      </w:r>
      <w:bookmarkStart w:id="390" w:name="pg1791_15896"/>
    </w:p>
    <w:p>
      <w:pPr>
        <w:pStyle w:val="BookText"/>
        <w:rPr/>
      </w:pPr>
      <w:bookmarkEnd w:id="390"/>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المدّعي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للحاكم إلزامه بإحضارها، فله أن يحضرها أو مطالبة اليمين أو ترك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 إرشاده بذلك أو بيان الحكم؛ من غير فرق في الموضعين بين علمه وجهله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391" w:name="__RefHeading___Toc2354695_3650668749"/>
      <w:bookmarkStart w:id="392" w:name="_Toc144"/>
      <w:bookmarkEnd w:id="391"/>
      <w:r>
        <w:rPr>
          <w:rtl w:val="true"/>
        </w:rPr>
        <w:t>فيما يتعلّق بالمدّعي من الأحكام‌</w:t>
      </w:r>
      <w:bookmarkEnd w:id="392"/>
    </w:p>
    <w:p>
      <w:pPr>
        <w:pStyle w:val="Heading5"/>
        <w:numPr>
          <w:ilvl w:val="4"/>
          <w:numId w:val="1"/>
        </w:numPr>
        <w:rPr/>
      </w:pPr>
      <w:bookmarkStart w:id="393" w:name="__RefHeading___Toc2354697_3650668749"/>
      <w:bookmarkStart w:id="394" w:name="_Toc145"/>
      <w:bookmarkEnd w:id="393"/>
      <w:r>
        <w:rPr>
          <w:rtl w:val="true"/>
        </w:rPr>
        <w:t>اشارة</w:t>
      </w:r>
      <w:bookmarkEnd w:id="3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شروع فيما يتعلّق بالمدّعي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ثلاث مسائل ذكرها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تبعاً لجمع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 بيّنة، فهل يجوز للحاكم 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يأمره بإحضارها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يجوز، أو فيه تفصيل بين علم الحاكم بمعرفة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وظيفته إحضارها فلا يجوز، وبين جهله بذلك فيجوز؟</w:t>
      </w:r>
    </w:p>
    <w:p>
      <w:pPr>
        <w:pStyle w:val="BookText"/>
        <w:rPr/>
      </w:pPr>
      <w:r>
        <w:rPr>
          <w:rFonts w:ascii="Amiri" w:hAnsi="Amiri" w:eastAsia="Amiri" w:cs="Amiri"/>
          <w:color w:val="111111"/>
          <w:sz w:val="28"/>
          <w:sz w:val="28"/>
          <w:szCs w:val="28"/>
          <w:rtl w:val="true"/>
          <w:lang w:bidi="ar-SA"/>
        </w:rPr>
        <w:t xml:space="preserve">قال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للمدّعي بيّنة، لم يقل الحاكم أحضرها،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يجوز له أن يقول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جاء به وإلا فلا، إذ يمكن أن يريد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وهو حسن</w:t>
      </w:r>
      <w:r>
        <w:rPr>
          <w:rFonts w:eastAsia="Amiri" w:cs="Amiri" w:ascii="Amiri" w:hAnsi="Amiri"/>
          <w:color w:val="111111"/>
          <w:sz w:val="28"/>
          <w:szCs w:val="28"/>
          <w:rtl w:val="true"/>
          <w:lang w:bidi="ar-SA"/>
        </w:rPr>
        <w:t>»</w:t>
      </w:r>
      <w:r>
        <w:rPr>
          <w:rStyle w:val="FootnoteAnchor"/>
          <w:rtl w:val="true"/>
        </w:rPr>
        <w:footnoteReference w:id="73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39"/>
      </w:r>
      <w:r>
        <w:rPr>
          <w:rFonts w:ascii="Amiri" w:hAnsi="Amiri" w:eastAsia="Amiri" w:cs="Amiri"/>
          <w:color w:val="111111"/>
          <w:sz w:val="28"/>
          <w:sz w:val="28"/>
          <w:szCs w:val="28"/>
          <w:rtl w:val="true"/>
          <w:lang w:bidi="ar-SA"/>
        </w:rPr>
        <w:t xml:space="preserve">وعن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740"/>
      </w:r>
      <w:r>
        <w:rPr>
          <w:rFonts w:ascii="Amiri" w:hAnsi="Amiri" w:eastAsia="Amiri" w:cs="Amiri"/>
          <w:color w:val="111111"/>
          <w:sz w:val="28"/>
          <w:sz w:val="28"/>
          <w:szCs w:val="28"/>
          <w:rtl w:val="true"/>
          <w:lang w:bidi="ar-SA"/>
        </w:rPr>
        <w:t xml:space="preserve">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 في الأوّل إنّ إحضار الشهود حقّ للمدّعي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أن يقيمها وله أن يستحلف المدّعى عليه، وله ترك الدعوى بالأصل، فلا يكون تكليفاً له حتّى يلزمه الحاكم ويأمره بإحضارها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الثاني أنّ الأمر هنا ليس للوجوب والإلزام، بل مجرّد إذن وإعلام وإرشاد ولا ريب أنّه جائز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يظهر ويكشف عن الاستدلال المذكور للقولين أنّ النزاع هنا لفظي، فإنّ من قال بعدم الجواز يريد إلزامه بإحضار الشهود، وتكليفه به، ومن قال بالجواز يريد إرشاده وإذنه في إحضار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وبذلك يكون النزاع لفظياً</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النزاع بينهم لفظي؛ فمراد القائل بعدم الجواز، عدمه على وجه الإيجاب والإلزام</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 للتفصيل أنّه لو علم الحاكم أنّ المدّعي عالم بالمسألة وأنّ المقام مقام إحضار البيّنة، فلا يجوز له أمره؛ ولو علم أنّه جاهل بالمسألة؛ يجب أمره وتكليفه بإحضار الشهود</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معرفة المدّعي بالحكم وعدمها، لا مدخلية له في إلزام الحاكم بإحضار الشهود وعدمه، فإنّه لو علم جهل المدّعي يجب إرشاده بالحكم، بأنّ له إقامة البيّنة لا إلزامه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أنّه عارف بالمسألة لا يجب عليه الإرشاد لا أنّه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المسألة بوجه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بعدم جواز إلزام الحاكم المدّعي، بإحضار الشهود، لاحتمال اختياره مطالبة اليمين، أو ترك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وجواز إرشاده وبيان الحكم عليه من غير فرق في الموضعين بين علمه وجهله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حضرت الشهود هل يجوز للحاكم السؤال عنهم وأمرهم بإقامة الشهادة قبل التماس المدّعي؟ أو يتوقّف على التماس المدّعي واستدعائه من الحاكم السؤال عنهم؟</w:t>
      </w:r>
    </w:p>
    <w:p>
      <w:pPr>
        <w:pStyle w:val="BookText"/>
        <w:rPr/>
      </w:pPr>
      <w:r>
        <w:rPr>
          <w:rFonts w:ascii="Amiri" w:hAnsi="Amiri" w:eastAsia="Amiri" w:cs="Amiri"/>
          <w:color w:val="111111"/>
          <w:sz w:val="28"/>
          <w:sz w:val="28"/>
          <w:szCs w:val="28"/>
          <w:rtl w:val="true"/>
          <w:lang w:bidi="ar-SA"/>
        </w:rPr>
        <w:t xml:space="preserve">قال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حضورها لا يسألها الحاكم، ما لم يلتمس المدّعي</w:t>
      </w:r>
      <w:r>
        <w:rPr>
          <w:rFonts w:eastAsia="Amiri" w:cs="Amiri" w:ascii="Amiri" w:hAnsi="Amiri"/>
          <w:color w:val="111111"/>
          <w:sz w:val="28"/>
          <w:szCs w:val="28"/>
          <w:rtl w:val="true"/>
          <w:lang w:bidi="ar-SA"/>
        </w:rPr>
        <w:t>»</w:t>
      </w:r>
      <w:r>
        <w:rPr>
          <w:rStyle w:val="FootnoteAnchor"/>
          <w:rtl w:val="true"/>
        </w:rPr>
        <w:footnoteReference w:id="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حقّه فلا يتصرّف فيه من غير إذنه</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هذا القول لا بدّ للحاكم أن يسكت ويصبر، حتّى يلتمس منه المدّعي السؤال عن شهوده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أقامت البيّنة الشهادة عند الحاكم، فهل يجوز للحاكم أن يحكم على طبقها قبل سؤال المدّعي أو يتوقّف الحكم على التماس المدّعي منه؟</w:t>
      </w:r>
    </w:p>
    <w:p>
      <w:pPr>
        <w:pStyle w:val="BookText"/>
        <w:rPr/>
      </w:pPr>
      <w:r>
        <w:rPr>
          <w:rFonts w:ascii="Amiri" w:hAnsi="Amiri" w:eastAsia="Amiri" w:cs="Amiri"/>
          <w:color w:val="111111"/>
          <w:sz w:val="28"/>
          <w:sz w:val="28"/>
          <w:szCs w:val="28"/>
          <w:rtl w:val="true"/>
          <w:lang w:bidi="ar-SA"/>
        </w:rPr>
        <w:t xml:space="preserve">قال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الإقامة بالشهادة، لا يحكم إلا بمسألة المدّعي أيضاً</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الدليل الوحيد في المسائل الثلاث؛ هو أنّه حقّ له ولا يجوز للحاكم أن يتصرّف فيه بغير إذنه، فلا يجوز للقاضي أمره بإحضار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يجوز له السؤال منهم بعد الحضور، قبل التماسه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لا يجوز له الحكم بعد</w:t>
      </w:r>
      <w:bookmarkStart w:id="395" w:name="pg1791_15902"/>
    </w:p>
    <w:p>
      <w:pPr>
        <w:pStyle w:val="BookText"/>
        <w:rPr/>
      </w:pPr>
      <w:bookmarkEnd w:id="395"/>
      <w:r>
        <w:rPr>
          <w:rFonts w:ascii="Amiri" w:hAnsi="Amiri" w:eastAsia="Amiri" w:cs="Amiri"/>
          <w:color w:val="111111"/>
          <w:sz w:val="28"/>
          <w:sz w:val="28"/>
          <w:szCs w:val="28"/>
          <w:rtl w:val="true"/>
          <w:lang w:bidi="ar-SA"/>
        </w:rPr>
        <w:t>الإقامة قبل التماسه، فإنّه قد لا يريد إحضارهم، بل يريد الحلف أو ترك الدعوى، كما قد لا يريد السؤال منهم، أو لا يريد الحكم عليه بعد إقامة الشهادة عليه، بل كان مقصوده صرف إثبات ادّعائه، لا محكومية المنكر</w:t>
      </w:r>
      <w:r>
        <w:rPr>
          <w:rFonts w:eastAsia="Amiri" w:cs="Amiri" w:ascii="Amiri" w:hAnsi="Amiri"/>
          <w:color w:val="111111"/>
          <w:sz w:val="28"/>
          <w:szCs w:val="28"/>
          <w:rtl w:val="true"/>
          <w:lang w:bidi="ar-SA"/>
        </w:rPr>
        <w:t>.</w:t>
      </w:r>
    </w:p>
    <w:p>
      <w:pPr>
        <w:pStyle w:val="Heading5"/>
        <w:numPr>
          <w:ilvl w:val="4"/>
          <w:numId w:val="1"/>
        </w:numPr>
        <w:rPr/>
      </w:pPr>
      <w:bookmarkStart w:id="396" w:name="__RefHeading___Toc2354699_3650668749"/>
      <w:bookmarkStart w:id="397" w:name="_Toc146"/>
      <w:bookmarkEnd w:id="396"/>
      <w:r>
        <w:rPr>
          <w:rtl w:val="true"/>
        </w:rPr>
        <w:t>في الاكتفاء في الإذن بشاهد الحال‌</w:t>
      </w:r>
      <w:bookmarkEnd w:id="397"/>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الإذن لا يشترط أن يكون صريحاً، بل يمكن أن يكون بشاهد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موجود في تلك الموارد عرفاً؛ فإنّ المتبادر من استدعاء المدّعي من الحاكم استيفاء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 إقدام الحاكم في استنفاذ حقّه ووصوله من المدّعى عليه، في ابتداء المراجعة عند الحاكم، هو الإذن له في الإتيان بجميع ما يستلزم في ذلك، من موازين القضاء من الابتداء إلى أنهاء المحاكمة، ووصول الحقّ، ففي المسائل الثلاث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يتوقّف إحضار الشهود إلى إذن صريح من الحاكم ولا يتوقّف أيضاً على السؤال والاستدعاء والالتماس في كلّ مورد من ناحية المدّعي</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إقامة البيّنة وإحضارهم والسؤال منهم والاستحلاف من المنكر من حقوق المدّعي، غير ثابت، بل يمكن أن يقال إنّها من الأحكام الشرعية الثابتة للمدّعي، أو المنكر، ويكون إعمالها من الوظائف، أو الحقوق للقاضي،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من ادّعى، واليمين على من ادّعي عليه</w:t>
      </w:r>
      <w:r>
        <w:rPr>
          <w:rFonts w:eastAsia="Amiri" w:cs="Amiri" w:ascii="Amiri" w:hAnsi="Amiri"/>
          <w:color w:val="111111"/>
          <w:sz w:val="28"/>
          <w:szCs w:val="28"/>
          <w:rtl w:val="true"/>
          <w:lang w:bidi="ar-SA"/>
        </w:rPr>
        <w:t>»</w:t>
      </w:r>
      <w:r>
        <w:rPr>
          <w:rStyle w:val="FootnoteAnchor"/>
          <w:rtl w:val="true"/>
        </w:rPr>
        <w:footnoteReference w:id="747"/>
      </w:r>
      <w:r>
        <w:rPr>
          <w:rFonts w:ascii="Amiri" w:hAnsi="Amiri" w:eastAsia="Amiri" w:cs="Amiri"/>
          <w:color w:val="111111"/>
          <w:sz w:val="28"/>
          <w:sz w:val="28"/>
          <w:szCs w:val="28"/>
          <w:rtl w:val="true"/>
          <w:lang w:bidi="ar-SA"/>
        </w:rPr>
        <w:t>لا يدلّ على أنّ البيّنة حقّ للمدّعي، بل مفاده أنّه وظيفة شرعية له، كما أنّ اليمين وظيفة شرعية، وحكم شرعي للمنكر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وبأدلّة القضاء يجب على القاضي فصل الخصومة، وحل النزاع بعد مراجعة الخصمين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عليه أيضاً فعل كلّ ما يكون مقدّمة لأمر القضاء، فالسؤال من المدّعي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له بيّنة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بإحضارها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 منهم والحكم على طبقه؛ من وظائف المقرّرة للقاضي، لا ان يكون حقّاً للمدّعي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جميعها يكون حقّاً للقاضي وثابت له؛ من أدلّة وجوب الحكم عليه، فإنّه منصوب لإحقاق الحقّ وفصل الخصومة ورفع النزاع ومن مقدّماته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المسألة الثانية في كلام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يكفي في سؤاله أن يقول إذا أحضرها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بيّنتي أو شهودي أو نحوهما، بل قد يقال بالاكتفاء بشاهد الحال،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حقّ للحاكم، فلا يتوقّف على الإذن مطلقاً كي يحتاج إلى الدلالة عليه بشاهد الحال ونحوه</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ذيل المسألة الثالثة في كلام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قد يقال إنّ له الحكم وإن لم يسأله المدّعي، لأنّ ذلك منصبه ووظيفته</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السيّد الگلپايگاني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Style w:val="FootnoteAnchor"/>
          <w:rtl w:val="true"/>
        </w:rPr>
        <w:footnoteReference w:id="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تقريراته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كون التخيير بين إقامة البيّنة وبين المطالبة بيمين المنكر حقّاً له فغير معلوم، بل لا يبعد أن يكون من جملة الأحكام المقرّرة لمجلس القضاء وفصل الخصومة أن يطالب الحاكم المدّعي بإقامة البيّنة، فإن لم تكن عنده فيطالب المنكر باليمين، فليس تخيير</w:t>
      </w:r>
      <w:bookmarkStart w:id="398" w:name="pg1791_15906"/>
    </w:p>
    <w:p>
      <w:pPr>
        <w:pStyle w:val="BookText"/>
        <w:rPr/>
      </w:pPr>
      <w:bookmarkEnd w:id="398"/>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البيّنة للمدّعي يجوز له عدم إقامتها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وإحلاف المنكر، فلا يتعيّن عليه إقامتها، ولو علم أنّها مقبولة عند الحاكم فهو مخيّر بين إقامتها وإحلاف المنكر،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المدّعي بين الأمرين حقّاً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المذكور للمسائل الثلاث هو كون الامور المذكورة حقّاً للمدّعي، فلا يجوز للقاضي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غير ثابت، بل المستفاد من الأدلّة كونها حقّاً للقاضي والأمر في المحكمة بيده فيسئل من المدّعي هل له بيّنة؟ وإذا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 بيّنة يأمره بإحضارها وإذا حضرت البيّنة فيسئل منهم ويأمرهم بإقامة الشهادة ثمّ يحكم على طبقها كما هو المتعارف فعلًا في المحاكم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كلّ مرتبة للمدّعي ادّعاء الانصراف من إدامة المحاكمة وإسقاط حقّه أو عدم إرادة إقامة الشهادة وإرادة الاستحلاف من المدّعى عليه‌مثلًا</w:t>
      </w:r>
      <w:r>
        <w:rPr>
          <w:rFonts w:eastAsia="Amiri" w:cs="Amiri" w:ascii="Amiri" w:hAnsi="Amiri"/>
          <w:color w:val="111111"/>
          <w:sz w:val="28"/>
          <w:szCs w:val="28"/>
          <w:rtl w:val="true"/>
          <w:lang w:bidi="ar-SA"/>
        </w:rPr>
        <w:t>.</w:t>
      </w:r>
    </w:p>
    <w:p>
      <w:pPr>
        <w:pStyle w:val="Heading4"/>
        <w:numPr>
          <w:ilvl w:val="3"/>
          <w:numId w:val="1"/>
        </w:numPr>
        <w:rPr/>
      </w:pPr>
      <w:bookmarkStart w:id="399" w:name="__RefHeading___Toc2354701_3650668749"/>
      <w:bookmarkStart w:id="400" w:name="_Toc147"/>
      <w:bookmarkEnd w:id="399"/>
      <w:r>
        <w:rPr>
          <w:rtl w:val="true"/>
        </w:rPr>
        <w:t>جواز التحليف للمدّعي مع وجود البيّنة له‌</w:t>
      </w:r>
      <w:bookmarkEnd w:id="400"/>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للمدّعي بيّنة فهل يتعيّن عليه إقامتها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إذا كانت حاضرة وعلم أنّها مقبولة عند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تصل النوبة إلى أحلافه للمنكر؛ أوجاز له العدول عنها واستحلافه للمنكر بمعنى أنّ الأحلاف لايعلّق على عدم‌إمكان إقامة البيّنة، بل يكون المدّعي مخيّراً بين إقامة البيّنة والأحلاف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المحقّق النراقي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751"/>
      </w:r>
      <w:r>
        <w:rPr>
          <w:rFonts w:ascii="Amiri" w:hAnsi="Amiri" w:eastAsia="Amiri" w:cs="Amiri"/>
          <w:color w:val="111111"/>
          <w:sz w:val="28"/>
          <w:sz w:val="28"/>
          <w:szCs w:val="28"/>
          <w:rtl w:val="true"/>
          <w:lang w:bidi="ar-SA"/>
        </w:rPr>
        <w:t>بالثاني، وقال بكون المدّعي مخيّراً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ملحقات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752"/>
      </w:r>
      <w:r>
        <w:rPr>
          <w:rFonts w:ascii="IRNazanin" w:hAnsi="IRNazanin" w:eastAsia="IRNazanin"/>
          <w:color w:val="111111"/>
          <w:sz w:val="28"/>
          <w:sz w:val="28"/>
          <w:szCs w:val="28"/>
          <w:rtl w:val="true"/>
          <w:lang w:bidi="fa-IR"/>
        </w:rPr>
        <w:t xml:space="preserve">وتبعهما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على جواز عدم إقامة البيّنة واختيار التحليف بامور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له فيجوز له العدول عن إقامة البيّنة واختيار الأحلاف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تقدّم أنّ كون إقامة البيّنة وأحلاف المنكر حقّاً للمدّعي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من الأحكام الشرعية وكونه بنحو الترتيب أو التخيير موقوفة إلى الاستظهار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ابن أبي يعفور،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رضي صاحب الحقّ بيمين المنكر لحقّه فاستحلفه، فحلف أن لا حقّ له قبله، ذهبت اليمين بحقّ المدّعي فلا دعوى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عليه بيّنة عادلة؟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وإن أقام بعد ما استحلفه بالله خمسين قسامة ما كان له، وكانت اليمين قد أبطلت كلّ ما ادّعاه قبله ممّا قد استحلفه عليه</w:t>
      </w:r>
      <w:r>
        <w:rPr>
          <w:rFonts w:eastAsia="Amiri" w:cs="Amiri" w:ascii="Amiri" w:hAnsi="Amiri"/>
          <w:color w:val="111111"/>
          <w:sz w:val="28"/>
          <w:szCs w:val="28"/>
          <w:rtl w:val="true"/>
          <w:lang w:bidi="ar-SA"/>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والاستدلال بها، تارة تكون من جهة إطلاق صدر الرواية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رضي صاحب الحقّ بيمين المنكر لحقّه فاستحلفه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أي سواء لم يكن له بيّنة أو كان ولم يرد إقامتها ورضي 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 من جهة إطلاق ذيلها فإنّ قول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وإن كانت عليه بيّنة عادلة،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مطلق أيضاً من جهة كون البيّنة له قبل رضاه باليمين أو تحقّق له البيّنة بعد الحلف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والاستدلال</w:t>
      </w:r>
    </w:p>
    <w:p>
      <w:pPr>
        <w:pStyle w:val="BookText"/>
        <w:rPr/>
      </w:pPr>
      <w:r>
        <w:rPr>
          <w:rFonts w:ascii="Amiri" w:hAnsi="Amiri" w:eastAsia="Amiri" w:cs="Amiri"/>
          <w:color w:val="111111"/>
          <w:sz w:val="28"/>
          <w:sz w:val="28"/>
          <w:szCs w:val="28"/>
          <w:rtl w:val="true"/>
          <w:lang w:bidi="ar-SA"/>
        </w:rPr>
        <w:t>بالوجهين صحيح و دلالتهما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نبيّاً من الأنبياء شكا إلى ربّه كيف أقضى في امور لم أخبر ببيانها؟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ردّهم إليّ وأضفهم إلى اسمي يحلفون به</w:t>
      </w:r>
      <w:r>
        <w:rPr>
          <w:rFonts w:eastAsia="Amiri" w:cs="Amiri" w:ascii="Amiri" w:hAnsi="Amiri"/>
          <w:color w:val="111111"/>
          <w:sz w:val="28"/>
          <w:szCs w:val="28"/>
          <w:rtl w:val="true"/>
          <w:lang w:bidi="ar-SA"/>
        </w:rPr>
        <w:t>»</w:t>
      </w:r>
      <w:r>
        <w:rPr>
          <w:rStyle w:val="FootnoteAnchor"/>
          <w:rtl w:val="true"/>
        </w:rPr>
        <w:footnoteReference w:id="754"/>
      </w:r>
      <w:r>
        <w:rPr>
          <w:rFonts w:ascii="Amiri" w:hAnsi="Amiri" w:eastAsia="Amiri" w:cs="Amiri"/>
          <w:color w:val="111111"/>
          <w:sz w:val="28"/>
          <w:sz w:val="28"/>
          <w:szCs w:val="28"/>
          <w:rtl w:val="true"/>
          <w:lang w:bidi="ar-SA"/>
        </w:rPr>
        <w:t>تلاحظ أنّ أمره بردّهم إلى الله والحلف باسم الله مطلقاً في مورد كانت البيّنة موجودة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قوله في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أخبر ببيانها عدم وجود البيّنة فليس فيها 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ترك إقامة البيّنة واختيار التحليف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ومناقشاتها بامور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واليمين على المدّعى عليه</w:t>
      </w:r>
      <w:r>
        <w:rPr>
          <w:rFonts w:eastAsia="Amiri" w:cs="Amiri" w:ascii="Amiri" w:hAnsi="Amiri"/>
          <w:color w:val="111111"/>
          <w:sz w:val="28"/>
          <w:szCs w:val="28"/>
          <w:rtl w:val="true"/>
          <w:lang w:bidi="ar-SA"/>
        </w:rPr>
        <w:t>»</w:t>
      </w:r>
      <w:r>
        <w:rPr>
          <w:rStyle w:val="FootnoteAnchor"/>
          <w:rtl w:val="true"/>
        </w:rPr>
        <w:footnoteReference w:id="755"/>
      </w:r>
      <w:r>
        <w:rPr>
          <w:rFonts w:ascii="Amiri" w:hAnsi="Amiri" w:eastAsia="Amiri" w:cs="Amiri"/>
          <w:color w:val="111111"/>
          <w:sz w:val="28"/>
          <w:sz w:val="28"/>
          <w:szCs w:val="28"/>
          <w:rtl w:val="true"/>
          <w:lang w:bidi="ar-SA"/>
        </w:rPr>
        <w:t>بتقريب أنّ الظاهر منه التعيين لا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منه أنّ وظيفة المدّعى عليه هو اليمين ولا بدّ فيه من أحلاف المدّعي فتدلّ على أنّ على المدّعي أن يأتي بالبيّنة أو الأحلاف وأمّا توقّف الأحلاف على عدم البيّنة فلا، فنتيجته التخيير</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سليمان بن خالد</w:t>
      </w:r>
      <w:r>
        <w:rPr>
          <w:rStyle w:val="FootnoteAnchor"/>
          <w:rtl w:val="true"/>
        </w:rPr>
        <w:footnoteReference w:id="756"/>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قوله في ذيل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لمن لم تقم له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على تعليق الأحلاف على عدم البيّنة فمع وجود البيّنة فهي متعيّنة ولم يشرع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التعبير في الرواية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لمن لم يوجد له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له 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لمن لم تقم له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إقامة البيّنة أعمّ من عدمها أو وجودها مع عدم الإقامة، فالرواية على خلاف ما استدلّوا عليه أدلّ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المرويّ عن تفسير العسكري،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تخاصم إليه رجلان قال للمدّعي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حجّة؟ فإن أقام بيّنة يرضاها ويعرفها، أنفذ الحكم على المدّعى عليه، وإن لم يكن له بيّنة حلف المدّعى عليه بالله، ما لهذا قبله ذلك الذي ادّعاه، ولا شي‌ء منه</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يكن له بيّنة حلف المدّعى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ظاهر في تعليق الحلف على عدم وجود البيّنة للمدّعي، فإذا كان للمدّعي بيّنة فهي المتعيّن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يكن له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إقامتها بقرينة صدر الرواية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أقام بيّنة يرضاها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يونس، عمّن رواه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استخراج الحقوق بأربعة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شاهد فاليمين على المدّعى عليه</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بتقريب أنّ اليمين قد ترتّب على عدم وجود الشاهد فإذا لم يكن شاهداً في البين أصلًا فتصل النوبة إلى يمين المدّعى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ويستمّر التخيير إلى يمين المنكر، فيسقط حينئذٍ حقّ إقامة البيّنة ولو لم يحكم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أقام البيّنة المعتبرة وقبل الحاكم، فهل يسقط التخيير أو يجوز العدول إلى الحلف؟ وجهان، أوجههما سقوطه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759"/>
      </w:r>
      <w:r>
        <w:rPr>
          <w:rFonts w:ascii="Amiri" w:hAnsi="Amiri" w:eastAsia="Amiri" w:cs="Amiri"/>
          <w:color w:val="111111"/>
          <w:sz w:val="28"/>
          <w:sz w:val="28"/>
          <w:szCs w:val="28"/>
          <w:rtl w:val="true"/>
          <w:lang w:bidi="ar-SA"/>
        </w:rPr>
        <w:t>إنّ جزاء الشرط هو تعيّن اليمين عند عدم وجود الشاهد أمّا مع وجود الشاهد فلا تدلّ على عدم جواز اليمين، بل يستظهر منه عدم تعيّنه والمدّعي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وتبعه في ذلك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والمراد ممّا في المرسلة أيضاً أنّ تعيّن اليمين إنّما هو بعد عدم الشاهد</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استظهار تعيّن اليمين من الجزاء خلاف سياق الرواية، بل المراد مشروعية اليمين عند عدم الشاهد، ومع وجود الشاهد لا يصحّ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فالمرسلة من جهة الدلالة تامّة، ولكنّها مع الإرسال والإضمار لا يقاوم صحيحة ابن أبي يعفور وغيرها، فلا بدّ من توجيهها بما قالوا جمعاً أو طرحها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ما قاله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تخيير المدّعي ابتداءً بين إقامة البيّنة أو استحلاف المدّعى عليه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تعرّض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لزمان سقوط تخيير المدّعي وأنّ التخيير بين إقامة البيّنة والتحليف مستمرّ إلى أين؟</w:t>
      </w:r>
    </w:p>
    <w:p>
      <w:pPr>
        <w:pStyle w:val="BookText"/>
        <w:rPr/>
      </w:pPr>
      <w:r>
        <w:rPr>
          <w:rFonts w:ascii="Amiri" w:hAnsi="Amiri" w:eastAsia="Amiri" w:cs="Amiri"/>
          <w:color w:val="111111"/>
          <w:sz w:val="28"/>
          <w:sz w:val="28"/>
          <w:szCs w:val="28"/>
          <w:rtl w:val="true"/>
          <w:lang w:bidi="ar-SA"/>
        </w:rPr>
        <w:t>لا إشكال في أنّه إذا استحلف المدّعي المدّعى عليه وأمره الحاكم بالحلف‌يجوز للمدّعي العدول عنه وإقامة البيّنة قبل حلف المدّعى عليه لعدم‌وجود الموجب لسقوط التخيير، ولكن إذا حلف المدّعى عليه يسقط التخيير بلا إشكال، ولو لم يحكم الحاكم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لما تقدّم من صحيحة ابن‌أبي يعفور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ذهبت اليمين بحقّ المدّعي فلا دعوى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فإنّ‌من آثار اليمين سقوط الدعوى وذهاب الحقّ فإذا لم يبق له حقّ ودعوى؛ لايبقى مورد لإثباتها بالبيّنة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أقام المدّعي البيّنة وقبلها الحاكم وحكم‌باستنادها فلا إشكال في سقوط التخيير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قبل حكم الحاكم فهل التخيير باق ويجوز العدول إلى الحلف أم لا؟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وجهان أوجههما 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الأدلّة الدالّة على جواز الاستحلاف منصرفة عن هذه الصورة، فلا يجوز الأحلاف بعد إقامة البيّنة وقبول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Style w:val="FootnoteAnchor"/>
          <w:rtl w:val="true"/>
        </w:rPr>
        <w:footnoteReference w:id="761"/>
      </w:r>
      <w:r>
        <w:rPr>
          <w:rFonts w:ascii="Amiri" w:hAnsi="Amiri" w:eastAsia="Amiri" w:cs="Amiri"/>
          <w:color w:val="111111"/>
          <w:sz w:val="28"/>
          <w:sz w:val="28"/>
          <w:szCs w:val="28"/>
          <w:rtl w:val="true"/>
          <w:lang w:bidi="ar-SA"/>
        </w:rPr>
        <w:t>جواز العدول عن البيّنة حينئذٍ إلى الاستحلاف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يشكل العدول عن البيّنة المعتبرة بعد إقامتها وقبول الحاكم إلى الحلف مع عدم البعد فيه أيضاً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الأقوى ما عليه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قلنا من انصراف الأدلّة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أحضر البيّنة، فإن علم أو شهدت القرائن بأنّ المدّعي بعد حضورها لم يرد إقامتها فليس للحاكم أن يسألها، وإن علم أو شهدت الأحوال بإرادة إقامتها فله أن يسألها، ولو لم يعلم الحال وشكّ في ذلك فليس للحاكم سؤال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السؤال من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أراد الإقامة أو 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أحضر المدّعي البيّنة عند الحاكم فقد تصوّر هنا ثلاث صور بالنسبة إلى الحاكم؛ فإنّه قد يعلم أو شهدت القرائن بإرادته إقامة الشهادة، أو يعلم أو شهدت القرائن بعدم إرادته من إحضارها إقامة الشهادة، أو يشكّ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وأفتى في الصورة الاولى بجواز سؤال الحاكم منهم الإقامة وبعدم جوازه في الصورتين 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الوجه فيه ما تقدّم من أنّ الحقّ للمدّعي ولا يجوز للحاكم التصرّف والتدخّل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منّا من أنّ الأمر بإقامة البيّنة والسؤال عن البيّنة من وظائف الحاكم، فله السؤال عنهم وأمرهم بإقامة الشهادة في الصورتين الأخيرتين أيضاً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علم الحاكم من عدم إرادته إقامة الشهادة مع حضورهم، انصرافه عن إقامة الشهادة وعدوله إلى الحلف مثلًا؛ أو إثبات الدعوى بمستند ومدرك آخر، فلا يجوز حينئذٍ أمرهم بإقامة الشهادة والسؤال عنهم</w:t>
      </w:r>
      <w:r>
        <w:rPr>
          <w:rFonts w:eastAsia="Amiri" w:cs="Amiri" w:ascii="Amiri" w:hAnsi="Amiri"/>
          <w:color w:val="111111"/>
          <w:sz w:val="28"/>
          <w:szCs w:val="28"/>
          <w:rtl w:val="true"/>
          <w:lang w:bidi="ar-SA"/>
        </w:rPr>
        <w:t>.</w:t>
      </w:r>
      <w:bookmarkStart w:id="401" w:name="pg1791_15920"/>
    </w:p>
    <w:p>
      <w:pPr>
        <w:pStyle w:val="BookText"/>
        <w:rPr/>
      </w:pPr>
      <w:bookmarkEnd w:id="401"/>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شهدت البيّنة فإن عرفهما الحاكم بالفسق طرح شهادتهما، وكذا لو عرف بفقدهما بعض شرائط الشهادة؛ ولو عرفهما بالعدالة وجامعيتهما للشرائط قبل شهادتهما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جهل حالهما توقّف واستكشف من حالهما، وعمل بما يقتضيه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402" w:name="__RefHeading___Toc2354703_3650668749"/>
      <w:bookmarkStart w:id="403" w:name="_Toc148"/>
      <w:bookmarkEnd w:id="402"/>
      <w:r>
        <w:rPr>
          <w:rtl w:val="true"/>
        </w:rPr>
        <w:t>صور المسألة بعد شهادة الشهود عند الحاكم‌</w:t>
      </w:r>
      <w:bookmarkEnd w:id="403"/>
    </w:p>
    <w:p>
      <w:pPr>
        <w:pStyle w:val="Heading5"/>
        <w:numPr>
          <w:ilvl w:val="4"/>
          <w:numId w:val="1"/>
        </w:numPr>
        <w:rPr/>
      </w:pPr>
      <w:bookmarkStart w:id="404" w:name="__RefHeading___Toc2354705_3650668749"/>
      <w:bookmarkStart w:id="405" w:name="_Toc149"/>
      <w:bookmarkEnd w:id="404"/>
      <w:r>
        <w:rPr>
          <w:rtl w:val="true"/>
        </w:rPr>
        <w:t>اشارة</w:t>
      </w:r>
      <w:bookmarkEnd w:id="4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أحضر المدّعي البيّنة وشهدا عند الحاكم ففيه ثلاثة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يعرفهما ويعلم عدم واجديتهما للشرائط المذكورة للشاهد في باب الشهادة من العدالة وانتفاء العداوة والتهمة وغيرها، فيطرح شهادتهما من غير مطالبة التزكية من المدّعي لجواز عمله بعلمه كما تقدّم، وتقدّم الجارح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يعرفهما بالعدالة وجامعيتهما للشرائط فيقبل شهادتهما ويحكم باستنادها للمدّعي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لما في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أقام بيّنة يرضاها ويعرفها، أنفذ الحكم على المدّعى عليه</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يدلّ عليه ما تقدّم من جواز عمله بعلمه في القضاء وما يرتبط به مطلقاً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القائل بعدم جواز العمل بالعلم للقاضي استثني هذا المورد وأجاز العمل بالعلم للزوم الدور عند عدمه</w:t>
      </w:r>
      <w:r>
        <w:rPr>
          <w:rFonts w:eastAsia="Amiri" w:cs="Amiri" w:ascii="Amiri" w:hAnsi="Amiri"/>
          <w:color w:val="111111"/>
          <w:sz w:val="28"/>
          <w:szCs w:val="28"/>
          <w:rtl w:val="true"/>
          <w:lang w:bidi="ar-SA"/>
        </w:rPr>
        <w:t>.</w:t>
      </w:r>
      <w:bookmarkStart w:id="406" w:name="pg1791_15922"/>
    </w:p>
    <w:p>
      <w:pPr>
        <w:pStyle w:val="BookText"/>
        <w:rPr/>
      </w:pPr>
      <w:bookmarkEnd w:id="406"/>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عرفهما بالفسق أو عدم جامعيتهما للشرائط طرحهما من غير انتظار التزكية، لكن لو ادّعى المدّعي خطأ الحاكم في اعتقاده تسمع منه، فإن أثبت دعواه وإلا فعلى الحاكم طرح شهادتهما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ثبت عدالتهما وجامعيتهما للشرائط لم يحتج إلى التزكية ويعمل بعلمه، ولو ادّعى المنكر جرحهما أو جرح أحدهما تقبل، فإن أثبت دعواه أسقطهما، وإلا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للحاكم التعويل على الاستصحاب في العدالة والفسق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القاضي إذا شهد عنده البيّنة وعلم بعدالتهما وجامعيتهما شرائط الشهادة فإمّا أن يعمل بعلمه ويحكم على حسب شهادتهما فهو، وإلا يحتاج إلى بيّنة التعديل، فإذا قامت بيّنة التعديل فلو عرفهما بالعدالة والواجدية للشرائط وجاز له العمل بعلمه فهو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يحتاج إلى البيّنة لتعديل بيّنة التعديل وهكذا يتسلسل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يعرفهما بالفسق أو العدالة وكان حالهما مجهولًا عند الحاكم فلا يحكم أيضاً، ولا بدّ له من استكشاف حالهما بطريق يأتي إن شاء الله والعمل بما يقتضيه</w:t>
      </w:r>
      <w:r>
        <w:rPr>
          <w:rFonts w:eastAsia="Amiri" w:cs="Amiri" w:ascii="Amiri" w:hAnsi="Amiri"/>
          <w:color w:val="111111"/>
          <w:sz w:val="28"/>
          <w:szCs w:val="28"/>
          <w:rtl w:val="true"/>
          <w:lang w:bidi="ar-SA"/>
        </w:rPr>
        <w:t>.</w:t>
      </w:r>
    </w:p>
    <w:p>
      <w:pPr>
        <w:pStyle w:val="Heading5"/>
        <w:numPr>
          <w:ilvl w:val="4"/>
          <w:numId w:val="1"/>
        </w:numPr>
        <w:rPr/>
      </w:pPr>
      <w:bookmarkStart w:id="407" w:name="__RefHeading___Toc2354707_3650668749"/>
      <w:bookmarkStart w:id="408" w:name="_Toc150"/>
      <w:bookmarkEnd w:id="407"/>
      <w:r>
        <w:rPr>
          <w:rtl w:val="true"/>
        </w:rPr>
        <w:t>في سماع دعوى المدّعي والمدّعى عليه على خلاف معتقد القاضي‌</w:t>
      </w:r>
      <w:bookmarkEnd w:id="408"/>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الماضية أنّ القاضي إذا اعتقد فسق البيّنة وعدم جامعيتها للشرائط يطرحها من دون انتظار التزكية من المدّعي، وكذا لو عرفهما</w:t>
      </w:r>
    </w:p>
    <w:p>
      <w:pPr>
        <w:pStyle w:val="BookText"/>
        <w:rPr/>
      </w:pPr>
      <w:r>
        <w:rPr>
          <w:rFonts w:ascii="Amiri" w:hAnsi="Amiri" w:eastAsia="Amiri" w:cs="Amiri"/>
          <w:color w:val="111111"/>
          <w:sz w:val="28"/>
          <w:sz w:val="28"/>
          <w:szCs w:val="28"/>
          <w:rtl w:val="true"/>
          <w:lang w:bidi="ar-SA"/>
        </w:rPr>
        <w:t>بالعدالة والجامعية يقبل شهادتهما من غير انتظار الجرح من جانب المدّعى عليه وفي هذه المسألة يبحث في أنّه لو قام المدّعي قبال القاضي وادّعى خطأه في اعتقاده فسق البيّنة وأنّهما رجعا عمّا كانوا عليه وتابا وصلحا مثلًا، أو كان بينهما عداوة وبغضاً سابقاً وعلمها القاضي ولكنّهما رفعا اليد عنها ووقع بينهم الصلح والاخوة مثلًا فيسمع الدعوى منه، فإن أثبت ذلك فيزول علم القاضي فيقبل الشهادة ويحكم على طبق شهادة البيّنة وإلا فيعمل القاضي أيضاً بعلمه ويطرح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اعتقد القاضي عدالتهما و واجديتهما للشرائط، ولكن المدّعى عليه يدّعي خطأ القاضي في ذلك وله جرحهما فيسمع الدعوى أيضاً منه، فإن أثبت الجرح فيهما أو أحدهما فيطرح الشهادة وإلا فيعمل القاضي بعلمه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كان القاضي عالماً ومعتقداً بعدالتهما أو فسقهما وأمّا لو لم يعرفهما بالعدالة أو الفسق ولم يعلم حالهما فعلًا، ولكن كان لهما حالة سابقة عند الحاكم فجاز له استصحاب الحالة السابقة من العدالة أو الفسق والعمل بمقتضاها لاعتباره شرعاً وكونه بمنزلة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وجاز للمدّعي والمدّعى عليه دعوى الخلاف كما في صورة علم القاضي ويسمع دعواهما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المسألة ويجوز للحاكم التعويل على الاستصحاب في العدالة والفسق</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للحاكم الاعتماد في الفسق والعدالة على الاستصحاب للمدّعي والمدّعى عليه دعواهما الخلاف أي تسمع منهما</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يكفي في إثبات الجرح للبيّنة من المدّعى عليه إقامة البيّنة على فسقهما بأن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منهما ما يوجب سقوطهما عن العدالة مثلًا، ولا يعتبر إثبات فسقهما بنحو يوجب الحدّ أو التعزير فإذا ادّعى المنكر أنّ أحد الشاهدين أو كليهما زان لا يحتاج إلى البيّنة المعتبرة في الزنا، بل يكفي شهادة العدلين على سقوطهما عن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جرحهما المدّعى عليه ولم يقدر على إثباته وكان ممّا يوجب الحدّ أو التعزير لا بدّ للحاكم حدّه وتعزيره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جرح ولم يقدر على إثبات جرحه وكان ممّا له حدّ أو تعزير يحدّ أو يعزر</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يعزّر المدّعى عليه أو يحدّ إن كان جرحه الذي لم يقدر على إثباته ممّا يوجب أحدهما</w:t>
      </w:r>
      <w:r>
        <w:rPr>
          <w:rFonts w:eastAsia="Amiri" w:cs="Amiri" w:ascii="Amiri" w:hAnsi="Amiri"/>
          <w:color w:val="111111"/>
          <w:sz w:val="28"/>
          <w:szCs w:val="28"/>
          <w:rtl w:val="true"/>
          <w:lang w:bidi="ar-SA"/>
        </w:rPr>
        <w:t>».</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فلو رماها أو أحدهما بالزنا مثلًا أو شرب الخمر والسرقة ولم يقدر إثباتها فيحدّ في الأوّل حدّ القذف و يعزّر في الباقي للهتك والكذب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ذلك لإطلاق أدلّة القذف وأدلّة ما دون القذف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لا نظرة ولا مهلة في إجراء الحدّ</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تدلّ عليه رواية السكوني،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ثلاثة شهدوا على رجل بالزنا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الرابع؟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يجي‌ء فقال</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جهل الحاكم حالهما، وجب عليه أن يبيّن للمدّعي أنّ له‌تزكيتهما بالشهود مع جهله به، فإن زكّاهما بالبيّنة المقبولة وجب أن يبيّن للمدّعى عليه أنّ له الجرح إن كان جاهلًا به، فإن اعترف بعدم الجارح حكم عليه، وإن أقام البيّنة المقبولة على الجرح سقطت بيّنة المدّعي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حدّوهم، فليس في الحدود نظر ساعة</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تدلّ على ذلك ما عن عبّاد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ثلاثة شهدوا على رجل بالزنا،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نأتي بالرابع؟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يجلدون حدّ القاذف ثمانين جلدة كلّ رجل منهم</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هذه المسألة من المسائل المهمّة ومورد الابتلاء في المحاكم الجارية الجنائية وغيرها والخلأ منها في القوانين محسوس وموجب للتأسّف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أجرى هذا الفرع لن يتجرّأ أحد لاتّهام الأشخاص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البري‌ء من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وجه كما هو المتعارف الآن ويقع كثيراً ويوجب هتك حرمة أفراد محترمين وكذا إجراؤه كان موجباً لتقليل المراجعات إلى المحاكم ورفع التراكم فيها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الحاكم جاهلًا بحالهما ولم يعرفهما بالعدالة أو بالفسق ولم يعلم جامعيتهما الشرائط الشهادة، فحينئذٍ بناءً على ما قالوا من أنّ إقامة البيّنة</w:t>
      </w:r>
    </w:p>
    <w:p>
      <w:pPr>
        <w:pStyle w:val="BookText"/>
        <w:rPr/>
      </w:pPr>
      <w:r>
        <w:rPr>
          <w:rFonts w:ascii="Amiri" w:hAnsi="Amiri" w:eastAsia="Amiri" w:cs="Amiri"/>
          <w:color w:val="111111"/>
          <w:sz w:val="28"/>
          <w:sz w:val="28"/>
          <w:szCs w:val="28"/>
          <w:rtl w:val="true"/>
          <w:lang w:bidi="ar-SA"/>
        </w:rPr>
        <w:t>والأحلاف وإقامة بيّنة التعديل من وظائف المدّعي وحقوقه فيذهبون إلى وجوب إعلام الحاكم بالمدّعي أنّ له حقّ إقامة التعديل لو كان جاهلًا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على الحاكم أن يبيّن للمدّعي أنّ له تزكيتهما بالشهود مع جهله به، وبناءً على ما قلنا من أنّ ذلك من وظائف الحاكم، فإنّه يجب عليه‌الحكم ولا بدّ له من الإتيان بمقدّماته فيجب على الحاكم التفحّص واستكشاف حالهما ومن مصاديقه أن يوظّف المدّعي بأن يزكّيهما وله أن يتفحّص من طريق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لم يأت بالتزكية أو لم يستكشف للحاكم عدالتهما وجامعيّتهما يطرح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ثبت له عدالتهما وجامعيّتهما،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أن يبيّن للمدّعى عليه أنّ له الجرح إن كان جاهلًا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بناءً على ما قلنا، إذا تفحّص الحاكم تفحّصاً تامّاً وأحرز عدالتهما وجامعيّتهما فلا يجب عليه الإعلام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أتي المدّعى عليه بالجارح يترتّب عليه الأثر لأنّه من تتميم تفحّص اللازم على الحاكم فلو ثبت عنده الجرح فيتعارض البيّنتان ويتساقطان أو يقدّم بيّنة الجارح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سيجي‌ء إن شاء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فيطرح بيّنة المدّعي، ولو لم يثبت الجرح فتبقي بيّنة المدّعي على الاعتبار فيحكم الحاكم على طبقها بنفع المدّعي</w:t>
      </w:r>
      <w:r>
        <w:rPr>
          <w:rFonts w:eastAsia="Amiri" w:cs="Amiri" w:ascii="Amiri" w:hAnsi="Amiri"/>
          <w:color w:val="111111"/>
          <w:sz w:val="28"/>
          <w:szCs w:val="28"/>
          <w:rtl w:val="true"/>
          <w:lang w:bidi="ar-SA"/>
        </w:rPr>
        <w:t>.</w:t>
      </w:r>
      <w:bookmarkStart w:id="409" w:name="pg1791_15932"/>
    </w:p>
    <w:p>
      <w:pPr>
        <w:pStyle w:val="BookText"/>
        <w:rPr/>
      </w:pPr>
      <w:bookmarkEnd w:id="409"/>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جهل الحاكم وطلبه التزكية من المدّعي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طريق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يعسر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وطلب من الحاكم الفحص، لا يجب عليه ذلك وإن كان له ذلك، بل هو 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طلب الجرح في البيّنة المقبولة من المدّعى عليه ولم يفعل،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طريق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يعسر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الفحص، ويحكم على طبق البيّنة، ولو استمهله لإحضار الجارح، فهل يجب الإمهال ثلاثة أيّام، أو بمقدار مدّة أمكنه فيها ذلك، أو لا يجب وله الحكم، أو وجب عليه الحكم فإن أتى بالجارح ينقضه؟ وجوه، لا يبعد وجوب الإمهال بالمقدار المتعارف، ولو ادّعى الإحضار في مدّة طويلة يحكم على طبق البيّنة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410" w:name="__RefHeading___Toc2354709_3650668749"/>
      <w:bookmarkStart w:id="411" w:name="_Toc151"/>
      <w:bookmarkEnd w:id="410"/>
      <w:r>
        <w:rPr>
          <w:rtl w:val="true"/>
        </w:rPr>
        <w:t>فيما إذا طلب المدّعي من الحاكم التفحّص للتعديل‌</w:t>
      </w:r>
      <w:bookmarkEnd w:id="4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تعرّض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المسألة إلى ثلاث 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الحاكم جاهلًا بحال البيّنة التي أقامها المدّعي وطلب منه التزكية فأحال ذلك إلى عهدة الحاكم وطلب من الحاكم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طريق لي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يجب على الحاكم التصدّي للفحص عن جانب المدّعي أو لا؟</w:t>
      </w:r>
    </w:p>
    <w:p>
      <w:p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يجب وإن كان له ذلك، بل هو راجح</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الحاكم يجب عليه الحكم بنفع المدّعي إذا أقام البيّنة المقبولة عند الحاكم، فإذا لم يقم ذلك لا وظيفة على الحاكم وإن كان الراجح إجابته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قلنا إنّ ذلك من وظائف الحاكم وطلبه من المدّعي الإتيان بالتزكية هو أحد الطرق التفحّص من ناحية القاضي، فإذا لم يتصدّي المدّعي لذلك تصدّاه الحاكم وان لم يطلب المدّعي منه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أحرز الحاكم عدالتهما وجامعيّتهما للشرائط إمّا بإقامةالبيّنة المقبولة عنده للتزكية، وإمّا من طريق التفحّص الذي تصدّاه بنفسه فطلب من المدّعى عليه الجرح فيها فأحاله أيضاً إلى عهدة الحاكم وطلب منه الجرح فيهما؛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الحاكم الفحص، بل يحكم على طبق‌البيّنة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نقول ذلك أيضاً فإنّه إذا قامت الحجّة لديه فيحكم على طبقه من دون احتياج إلى الفحص عن المعارض والجارح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قال المدّعى عليه أنّ لي بيّنة جارحة واستمهل القاضي لإحضارها فهل يجب الإمهال أو لا؟</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يذكر هنا وجوه لا يهمّنا البحث عنها بالتفصيل، بل نتذكّر قول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نحن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وجوب الإمهال بالمقدار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صحيح لأنّ فيه الجمع بين الحقّين رعاية لعدم تضرّر المدّعي بالتأخير و رعاية لحقّ المدّعى عليه لاحتمال قبول بيّنته الجارحة وطرح بيّنة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بعض كلمات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الإمهال ثلاثة أيّام لا دليل‌عليه</w:t>
      </w:r>
      <w:r>
        <w:rPr>
          <w:rFonts w:eastAsia="Amiri" w:cs="Amiri" w:ascii="Amiri" w:hAnsi="Amiri"/>
          <w:color w:val="111111"/>
          <w:sz w:val="28"/>
          <w:szCs w:val="28"/>
          <w:rtl w:val="true"/>
          <w:lang w:bidi="ar-SA"/>
        </w:rPr>
        <w:t>.</w:t>
      </w:r>
      <w:bookmarkStart w:id="412" w:name="pg1791_15936"/>
    </w:p>
    <w:p>
      <w:pPr>
        <w:pStyle w:val="BookText"/>
        <w:rPr/>
      </w:pPr>
      <w:bookmarkEnd w:id="412"/>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أقام البيّنة على حقّه ولم يعرفهما الحاكم بالعدالة، فالتمس المدّعي أن يحبس المدّعى عليه حتّى يثبت عدالتهما،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حبسه، والأقوى عدم الجواز، بل لا يجوز مطالبة الكفيل منه، ولا تأمين المدّعى به، أو الرهن في مقابل المدّعى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2354711_3650668749"/>
      <w:bookmarkStart w:id="414" w:name="_Toc152"/>
      <w:bookmarkEnd w:id="413"/>
      <w:r>
        <w:rPr>
          <w:rtl w:val="true"/>
        </w:rPr>
        <w:t>فيما إذا التمس المدّعي حبس المدّعى عليه حتّى يأتي بالتزكية</w:t>
      </w:r>
      <w:bookmarkEnd w:id="4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أقام المدّعي البيّنة على مدّعاه، ولكن لم يعرفهما الحاكم بالعدالة والجامعية للشرائط في القبول فطلب المدّعي من الحاكم أن يحبس المدّعى عليه حتّى يأتي بالتعديل ويثبت عدالتهما، فهل يجوز الحبس أو لا،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عدم الجواز، بل لا يجوز مطالبته بالكفيل ولا تأمين المدّعى به أو الرهن في قباله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يفرض في المسألة ثلاثة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الجواز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تعرّض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Style w:val="FootnoteAnchor"/>
          <w:rtl w:val="true"/>
        </w:rPr>
        <w:footnoteReference w:id="769"/>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770"/>
      </w:r>
      <w:r>
        <w:rPr>
          <w:rFonts w:ascii="Amiri" w:hAnsi="Amiri" w:eastAsia="Amiri" w:cs="Amiri"/>
          <w:color w:val="111111"/>
          <w:sz w:val="28"/>
          <w:sz w:val="28"/>
          <w:szCs w:val="28"/>
          <w:rtl w:val="true"/>
          <w:lang w:bidi="ar-SA"/>
        </w:rPr>
        <w:t>لهذه المسألة فيما إذا طرح المدّعي الدعوى عند الحاكم وطلب من الحاكم حبس المدّعى عليه حتّى يأتي بالبيّنة لإثبات مدّعاه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ذكر المدّعي أنّ له بيّنة غائبة، خيّره الحاكم بين الصبر وبين</w:t>
      </w:r>
    </w:p>
    <w:p>
      <w:pPr>
        <w:pStyle w:val="BookText"/>
        <w:rPr/>
      </w:pPr>
      <w:r>
        <w:rPr>
          <w:rFonts w:ascii="Amiri" w:hAnsi="Amiri" w:eastAsia="Amiri" w:cs="Amiri"/>
          <w:color w:val="111111"/>
          <w:sz w:val="28"/>
          <w:sz w:val="28"/>
          <w:szCs w:val="28"/>
          <w:rtl w:val="true"/>
          <w:lang w:bidi="ar-SA"/>
        </w:rPr>
        <w:t>إحلاف الغريم، وليس له ملازمته ولا مطالبته بكفيل</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من ملازمته أن يلازمه المدّعي بحيث لا يتمكّن من الفرار والخفاء والحيل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72"/>
      </w:r>
      <w:r>
        <w:rPr>
          <w:rFonts w:ascii="Amiri" w:hAnsi="Amiri" w:eastAsia="Amiri" w:cs="Amiri"/>
          <w:color w:val="111111"/>
          <w:sz w:val="28"/>
          <w:sz w:val="28"/>
          <w:szCs w:val="28"/>
          <w:rtl w:val="true"/>
          <w:lang w:bidi="ar-SA"/>
        </w:rPr>
        <w:t>فضلًا عن أكثر المتأخّرين، بل عامّتهم والإسكافي</w:t>
      </w:r>
      <w:r>
        <w:rPr>
          <w:rStyle w:val="FootnoteAnchor"/>
          <w:rtl w:val="true"/>
        </w:rPr>
        <w:footnoteReference w:id="773"/>
      </w:r>
      <w:r>
        <w:rPr>
          <w:rFonts w:ascii="Amiri" w:hAnsi="Amiri" w:eastAsia="Amiri" w:cs="Amiri"/>
          <w:color w:val="111111"/>
          <w:sz w:val="28"/>
          <w:sz w:val="28"/>
          <w:szCs w:val="28"/>
          <w:rtl w:val="true"/>
          <w:lang w:bidi="ar-SA"/>
        </w:rPr>
        <w:t xml:space="preserve">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77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7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للمحكيّ عن الشيخين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77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77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w:t>
      </w:r>
      <w:r>
        <w:rPr>
          <w:rStyle w:val="FootnoteAnchor"/>
          <w:rtl w:val="true"/>
        </w:rPr>
        <w:footnoteReference w:id="778"/>
      </w:r>
      <w:r>
        <w:rPr>
          <w:rFonts w:ascii="Amiri" w:hAnsi="Amiri" w:eastAsia="Amiri" w:cs="Amiri"/>
          <w:color w:val="111111"/>
          <w:sz w:val="28"/>
          <w:sz w:val="28"/>
          <w:szCs w:val="28"/>
          <w:rtl w:val="true"/>
          <w:lang w:bidi="ar-SA"/>
        </w:rPr>
        <w:t>في أحد قوليه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على عدم جواز الحبس والملازمة والتكفيل بامور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السالم عن المعارض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الحبس أو الملازمة لأحد أو أخذ الكفيل عقوبة، والعقوبة لا تجوز إلا على من وجب وهنا لم يثبت حقّ عليه حتّى يوجب حبسه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التكفيل بالخصوص أنّ المقصود من الكفالة أنّ المكفول لو لم يحضر يلزم الكفيل بالحقّ وهنا لم يثبت الحقّ بعد؛ فلا معنى لأخذ الكفيل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على جواز الحبس بقاعدة لا ضرر ولا ضرار؛ فإنّه قد يهرب المدّعى عليه ولا يتمكّن المدّعي من تحصيل الحقّ فيجب مقدمةً للزوم مراعاة حقّ المسلم من الذهاب في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القاعدة لا وجه بجريانها في المقام إذا الضرر لا يدفع بالضرر؛ فإنّ الحبس والتكفيل أيضاً ضرر مع أنّ القاعدة لا يقتضي تعجيل الضرر على المسلم باحتمال ضرر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وهو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في جواز الحبس والكفالة وعدمه يختلف باختلاف الموارد واختلاف الاتهامات والغرماء، فإنّ الدعوى قد يكون مالًا والغريم يكون ذا ثروة وحشمة ومكنة ومحلّ معيّن للتجارة مثلًا ولا يحتمل فراره أو اختفائه فلا حاجة لتكفيله، بل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ثبوت الحقّ والأمن من ضياعه، وكذا موارد التي لا تكون الدعوى مهمّة، أو يحتمل كون المدّعي محتالًا يطلب الحبس أو التكفيل وسيلة إلى أخذ ما لا يستحقّه أو هتك 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المدّعى به مالًا ويحتمل فرار المدّعى عليه أو اختفائه وليس له مال أو كان و يحتمل انتقاله إلى الغير أو تغيير محلّ مال المسروقة والاحتيال في المدارك أو كان غير المال مثل القتل وغيره فجاز الحبس والكفالة والملازمة أو أخذ الرهن على حسب ما رآه الحاكم مقدّمة لحفظ حقوق الناس وحفظها من التضييع</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على ما قيل من عدم الفائدة في الكفيل لعدم ثبوت الحقّ؛ بأنّ هذا إذا لا يحتمل ثبوت الحقّ، وأمّا مع احتمال حضور البيّنة التزكية وثبوت الحقّ بها فيلزم</w:t>
      </w:r>
      <w:bookmarkStart w:id="415" w:name="pg1791_15941"/>
    </w:p>
    <w:p>
      <w:pPr>
        <w:pStyle w:val="BookText"/>
        <w:rPr/>
      </w:pPr>
      <w:bookmarkEnd w:id="415"/>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تبيّن فسق الشاهدين أو أحدهما حال الشهادة انتقض الحكم، وإن كان طارئاً بعد الحكم لم ينتقض، وكذا لو تبيّن فسقهما بعد الشهادة وقبل الحكم على الأشبه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الكفيل بإحضاره أو الالتزام بالحقّ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ما نقله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Style w:val="FootnoteAnchor"/>
          <w:rtl w:val="true"/>
        </w:rPr>
        <w:footnoteReference w:id="779"/>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780"/>
      </w:r>
      <w:r>
        <w:rPr>
          <w:rFonts w:ascii="IRNazanin" w:hAnsi="IRNazanin" w:eastAsia="IRNazanin"/>
          <w:color w:val="111111"/>
          <w:sz w:val="28"/>
          <w:sz w:val="28"/>
          <w:szCs w:val="28"/>
          <w:rtl w:val="true"/>
          <w:lang w:bidi="fa-IR"/>
        </w:rPr>
        <w:t>وهو عن الفاضل المقداد</w:t>
      </w:r>
      <w:r>
        <w:rPr>
          <w:rStyle w:val="FootnoteAnchor"/>
          <w:rtl w:val="true"/>
        </w:rPr>
        <w:footnoteReference w:id="781"/>
      </w:r>
      <w:r>
        <w:rPr>
          <w:rFonts w:ascii="Amiri" w:hAnsi="Amiri" w:eastAsia="Amiri" w:cs="Amiri"/>
          <w:color w:val="111111"/>
          <w:sz w:val="28"/>
          <w:sz w:val="28"/>
          <w:szCs w:val="28"/>
          <w:rtl w:val="true"/>
          <w:lang w:bidi="ar-SA"/>
        </w:rPr>
        <w:t>من التفصيل بين ما إذا خيف هرب المنكر وعدم التمكّن من استيفاء الحقّ بعد ثبوته من ماله فيجوز الحبس أو التكفيل وبين ما لو لم يخف من ذلك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إيكال الأمر إلى القاضي وما يراه من المصلحة في كلّ مورد لحفظ الحقوق ورعاية المصالح في الجمع بين الحقوق ولا يحتاج إلى طلب المدّعي أيضاً</w:t>
      </w:r>
      <w:r>
        <w:rPr>
          <w:rFonts w:eastAsia="Amiri" w:cs="Amiri" w:ascii="Amiri" w:hAnsi="Amiri"/>
          <w:color w:val="111111"/>
          <w:sz w:val="28"/>
          <w:szCs w:val="28"/>
          <w:rtl w:val="true"/>
          <w:lang w:bidi="ar-SA"/>
        </w:rPr>
        <w:t>.</w:t>
      </w:r>
    </w:p>
    <w:p>
      <w:pPr>
        <w:pStyle w:val="Heading4"/>
        <w:numPr>
          <w:ilvl w:val="3"/>
          <w:numId w:val="1"/>
        </w:numPr>
        <w:rPr/>
      </w:pPr>
      <w:bookmarkStart w:id="416" w:name="__RefHeading___Toc2354713_3650668749"/>
      <w:bookmarkStart w:id="417" w:name="_Toc153"/>
      <w:bookmarkEnd w:id="416"/>
      <w:r>
        <w:rPr>
          <w:rtl w:val="true"/>
        </w:rPr>
        <w:t>أنّ شرط العدالة في الشهود في القضاء واقعي لا علمي‌</w:t>
      </w:r>
      <w:bookmarkEnd w:id="4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يعتبر ويشترط العدالة بنحو الشرط الواقعي بمعنى أنّ الشرط نفس العدالة، فإذا علم بها ثمّ تبيّن خلافها فيكشف عن عدم تحقّق الشرط والمشروط ينتفي بانتفاء شرطه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يعتبر بنحو الشرط العلمي بمعنى أنّ الشرط هو العلم بتحقّق العدالة فإذا</w:t>
      </w:r>
    </w:p>
    <w:p>
      <w:pPr>
        <w:pStyle w:val="BookText"/>
        <w:rPr/>
      </w:pPr>
      <w:r>
        <w:rPr>
          <w:rFonts w:ascii="Amiri" w:hAnsi="Amiri" w:eastAsia="Amiri" w:cs="Amiri"/>
          <w:color w:val="111111"/>
          <w:sz w:val="28"/>
          <w:sz w:val="28"/>
          <w:szCs w:val="28"/>
          <w:rtl w:val="true"/>
          <w:lang w:bidi="ar-SA"/>
        </w:rPr>
        <w:t>علم بها ثمّ تبيّن خلافه فلا يكشف عن عدم تحقّق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العلم بالعدالة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متحقّقاً وإن لم يكن عادلًا واقعاً فلا يضرّ بالشرط كشف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هل شرط العدالة في الشهود في باب القضاء من باب اشتراط الواقع وهو شرط واقعي أو هو شرط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اتّفاق الأصحاب على أنّ شرط العدالة 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واستدلّوا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الواقعية في الشرط لقاعدة كون الأسماء للمسمّيات الواقعية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يستفاد ذلك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وَأشْهِدُوا ذَوَى عَدْلٍ مِنْكُمْ</w:t>
      </w:r>
      <w:r>
        <w:rPr>
          <w:rStyle w:val="FootnoteAnchor"/>
          <w:rtl w:val="true"/>
        </w:rPr>
        <w:footnoteReference w:id="782"/>
      </w:r>
      <w:r>
        <w:rPr>
          <w:rFonts w:ascii="Amiri" w:hAnsi="Amiri" w:eastAsia="Amiri" w:cs="Amiri"/>
          <w:color w:val="111111"/>
          <w:sz w:val="28"/>
          <w:sz w:val="28"/>
          <w:szCs w:val="28"/>
          <w:rtl w:val="true"/>
          <w:lang w:bidi="ar-SA"/>
        </w:rPr>
        <w:t>فإنّ الظاهر منه من كان عادلًا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بأنّ المراد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ذوي عدل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اعتبار عدالة الشهود في الطلاق فالظاهر اعتبار الواقعية فيها، لما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العدالة المعتبرة في امام الجماعة هي العلمي لا الواقعي، وذلك لما في الروايات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إلا خلف من تثق بدينه وأمانته</w:t>
      </w:r>
      <w:r>
        <w:rPr>
          <w:rFonts w:eastAsia="Amiri" w:cs="Amiri" w:ascii="Amiri" w:hAnsi="Amiri"/>
          <w:color w:val="111111"/>
          <w:sz w:val="28"/>
          <w:szCs w:val="28"/>
          <w:rtl w:val="true"/>
          <w:lang w:bidi="ar-SA"/>
        </w:rPr>
        <w:t>»</w:t>
      </w:r>
      <w:r>
        <w:rPr>
          <w:rStyle w:val="FootnoteAnchor"/>
          <w:rtl w:val="true"/>
        </w:rPr>
        <w:footnoteReference w:id="783"/>
      </w: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أسرّكم أن تزكوا صلاتكم فقدّموا خياركم</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 المراد عدلًا عند المأموم وهو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إلا خلف من تثق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تصحّ الصلوة ولو انكشف الفسق بعدها</w:t>
      </w:r>
      <w:r>
        <w:rPr>
          <w:rFonts w:eastAsia="Amiri" w:cs="Amiri" w:ascii="Amiri" w:hAnsi="Amiri"/>
          <w:color w:val="111111"/>
          <w:sz w:val="28"/>
          <w:szCs w:val="28"/>
          <w:rtl w:val="true"/>
          <w:lang w:bidi="ar-SA"/>
        </w:rPr>
        <w:t>»</w:t>
      </w:r>
      <w:r>
        <w:rPr>
          <w:rStyle w:val="FootnoteAnchor"/>
          <w:rtl w:val="true"/>
        </w:rPr>
        <w:footnoteReference w:id="78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بعد اعتبار العدالة الواقعية في باب شهود القضاء فإذا أحرز القاضي عدالة الشاهدين إما بالعلم أو بالاستصحاب ثمّ تبيّن فسقها ففي ذلك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فسق الشهود حال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تبيّن فسقهما أو أحدهما حال الشهادة قبل الحكم فلا شبهة في انتقاض الحكم وصيرورته كالعدم ببطلان الشهادة فيكون الحكم بلا مستند فيكون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فسق الشهود بعد الإقامة والحكم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تبيّن فسقها الطاري بعد الحكم، بمعنى عروض الفسق لهما أو لواحد منها بعد حكم الحاكم فلا شبهة في صحّة الحكم و عدم انتقاضه لفرض جامعيته لجميع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فسق الشهود بعد الإقامة وقبل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تبيّن فسقهما بعد الإقامة وقبل حكم الحاكم بمعنى عروض الفسق في الزمان الفاصل بينهما، فهل يجوز الحكم باستناد هذه الشهادة أم لا؟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786"/>
      </w:r>
      <w:r>
        <w:rPr>
          <w:rFonts w:ascii="IRNazanin" w:hAnsi="IRNazanin" w:eastAsia="IRNazanin"/>
          <w:color w:val="111111"/>
          <w:sz w:val="28"/>
          <w:sz w:val="28"/>
          <w:szCs w:val="28"/>
          <w:rtl w:val="true"/>
          <w:lang w:bidi="fa-IR"/>
        </w:rPr>
        <w:t xml:space="preserve">وموضع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787"/>
      </w:r>
      <w:r>
        <w:rPr>
          <w:rFonts w:ascii="Amiri" w:hAnsi="Amiri" w:eastAsia="Amiri" w:cs="Amiri"/>
          <w:color w:val="111111"/>
          <w:sz w:val="28"/>
          <w:sz w:val="28"/>
          <w:szCs w:val="28"/>
          <w:rtl w:val="true"/>
          <w:lang w:bidi="ar-SA"/>
        </w:rPr>
        <w:t>وابن إدريس</w:t>
      </w:r>
      <w:r>
        <w:rPr>
          <w:rStyle w:val="FootnoteAnchor"/>
          <w:rtl w:val="true"/>
        </w:rPr>
        <w:footnoteReference w:id="788"/>
      </w:r>
      <w:r>
        <w:rPr>
          <w:rFonts w:ascii="Amiri" w:hAnsi="Amiri" w:eastAsia="Amiri" w:cs="Amiri"/>
          <w:color w:val="111111"/>
          <w:sz w:val="28"/>
          <w:sz w:val="28"/>
          <w:szCs w:val="28"/>
          <w:rtl w:val="true"/>
          <w:lang w:bidi="ar-SA"/>
        </w:rPr>
        <w:t>والمحقّق</w:t>
      </w:r>
      <w:r>
        <w:rPr>
          <w:rStyle w:val="FootnoteAnchor"/>
          <w:rtl w:val="true"/>
        </w:rPr>
        <w:footnoteReference w:id="789"/>
      </w:r>
      <w:r>
        <w:rPr>
          <w:rFonts w:ascii="Amiri" w:hAnsi="Amiri" w:eastAsia="Amiri" w:cs="Amiri"/>
          <w:color w:val="111111"/>
          <w:sz w:val="28"/>
          <w:sz w:val="28"/>
          <w:szCs w:val="28"/>
          <w:rtl w:val="true"/>
          <w:lang w:bidi="ar-SA"/>
        </w:rPr>
        <w:t xml:space="preserve">والعلامة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79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791"/>
      </w:r>
      <w:r>
        <w:rPr>
          <w:rFonts w:ascii="Amiri" w:hAnsi="Amiri" w:eastAsia="Amiri" w:cs="Amiri"/>
          <w:color w:val="111111"/>
          <w:sz w:val="28"/>
          <w:sz w:val="28"/>
          <w:szCs w:val="28"/>
          <w:rtl w:val="true"/>
          <w:lang w:bidi="ar-SA"/>
        </w:rPr>
        <w:t>إلى عدم القدح، بل قالوا بجواز الحكم باستناد شهادتهما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تعرّض له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الشهادة في القسم الثاني في الطوارئ في المسألة الثانية،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شهدا ثمّ فسقا قبل الحكم، حكم بهما</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استدلّوا للقول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المعتبر هو العدالة عند إقامة الشهادة لا أزيد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الحكم بشهادتها لو استمرّ العدالة ثابت بلا شبهة فكذا مع زوالها عملًا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أوردوا على الأوّل بأنّه عين النزاع ومصادرة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مرادهم بذلك هو أنّ القدر المتيقّن من اشتراط العدالة في الشاهد هو حال أداء الشهادة؛ لأنّه المجمع عليه فتخصيص أدلّة عمومات قبول الشهادة في الزائد على ذلك ممنوع</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الشيخ في موضع آخر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794"/>
      </w:r>
      <w:r>
        <w:rPr>
          <w:rFonts w:ascii="Amiri" w:hAnsi="Amiri" w:eastAsia="Amiri" w:cs="Amiri"/>
          <w:color w:val="111111"/>
          <w:sz w:val="28"/>
          <w:sz w:val="28"/>
          <w:szCs w:val="28"/>
          <w:rtl w:val="true"/>
          <w:lang w:bidi="ar-SA"/>
        </w:rPr>
        <w:t xml:space="preserve">والعلامة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795"/>
      </w:r>
      <w:r>
        <w:rPr>
          <w:rFonts w:ascii="Amiri" w:hAnsi="Amiri" w:eastAsia="Amiri" w:cs="Amiri"/>
          <w:color w:val="111111"/>
          <w:sz w:val="28"/>
          <w:sz w:val="28"/>
          <w:szCs w:val="28"/>
          <w:rtl w:val="true"/>
          <w:lang w:bidi="ar-SA"/>
        </w:rPr>
        <w:t xml:space="preserve">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796"/>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797"/>
      </w:r>
      <w:r>
        <w:rPr>
          <w:rFonts w:ascii="Amiri" w:hAnsi="Amiri" w:eastAsia="Amiri" w:cs="Amiri"/>
          <w:color w:val="111111"/>
          <w:sz w:val="28"/>
          <w:sz w:val="28"/>
          <w:szCs w:val="28"/>
          <w:rtl w:val="true"/>
          <w:lang w:bidi="ar-SA"/>
        </w:rPr>
        <w:t>إلى عدم جواز الحكم للحاكم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للثاني بامور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 الحكم باستناد شهادتهما يصدق الحكم بشهادة الفاسقين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على رجوعها قبل الحكم، فكما لا يجوز الحكم مع الرجوع فلا يجوز مع الفسق</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بموت المشهود له قبله لو كانا وارثين له، فكما لا يجوز</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كفاية الإطلاق في الجرح والتعديل، ولا يعتبر ذكر السبب فيهما مع العلم بالأسباب وموافقة مذهبه لمذهب الحاكم، بل لا يبعد الكفاية إلا مع العلم باختلاف مذهبهما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فيهما كلّ لفظ دالّ على الشهادة بهما، ولا يشترط ضمّ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مقبول الشهادة، أو مقبولها لي وعليّ، ونحو ذلك في التعديل ولا مقابلاته في الجرح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فحينئذٍ لوحدة المدّعي والشاهد فكذلك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طروّ الفسق يضعّف ظنّ العدالة لبعد طروّها 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الأوّل، أنّ الصدق المذكور ممنوع؛ فإنّ المسلّم أنّ الحكم بشهادة الفاسق وقت الأداء ممنوع، لا الزائد عليه ومطلقاً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أنّ القياس باطل مع أنّه مع الفارق؛ لأنّ الرجوع دلّ على عدم جزمهم عند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الثالث، بأنّ موت المشهود له يوجب فقد طالب الحكم و صاحبه فيكون مع الفارق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الرابع، أنّ حصول الضعف في ظنّ العدالة ممنوع جدّاً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ظهر أنّ الحقّ هو القول الأوّل كما قال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مراده أنّه لو تبيّن حدوث فسقهما بعد الإقامة بمعنى أنّ عروض الفسق كان بعد الإقامة والتبيّن بعد الحكم،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 الحكم على الأشبه، ونحن فرضنا أنّ التبيّن كان قبل الحكم فقلنا بجواز الحكم، وكذا لو حكم ثمّ تبيّن فسقها نقول بعدم نقضه فلا فرق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تعارضت بيّنة الجرح والتعديل؛ بأن قالت إحداهما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قالت إحداهما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يوم كذا يشرب الخمر في مكان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في يوم كذا في غير هذا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سقطتا، فعلى المنكر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له حالة سابقة من العدالة أو الفسق يؤخذ بها؛ فإن كانت عدالةً حكم على طبق الشهادة، وإن كانت فسقاً تطرح وعلى المنكر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الشهادة بالعدالة العلم بها إمّا بالشياع أو بمعاشرة باطنة متقادمة، ولا يكفي في الشهادة حسن الظاهر ولو أفاد الظنّ، ولاالاعتماد على البيّنة أو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الشهادة بالجرح لا بدّمن العلم بفسقه، ولا يجوز الشهادة اعتماداً على البيّنة أو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يكفي الثبوت التعبّدي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كالثبوت بالبيّنة، أو الاستصحاب، أو حسن‌الظاهر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لترتيب الآثار، فيجوز للحاكم الحكم اعتماداً على شهادةمن ثبتت عدالته بالاستصحاب أو حسن الظاهر الكاشف تعبّداً أو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 الشاهدان بحسن ظاهره فالظاهر جواز الحكم بشهادته بعد كون حسن الظاهر كاشفاً تعبّداً عن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الشهادة بالجرح بمجرّد مشاهدة ارتكاب كبيرة؛ ما لم يعلم أنّه على وجه المعصية ولا يكون له عذر، فلو احتمل أنّ ارتكابه لعذر لا يجوز جرحه ولو حصل له ظنّ بذلك بقرائن مفيدة له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رضي المدّعى‌عليه بشهادة الفاسقين أو عدل واحد لا</w:t>
      </w:r>
    </w:p>
    <w:p>
      <w:pPr>
        <w:pStyle w:val="BookText"/>
        <w:rPr/>
      </w:pPr>
      <w:r>
        <w:rPr>
          <w:rFonts w:ascii="Amiri" w:hAnsi="Amiri" w:eastAsia="Amiri" w:cs="Amiri"/>
          <w:color w:val="111111"/>
          <w:sz w:val="28"/>
          <w:sz w:val="28"/>
          <w:szCs w:val="28"/>
          <w:rtl w:val="true"/>
          <w:lang w:bidi="ar-SA"/>
        </w:rPr>
        <w:t>يجوز للحاكم الحكم، ولو حكم لا يترتّب عليه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للحاكم أن يحكم بشهادة شاهدين لم يحرز عدالتهما عنده؛ ولو اعترف المدّعى‌عليه بعدالتهما لكن أخطأهما في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تعارض الجارح والمعدّل سقطا وإن كان شهود أحدهما اثنين والآخر أربعة؛ من غير فرق بين أن يشهد اثنان بالجرح وأربعة بالتعديل معاً، أو اثنان بالتعديل ثمّ بعد ذلك شهد اثنان آخران به، ومن غير فرق بين زيادة شهود الجرح أو 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قبول شهادة الشاهدين علم الحاكم باسمهما ونسبهما بعد إحراز مقبولية شهادتهما، كما أنّه لو شهد جماعة يعلم‌الحاكم أنّ فيهم عدلين كفى في الحكم، ولا يعتبر تشخيصهما بعينهما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مسائل فرعية ذكرها الماتن هاهنا، وليست بأساسية، بل من فروع باب الشهادة وسيأتي إن شاء الله في كتاب الشهادة ونبحث عنها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صرفنا النظر عن ذكرها وحوّلناها إلى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أنّا أثبتنا متن هذه المسائل فقط وهي مسألة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bookmarkStart w:id="418" w:name="pg1791_15955"/>
    </w:p>
    <w:p>
      <w:pPr>
        <w:pStyle w:val="BookText"/>
        <w:rPr/>
      </w:pPr>
      <w:bookmarkEnd w:id="418"/>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الحكم بالبيّنة ضمّ يمين المدّعي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419" w:name="__RefHeading___Toc2354715_3650668749"/>
      <w:bookmarkStart w:id="420" w:name="_Toc154"/>
      <w:bookmarkEnd w:id="419"/>
      <w:r>
        <w:rPr>
          <w:rtl w:val="true"/>
        </w:rPr>
        <w:t>حكم الحلف مع إقامة البيّنة</w:t>
      </w:r>
      <w:bookmarkEnd w:id="420"/>
    </w:p>
    <w:p>
      <w:pPr>
        <w:pStyle w:val="Heading5"/>
        <w:numPr>
          <w:ilvl w:val="4"/>
          <w:numId w:val="1"/>
        </w:numPr>
        <w:rPr/>
      </w:pPr>
      <w:bookmarkStart w:id="421" w:name="__RefHeading___Toc2354717_3650668749"/>
      <w:bookmarkStart w:id="422" w:name="_Toc155"/>
      <w:bookmarkEnd w:id="421"/>
      <w:r>
        <w:rPr>
          <w:rtl w:val="true"/>
        </w:rPr>
        <w:t>اشارة</w:t>
      </w:r>
      <w:bookmarkEnd w:id="4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يتصوّر فروع نذكرها واحداً بعد واحد</w:t>
      </w:r>
      <w:r>
        <w:rPr>
          <w:rFonts w:eastAsia="Amiri" w:cs="Amiri" w:ascii="Amiri" w:hAnsi="Amiri"/>
          <w:color w:val="111111"/>
          <w:sz w:val="28"/>
          <w:szCs w:val="28"/>
          <w:rtl w:val="true"/>
          <w:lang w:bidi="ar-SA"/>
        </w:rPr>
        <w:t>.</w:t>
      </w:r>
    </w:p>
    <w:p>
      <w:pPr>
        <w:pStyle w:val="Heading5"/>
        <w:numPr>
          <w:ilvl w:val="4"/>
          <w:numId w:val="1"/>
        </w:numPr>
        <w:rPr/>
      </w:pPr>
      <w:bookmarkStart w:id="423" w:name="__RefHeading___Toc2354719_3650668749"/>
      <w:bookmarkStart w:id="424" w:name="_Toc156"/>
      <w:bookmarkEnd w:id="423"/>
      <w:r>
        <w:rPr>
          <w:rtl w:val="true"/>
        </w:rPr>
        <w:t>الفرع الأوّل</w:t>
      </w:r>
      <w:r>
        <w:rPr>
          <w:rtl w:val="true"/>
        </w:rPr>
        <w:t xml:space="preserve">: </w:t>
      </w:r>
      <w:r>
        <w:rPr>
          <w:rtl w:val="true"/>
        </w:rPr>
        <w:t>في أنّ المدّعي لا يستحلف مع إقامة البيّنة</w:t>
      </w:r>
      <w:bookmarkEnd w:id="424"/>
    </w:p>
    <w:p>
      <w:pPr>
        <w:pStyle w:val="BookText"/>
        <w:rPr/>
      </w:pPr>
      <w:r>
        <w:rPr>
          <w:rFonts w:ascii="Amiri" w:hAnsi="Amiri" w:eastAsia="Amiri" w:cs="Amiri"/>
          <w:color w:val="111111"/>
          <w:sz w:val="28"/>
          <w:sz w:val="28"/>
          <w:szCs w:val="28"/>
          <w:rtl w:val="true"/>
          <w:lang w:bidi="ar-SA"/>
        </w:rPr>
        <w:t>إذا أقام المدّعي لمدّعاه البيّنة القابلة لإثبات الحقّ المقبولة عند الحاكم فلا يطالب باليمين ولا يستحلف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يستحلف المدّعي مع البيّنة</w:t>
      </w:r>
      <w:r>
        <w:rPr>
          <w:rFonts w:eastAsia="Amiri" w:cs="Amiri" w:ascii="Amiri" w:hAnsi="Amiri"/>
          <w:color w:val="111111"/>
          <w:sz w:val="28"/>
          <w:szCs w:val="28"/>
          <w:rtl w:val="true"/>
          <w:lang w:bidi="ar-SA"/>
        </w:rPr>
        <w:t>»</w:t>
      </w:r>
      <w:r>
        <w:rPr>
          <w:rStyle w:val="FootnoteAnchor"/>
          <w:rtl w:val="true"/>
        </w:rPr>
        <w:footnoteReference w:id="798"/>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فيه بيننا، بل الإجماع بقسميه عليه</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يستفاد من التفصيل القاطع للشركة من الحديث النبوي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واليمين على المدّعى عليه</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يقيم البيّنة على حقّه، هل عليه أن يستحلف؟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أبي العبّاس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أقام الرجل البيّنة على حقّه، فليس عليه يمين، فإن لم يقم البيّنة فردّ عليه الذي ادّعى عليه</w:t>
      </w:r>
    </w:p>
    <w:p>
      <w:pPr>
        <w:pStyle w:val="BookText"/>
        <w:rPr/>
      </w:pPr>
      <w:r>
        <w:rPr>
          <w:rFonts w:ascii="Amiri" w:hAnsi="Amiri" w:eastAsia="Amiri" w:cs="Amiri"/>
          <w:color w:val="111111"/>
          <w:sz w:val="28"/>
          <w:sz w:val="28"/>
          <w:szCs w:val="28"/>
          <w:rtl w:val="true"/>
          <w:lang w:bidi="ar-SA"/>
        </w:rPr>
        <w:t>اليمين، فإن أبى أن يحلف، فلا حقّ له</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ردّ المدّعى عليه اليمين على المدّعي فيلزمه الحلف وذلك بدليل يدلّ عليه كما في هذه الرواية، وكذا عند نكول المدّعى عليه لو ردّ الحاكم عليه اليمين على اختلاف فيه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فيما لم يقم المدّعي البيّنة ويكون الحلف من وظائف المدّعى عليه ردّه إلى المدّعي فلا تتخلّف ما قلنا من عدم استحلافه مع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الأصل في المدّعي أن لا يكلّف اليمين، خصوصاً إذا أقام البيّنة، للتفصيل القاطع للاشتراك في الحديث المشهور، ولكن تخلّف عنه الحكم بدليل من خارج في صورة ردّه عليه إجماعاً، و مع نكول المنكر عن اليمين على خلاف</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سلمة بن كهيل في آداب القضاء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وردّ اليمين على المدّعي مع بيّنته؛ فإنّ ذلك أجلى للعمى وأثبت للقضاء</w:t>
      </w:r>
      <w:r>
        <w:rPr>
          <w:rFonts w:eastAsia="Amiri" w:cs="Amiri" w:ascii="Amiri" w:hAnsi="Amiri"/>
          <w:color w:val="111111"/>
          <w:sz w:val="28"/>
          <w:szCs w:val="28"/>
          <w:rtl w:val="true"/>
          <w:lang w:bidi="ar-SA"/>
        </w:rPr>
        <w:t>»</w:t>
      </w:r>
      <w:r>
        <w:rPr>
          <w:rStyle w:val="FootnoteAnchor"/>
          <w:rtl w:val="true"/>
        </w:rPr>
        <w:footnoteReference w:id="804"/>
      </w:r>
      <w:r>
        <w:rPr>
          <w:rFonts w:ascii="Amiri" w:hAnsi="Amiri" w:eastAsia="Amiri" w:cs="Amiri"/>
          <w:color w:val="111111"/>
          <w:sz w:val="28"/>
          <w:sz w:val="28"/>
          <w:szCs w:val="28"/>
          <w:rtl w:val="true"/>
          <w:lang w:bidi="ar-SA"/>
        </w:rPr>
        <w:t>فلا يصحّ لمعارضة ما ذكر لضعف سنده بسلمة بن كهيل؛ فإنّه لا يؤخذ بما تفرّد به، فلذا حمله الأصحاب على وجوه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يمكن حمله على الاستحباب مع قبول المدّعي لليمين لتصريح الحديث الأوّل وغيره بنفي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حمله على الدعوى على الميّت لما مرّ</w:t>
      </w:r>
      <w:r>
        <w:rPr>
          <w:rFonts w:eastAsia="Amiri" w:cs="Amiri" w:ascii="Amiri" w:hAnsi="Amiri"/>
          <w:color w:val="111111"/>
          <w:sz w:val="28"/>
          <w:szCs w:val="28"/>
          <w:rtl w:val="true"/>
          <w:lang w:bidi="ar-SA"/>
        </w:rPr>
        <w:t>.</w:t>
      </w:r>
      <w:bookmarkStart w:id="425" w:name="pg1791_15958"/>
    </w:p>
    <w:p>
      <w:pPr>
        <w:pStyle w:val="BookText"/>
        <w:rPr/>
      </w:pPr>
      <w:bookmarkEnd w:id="425"/>
      <w:r>
        <w:rPr>
          <w:rFonts w:ascii="Amiri" w:hAnsi="Amiri" w:eastAsia="Amiri" w:cs="Amiri"/>
          <w:color w:val="111111"/>
          <w:sz w:val="28"/>
          <w:sz w:val="28"/>
          <w:szCs w:val="28"/>
          <w:rtl w:val="true"/>
          <w:lang w:bidi="ar-SA"/>
        </w:rPr>
        <w:t>نعم، يُستثنى منه الدعوى على الميّت، فيعتبر قيام البيّنة الشرعية مع اليمين الاستظهاري، فإن أقام البيّنة ولم يحلف سقط حقّه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الحمل على التقيّة لأنّه قول جماعة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الاستحباب إنّ أكثر ما اشتمل عليه الحديث المذكور مستحبّ فعلًا أو تركاً مع ما يفهم من التعليل وأفعل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5"/>
        <w:numPr>
          <w:ilvl w:val="4"/>
          <w:numId w:val="1"/>
        </w:numPr>
        <w:rPr/>
      </w:pPr>
      <w:bookmarkStart w:id="426" w:name="__RefHeading___Toc2354721_3650668749"/>
      <w:bookmarkStart w:id="427" w:name="_Toc157"/>
      <w:bookmarkEnd w:id="426"/>
      <w:r>
        <w:rPr>
          <w:rtl w:val="true"/>
        </w:rPr>
        <w:t>الفرع الثاني</w:t>
      </w:r>
      <w:r>
        <w:rPr>
          <w:rtl w:val="true"/>
        </w:rPr>
        <w:t xml:space="preserve">: </w:t>
      </w:r>
      <w:r>
        <w:rPr>
          <w:rtl w:val="true"/>
        </w:rPr>
        <w:t>في الدعوى على الميّت‌</w:t>
      </w:r>
      <w:bookmarkEnd w:id="4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الثاني من الفروع التي تصوّرنا في كلام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تكون الشهادة على ميّت، فيستحلف على بقاء الحقّ‌في ذمّته استظهاراً</w:t>
      </w:r>
      <w:r>
        <w:rPr>
          <w:rFonts w:eastAsia="Amiri" w:cs="Amiri" w:ascii="Amiri" w:hAnsi="Amiri"/>
          <w:color w:val="111111"/>
          <w:sz w:val="28"/>
          <w:szCs w:val="28"/>
          <w:rtl w:val="true"/>
          <w:lang w:bidi="ar-SA"/>
        </w:rPr>
        <w:t>»</w:t>
      </w:r>
      <w:r>
        <w:rPr>
          <w:rStyle w:val="FootnoteAnchor"/>
          <w:rtl w:val="true"/>
        </w:rPr>
        <w:footnoteReference w:id="8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كلام المحقّق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بلا خلاف أجده فيه بين من تعرّض له كما اعترف به غير واحد،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موضع وفاق</w:t>
      </w:r>
      <w:r>
        <w:rPr>
          <w:rFonts w:eastAsia="Amiri" w:cs="Amiri" w:ascii="Amiri" w:hAnsi="Amiri"/>
          <w:color w:val="111111"/>
          <w:sz w:val="28"/>
          <w:szCs w:val="28"/>
          <w:rtl w:val="true"/>
          <w:lang w:bidi="ar-SA"/>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كانت الدعوى على ميّت فالمشهور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يظهر فيه 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المدّعي يستحلف مع قيام بيّنته على بقاء الحقّ في ذمّة الميّت</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عقد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لهذا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الحكم باليمين على</w:t>
      </w:r>
    </w:p>
    <w:p>
      <w:pPr>
        <w:pStyle w:val="BookText"/>
        <w:rPr/>
      </w:pPr>
      <w:r>
        <w:rPr>
          <w:rFonts w:ascii="Amiri" w:hAnsi="Amiri" w:eastAsia="Amiri" w:cs="Amiri"/>
          <w:color w:val="111111"/>
          <w:sz w:val="28"/>
          <w:sz w:val="28"/>
          <w:szCs w:val="28"/>
          <w:rtl w:val="true"/>
          <w:lang w:bidi="ar-SA"/>
        </w:rPr>
        <w:t>المدّعي على الميّت حقّاً بعد إقامة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ثبوت الحقّ على المنكر إذا لم يحلف ولم يرد، وعدم ثبوت الدعوى على الميّت، إلا ببيّنة ويمين على بقاء الحقّ</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شاهد على أنّ المسألة مهمّة جدّاً، فإنّها استثناء من الحكم الذي كان مورد الاتّفاق ومجمعاً عليه وهو عدم استحلاف المدّعي مع البيّنة والتفصيل القاطع للشركة فيما تواتر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 المعروف ومورداً للعمل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قيد الاستظهاري في اليمين هو أنّ هذا اليمين يوجب ظهور ثبوت الحقّ على الميّت وبقائه إلى حين الموت، فإنّ البيّنة يشهد على أصل ثبوت الحقّ ولكنّه يحتمل أدائه قبل موته من غير اطّلاع البيّنة أو إبرائه للميّت قبل موته فيستظهر من اليمين ثبوت الحقّ عليه وبقائه إلى حين الموت ويثبت أنّه مات مديوناً للمدّعي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هذا الاستثناء روايات ثلاث</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عبدالرحمن بن أبي عبدالله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خبّرني عن الرجل يدّعي قبل الرجل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المطلوب بالحقّ قد مات فاقيمت عليه البيّنة فعلى المدّعي اليمين بالله الذي لا إله إلا هو لقد مات فلان وأنّ حقّه لعليه، فإن حلف وإلا فلا حقّ له لأنّا لا ندري لعلّه قد أوفاه بيّنة لا نعلم موضعها أو غير بيّنة قبل الموت فمن ثمّ صارت عليه اليمين مع البيّنة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ورواها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Style w:val="FootnoteAnchor"/>
          <w:rtl w:val="true"/>
        </w:rPr>
        <w:footnoteReference w:id="809"/>
      </w:r>
      <w:r>
        <w:rPr>
          <w:rFonts w:ascii="Amiri" w:hAnsi="Amiri" w:eastAsia="Amiri" w:cs="Amiri"/>
          <w:color w:val="111111"/>
          <w:sz w:val="28"/>
          <w:sz w:val="28"/>
          <w:szCs w:val="28"/>
          <w:rtl w:val="true"/>
          <w:lang w:bidi="ar-SA"/>
        </w:rPr>
        <w:t>وقال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 الاستدلال بصدر هذه الرواية مفصّلًا، والآن محطّ نظرنا للاستدلال ذيل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على فرض كونها ضعيفة سنداً من جهة اشتمالها على محمّد بن عيسى بن عبيد اليقطيني، وياسين الضرير المهمل في الكتب الرجالية لكنّها مورد العمل للأصحاب صدراً وذيلًا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ذلك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عبدالرحمن بن أبي عبدالله الذي رواه المحمّدون الثلاثة المنجبر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مع صراحتها ووضوح دلالتها واشتهار مضمونها ورواية المحمّدين لها وقوّة سندها معلّلة فقد تكملت شرائط الصحّة</w:t>
      </w:r>
      <w:r>
        <w:rPr>
          <w:rFonts w:eastAsia="Amiri" w:cs="Amiri" w:ascii="Amiri" w:hAnsi="Amiri"/>
          <w:color w:val="111111"/>
          <w:sz w:val="28"/>
          <w:szCs w:val="28"/>
          <w:rtl w:val="true"/>
          <w:lang w:bidi="ar-SA"/>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مناقشات المحقّق الأردبيلي ودفعها</w:t>
      </w:r>
    </w:p>
    <w:p>
      <w:pPr>
        <w:pStyle w:val="BookText"/>
        <w:rPr/>
      </w:pPr>
      <w:r>
        <w:rPr>
          <w:rFonts w:ascii="Amiri" w:hAnsi="Amiri" w:eastAsia="Amiri" w:cs="Amiri"/>
          <w:color w:val="111111"/>
          <w:sz w:val="28"/>
          <w:sz w:val="28"/>
          <w:szCs w:val="28"/>
          <w:rtl w:val="true"/>
          <w:lang w:bidi="ar-SA"/>
        </w:rPr>
        <w:t xml:space="preserve">ولكن ناقش في دلالتها وسندها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سندها بمحمّد بن عيسى بن عبيد وهو العبيدي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قول وكذا ياسين الضرير</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يكون الشيخ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قول الصدوق حجّة إذ قد يكون هذا فهمه واجتهاده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ثبوت الحكم عندهم وفتواهم به لا يدلّ على تلقيهم هذه الرواية بالقبول حتّى يستدلّ بها عليها، إذ قد يكون للحكم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دلالتها على المطلوب أيضاً تأمّل، لعدم التصريح بتعدّد البيّنة وإن سلم أنّها ظاهرة في ذلك، فلعلّ مراده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فاقيمت عليه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صريحاً في تعدّد الشاهد فيحتمل أن يراد منها شاهد واحد فيحتاج إلى اليمين منضمّاً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ظاهرها وجوب اليمين المغلّظة ولا قائل به، فيمكن حملها على التقيّة لأنّه مذهب أكثر المخالفين أو على الاستحباب، انتهى كلامه</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أنّ هذه المناقشات واضحة الدفع، بل هي دون شأن المحقّق المذكور، فإنّ ضعف السند على فرض قبوله منجبر بما قلنا وأنّ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استندوا في فتواهم بهذا الاستثناء، وبهذه الرواية فكيف لا يدلّ على تلقّيهم هذه الرواية بالقبول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ثقة،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 البيّنة عند عرف الشرع والمستفاد من كلام الفقهاء في غير موضع يراد منه الشاهدين بلا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الذي لا إله إلا هو بعد لفظ الجلالة كان من الإمام ولا يدلّ على لزوم ذكره في اليمين ويحتمل أن يكون ذكره من باب أحد المصاديق</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المناقشات ضعيفة وواضحة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والمناقشة فيها بما ذكر لا تستأهل 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التعبير من مثل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مقيّد بالأدب بالنسبة إلى الأعاظم 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على الذي يدّعي على الميت أن يحلف يمين الاستظهاري وإلا سقط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الحسن الصفّار عن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محمّد بن الحسن الصفّار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تقبل شهادة الوصيّ للميّت بدين له على رجل مع شاهد آخر عدل؟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شهد معه آخر عدل فعلى المدّعي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أيجوز للوصيّ أن يشهد لوارث الميّت صغيراً أو كبيراً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القابض للصغير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للكبير بقابض؟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وينبغي للوصيّ أن يشهد بالحقّ ولا يكتم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تقبل شهادة الوصيّ على الميّت مع شاهد آخر عدل؟ فوقع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من بعد يمين</w:t>
      </w:r>
      <w:r>
        <w:rPr>
          <w:rFonts w:eastAsia="Amiri" w:cs="Amiri" w:ascii="Amiri" w:hAnsi="Amiri"/>
          <w:color w:val="111111"/>
          <w:sz w:val="28"/>
          <w:szCs w:val="28"/>
          <w:rtl w:val="true"/>
          <w:lang w:bidi="ar-SA"/>
        </w:rPr>
        <w:t>»</w:t>
      </w:r>
      <w:r>
        <w:rPr>
          <w:rStyle w:val="FootnoteAnchor"/>
          <w:rtl w:val="true"/>
        </w:rPr>
        <w:footnoteReference w:id="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صريح في الذيل باليمين الاستظهاري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نوقش في صحيحة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مكاتبة في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للقاعدة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صحيحة الاخرى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أوصى إلى ولده وفيهم كبار قد أدركوا وفيهم صغار، أيجوز للكبار أن ينفذوا وصيته ويقضوا دينه لمن صحّ على الميّت بشهود عدول قبل أن يدرك الأوصياء الصغار؟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على الأكابر من الولد أن يقضوا دين أبيهم ولا يحبسوه بذلك</w:t>
      </w:r>
      <w:r>
        <w:rPr>
          <w:rFonts w:eastAsia="Amiri" w:cs="Amiri" w:ascii="Amiri" w:hAnsi="Amiri"/>
          <w:color w:val="111111"/>
          <w:sz w:val="28"/>
          <w:szCs w:val="28"/>
          <w:rtl w:val="true"/>
          <w:lang w:bidi="ar-SA"/>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bookmarkStart w:id="428" w:name="pg1791_15964"/>
    </w:p>
    <w:p>
      <w:pPr>
        <w:pStyle w:val="BookText"/>
        <w:rPr/>
      </w:pPr>
      <w:bookmarkEnd w:id="428"/>
      <w:r>
        <w:rPr>
          <w:rFonts w:ascii="Amiri" w:hAnsi="Amiri" w:eastAsia="Amiri" w:cs="Amiri"/>
          <w:color w:val="111111"/>
          <w:sz w:val="28"/>
          <w:sz w:val="28"/>
          <w:szCs w:val="28"/>
          <w:rtl w:val="true"/>
          <w:lang w:bidi="ar-SA"/>
        </w:rPr>
        <w:t>والأقوى عدم إلحاق الطفل والمجنون والغائب وأشباههم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له نحو شباهة بالميّت في عدم إمكان الدفاع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فتثبت الدعوى عليهم بالبيّنة من دون ضمّ يمين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صحيحة الاخرى في مقام البيان ولذا لا يتمسّك بإطلاقه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سلّمنا كونها في مقام البيان وفرضنا لهما الإطلاق فهو قابل للتقية بالصحيحة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مكاتبة سليمان بن حفص المروزي أنّه كتب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وله ورثة فجاء رجل فادّعي عليه مالًا وأنّ عنده رهناً،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له على الميّت مال ولا بيّنة له عليه فليأخذ ماله بما في يده، وليرد الباقي على ورثته، ومتى أقرّ بما عنده أخذ به وطولب بالبيّنة على دعواه، وأوفى حقّه بعد اليمين، ومتى لم يقم البيّنة والورثة ينكرون فله عليهم يمين علم، يحلفون بالله ما يعلمون أنّ له على ميّتهم حقّاً</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تلاحظ أنّها تصرح بضمّ اليمين إلى البيّنة في الدعوى على الميّت</w:t>
      </w:r>
      <w:r>
        <w:rPr>
          <w:rFonts w:eastAsia="Amiri" w:cs="Amiri" w:ascii="Amiri" w:hAnsi="Amiri"/>
          <w:color w:val="111111"/>
          <w:sz w:val="28"/>
          <w:szCs w:val="28"/>
          <w:rtl w:val="true"/>
          <w:lang w:bidi="ar-SA"/>
        </w:rPr>
        <w:t>.</w:t>
      </w:r>
    </w:p>
    <w:p>
      <w:pPr>
        <w:pStyle w:val="Heading5"/>
        <w:numPr>
          <w:ilvl w:val="4"/>
          <w:numId w:val="1"/>
        </w:numPr>
        <w:rPr/>
      </w:pPr>
      <w:bookmarkStart w:id="429" w:name="__RefHeading___Toc2354723_3650668749"/>
      <w:bookmarkStart w:id="430" w:name="_Toc158"/>
      <w:bookmarkEnd w:id="429"/>
      <w:r>
        <w:rPr>
          <w:rtl w:val="true"/>
        </w:rPr>
        <w:t>الفرع الثالث</w:t>
      </w:r>
      <w:r>
        <w:rPr>
          <w:rtl w:val="true"/>
        </w:rPr>
        <w:t xml:space="preserve">: </w:t>
      </w:r>
      <w:r>
        <w:rPr>
          <w:rtl w:val="true"/>
        </w:rPr>
        <w:t>في إلحاق الطفل والمجنون والغيب بالميّت‌</w:t>
      </w:r>
      <w:bookmarkEnd w:id="430"/>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الثالث من الفروع التي تصوّرنا في كلام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إذ أثبتنا أنّ في الدعوى على الميّت يحتاج إلى ضمّ اليمين بالبيّنة</w:t>
      </w:r>
    </w:p>
    <w:p>
      <w:pPr>
        <w:pStyle w:val="BookText"/>
        <w:rPr/>
      </w:pPr>
      <w:r>
        <w:rPr>
          <w:rFonts w:ascii="Amiri" w:hAnsi="Amiri" w:eastAsia="Amiri" w:cs="Amiri"/>
          <w:color w:val="111111"/>
          <w:sz w:val="28"/>
          <w:sz w:val="28"/>
          <w:szCs w:val="28"/>
          <w:rtl w:val="true"/>
          <w:lang w:bidi="ar-SA"/>
        </w:rPr>
        <w:t>فالآن يجب البحث في الإلحاق الطفل والمجنون والغائب وغيرهم بالميّت في أنّ الدعوى عليهم هل يحتاج إلى ضمّ اليمين أو لا في المسألة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الإلحاق، وبه قال الأكثر كالشيخ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819"/>
      </w:r>
      <w:r>
        <w:rPr>
          <w:rFonts w:ascii="Amiri" w:hAnsi="Amiri" w:eastAsia="Amiri" w:cs="Amiri"/>
          <w:color w:val="111111"/>
          <w:sz w:val="28"/>
          <w:sz w:val="28"/>
          <w:szCs w:val="28"/>
          <w:rtl w:val="true"/>
          <w:lang w:bidi="ar-SA"/>
        </w:rPr>
        <w:t xml:space="preserve">والعلامة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تكون الشهادة على ميّت أو صبيّ أو مجنون أو غائب، فيستحلف على بقاء الحقّ استظهاراً</w:t>
      </w:r>
      <w:r>
        <w:rPr>
          <w:rFonts w:eastAsia="Amiri" w:cs="Amiri" w:ascii="Amiri" w:hAnsi="Amiri"/>
          <w:color w:val="111111"/>
          <w:sz w:val="28"/>
          <w:szCs w:val="28"/>
          <w:rtl w:val="true"/>
          <w:lang w:bidi="ar-SA"/>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الإلحاق، قال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الفرع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يلحق بالميّت من هو مثله في عدم اللسان كالطفل والمجنون والغائب أو لا؟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الأكثر بل المشهور الأوّل، وجماعة على الثاني، بل أسند إلى أكثر متأخّري المتأخّرين</w:t>
      </w:r>
      <w:r>
        <w:rPr>
          <w:rFonts w:eastAsia="Amiri" w:cs="Amiri" w:ascii="Amiri" w:hAnsi="Amiri"/>
          <w:color w:val="111111"/>
          <w:sz w:val="28"/>
          <w:szCs w:val="28"/>
          <w:rtl w:val="true"/>
          <w:lang w:bidi="ar-SA"/>
        </w:rPr>
        <w:t>»</w:t>
      </w:r>
      <w:r>
        <w:rPr>
          <w:rStyle w:val="FootnoteAnchor"/>
          <w:rtl w:val="true"/>
        </w:rPr>
        <w:footnoteReference w:id="8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822"/>
      </w:r>
      <w:r>
        <w:rPr>
          <w:rFonts w:ascii="Amiri" w:hAnsi="Amiri" w:eastAsia="Amiri" w:cs="Amiri"/>
          <w:color w:val="111111"/>
          <w:sz w:val="28"/>
          <w:sz w:val="28"/>
          <w:szCs w:val="28"/>
          <w:rtl w:val="true"/>
          <w:lang w:bidi="ar-SA"/>
        </w:rPr>
        <w:t>ففي ضمّ اليمين إلى البيّنة تردّد أشبهه أنّه لا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2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824"/>
      </w:r>
      <w:r>
        <w:rPr>
          <w:rFonts w:ascii="Amiri" w:hAnsi="Amiri" w:eastAsia="Amiri" w:cs="Amiri"/>
          <w:color w:val="111111"/>
          <w:sz w:val="28"/>
          <w:sz w:val="28"/>
          <w:szCs w:val="28"/>
          <w:rtl w:val="true"/>
          <w:lang w:bidi="ar-SA"/>
        </w:rPr>
        <w:t xml:space="preserve">والسيّد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825"/>
      </w:r>
      <w:r>
        <w:rPr>
          <w:rFonts w:ascii="IRNazanin" w:hAnsi="IRNazanin" w:eastAsia="IRNazanin"/>
          <w:color w:val="111111"/>
          <w:sz w:val="28"/>
          <w:sz w:val="28"/>
          <w:szCs w:val="28"/>
          <w:rtl w:val="true"/>
          <w:lang w:bidi="fa-IR"/>
        </w:rPr>
        <w:t xml:space="preserve">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Style w:val="FootnoteAnchor"/>
          <w:rtl w:val="true"/>
        </w:rPr>
        <w:footnoteReference w:id="826"/>
      </w:r>
      <w:r>
        <w:rPr>
          <w:rFonts w:ascii="Amiri" w:hAnsi="Amiri" w:eastAsia="Amiri" w:cs="Amiri"/>
          <w:color w:val="111111"/>
          <w:sz w:val="28"/>
          <w:sz w:val="28"/>
          <w:szCs w:val="28"/>
          <w:rtl w:val="true"/>
          <w:lang w:bidi="ar-SA"/>
        </w:rPr>
        <w:t>في المتن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على قول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إلحاق</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التعليل المذكور في رواية عبدالرحمن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w:t>
      </w:r>
    </w:p>
    <w:p>
      <w:pPr>
        <w:pStyle w:val="BookText"/>
        <w:rPr/>
      </w:pPr>
      <w:r>
        <w:rPr>
          <w:rFonts w:ascii="Amiri" w:hAnsi="Amiri" w:eastAsia="Amiri" w:cs="Amiri"/>
          <w:color w:val="111111"/>
          <w:sz w:val="28"/>
          <w:sz w:val="28"/>
          <w:szCs w:val="28"/>
          <w:rtl w:val="true"/>
          <w:lang w:bidi="ar-SA"/>
        </w:rPr>
        <w:t>لا ندر ي لعلّه قد أوفاه</w:t>
      </w:r>
      <w:r>
        <w:rPr>
          <w:rFonts w:eastAsia="Amiri" w:cs="Amiri" w:ascii="Amiri" w:hAnsi="Amiri"/>
          <w:color w:val="111111"/>
          <w:sz w:val="28"/>
          <w:szCs w:val="28"/>
          <w:rtl w:val="true"/>
          <w:lang w:bidi="ar-SA"/>
        </w:rPr>
        <w:t>»</w:t>
      </w:r>
      <w:r>
        <w:rPr>
          <w:rStyle w:val="FootnoteAnchor"/>
          <w:rtl w:val="true"/>
        </w:rPr>
        <w:footnoteReference w:id="827"/>
      </w:r>
      <w:r>
        <w:rPr>
          <w:rFonts w:ascii="Amiri" w:hAnsi="Amiri" w:eastAsia="Amiri" w:cs="Amiri"/>
          <w:color w:val="111111"/>
          <w:sz w:val="28"/>
          <w:sz w:val="28"/>
          <w:szCs w:val="28"/>
          <w:rtl w:val="true"/>
          <w:lang w:bidi="ar-SA"/>
        </w:rPr>
        <w:t>والعلّة قد تكون صريحة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الرمّان، لأنّه حامض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 حرام لأنّه 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بنحو الإيماء كما في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جاء في الرواية لأنّا لا ندري لعلّه قد أوفاه وهذا إيماء إلى أنّه ليس له لسان يتكلّم ويدفع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وبمقتضى عموم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كلّ من كان كذلك ولا لسان له فيحتاج إلى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هؤلاء بالميّت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تنقيح مناط طريق التكليف للمكلّفين، بمعنى أنّه لا خصوصية لاحتمال الوفاء في الميّت فقط، بل يصدق احتمال الوفاء في الصبيّ والمجنون وكلّ من لا لسان 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الحكم في الأموال مبنيّ على الاحتياط التامّ، وهو يحصل بانضمام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ثمّ ذهب أكثر من خالفنا إلى ذلك من غير استناد إلى نصّ فيكون أرباب النصّ أولي بالحكم</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الدليل على قول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الإلحاق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الحكم على خلاف القاعدة، فلا بدّ من الاقتصار على القدر المعلوم وهو خصوص الميّت</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العلّة مجرّد عدم اللسان فعلًا، بل عدمه مطلقاً كما في الميّت لأنّ الميّت لا أمد له يرتقب، بخلاف الصبيّ والمجنون والغائب، فإنّ قدرتهم على الدفاع عن نفسهم مرقوب فيه، فلا يلحقون بالميّت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الوفاء في الصبيّ والمجنون لا تجري لعدم احتماله، مع عدم‌صحّة الوفاء منهما على فرضه فطرف الدعوى فيهما وليّهما وهو حيّ له 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الأوّل أنّه يقتصر على قدر المتيقّن إذا كان المورد مشكوك فيه، ومع وجود التعليل الدالّ على العموم لا يوجد أيّ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نسلم عدم اللسان مطلقاً حتّى تفرق بين الميّت‌وغيره، بل المشابهة ممنوع أصلًا لأنّ الصبيّ وغيره لهم أولياء وهم أحياءذو اللسان للدفاع، فالأقوى ضمّ اليمين إلى البيّنة حتّى في الصبيّ والمجنون وغيرهما، كما عليه الأكثر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829"/>
      </w: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830"/>
      </w:r>
      <w:r>
        <w:rPr>
          <w:rFonts w:ascii="Amiri" w:hAnsi="Amiri" w:eastAsia="Amiri" w:cs="Amiri"/>
          <w:color w:val="111111"/>
          <w:sz w:val="28"/>
          <w:sz w:val="28"/>
          <w:szCs w:val="28"/>
          <w:rtl w:val="true"/>
          <w:lang w:bidi="ar-SA"/>
        </w:rPr>
        <w:t xml:space="preserve">والعلامة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83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w:t>
      </w:r>
      <w:r>
        <w:rPr>
          <w:rFonts w:eastAsia="IRNazanin" w:cs="IRNazanin"/>
          <w:color w:val="111111"/>
          <w:sz w:val="28"/>
          <w:szCs w:val="28"/>
          <w:rtl w:val="true"/>
          <w:lang w:bidi="fa-IR"/>
        </w:rPr>
        <w:t>»</w:t>
      </w:r>
      <w:r>
        <w:rPr>
          <w:rStyle w:val="FootnoteAnchor"/>
          <w:rtl w:val="true"/>
        </w:rPr>
        <w:footnoteReference w:id="832"/>
      </w:r>
      <w:r>
        <w:rPr>
          <w:rFonts w:ascii="Amiri" w:hAnsi="Amiri" w:eastAsia="Amiri" w:cs="Amiri"/>
          <w:color w:val="111111"/>
          <w:sz w:val="28"/>
          <w:sz w:val="28"/>
          <w:szCs w:val="28"/>
          <w:rtl w:val="true"/>
          <w:lang w:bidi="ar-SA"/>
        </w:rPr>
        <w:t xml:space="preserve">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r>
        <w:rPr>
          <w:rStyle w:val="FootnoteAnchor"/>
          <w:rtl w:val="true"/>
        </w:rPr>
        <w:footnoteReference w:id="833"/>
      </w:r>
      <w:r>
        <w:rPr>
          <w:rFonts w:ascii="Amiri" w:hAnsi="Amiri" w:eastAsia="Amiri" w:cs="Amiri"/>
          <w:color w:val="111111"/>
          <w:sz w:val="28"/>
          <w:sz w:val="28"/>
          <w:szCs w:val="28"/>
          <w:rtl w:val="true"/>
          <w:lang w:bidi="ar-SA"/>
        </w:rPr>
        <w:t xml:space="preserve">وقال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Style w:val="FootnoteAnchor"/>
          <w:rtl w:val="true"/>
        </w:rPr>
        <w:footnoteReference w:id="834"/>
      </w:r>
      <w:r>
        <w:rPr>
          <w:rFonts w:ascii="Amiri" w:hAnsi="Amiri" w:eastAsia="Amiri" w:cs="Amiri"/>
          <w:color w:val="111111"/>
          <w:sz w:val="28"/>
          <w:sz w:val="28"/>
          <w:szCs w:val="28"/>
          <w:rtl w:val="true"/>
          <w:lang w:bidi="ar-SA"/>
        </w:rPr>
        <w:t>إلا أن تكون الشهادة على ميّت أو صبيّ أو مجنون</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الغائب فهو خارج بالنصّ فإنّه دلّ على القضاء بالبيّنة فيه بلا يمين فعطفه عليها في غالب الكلمات غير صحيح</w:t>
      </w:r>
      <w:r>
        <w:rPr>
          <w:rFonts w:eastAsia="Amiri" w:cs="Amiri" w:ascii="Amiri" w:hAnsi="Amiri"/>
          <w:color w:val="111111"/>
          <w:sz w:val="28"/>
          <w:szCs w:val="28"/>
          <w:rtl w:val="true"/>
          <w:lang w:bidi="ar-SA"/>
        </w:rPr>
        <w:t>.</w:t>
      </w:r>
      <w:bookmarkStart w:id="431" w:name="pg1791_15968"/>
    </w:p>
    <w:p>
      <w:pPr>
        <w:pStyle w:val="BookText"/>
        <w:rPr/>
      </w:pPr>
      <w:bookmarkEnd w:id="431"/>
      <w:r>
        <w:rPr>
          <w:rFonts w:ascii="Amiri" w:hAnsi="Amiri" w:eastAsia="Amiri" w:cs="Amiri"/>
          <w:color w:val="111111"/>
          <w:sz w:val="28"/>
          <w:sz w:val="28"/>
          <w:szCs w:val="28"/>
          <w:rtl w:val="true"/>
          <w:lang w:bidi="ar-SA"/>
        </w:rPr>
        <w:t>وهل ضمّ اليمين بالبيّنة منحصر بالدين، أو يشمل غيره كالعين والمنفعة والحقّ؟ وجهان، لا يخلو ثانيهما عن قرب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5"/>
        <w:numPr>
          <w:ilvl w:val="4"/>
          <w:numId w:val="1"/>
        </w:numPr>
        <w:rPr/>
      </w:pPr>
      <w:bookmarkStart w:id="432" w:name="__RefHeading___Toc2354725_3650668749"/>
      <w:bookmarkStart w:id="433" w:name="_Toc159"/>
      <w:bookmarkEnd w:id="432"/>
      <w:r>
        <w:rPr>
          <w:rtl w:val="true"/>
        </w:rPr>
        <w:t>الفرع الرابع</w:t>
      </w:r>
      <w:r>
        <w:rPr>
          <w:rtl w:val="true"/>
        </w:rPr>
        <w:t xml:space="preserve">: </w:t>
      </w:r>
      <w:r>
        <w:rPr>
          <w:rtl w:val="true"/>
        </w:rPr>
        <w:t>في عدم اختصاص الحكم بالدين‌</w:t>
      </w:r>
      <w:bookmarkEnd w:id="4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الفرع الرابع من الفروع التي تصوّرنا في كلام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ويبحث فيه أنّ الحكم هل هو مختصّ بالدين أو يشمل العين أيضاً، بل يشمل كلّ دعوى على الميّت سواء كانت ديناً أو عيناً أو منفعة أو حقّاً، أي ضمّ اليمين إلى البيّنة في الدعوى على الميّت لازم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ادّعى أنّ الدار الفلاني مثلًا في إجارته أو العين الفلاني كانت رهناً عنده، وله حقّ استيفاء دينه منها أو له حقّ الخيار في البيع الفلاني مثلًا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 بالاختصاص من جهة ذكر الدين في صدر صحيحة الصفّار، وكذا في ذيلها على ما قيل في بعض النسخ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أو تقبل شهادة الوصيّ على الميّت 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الظاهر من رواية عبدالرحمن بقرينة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حقّه لعليه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العين يعبّر بالردّ لا بالوفاء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كانت الدعوى عيناً في يد الميّت بعارية أو غصب دفعت إليه مع البيّنة من دون ضمّ اليمين، وكذا غيرها من المنفعة أو الحقّ وذلك من جهة عموم حجّية البيّنة بلا يمين</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الاستشهاد في الصحيحة ليس صدر المكاتبة، بل الذيل</w:t>
      </w:r>
    </w:p>
    <w:p>
      <w:pPr>
        <w:pStyle w:val="BookText"/>
        <w:rPr/>
      </w:pPr>
      <w:r>
        <w:rPr>
          <w:rFonts w:ascii="Amiri" w:hAnsi="Amiri" w:eastAsia="Amiri" w:cs="Amiri"/>
          <w:color w:val="111111"/>
          <w:sz w:val="28"/>
          <w:sz w:val="28"/>
          <w:szCs w:val="28"/>
          <w:rtl w:val="true"/>
          <w:lang w:bidi="ar-SA"/>
        </w:rPr>
        <w:t>أيضاً محل للاستشهاد ووجود لفظ الدين في الصدر لا يدلّ على الاختصاص، خصوصاً إذا لم يكن السؤالات في مكاتبة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الذيل فليس فيما بأيدينا من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يتعرّض لوجود هذا اللفظ والاختلاف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شاهد على عدم وجوده فيما نقل عنه أيضاً، فلا اعتناء بهذا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يستفاد من الصحيحة هو الإطلاق، وعدم ذكر لفظ الدين في السؤال ولا في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رواية عبدالرحمن وإن كان الظاهر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الدين،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باب المثال كما أنّ لفظ الإيفاء أيضاً من باب المثال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التعليل إيماءً إلى احتمال ما يخالف الدعوى عليه، ويوجب نقضها بحيث لو كان حيّاً وذا لسان يدفع عن نفسه في المحكمة، ففي مورد الدين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أوفاه أو أبرأه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مورد العين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اشتراها منه أو أهداها إليه أو وهبها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مورد الإجارة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انقضى أجلها أو فسخها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مورد الحقوق يقول بإسقاطها عنه، فمن أجل تحقّق هذا الاحتمال يلزم اليمين، فيكون الخبر منصوص العلّة ويدلّ على العموم</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الصحيحة والخبر هو العموم ولزوم ضمّ اليمين بالبيّنة في العين والمنفعة والحقّ كما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لا يخلو ثانيهما عن 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لو شهدت البيّنة على كون العين ملكاً للمدّعي وكانت عارية عند الميّت أو كانت غصباًعنده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شهدت ببقائها ملكاً له إلى حين الموت فلا إشكال في عدم الاحتياج إلى اليمين لما</w:t>
      </w:r>
    </w:p>
    <w:p>
      <w:pPr>
        <w:pStyle w:val="BookText"/>
        <w:rPr/>
      </w:pPr>
      <w:r>
        <w:rPr>
          <w:rFonts w:ascii="Amiri" w:hAnsi="Amiri" w:eastAsia="Amiri" w:cs="Amiri"/>
          <w:color w:val="111111"/>
          <w:sz w:val="28"/>
          <w:sz w:val="28"/>
          <w:szCs w:val="28"/>
          <w:rtl w:val="true"/>
          <w:lang w:bidi="ar-SA"/>
        </w:rPr>
        <w:t>تقدّم من أنّ اليمين لدفع الاحتمال واستظهار بقاء الملكية أو الدين إلى حين الموت، فإذا شهدت البيّنة بذلك فلا يبقى وجه للاحتمال المذكور فلا يحتاج إلى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المناقشة التي طرحها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ادّعى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Style w:val="FootnoteAnchor"/>
          <w:rtl w:val="true"/>
        </w:rPr>
        <w:footnoteReference w:id="835"/>
      </w:r>
      <w:r>
        <w:rPr>
          <w:rFonts w:ascii="Amiri" w:hAnsi="Amiri" w:eastAsia="Amiri" w:cs="Amiri"/>
          <w:color w:val="111111"/>
          <w:sz w:val="28"/>
          <w:sz w:val="28"/>
          <w:szCs w:val="28"/>
          <w:rtl w:val="true"/>
          <w:lang w:bidi="ar-SA"/>
        </w:rPr>
        <w:t>أنّ في ذهنه إشكالًا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لي في كون دعوى العين في الدعوى على الميّت إشكالًا، وذلك لأنّ للمدّعي أن يوجه الدعوى على من بيده العين، وهو الوارث إذا كانت في يده فيكون الدعوى على الحيّ وهو الوارث دون الميّت، وكون يده مترتّبة على يد الميّت لا يوجب كون الدعوى عليه فهو نظير ما إذا غصب شخص عيناً وباعها من شخص آخر؛ فإنّ للمالك أن يدّعي على من بيده العين وهو المشتري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الدعوى على الغاصب لكون يد المشتري مترتّبة على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 أن يوجه الدعوى على الغاصب أيضاً، ففي المقام أيضاً كذلك فإن وجّه الدعوى على الميّت احتاج إلى ضمّ اليمين وأمّا إن وجّه على الوارث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فالمسألةمشكلة والأحوط ضمّ اليمين لكن برضى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ما قلنا من أنّ دعوى العين ملحق بدعوى الدين وسيجي‌ء التعليل المذكور في خبر عبدالرحمن هنا أيضاً، وقلنا إنّ الاحتمال المذكور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لأنّا لا ندري لعلّه قد أوفاه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المثال فيبدل الاحتمال باحتمال أنّه لا ندري لعلّه قد اشتراها منه أو أهداها إليه، وهذا الاحتمال لا يدفع إلا باليمين الاستظهاري الذي يستظهر منه بقاء العين على ملكيّة المدّعي، فلو طرح</w:t>
      </w:r>
    </w:p>
    <w:p>
      <w:pPr>
        <w:pStyle w:val="BookText"/>
        <w:rPr/>
      </w:pPr>
      <w:r>
        <w:rPr>
          <w:rFonts w:ascii="Amiri" w:hAnsi="Amiri" w:eastAsia="Amiri" w:cs="Amiri"/>
          <w:color w:val="111111"/>
          <w:sz w:val="28"/>
          <w:sz w:val="28"/>
          <w:szCs w:val="28"/>
          <w:rtl w:val="true"/>
          <w:lang w:bidi="ar-SA"/>
        </w:rPr>
        <w:t>نعم، لا إشكال في لحوق العين المضمونة على الميّت إذا تلفت مضمونة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الدعوى على الميّت وأقام البيّنة وأضاف إليها اليمين يثبت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طرح الدعوى على الوارث وأقام البيّنة فلا دافع للاحتمال ولا يثبت ملكية المدّعي للعين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 فيه لا يكون نظير ما إذا غصب شخص عيناً وباعها من آخر لعدم احتمال ما ينافيه، فله طرح الدعوى على الغاصب أو المشتري، فإذا أقام البيّنة يأخذ العين ممّن في يده أو قيمتها من البائع الغاصب وفيما نحن فيه لو طرح الدعوى بلا يمين لا يثبت مدّعاه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إذا كان المدّعي على الميّت وارث صاحب الحقّ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إشكال في لحوق العين بالدين فيما إذا تلفت مضمونة عليه، وذلك لانتقال قيمتها بالذمّة فيكون مثل الدين، بل يكون من أفراده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فرّق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836"/>
      </w:r>
      <w:r>
        <w:rPr>
          <w:rFonts w:ascii="Amiri" w:hAnsi="Amiri" w:eastAsia="Amiri" w:cs="Amiri"/>
          <w:color w:val="111111"/>
          <w:sz w:val="28"/>
          <w:sz w:val="28"/>
          <w:szCs w:val="28"/>
          <w:rtl w:val="true"/>
          <w:lang w:bidi="ar-SA"/>
        </w:rPr>
        <w:t>بين التلف من زمن حياة الغاصب وبين التلف بعد موته، من جهة أنّه لو تلف في زمانه فهو داخل تحت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ياسين الضرير</w:t>
      </w:r>
      <w:r>
        <w:rPr>
          <w:rStyle w:val="FootnoteAnchor"/>
          <w:rtl w:val="true"/>
        </w:rPr>
        <w:footnoteReference w:id="837"/>
      </w:r>
      <w:r>
        <w:rPr>
          <w:rFonts w:ascii="Amiri" w:hAnsi="Amiri" w:eastAsia="Amiri" w:cs="Amiri"/>
          <w:color w:val="111111"/>
          <w:sz w:val="28"/>
          <w:sz w:val="28"/>
          <w:szCs w:val="28"/>
          <w:rtl w:val="true"/>
          <w:lang w:bidi="ar-SA"/>
        </w:rPr>
        <w:t>والصفّار</w:t>
      </w:r>
      <w:r>
        <w:rPr>
          <w:rStyle w:val="FootnoteAnchor"/>
          <w:rtl w:val="true"/>
        </w:rPr>
        <w:footnoteReference w:id="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تلفت بعده فالخبران قاصران عن‌شموله فقد يقوي عدم اليمين عليه</w:t>
      </w:r>
      <w:r>
        <w:rPr>
          <w:rFonts w:eastAsia="Amiri" w:cs="Amiri" w:ascii="Amiri" w:hAnsi="Amiri"/>
          <w:color w:val="111111"/>
          <w:sz w:val="28"/>
          <w:szCs w:val="28"/>
          <w:rtl w:val="true"/>
          <w:lang w:bidi="ar-SA"/>
        </w:rPr>
        <w:t>.</w:t>
      </w:r>
      <w:bookmarkStart w:id="434" w:name="pg1791_15972"/>
    </w:p>
    <w:p>
      <w:pPr>
        <w:pStyle w:val="BookText"/>
        <w:rPr/>
      </w:pPr>
      <w:bookmarkEnd w:id="434"/>
      <w:r>
        <w:rPr>
          <w:rFonts w:ascii="IRNazanin" w:hAnsi="IRNazanin" w:eastAsia="IRNazanin"/>
          <w:color w:val="111111"/>
          <w:sz w:val="28"/>
          <w:sz w:val="28"/>
          <w:szCs w:val="28"/>
          <w:rtl w:val="true"/>
          <w:lang w:bidi="fa-IR"/>
        </w:rPr>
        <w:t>فروع</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المدّعي على الميّت وارث صاحب الحقّ، فالظاهر أنّ ثبوت الحقّ محتاج إلى ضمّ اليمين إلى البيّنة، ومع عدم الحلف يسقط الحقّ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Style w:val="FootnoteAnchor"/>
          <w:rtl w:val="true"/>
        </w:rPr>
        <w:footnoteReference w:id="839"/>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الخبرين عن الشمول ممنوع فحاله حال التلف قبل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فحاصل كلام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تلفت العين مضمونة عليه بعد موته وتعلّقت القيمة به بعد الموت، فعند الموت لا يكون على ذمّته شي‌ء حتّى يشمله الخبر بأنّه لعلّه أوفاه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لحوق العين بالدين، فلو احتمل أنّه اشتراها عن المدّعي فعند تلفه لا يتعلّق بالميّت دين فلدفع هذا الاحتمال لا بدّ من ضمّ اليمين</w:t>
      </w:r>
      <w:r>
        <w:rPr>
          <w:rFonts w:eastAsia="Amiri" w:cs="Amiri" w:ascii="Amiri" w:hAnsi="Amiri"/>
          <w:color w:val="111111"/>
          <w:sz w:val="28"/>
          <w:szCs w:val="28"/>
          <w:rtl w:val="true"/>
          <w:lang w:bidi="ar-SA"/>
        </w:rPr>
        <w:t>.</w:t>
      </w:r>
    </w:p>
    <w:p>
      <w:pPr>
        <w:pStyle w:val="Heading5"/>
        <w:numPr>
          <w:ilvl w:val="4"/>
          <w:numId w:val="1"/>
        </w:numPr>
        <w:rPr/>
      </w:pPr>
      <w:bookmarkStart w:id="435" w:name="__RefHeading___Toc2354727_3650668749"/>
      <w:bookmarkStart w:id="436" w:name="_Toc160"/>
      <w:bookmarkEnd w:id="435"/>
      <w:r>
        <w:rPr>
          <w:rtl w:val="true"/>
        </w:rPr>
        <w:t>الفرع الخامس</w:t>
      </w:r>
      <w:r>
        <w:rPr>
          <w:rtl w:val="true"/>
        </w:rPr>
        <w:t xml:space="preserve">: </w:t>
      </w:r>
      <w:r>
        <w:rPr>
          <w:rtl w:val="true"/>
        </w:rPr>
        <w:t>لو كان المدّعى على الميّت وارث صاحب الحقّ‌</w:t>
      </w:r>
      <w:bookmarkEnd w:id="4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الفرع الخامس على ترتيب ما استخرجنا من كلام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ويبحث فيه في أنّ الحكم هل هو مختصّ بما إذا كان المدّعي على الميّت هو صاحب الحقّ، أو يشمل ما إذا مات صاحب الحقّ وقام وارثه مقامه وادّعى</w:t>
      </w:r>
    </w:p>
    <w:p>
      <w:pPr>
        <w:pStyle w:val="BookText"/>
        <w:rPr/>
      </w:pPr>
      <w:r>
        <w:rPr>
          <w:rFonts w:ascii="Amiri" w:hAnsi="Amiri" w:eastAsia="Amiri" w:cs="Amiri"/>
          <w:color w:val="111111"/>
          <w:sz w:val="28"/>
          <w:sz w:val="28"/>
          <w:szCs w:val="28"/>
          <w:rtl w:val="true"/>
          <w:lang w:bidi="ar-SA"/>
        </w:rPr>
        <w:t>على الميّت ديناً من أبيه، ففي مثل ذلك أيضاً يحتاج إلى ضمّ اليمين أو هو دعوى خارج عن الروايات المتقدّمة، ويكون تحت عمومات حجّية البيّنة من غير يمين؟</w:t>
      </w:r>
    </w:p>
    <w:p>
      <w:pPr>
        <w:pStyle w:val="BookText"/>
        <w:rPr/>
      </w:pPr>
      <w:r>
        <w:rPr>
          <w:rFonts w:ascii="Amiri" w:hAnsi="Amiri" w:eastAsia="Amiri" w:cs="Amiri"/>
          <w:color w:val="111111"/>
          <w:sz w:val="28"/>
          <w:sz w:val="28"/>
          <w:szCs w:val="28"/>
          <w:rtl w:val="true"/>
          <w:lang w:bidi="ar-SA"/>
        </w:rPr>
        <w:t>قد يقال بالاختصاص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اليمين بصاحب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لما يستظهر من خبر عبدالرحمن البصري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فعلى المدّعي اليمين بالله الذي لا إله إلا هو، لقد مات فلان، وأنّ حقّه لعليه</w:t>
      </w:r>
      <w:r>
        <w:rPr>
          <w:rFonts w:eastAsia="Amiri" w:cs="Amiri" w:ascii="Amiri" w:hAnsi="Amiri"/>
          <w:color w:val="111111"/>
          <w:sz w:val="28"/>
          <w:szCs w:val="28"/>
          <w:rtl w:val="true"/>
          <w:lang w:bidi="ar-SA"/>
        </w:rPr>
        <w:t>»</w:t>
      </w:r>
      <w:r>
        <w:rPr>
          <w:rStyle w:val="FootnoteAnchor"/>
          <w:rtl w:val="true"/>
        </w:rPr>
        <w:footnoteReference w:id="840"/>
      </w:r>
      <w:r>
        <w:rPr>
          <w:rFonts w:ascii="Amiri" w:hAnsi="Amiri" w:eastAsia="Amiri" w:cs="Amiri"/>
          <w:color w:val="111111"/>
          <w:sz w:val="28"/>
          <w:sz w:val="28"/>
          <w:szCs w:val="28"/>
          <w:rtl w:val="true"/>
          <w:lang w:bidi="ar-SA"/>
        </w:rPr>
        <w:t>، فإنّه ظاهر في كون المدّعي نفس صاحب الحقّ ولا يشمل غيره، فدعوى الوارث خارج عن الرواية فلا يحتاج إلى ضمّ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ويناقش عليه أنّ صحيحة الصفّار</w:t>
      </w:r>
      <w:r>
        <w:rPr>
          <w:rStyle w:val="FootnoteAnchor"/>
          <w:rtl w:val="true"/>
        </w:rPr>
        <w:footnoteReference w:id="841"/>
      </w:r>
      <w:r>
        <w:rPr>
          <w:rFonts w:ascii="Amiri" w:hAnsi="Amiri" w:eastAsia="Amiri" w:cs="Amiri"/>
          <w:color w:val="111111"/>
          <w:sz w:val="28"/>
          <w:sz w:val="28"/>
          <w:szCs w:val="28"/>
          <w:rtl w:val="true"/>
          <w:lang w:bidi="ar-SA"/>
        </w:rPr>
        <w:t>وخبر عبدالرحمن شاملان لما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الصحيحة فتدلّ على أنّه إذا اقيمت الشهادة على الميّت يحتاج إلى ضمّ اليمين، أمّا المدّعي هل هو كلّ صاحب الحقّ فقط، أو يمكن أن يكون وارثه؟ فهي مطلق من هذه الجهة يشمل كليهما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خبر عبدالرحمن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المطلوب بالحقّ قد مات فاقيمت عليه البيّنة، فهو أيضاً مطلق من جهة المدّعي وشامل للموردين، وإن كان صاحب الحقّ هو الفرد الظاهر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فعلى المدّعي يمين</w:t>
      </w:r>
      <w:r>
        <w:rPr>
          <w:rFonts w:eastAsia="Amiri" w:cs="Amiri" w:ascii="Amiri" w:hAnsi="Amiri"/>
          <w:color w:val="111111"/>
          <w:sz w:val="28"/>
          <w:szCs w:val="28"/>
          <w:rtl w:val="true"/>
          <w:lang w:bidi="ar-SA"/>
        </w:rPr>
        <w:t>»</w:t>
      </w:r>
      <w:r>
        <w:rPr>
          <w:rStyle w:val="FootnoteAnchor"/>
          <w:rtl w:val="true"/>
        </w:rPr>
        <w:footnoteReference w:id="842"/>
      </w:r>
      <w:r>
        <w:rPr>
          <w:rFonts w:ascii="Amiri" w:hAnsi="Amiri" w:eastAsia="Amiri" w:cs="Amiri"/>
          <w:color w:val="111111"/>
          <w:sz w:val="28"/>
          <w:sz w:val="28"/>
          <w:szCs w:val="28"/>
          <w:rtl w:val="true"/>
          <w:lang w:bidi="ar-SA"/>
        </w:rPr>
        <w:t>وإن كان ظاهراً في نفس صاحب الحقّ، لكنّه في مقام بيان كيفية اليمين من المدّعي وذكره من باب أحد أفراد المطلق وذكر الفرد الظاهر منه، فلا دلالة له على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دعوى الوارث على الميّت أيضاً يصدق عليه الدعوى على الميّت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ولوجود احتمال الوفاء من جانب الميّت فإثبات الحقّ عليه يحتاج إلى اليمين، فالمورد موضوعاً وتعليلًا مشمول للرواية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كيفية أداء اليمين من الوارث، فإنّ اليمين لا بدّ أن يكون على نحو البتّ والقطع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مات فلان وأنّ حقّه لعليه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يأتي من الوارث لعدم علمه بذلك غالباً، فقد يقال في ذلك وجوه أربعة على ما في كلمات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كلام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للوارث الحلف على مقتضى الاستصحاب كما يحلف على مقتضى اليد</w:t>
      </w:r>
      <w:r>
        <w:rPr>
          <w:rFonts w:eastAsia="Amiri" w:cs="Amiri" w:ascii="Amiri" w:hAnsi="Amiri"/>
          <w:color w:val="111111"/>
          <w:sz w:val="28"/>
          <w:szCs w:val="28"/>
          <w:rtl w:val="true"/>
          <w:lang w:bidi="ar-SA"/>
        </w:rPr>
        <w:t>»</w:t>
      </w:r>
      <w:r>
        <w:rPr>
          <w:rStyle w:val="FootnoteAnchor"/>
          <w:rtl w:val="true"/>
        </w:rPr>
        <w:footnoteReference w:id="8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اقيمت الشهادة على الميّت بدين للمدّعي فيثبت الدين عليه في زمان، ثمّ إذا شكّ في أنّه هل أوفاه قبل موته أم لا فيستصحب بقاء الدين عليه إلى حين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والاستصحاب حجّة شرعية، فوارث صاحب الحقّ يحلف بتّاً ببقاء الدين على عهدة الميّت، وإلى حين موته باستناد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الخبر هو اليمين عن علم وهذا يمين مع الشكّ فإنّ الاستصحاب وإن كان حجّة شرعاً لكنّه حجّة للشاكّ، فلا بدّ له أن يعمل معاملة من كان على يقين، لا من يعمل حسب الوظيفة على يقينه السابق، فهذا اليمين غير ما يقتضيه الخبر فلا وجه له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يحلف على عدم علمه بوفاء الدين من الميّت وبراءة ذمّته،</w:t>
      </w:r>
    </w:p>
    <w:p>
      <w:pPr>
        <w:pStyle w:val="BookText"/>
        <w:rPr/>
      </w:pPr>
      <w:r>
        <w:rPr>
          <w:rFonts w:ascii="Amiri" w:hAnsi="Amiri" w:eastAsia="Amiri" w:cs="Amiri"/>
          <w:color w:val="111111"/>
          <w:sz w:val="28"/>
          <w:sz w:val="28"/>
          <w:szCs w:val="28"/>
          <w:rtl w:val="true"/>
          <w:lang w:bidi="ar-SA"/>
        </w:rPr>
        <w:t>فينضمّ اليمين إلى البيّنة فيثبت الحقّ على ذمّة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اليمين غير ما أفاده النصّ فإنّ البيّنة تشهد على أصل اشتغال الذمّة فيحتاج إلى ضمّ يمين على بقاء الحقّ عليه إلى حين الموت حتّى يثبت الدين على ذمّة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واليمين على نفي العلم لا ربط له بذلك، فإنّه لو ادّعى أحد على وارث صاحب الحقّ أنّه عالم ببقاء الدين وبراءة ذمّة الميّت فيحلف على عدم علمه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بقاء الدين المحتاج إلى اليمين فلا فائدة فيه، بل هو لغو وبلا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المورد وإن كان من مصاديق الدعوى على الميّت ومشمولًا لأدلّتها موضوعاً وتعليلًا، لكنّه لما لم يتمكّن الوارث من الحلف على‌سبيل البتّ يسقط عنه اليمين ويثبت حقّه بلا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الأحكام‌محمولة بالإمكان، ومشروطة بالقدرة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فعلى المدّعي اليمين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قدر عليه وتمكّن من اليمين على نحو الجزم، فإذا لم يتمكّن منه لعدم علمه ببقاء الدين على ذمّة الميّت فيسقط عنه اليمين ويثبت الحقّ بأدلّة حجّية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الأحكام التكليفية مشروطة بالقدرة ومتعلّقة بالإمكان، فإذا لم يقدر المكلّف عليه فيسقط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الأحكام الوضعية فليس كذلك، فإذا لم يتحقّق السبب مثلًا فلا يتحقّق المسبّب لا أن يسقط السبب</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والحكم هنا من الأحكام الوضعية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فعلى المدّعي اليمين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يكون اليمين سبباً لإثبات الحقّ على ذمّة الميّت فإذا لم يتمكّن من الحلف فلا</w:t>
      </w:r>
    </w:p>
    <w:p>
      <w:pPr>
        <w:pStyle w:val="BookText"/>
        <w:rPr/>
      </w:pPr>
      <w:r>
        <w:rPr>
          <w:rFonts w:ascii="Amiri" w:hAnsi="Amiri" w:eastAsia="Amiri" w:cs="Amiri"/>
          <w:color w:val="111111"/>
          <w:sz w:val="28"/>
          <w:sz w:val="28"/>
          <w:szCs w:val="28"/>
          <w:rtl w:val="true"/>
          <w:lang w:bidi="ar-SA"/>
        </w:rPr>
        <w:t>يأتي السبب، فينفي المسبّب فلا يثبت حقّه لا أن يسقط السبب وهو الحلف ويثبت الحقّ بلا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لذلك تمثيلًا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قال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نجس ثوبه يجب عليه غسله، يحكم بخروج من لا يتمكّن من غسله لعدم الماء؛ عن تحت الموضع، وليس الحكم له لكونه تكليفاً، بخلاف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نجس ثوبه فتطهيره إنّما هو بالغسل، فإذا لم يغسل لم يطهر، فإذا لم يمكن الغسل نقول بعدم تحقّق الطهارة لا أنّ عدم الإمكان يصير سبباً لخروج غير المتمكّن عن تحت العموم وتطهر ثوبه بعدم إمكان الغسل، 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فالأقوى ما ذكرناه من أنّ حاله حال مورثه، فكما أنّه لو لم يجزم ببقاء الحقّ وعدم الوفاء، لا يجوز له أن يحلف ولا يثبت حقّه، فكذا لا يجوز له وحينئذٍ لا يثبت الحقّ لعدم تمام الحجّة</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الحقّ، وهو المستفاد من خبر عبدالرحمن البصري المتقدّم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فعلى المدّعي اليمين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أنّه لا بدّ أن يحلف على البتّ واليقين ببقاء الحقّ على ذمّة الميّت إلى حين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يحلف فلا حقّ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يراد به أنّه لم يحلف، سواء كان لعدم الجزم بالبقاء أو لأمر آخر فلا حقّ له، فنفس صاحب الحقّ حاله ذلك</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فوارثه أيضاً كذلك فلو علم ببقاء الدين وعدم الإبراء يحلف عن بتّ ويثبت</w:t>
      </w:r>
      <w:bookmarkStart w:id="437" w:name="pg1791_15977"/>
    </w:p>
    <w:p>
      <w:pPr>
        <w:pStyle w:val="BookText"/>
        <w:rPr/>
      </w:pPr>
      <w:bookmarkEnd w:id="437"/>
      <w:r>
        <w:rPr>
          <w:rFonts w:ascii="Amiri" w:hAnsi="Amiri" w:eastAsia="Amiri" w:cs="Amiri"/>
          <w:color w:val="111111"/>
          <w:sz w:val="28"/>
          <w:sz w:val="28"/>
          <w:szCs w:val="28"/>
          <w:rtl w:val="true"/>
          <w:lang w:bidi="ar-SA"/>
        </w:rPr>
        <w:t>وإن كان الوارث متعدّداً لا بدّ من حلف كلّ واحد منهم على مقدار حقّه، ولو حلف بعض ونكل بعض ثبت حقّ الحالف وسقط حقّ الناكل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ولو لم يعلم فلا يمكن له الحلف عن بتّ فلا يثبت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نظير ما إذا لم يتمكّن من إقامة الشهادة</w:t>
      </w:r>
      <w:r>
        <w:rPr>
          <w:rFonts w:eastAsia="Amiri" w:cs="Amiri" w:ascii="Amiri" w:hAnsi="Amiri"/>
          <w:color w:val="111111"/>
          <w:sz w:val="28"/>
          <w:szCs w:val="28"/>
          <w:rtl w:val="true"/>
          <w:lang w:bidi="ar-SA"/>
        </w:rPr>
        <w:t>.</w:t>
      </w:r>
    </w:p>
    <w:p>
      <w:pPr>
        <w:pStyle w:val="Heading4"/>
        <w:numPr>
          <w:ilvl w:val="3"/>
          <w:numId w:val="1"/>
        </w:numPr>
        <w:rPr/>
      </w:pPr>
      <w:bookmarkStart w:id="438" w:name="__RefHeading___Toc2354729_3650668749"/>
      <w:bookmarkStart w:id="439" w:name="_Toc161"/>
      <w:bookmarkEnd w:id="438"/>
      <w:r>
        <w:rPr>
          <w:rtl w:val="true"/>
        </w:rPr>
        <w:t>القول بعدم كفاية يمين واحدة للورّاث في الدعوى على الميّت‌</w:t>
      </w:r>
      <w:bookmarkEnd w:id="4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إذا كان الوارث متعدّداً لا بدّ من حلف منهم على بقاء مقدار حقّه من الإرث، ولا يكفي حلف بعض منهم عن الجميع</w:t>
      </w:r>
      <w:r>
        <w:rPr>
          <w:rFonts w:eastAsia="Amiri" w:cs="Amiri" w:ascii="Amiri" w:hAnsi="Amiri"/>
          <w:color w:val="111111"/>
          <w:sz w:val="28"/>
          <w:szCs w:val="28"/>
          <w:rtl w:val="true"/>
          <w:lang w:bidi="ar-SA"/>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 فيه أنّ قوله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فعلى المدّعي اليمين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يستظهر منه أنّ وظيفة المدّعي ذلك، فإذا كان المدّعي متعدّداً فلكلّ واحد منهم يلزم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أيضاً نظير إثبات الحقّ مع الشاهد واليمين مع تعدّد المدّعي، فإنّهم قائلون أنّ لكلّ مدّع يمين ولو لم يحلف لا يثبت حقّه، فهنا أيضاً كذلك</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يمين واحدة من أحدهم،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مقتضى إطلاق النصّ اعتبار يمين واحدة في تمامية حجّية البيّنة التي قد عرفت ثبوت الموضوع بها لسائر الشركاء وإن أقامها أحدهم، فتأمّل فإنّه دقيق نافع</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bookmarkStart w:id="440" w:name="pg1791_15978"/>
    </w:p>
    <w:p>
      <w:pPr>
        <w:pStyle w:val="BookText"/>
        <w:rPr/>
      </w:pPr>
      <w:bookmarkEnd w:id="440"/>
      <w:r>
        <w:rPr>
          <w:rFonts w:ascii="Amiri" w:hAnsi="Amiri" w:eastAsia="Amiri" w:cs="Amiri"/>
          <w:color w:val="111111"/>
          <w:sz w:val="28"/>
          <w:sz w:val="28"/>
          <w:szCs w:val="28"/>
          <w:rtl w:val="true"/>
          <w:lang w:bidi="ar-SA"/>
        </w:rPr>
        <w:t>ثمّ ناقش في ذلك من جهة كون المورد نظير إقامة شاهد واحد مع اليمين، فلا يكتفي بها لغير ذي الحقّ</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2354731_3650668749"/>
      <w:bookmarkStart w:id="442" w:name="_Toc162"/>
      <w:bookmarkEnd w:id="441"/>
      <w:r>
        <w:rPr>
          <w:rtl w:val="true"/>
        </w:rPr>
        <w:t>المختار في‌كفاية يمين واحدة من أحد الوارث‌</w:t>
      </w:r>
      <w:bookmarkEnd w:id="442"/>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الحقّ ما قاله من كفاية يمين واحدة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المراد من اليمين هنا هي يمين الاستظهاري، يعني أنّ المدّعى بعد شهادة البيّنة بأصل‌الاشتغال، يحتاج إلى استظهار بقائه إلى حين موت المدّعى عليه باليمين، فإذا انضمّ اليمين إلى البيّنة فنقول فقد كملت الشهادة فيثبت الحقّ في ذمّة الميّت بناء على كون اليمين شرطاً لتكميل الشهادة أو نقول تمّ الجزآن من السبب المثبت، بناءً على كونها جزءاً مثبتاً للحجّة، فيثبت الحقّ بذلك ولا يحتاج إلى يمين آخر من الوارث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المورد نظير إقامة شاهد واحد مع اليمين عند تعدّد المدّعين فإنّه هنا يلزم على كلّ مدّع يمين حتّى ينضمّ إلى الشاهد لإثبات حقّه، ولا يكفي يمين واحد منهم لآخر بخلاف ما نحن فيه، فإنّا لا نكون بصدد إثبات حقّ كلّ واحد من الورّاث مستقلًا، بل نحتاج إلى استظهار بقاء الدين في ذمّة المدّعى عليه إلى حين الموت، ويكفي يمين واحد من أحد الورّاث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شهدت البيّنة بإقراره قبل موته بمدّة لا يمكن فيها الاستيفاء عادة، فهل يجب ضمّ اليمين أو لا؟ وجهان أوجههما وجوبه، وكذا كلّ مورد يعلم أنّه على فرض ثبوت الدين سابقاً لم يحصل الوفاء من الميّت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هذا الفرع منّا في بيان الفرع الثاني ممّا قلنا، وقد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المسألة قولان،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 المحقّق النراقي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 الأوجه وجوب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رجّحنا القول بعدم وجوب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إنّ خبر عبدالرحمن البصري من قبيل المنصوص العلّة والعلّة كما تعمّ تارة، فكذلك قد يقيّد ويخصّص الموضوع،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لأنّا لا ندري لعلّه قد أوفاه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التعدّي من احتمال الوفاء لكلّ احتمال يوجب سقوط الدين عن عهدة الميّت بحيث لو كان حيّاً يدافع عن نفسه ويستدلّ به؛ مثل الإبراء أو الاحتساب من باب الحقوق الواجبة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يوجب تقييد الميّت بالذي يحتمل منه الوفاء أو غيره، فإذا لم يحتمل الوفاء أو إسقاط الحقّ عنه أصلًا فهو خارج عن حكم وجوب ضمّ اليمين إلى البيّنة، فإذا علمنا من خارج عدم الوفاء، أو قامت البيّنة على ذلك أو شهدت البيّنة بإقراره قبل موته بمدّة لا يمكن فيها الاستيفاء أو الإبراء عادة، فلا يجب ضمّ اليمين فيه</w:t>
      </w:r>
      <w:r>
        <w:rPr>
          <w:rFonts w:eastAsia="Amiri" w:cs="Amiri" w:ascii="Amiri" w:hAnsi="Amiri"/>
          <w:color w:val="111111"/>
          <w:sz w:val="28"/>
          <w:szCs w:val="28"/>
          <w:rtl w:val="true"/>
          <w:lang w:bidi="ar-SA"/>
        </w:rPr>
        <w:t>.</w:t>
      </w:r>
      <w:bookmarkStart w:id="443" w:name="pg1791_15980"/>
    </w:p>
    <w:p>
      <w:pPr>
        <w:pStyle w:val="BookText"/>
        <w:rPr/>
      </w:pPr>
      <w:bookmarkEnd w:id="443"/>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تعدّدت ورثة الميّت، فادّعى شخص عليه و أقام البيّنة، تكفي يمين واحدة، بخلاف تعدّد ورثة المدّعي كما 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للاستظهار لا بدّ وأن تكون عند الحاكم، فإذا قامت البيّنة عنده وأحلفه ثبت حقّه، ولا أثر لحلفه بنفسه أو عند الوارث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من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الفرع الأوّل ممّا قاله عدم كفاية يمين واحدة فيما إذا مات صاحب الحقّ و كانت الورثة متعدّدة، بل لا بدّ لكلّ واحد من الورثة اليمين، لإثبات حقّه وقلنا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كفاية يمين واحدة من أحدهم، ولا يحتاج إلى تعدّد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كانت ورثة المدّعى عليه متعدّدة فلا احتمال فيه لتعدّد اليمين، فإنّ اليمين ليست على عهدة المدّعى عليه حتّى يحتمل التعدّد فيما إذا كانت ورثته متعدّدة، فلعلّه لا وجه لذكرها</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2354733_3650668749"/>
      <w:bookmarkStart w:id="445" w:name="_Toc163"/>
      <w:bookmarkEnd w:id="444"/>
      <w:r>
        <w:rPr>
          <w:rtl w:val="true"/>
        </w:rPr>
        <w:t>في لزوم كون اليمين للاستظهار عند الحاكم‌</w:t>
      </w:r>
      <w:bookmarkEnd w:id="445"/>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اليمين للاستظهار لا بدّ وأن يكون بتحليف من الحاكم، كما أنّه لا بدّ وأن تكون إقامة البيّنة عنده أيضاً، فإنّهما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وأدوات القضاء للحاكم، كما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أقضى بينكم بالبيّنات والأيمان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حلف المدّعي بنفسه أو عند الوارث لا اعتناء 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التعبير في الرواية بمعيّة اليمين بالبيّنة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ثمّ صارت عليه اليمين مع البيّنة</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bookmarkStart w:id="446" w:name="pg1791_15981"/>
    </w:p>
    <w:p>
      <w:pPr>
        <w:pStyle w:val="BookText"/>
        <w:rPr/>
      </w:pPr>
      <w:bookmarkEnd w:id="446"/>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للاستظهار غير قابلة للإسقاط، فلو أسقطها وارث الميّت لم تسقط، ولم يثبت حقّ المدّعي بالبيّنة بلا ضمّ الحلف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2354735_3650668749"/>
      <w:bookmarkStart w:id="448" w:name="_Toc164"/>
      <w:bookmarkEnd w:id="447"/>
      <w:r>
        <w:rPr>
          <w:rtl w:val="true"/>
        </w:rPr>
        <w:t>أنّ اليمين الاستظهاري غير قابلة للإسقاط</w:t>
      </w:r>
      <w:bookmarkEnd w:id="448"/>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اليمين الاستظهاري حقّ ثابت شرعاً للمدّعي، وشرط متمّم للحجّة وهي البيّنة أو جزء لها لإثبات مدّعاه وحقّه، ولا يكون مرتبطاً بورثة الميّت فليس لهم إسقاطه، ولو أسقطوا لم يسقط ولا يثبت حقّ المدّعي بدون ضمّها إلى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للمدّعي أن يصالح مع وارث الميّت بإسقاط بعض حقّه وأخذ البقية بدون أن يحلف مع رضى الوارث</w:t>
      </w:r>
      <w:r>
        <w:rPr>
          <w:rFonts w:eastAsia="Amiri" w:cs="Amiri" w:ascii="Amiri" w:hAnsi="Amiri"/>
          <w:color w:val="111111"/>
          <w:sz w:val="28"/>
          <w:szCs w:val="28"/>
          <w:rtl w:val="true"/>
          <w:lang w:bidi="ar-SA"/>
        </w:rPr>
        <w:t>.</w:t>
      </w:r>
      <w:bookmarkStart w:id="449" w:name="pg1791_15983"/>
    </w:p>
    <w:p>
      <w:pPr>
        <w:pStyle w:val="Heading3"/>
        <w:numPr>
          <w:ilvl w:val="2"/>
          <w:numId w:val="1"/>
        </w:numPr>
        <w:rPr/>
      </w:pPr>
      <w:bookmarkStart w:id="450" w:name="__RefHeading___Toc2354737_3650668749"/>
      <w:bookmarkStart w:id="451" w:name="_Toc165"/>
      <w:bookmarkEnd w:id="449"/>
      <w:bookmarkEnd w:id="450"/>
      <w:r>
        <w:rPr>
          <w:rtl w:val="true"/>
        </w:rPr>
        <w:t>القول</w:t>
      </w:r>
      <w:r>
        <w:rPr>
          <w:rtl w:val="true"/>
        </w:rPr>
        <w:t xml:space="preserve">: </w:t>
      </w:r>
      <w:r>
        <w:rPr>
          <w:rtl w:val="true"/>
        </w:rPr>
        <w:t>في الشاهد واليمين‌</w:t>
      </w:r>
      <w:bookmarkEnd w:id="451"/>
    </w:p>
    <w:p>
      <w:pPr>
        <w:pStyle w:val="Heading4"/>
        <w:numPr>
          <w:ilvl w:val="3"/>
          <w:numId w:val="1"/>
        </w:numPr>
        <w:rPr/>
      </w:pPr>
      <w:bookmarkStart w:id="452" w:name="__RefHeading___Toc2354739_3650668749"/>
      <w:bookmarkStart w:id="453" w:name="_Toc166"/>
      <w:bookmarkEnd w:id="452"/>
      <w:r>
        <w:rPr>
          <w:rtl w:val="true"/>
        </w:rPr>
        <w:t>اشارة</w:t>
      </w:r>
      <w:bookmarkEnd w:id="45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جواز القضاء في الديون بالشاهد الواحد و يمين المدّعي، كما لا إشكال في عدم الحكم والقضاء بهما في حقوق الله تعالي، كثبوت الهلال وحدود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يجوز القضاء بهما في حقوق الناس كلّها حتّى مثل النسب والولاية والوكالة، أو يجوز في الأموال وما يقصد به الأموال، كالغصب والقرض والوديعة، وكذا البيع والصلح والإجارة ونحوها؟ وجوه، أشبهها الاختصاص بالديون،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2354741_3650668749"/>
      <w:bookmarkStart w:id="455" w:name="_Toc167"/>
      <w:bookmarkEnd w:id="454"/>
      <w:r>
        <w:rPr>
          <w:rtl w:val="true"/>
        </w:rPr>
        <w:t>جواز القضاء بالشاهد واليمين في الجملة</w:t>
      </w:r>
      <w:bookmarkEnd w:id="455"/>
    </w:p>
    <w:p>
      <w:pPr>
        <w:pStyle w:val="Heading5"/>
        <w:numPr>
          <w:ilvl w:val="4"/>
          <w:numId w:val="1"/>
        </w:numPr>
        <w:rPr/>
      </w:pPr>
      <w:bookmarkStart w:id="456" w:name="__RefHeading___Toc2354743_3650668749"/>
      <w:bookmarkStart w:id="457" w:name="_Toc168"/>
      <w:bookmarkEnd w:id="456"/>
      <w:r>
        <w:rPr>
          <w:rtl w:val="true"/>
        </w:rPr>
        <w:t>اشارة</w:t>
      </w:r>
      <w:bookmarkEnd w:id="457"/>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ولا خلاف عند علمائنا في أنّه يجوز القضاء باستناد شهادة عدل واحد ويمين المدّعي في الجملة، ووافقنا في ذلك أكثر علماء العامّة خلافاً لأبي حنيفة</w:t>
      </w:r>
      <w:r>
        <w:rPr>
          <w:rStyle w:val="FootnoteAnchor"/>
          <w:rtl w:val="true"/>
        </w:rPr>
        <w:footnoteReference w:id="849"/>
      </w:r>
      <w:r>
        <w:rPr>
          <w:rFonts w:ascii="IRNazanin" w:hAnsi="IRNazanin" w:eastAsia="IRNazanin"/>
          <w:color w:val="111111"/>
          <w:sz w:val="28"/>
          <w:sz w:val="28"/>
          <w:szCs w:val="28"/>
          <w:rtl w:val="true"/>
          <w:lang w:bidi="fa-IR"/>
        </w:rPr>
        <w:t>وبعض من تبعه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والدليل على ذلك، الأخبار المستفيضة التي يحكى في جملة منها قضاء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رواه العامّة والخاصّة في كتبهم الروائية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العبّاس بن هلال،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جعفر بن محمّد قال له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تقضون باليمين مع الشاهد الواحد؟ فقال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وقضى 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عندكم</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الحكم بن عتيبة وسلمة بن كهيل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فسألاه عن شاهد ويمين،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وقضى 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عندكم بالكوفة</w:t>
      </w:r>
      <w:r>
        <w:rPr>
          <w:rFonts w:eastAsia="Amiri" w:cs="Amiri" w:ascii="Amiri" w:hAnsi="Amiri"/>
          <w:color w:val="111111"/>
          <w:sz w:val="28"/>
          <w:szCs w:val="28"/>
          <w:rtl w:val="true"/>
          <w:lang w:bidi="ar-SA"/>
        </w:rPr>
        <w:t>»</w:t>
      </w:r>
      <w:r>
        <w:rPr>
          <w:rStyle w:val="FootnoteAnchor"/>
          <w:rtl w:val="true"/>
        </w:rPr>
        <w:footnoteReference w:id="851"/>
      </w:r>
      <w:r>
        <w:rPr>
          <w:rFonts w:ascii="Amiri" w:hAnsi="Amiri" w:eastAsia="Amiri" w:cs="Amiri"/>
          <w:color w:val="111111"/>
          <w:sz w:val="28"/>
          <w:sz w:val="28"/>
          <w:szCs w:val="28"/>
          <w:rtl w:val="true"/>
          <w:lang w:bidi="ar-SA"/>
        </w:rPr>
        <w:t xml:space="preserve">المراد عند قضية شريح وهذه الرواية طويلة أوردها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اقتصاره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خطائه ثلاثاً في هذه القضيّة على فهم شريح القاصر، والا فهو مخطئ من وجوه آخر أيضاً قد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بعضها، وبذلك ظهر لك حال قاضيهم وحال الفقيهين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وسلمة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 إمامهم الأعظم أبي حنيفة وسوء أدبه</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منصور بن حازم،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يقضي بشاهد واحد مع يمين صاحب الحقّ</w:t>
      </w:r>
      <w:r>
        <w:rPr>
          <w:rFonts w:eastAsia="Amiri" w:cs="Amiri" w:ascii="Amiri" w:hAnsi="Amiri"/>
          <w:color w:val="111111"/>
          <w:sz w:val="28"/>
          <w:szCs w:val="28"/>
          <w:rtl w:val="true"/>
          <w:lang w:bidi="ar-SA"/>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bookmarkStart w:id="458" w:name="pg1791_15985"/>
    </w:p>
    <w:p>
      <w:pPr>
        <w:pStyle w:val="BookText"/>
        <w:rPr/>
      </w:pPr>
      <w:bookmarkEnd w:id="458"/>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مريم،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أجاز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شاهد، مع يمين طالب الحقّ إذا حلف أنّه الحقّ</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حمّاد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قضى بشاهد ويمين</w:t>
      </w:r>
      <w:r>
        <w:rPr>
          <w:rFonts w:eastAsia="Amiri" w:cs="Amiri" w:ascii="Amiri" w:hAnsi="Amiri"/>
          <w:color w:val="111111"/>
          <w:sz w:val="28"/>
          <w:szCs w:val="28"/>
          <w:rtl w:val="true"/>
          <w:lang w:bidi="ar-SA"/>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محمّد بن علي بن الحسين</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صهيب بن عبّاد بن صهيب، عن أبيه، عن الصادق</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صهيب،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عبدالله</w:t>
      </w:r>
      <w:r>
        <w:rPr>
          <w:rStyle w:val="FootnoteAnchor"/>
          <w:rtl w:val="true"/>
        </w:rPr>
        <w:footnoteReference w:id="858"/>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Heading5"/>
        <w:numPr>
          <w:ilvl w:val="4"/>
          <w:numId w:val="1"/>
        </w:numPr>
        <w:rPr/>
      </w:pPr>
      <w:bookmarkStart w:id="459" w:name="__RefHeading___Toc2354745_3650668749"/>
      <w:bookmarkStart w:id="460" w:name="_Toc169"/>
      <w:bookmarkEnd w:id="459"/>
      <w:r>
        <w:rPr>
          <w:rtl w:val="true"/>
        </w:rPr>
        <w:t>في تحديد مورد جواز القضاء بالشاهد واليمين‌</w:t>
      </w:r>
      <w:bookmarkEnd w:id="460"/>
    </w:p>
    <w:p>
      <w:pPr>
        <w:pStyle w:val="BookText"/>
        <w:rPr/>
      </w:pPr>
      <w:r>
        <w:rPr>
          <w:rFonts w:ascii="Amiri" w:hAnsi="Amiri" w:eastAsia="Amiri" w:cs="Amiri"/>
          <w:color w:val="111111"/>
          <w:sz w:val="28"/>
          <w:sz w:val="28"/>
          <w:szCs w:val="28"/>
          <w:rtl w:val="true"/>
          <w:lang w:bidi="ar-SA"/>
        </w:rPr>
        <w:t>ثمّ إنّه وقع الخلاف بين الأصحاب قديماً وحديثاً في تعيين المورد الذي يجوز فيه القضاء بشاهد واحد ويمين المدّعي، بعد الاتّفاق على عدم جوازه في حقوق الله عزّ وجلّ من الحدود، وكذا رؤية الهلال فإنّ الإجماع والاتّفاق حاصل بعدم جواز القضاء بشاهد ويمين فيهما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الأقوال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الجواز بالدَّين</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المورد هو الدين خاصّة، فإنّه إذا كان الدعوى ديناً، أي المال الكلّي المتعلّق بالذمّة يجوز فيه القضاء بشاهد ويمين بخلاف غيره، والقائل به هو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والحلبي وابن زهرة</w:t>
      </w:r>
      <w:r>
        <w:rPr>
          <w:rStyle w:val="FootnoteAnchor"/>
          <w:rtl w:val="true"/>
        </w:rPr>
        <w:footnoteReference w:id="859"/>
      </w:r>
      <w:r>
        <w:rPr>
          <w:rFonts w:ascii="Amiri" w:hAnsi="Amiri" w:eastAsia="Amiri" w:cs="Amiri"/>
          <w:color w:val="111111"/>
          <w:sz w:val="28"/>
          <w:sz w:val="28"/>
          <w:szCs w:val="28"/>
          <w:rtl w:val="true"/>
          <w:lang w:bidi="ar-SA"/>
        </w:rPr>
        <w:t>وادّعى في الأخير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لإثبات القول الأوّل روايات دالّة على الاختصاص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يجيز في الدين شهادة رجل واحد، ويمين صاحب الدين، ولم يجز في الهلال إلا شاهدي عدل</w:t>
      </w:r>
      <w:r>
        <w:rPr>
          <w:rFonts w:eastAsia="Amiri" w:cs="Amiri" w:ascii="Amiri" w:hAnsi="Amiri"/>
          <w:color w:val="111111"/>
          <w:sz w:val="28"/>
          <w:szCs w:val="28"/>
          <w:rtl w:val="true"/>
          <w:lang w:bidi="ar-SA"/>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يجيز في الدين شهادة رجل ويمين المدّعي</w:t>
      </w:r>
      <w:r>
        <w:rPr>
          <w:rFonts w:eastAsia="Amiri" w:cs="Amiri" w:ascii="Amiri" w:hAnsi="Amiri"/>
          <w:color w:val="111111"/>
          <w:sz w:val="28"/>
          <w:szCs w:val="28"/>
          <w:rtl w:val="true"/>
          <w:lang w:bidi="ar-SA"/>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رواية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يجيز في الدين شهادة رجل ويمين المدّعي</w:t>
      </w:r>
      <w:r>
        <w:rPr>
          <w:rFonts w:eastAsia="Amiri" w:cs="Amiri" w:ascii="Amiri" w:hAnsi="Amiri"/>
          <w:color w:val="111111"/>
          <w:sz w:val="28"/>
          <w:szCs w:val="28"/>
          <w:rtl w:val="true"/>
          <w:lang w:bidi="ar-SA"/>
        </w:rPr>
        <w:t>»</w:t>
      </w:r>
      <w:r>
        <w:rPr>
          <w:rStyle w:val="FootnoteAnchor"/>
          <w:rtl w:val="true"/>
        </w:rPr>
        <w:footnoteReference w:id="8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أنّهما واحدة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له عند الرجل الحقّ، وله شاهد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بشاهد واحد ويمين صاحب الحقّ، وذلك في الدين</w:t>
      </w:r>
      <w:r>
        <w:rPr>
          <w:rFonts w:eastAsia="Amiri" w:cs="Amiri" w:ascii="Amiri" w:hAnsi="Amiri"/>
          <w:color w:val="111111"/>
          <w:sz w:val="28"/>
          <w:szCs w:val="28"/>
          <w:rtl w:val="true"/>
          <w:lang w:bidi="ar-SA"/>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قاسم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رجل مع يمين الطالب في الدين وحده</w:t>
      </w:r>
      <w:r>
        <w:rPr>
          <w:rFonts w:eastAsia="Amiri" w:cs="Amiri" w:ascii="Amiri" w:hAnsi="Amiri"/>
          <w:color w:val="111111"/>
          <w:sz w:val="28"/>
          <w:szCs w:val="28"/>
          <w:rtl w:val="true"/>
          <w:lang w:bidi="ar-SA"/>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رواية داود بن الحصين،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شهادة النساء في النكاح بلا رجل معهنّ إذا كانت المرأة منكرة،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يقول في ذلك فقهاؤكم؟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إلا شهادة رجلين عدلين،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هونوا واستخفوا بعزائم الله وفرائضه، وشدّدوا وعظّموا ما هون الله، إن الله أمر في الطلاق بشهادة رجلين عدلين، فأجازوا الطلاق بلا شاهد واحد، والنكاح لم يجئ عن الله في تحريمه، فسنّ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الشاهدين تأديباً ونظراً لئلا ينكر الولد والميراث، وقد ثبتت عقدة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واستحلّ الفروج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 يشهد، 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يجيز شهادة المرأتين في النكاح عند الإنكار، ولا يجيز في الطلاق إلا شاهدين عدلين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فأنّى ذكر الله عزّ وجلّ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وَأمْرأتَان</w:t>
      </w:r>
      <w:r>
        <w:rPr>
          <w:rStyle w:val="FootnoteAnchor"/>
          <w:rtl w:val="true"/>
        </w:rPr>
        <w:footnoteReference w:id="86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في الدين، إذا لم يكن رجلان فرجل وامرأتان ورجل واحد ويمين المدّعي إذا لم يكن امرأتان، قضى بذلك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عندكم</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هذه الروايات تدلّ على جواز القضاء بالشاهد واليمين في الدين، ولا ينافي جوازه في غير الدين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في الخبر الأوّل والثاني والأخير كذلك، ولكن رواية أبي بصير دلّت على الاختصاص بالدين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رواية قاسم بن سليمان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الدين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فالمستفاد منها أنّ جواز القضاء بهما مختصّ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مطلقاً</w:t>
      </w:r>
    </w:p>
    <w:p>
      <w:pPr>
        <w:pStyle w:val="BookText"/>
        <w:rPr/>
      </w:pPr>
      <w:r>
        <w:rPr>
          <w:rFonts w:ascii="Amiri" w:hAnsi="Amiri" w:eastAsia="Amiri" w:cs="Amiri"/>
          <w:color w:val="111111"/>
          <w:sz w:val="28"/>
          <w:sz w:val="28"/>
          <w:szCs w:val="28"/>
          <w:rtl w:val="true"/>
          <w:lang w:bidi="ar-SA"/>
        </w:rPr>
        <w:t>والمشهور على أنّ مورد القضاء بهما هو الأموال، وضابطه المال وما يقصد منه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كالدين والقرض والغصب والاحتطاب والالتقاط ونحوها وما يقصد منه المال كعقود المعاوضات من البيع والصلح والإجارة والقرض والهبة والوصيّة بالمال، والجنايات الموجبة للدية، وغيرها، بل نقل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العروة</w:t>
      </w:r>
      <w:r>
        <w:rPr>
          <w:rFonts w:eastAsia="Amiri" w:cs="Amiri" w:ascii="Amiri" w:hAnsi="Amiri"/>
          <w:color w:val="111111"/>
          <w:sz w:val="28"/>
          <w:szCs w:val="28"/>
          <w:rtl w:val="true"/>
          <w:lang w:bidi="ar-SA"/>
        </w:rPr>
        <w:t>»</w:t>
      </w:r>
      <w:r>
        <w:rPr>
          <w:rStyle w:val="FootnoteAnchor"/>
          <w:rtl w:val="true"/>
        </w:rPr>
        <w:footnoteReference w:id="867"/>
      </w:r>
      <w:r>
        <w:rPr>
          <w:rFonts w:ascii="Amiri" w:hAnsi="Amiri" w:eastAsia="Amiri" w:cs="Amiri"/>
          <w:color w:val="111111"/>
          <w:sz w:val="28"/>
          <w:sz w:val="28"/>
          <w:szCs w:val="28"/>
          <w:rtl w:val="true"/>
          <w:lang w:bidi="ar-SA"/>
        </w:rPr>
        <w:t>عن الشيخ</w:t>
      </w:r>
      <w:r>
        <w:rPr>
          <w:rStyle w:val="FootnoteAnchor"/>
          <w:rtl w:val="true"/>
        </w:rPr>
        <w:footnoteReference w:id="868"/>
      </w:r>
      <w:r>
        <w:rPr>
          <w:rFonts w:ascii="Amiri" w:hAnsi="Amiri" w:eastAsia="Amiri" w:cs="Amiri"/>
          <w:color w:val="111111"/>
          <w:sz w:val="28"/>
          <w:sz w:val="28"/>
          <w:szCs w:val="28"/>
          <w:rtl w:val="true"/>
          <w:lang w:bidi="ar-SA"/>
        </w:rPr>
        <w:t>والحلّي</w:t>
      </w:r>
      <w:r>
        <w:rPr>
          <w:rStyle w:val="FootnoteAnchor"/>
          <w:rtl w:val="true"/>
        </w:rPr>
        <w:footnoteReference w:id="869"/>
      </w:r>
      <w:r>
        <w:rPr>
          <w:rFonts w:ascii="Amiri" w:hAnsi="Amiri" w:eastAsia="Amiri" w:cs="Amiri"/>
          <w:color w:val="111111"/>
          <w:sz w:val="28"/>
          <w:sz w:val="28"/>
          <w:szCs w:val="28"/>
          <w:rtl w:val="true"/>
          <w:lang w:bidi="ar-SA"/>
        </w:rPr>
        <w:t xml:space="preserve">الإجماع عليه وعليه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به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871"/>
      </w:r>
      <w:r>
        <w:rPr>
          <w:rFonts w:ascii="Amiri" w:hAnsi="Amiri" w:eastAsia="Amiri" w:cs="Amiri"/>
          <w:color w:val="111111"/>
          <w:sz w:val="28"/>
          <w:sz w:val="28"/>
          <w:szCs w:val="28"/>
          <w:rtl w:val="true"/>
          <w:lang w:bidi="ar-SA"/>
        </w:rPr>
        <w:t xml:space="preserve">وكذا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872"/>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الاستدلال لقول المشهور</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ويثبت الحكم بذلك في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المعاوضات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وضابطه ما كان مالًا أو المقصود منه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w:t>
      </w:r>
    </w:p>
    <w:p>
      <w:pPr>
        <w:pStyle w:val="BookText"/>
        <w:rPr/>
      </w:pPr>
      <w:r>
        <w:rPr>
          <w:rFonts w:ascii="Amiri" w:hAnsi="Amiri" w:eastAsia="Amiri" w:cs="Amiri"/>
          <w:color w:val="111111"/>
          <w:sz w:val="28"/>
          <w:sz w:val="28"/>
          <w:szCs w:val="28"/>
          <w:rtl w:val="true"/>
          <w:lang w:bidi="ar-SA"/>
        </w:rPr>
        <w:t>اختصّ القضاء بالشاهد واليمين بالأموال وحقوقها لما روي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استشرت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القضاء باليمين مع الشاهد، فأشار على بذلك في الأموال لا تعدو ذلك</w:t>
      </w:r>
      <w:r>
        <w:rPr>
          <w:rFonts w:eastAsia="Amiri" w:cs="Amiri" w:ascii="Amiri" w:hAnsi="Amiri"/>
          <w:color w:val="111111"/>
          <w:sz w:val="28"/>
          <w:szCs w:val="28"/>
          <w:rtl w:val="true"/>
          <w:lang w:bidi="ar-SA"/>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وأجاب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74"/>
      </w:r>
      <w:r>
        <w:rPr>
          <w:rFonts w:ascii="Amiri" w:hAnsi="Amiri" w:eastAsia="Amiri" w:cs="Amiri"/>
          <w:color w:val="111111"/>
          <w:sz w:val="28"/>
          <w:sz w:val="28"/>
          <w:szCs w:val="28"/>
          <w:rtl w:val="true"/>
          <w:lang w:bidi="ar-SA"/>
        </w:rPr>
        <w:t>بأنّ هذه الرواية ليست من طرقنا ولا معروف النقل في كتب فروعنا، بل لعلّ مضمونه لا يوافق اصول الشيعة، ويمكن أن يكون من محرّفات العامّة، لأنّك قد سمعت ما نزل به جبرئيل على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نزل به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عبّاد بن صهيب،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جابر بن عبدالله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جبرئيل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أن يأخذ باليمين مع الشاهد</w:t>
      </w:r>
      <w:r>
        <w:rPr>
          <w:rFonts w:eastAsia="Amiri" w:cs="Amiri" w:ascii="Amiri" w:hAnsi="Amiri"/>
          <w:color w:val="111111"/>
          <w:sz w:val="28"/>
          <w:szCs w:val="28"/>
          <w:rtl w:val="true"/>
          <w:lang w:bidi="ar-SA"/>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استدلّوا برواية محمّد بن مسلم في الصحيح، عن أبي عبدالله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يجيز في الدين شهادة رجل واحد، ويمين صاحب الدين، ولم يجز في الهلال إلا شاهدي عدل</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 أنّ المراد من الدين بقرينة المقابلة مع رؤية الهلال هو مطلق المال، فإنّ الدين مقابل للعين في كلمات الفقهاء والاصطلاح، فيستفاد من قرينة المقابلة بالهلال إرادة مطلق الأموال منه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استدلّوا بما تقدّم ممّا دلّ على اختصاص الجواز بالدين، بأنّ المراد منه المال، وإذا قلنا بالجواز في المال نقول فيما يقصد منه المال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ولعلّهم فهموا من نصوص الدين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77"/>
      </w:r>
      <w:r>
        <w:rPr>
          <w:rFonts w:ascii="Amiri" w:hAnsi="Amiri" w:eastAsia="Amiri" w:cs="Amiri"/>
          <w:color w:val="111111"/>
          <w:sz w:val="28"/>
          <w:sz w:val="28"/>
          <w:szCs w:val="28"/>
          <w:rtl w:val="true"/>
          <w:lang w:bidi="ar-SA"/>
        </w:rPr>
        <w:t>يعني ما قالوا إنّ ضابطه المال أو المقصود منه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Style w:val="FootnoteAnchor"/>
          <w:rtl w:val="true"/>
        </w:rPr>
        <w:footnoteReference w:id="878"/>
      </w:r>
      <w:r>
        <w:rPr>
          <w:rFonts w:ascii="Amiri" w:hAnsi="Amiri" w:eastAsia="Amiri" w:cs="Amiri"/>
          <w:color w:val="111111"/>
          <w:sz w:val="28"/>
          <w:sz w:val="28"/>
          <w:szCs w:val="28"/>
          <w:rtl w:val="true"/>
          <w:lang w:bidi="ar-SA"/>
        </w:rPr>
        <w:t>يستعمل الدين بمعنى مطلق المال قوله اقض عنّي الدين، يراد حقوق الله وحقوق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تَدَايَنتُمْ بِدَيْنٍ إِلَى أجَلٍ مُسَمّىً فَاكْتُبُوهُ وَلْيَكْتُبْ بَيْنَكُمْ كَاتِبٌ بِالْعَدْلِ وَلا يَأبَ كَاتِبٌ أنْ يَكْتُبَ كَمَا عَلّمَهُ اللهُ فَلْيَكْتُبْ وَلْيُمْلِلْ الّذِي عَلَيْهِ الْحَقُّ وَلْيَتَّقِ اللهَ رَبَّهُ وَلا يَبْخَسْ مِنْهُ شَيْئاً فَإِنْ كَانَ الّذِي عَلَيْهِ الْحَقُّ سَفِيهاً أوْ ضَعِيفاً أوْ لا يَسْتَطِيعُ أنْ يُمِلَّ هُوَ فَلْيُمْلِلْ وَلِيُّهُ بِالْعَدْلِ وَاسْتَشْهِدُوا شَهِيدَيْنِ مِنْ رِجَالِكُمْ فَإِنْ لَمْ يَكُونَا رَجُلَيْنِ فَرَجُلٌ وَامْرَأتَانِ مِمَّنْ تَرْضَوْنَ مِنْ الشُّهَدَاءِ أنْ تَضِلَّ إِحْدَاهُمَا فَتُذَكِّرَ إِحْدَاهُمَا الأخْرَى وَلا يَأبَ الشُّهَدَاءُ إِذَا مَا دُعُوا وَلا تَسْأمُوا أنْ تَكْتُبُوهُ صَغِيراً أوْ كَبِيراً إِلَى أجَلِهِ ذَلِكُمْ أقْسَطُ عِنْدَ اللهِ وَأقْوَمُ لِلشَّهَادَةِ وَأدْنَى ألا تَرْتَابُوا إِلا أنْ تَكُونَ تِجَارَةً حَاضِرَةً تُدِيرُونَهَا بَيْنَكُمْ فَلَيْسَ عَلَيْكُمْ جُنَاحٌ ألا تَكْتُبُوهَا وَأشْهِدُوا إِذَا تَبَايَعْتُمْ وَلا يُضَارَّ كَاتِبٌ وَلا شَهِيدٌ وَإِنْ تَفْعَلُوا فَإِنَّهُ فُسُوقٌ بِكُمْ وَاتَّقُوا اللهَ وَيُعَلّمُكُمْ اللهُ وَاللهُ بِكُلِّ شَيْ‌ءٍ عَلِيمٌ</w:t>
      </w:r>
      <w:r>
        <w:rPr>
          <w:rStyle w:val="FootnoteAnchor"/>
          <w:rtl w:val="true"/>
        </w:rPr>
        <w:footnoteReference w:id="879"/>
      </w:r>
      <w:r>
        <w:rPr>
          <w:rFonts w:ascii="Amiri" w:hAnsi="Amiri" w:eastAsia="Amiri" w:cs="Amiri"/>
          <w:color w:val="111111"/>
          <w:sz w:val="28"/>
          <w:sz w:val="28"/>
          <w:szCs w:val="28"/>
          <w:rtl w:val="true"/>
          <w:lang w:bidi="ar-SA"/>
        </w:rPr>
        <w:t>فقد فسّر الدين بالسلم والقرض</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وظاهر الآية يقع على كلّ دين مؤجّل، سلماً كان أو غيره، وعليه المفسّرون والفقهاء</w:t>
      </w:r>
      <w:r>
        <w:rPr>
          <w:rFonts w:eastAsia="Amiri" w:cs="Amiri" w:ascii="Amiri" w:hAnsi="Amiri"/>
          <w:color w:val="111111"/>
          <w:sz w:val="28"/>
          <w:szCs w:val="28"/>
          <w:rtl w:val="true"/>
          <w:lang w:bidi="ar-SA"/>
        </w:rPr>
        <w:t>»</w:t>
      </w:r>
      <w:r>
        <w:rPr>
          <w:rStyle w:val="FootnoteAnchor"/>
          <w:rtl w:val="true"/>
        </w:rPr>
        <w:footnoteReference w:id="8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والسلم هو العين، فإذا شمل الدين</w:t>
      </w:r>
    </w:p>
    <w:p>
      <w:pPr>
        <w:pStyle w:val="BookText"/>
        <w:rPr/>
      </w:pPr>
      <w:r>
        <w:rPr>
          <w:rFonts w:ascii="Amiri" w:hAnsi="Amiri" w:eastAsia="Amiri" w:cs="Amiri"/>
          <w:color w:val="111111"/>
          <w:sz w:val="28"/>
          <w:sz w:val="28"/>
          <w:szCs w:val="28"/>
          <w:rtl w:val="true"/>
          <w:lang w:bidi="ar-SA"/>
        </w:rPr>
        <w:t>للعين فيشمل مطلق المال لعدم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الخلاف بين كلمات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باختصاص الحكم بالدين وجوازه في الأموال بذلك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يستدلّ للمشهور من القضاء بهما في الحقوق المالية كلّها بما في الخبر الوارد في قضية درع طلحة من إنكار أمير المؤمنين على شريح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شهد الحسن بأنّها درع طلحة أخذت غلولًا يوم البصرة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شاهد واحد ولا أقضى بشهادة شاهد حتّى يكون معه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قضى رسول الله بشهادة واحد ويمين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يدلّ على كفايتها في مثل الدرع وهي عين وليست من الدين، فيظهر منه عدم الاختصاص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 في غيره من حقوق المالية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حملوا ما دلّ على القول الثالث ممّا دلّ على مطلق حقوق الناس على الحقوق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الاستدلالات غير تامّة، وفيها المناقشات الواضحة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خبر الذي تمسّك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عامّي كما نقلناه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ينجبر بعمل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الاستدلال بصحيحة محمّد بن مسلم من أنّ المراد من الدين فيها مطلق المال بقرينة المقابلة بينه ورؤية الهلال</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لمحمّد بن مسلم رواية اخرى استدلّوا بها للقول الثالث وفيها المقابلة بين مطلق حقوق الناس وبين حقوق الله ورؤية الهلال، فيكون الأنسب أن يراد من الدين في هذه الرواية مطلق حقوق الناس لا مطلق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حمل الدين على مطلق المال في الروايات الدالّة على اختصاص المورد بالدين، فهو خلاف ظاهر هذه الروايات؛ مثلًا في رواية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السؤال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عن الرجل يكون له عند الرجل الحقّ، وله شاهد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بشاهد واحد ويمين صاحب الحقّ وذلك في الدين</w:t>
      </w:r>
      <w:r>
        <w:rPr>
          <w:rFonts w:eastAsia="Amiri" w:cs="Amiri" w:ascii="Amiri" w:hAnsi="Amiri"/>
          <w:color w:val="111111"/>
          <w:sz w:val="28"/>
          <w:szCs w:val="28"/>
          <w:rtl w:val="true"/>
          <w:lang w:bidi="ar-SA"/>
        </w:rPr>
        <w:t>»</w:t>
      </w:r>
      <w:r>
        <w:rPr>
          <w:rStyle w:val="FootnoteAnchor"/>
          <w:rtl w:val="true"/>
        </w:rPr>
        <w:footnoteReference w:id="881"/>
      </w:r>
      <w:r>
        <w:rPr>
          <w:rFonts w:ascii="Amiri" w:hAnsi="Amiri" w:eastAsia="Amiri" w:cs="Amiri"/>
          <w:color w:val="111111"/>
          <w:sz w:val="28"/>
          <w:sz w:val="28"/>
          <w:szCs w:val="28"/>
          <w:rtl w:val="true"/>
          <w:lang w:bidi="ar-SA"/>
        </w:rPr>
        <w:t>ثمّ الإمام حصره في الدين فقط، فلا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الدين مطلق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حمل الدين على مطلق المال، فهو ممّا تأباه اللغة والعرف وكلام الأصحاب طرّاً، حيث يقابلون الدين مع العين ومع المال</w:t>
      </w:r>
      <w:r>
        <w:rPr>
          <w:rFonts w:eastAsia="Amiri" w:cs="Amiri" w:ascii="Amiri" w:hAnsi="Amiri"/>
          <w:color w:val="111111"/>
          <w:sz w:val="28"/>
          <w:szCs w:val="28"/>
          <w:rtl w:val="true"/>
          <w:lang w:bidi="ar-SA"/>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ودعوى أنّ المراد بالدين في هذه الأخبار مطلق الحقوق المالية كما ترى</w:t>
      </w:r>
      <w:r>
        <w:rPr>
          <w:rFonts w:eastAsia="Amiri" w:cs="Amiri" w:ascii="Amiri" w:hAnsi="Amiri"/>
          <w:color w:val="111111"/>
          <w:sz w:val="28"/>
          <w:szCs w:val="28"/>
          <w:rtl w:val="true"/>
          <w:lang w:bidi="ar-SA"/>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الاستدلال بما في خبر درع طلحة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أنّ إنكاره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إطلاق قول شريح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أقضى بشاهد واحد حتّى يكون معه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على عدم حكمه في خصوص المورد، مع أنّه ممّا لا يقبل ضمّ اليمين، لأنّها على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معتقداً بعدم احتياج المورد إلى الشاهد أصلًا كما في اعتراضه على شريح بأنّ رسول الله قال يأخذ الغلول حيث ما وجد بغير بيّنة، مضافاً إلى اعتراضه الآخر عليه أنّ إمام المسلمين يؤمن من امورهم على ما هو أعظم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الثاني مع أنّه المشهور، بل ادّعي عليه الإجماع لم نجد له دليلًا معتبراً من الروايات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القول الثاني فكذلك لا دليل عليه ولا إشارة في شي‌ء من الأخبار إليه ولا إلى الضابط المذكور</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التخصيص الوسط فلا أرى في الأدلّة منه عيناً ولا أثراً</w:t>
      </w:r>
      <w:r>
        <w:rPr>
          <w:rFonts w:eastAsia="Amiri" w:cs="Amiri" w:ascii="Amiri" w:hAnsi="Amiri"/>
          <w:color w:val="111111"/>
          <w:sz w:val="28"/>
          <w:szCs w:val="28"/>
          <w:rtl w:val="true"/>
          <w:lang w:bidi="ar-SA"/>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كلامهم في تعيين ما يدخل في الضابط وما لا يدخل، في غاية التشويش والاختلاف، بل يختلف كلام شخص واحد في كتابين، بل في كتاب‌واحد؛ كما يظهر بالمراجعة، بل يمكن أن يقال في أغلب حقوق الناس‌ممّا أخرجوه من الضابط أنّ المقصود منه المال؛ مثل الوكالة والوصاية والنسب مثلًا فإنّ دعوى الوكالة كثيراً ما يكون بقصد أخذ حقّ الوكالة، ومن الوصاية بقصد أخذ حقّ الوصاية أو النفقة، وفي النسب بقصد أخذ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في حقوق الناس فقط</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المورد هو حقوق الناس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حقوق الله ورؤية الهلال فلا، فيشمل إذا كان الدعوى هو الدين أو العين أو مطلق الأموال، وما يقصد به المال والحقوق المحضة مثل حقّ الخيار وحقّ الحضانة، وكذا الطلاق والخلع والوصاية إليه وعيوب النساء وأمثال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والقائل به المحقّق السبزواري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886"/>
      </w:r>
      <w:r>
        <w:rPr>
          <w:rFonts w:ascii="Amiri" w:hAnsi="Amiri" w:eastAsia="Amiri" w:cs="Amiri"/>
          <w:color w:val="111111"/>
          <w:sz w:val="28"/>
          <w:sz w:val="28"/>
          <w:szCs w:val="28"/>
          <w:rtl w:val="true"/>
          <w:lang w:bidi="ar-SA"/>
        </w:rPr>
        <w:t xml:space="preserve">على ترديد منه ومال اليه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الاستدلال للقول الثالث وهو أنّ المورد للقضاء بشاهد ويمين هو مطلق حقوق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يتمسّك بصحيحة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الأمر إلينا أجزنا شهادة الرجل الواحد إذا علم منه خير، مع يمين الخصم‌في حقوق الناس، فأمّا ما كان من حقوق الله عزّ وجلّ أو رؤية الهلال فلا</w:t>
      </w:r>
      <w:r>
        <w:rPr>
          <w:rFonts w:eastAsia="Amiri" w:cs="Amiri" w:ascii="Amiri" w:hAnsi="Amiri"/>
          <w:color w:val="111111"/>
          <w:sz w:val="28"/>
          <w:szCs w:val="28"/>
          <w:rtl w:val="true"/>
          <w:lang w:bidi="ar-SA"/>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بتقريب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مضاف معرف باللام ويدلّ على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يتمسّك له بصحيحة اخرى له عن أبي عبدالله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يجيز في الدين شهادة رجل واحد، ويمين صاحب الدين، ولم يجز في الهلال إلا شاهدي عدل</w:t>
      </w:r>
      <w:r>
        <w:rPr>
          <w:rFonts w:eastAsia="Amiri" w:cs="Amiri" w:ascii="Amiri" w:hAnsi="Amiri"/>
          <w:color w:val="111111"/>
          <w:sz w:val="28"/>
          <w:szCs w:val="28"/>
          <w:rtl w:val="true"/>
          <w:lang w:bidi="ar-SA"/>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 أنّ المراد من الدين فيها بقرينة المقابلة هو مطلق حقوق الناس ويشهد له الصحيحة الاخرى له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وهاتين الروايتين كما تدلان على القول الثالث، تدلان على ما اتّفق عليه الأصحاب من عدم جواز القضاء بالشاهد واليمين في حدود الله وفي رؤية الهلال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يتمسّك لهذا القول أيضاً بإطلاق ما تقدّم من الروايات الدالّة على أصل جواز القضاء بشاهد ويمين من نقل قضاء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بهما وقضاء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التمسّك بالإطلاق فيما إذا احرز أنّ المولى كان في مقام البيان من هذه الجهة، وهذه الروايات في صدد بيان أصل جواز القضاء بهما في قبال فتوى أبي حنيفة ومن تبعه فلا يكون من حيث موردها في مقام البيان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فيبقى في المقام طائفتين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الاختصاص بالدين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الدالّة على مطلق حقوق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والجمع بينهما بالإطلاق والتقييد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ما دلّ على اختصاص الجواز بالدين وما يحكي قضاء رسول الله وقضاء على بنحو المطلق بالإطلاق والتقييد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بينهما وبين ما دلّ على مطلق حقوق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تنافي بين هذه الأخبار والأخبار الأوّلة لأنّ هذه الأخبار وإن كانت عامّة في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بذلك ولم يبيّن فيما فيه قضى، فينبغي أن نحملها على الأخبار المتقدّمة المفصّلة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قضى بذلك في الدين على ما تضمّنته الروايات الأوّلة والحكم بالمفصّل أولى منه بالمجمل</w:t>
      </w:r>
      <w:r>
        <w:rPr>
          <w:rFonts w:eastAsia="Amiri" w:cs="Amiri" w:ascii="Amiri" w:hAnsi="Amiri"/>
          <w:color w:val="111111"/>
          <w:sz w:val="28"/>
          <w:szCs w:val="28"/>
          <w:rtl w:val="true"/>
          <w:lang w:bidi="ar-SA"/>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رواية محمّد بن مسلم المتقدّمة الدالّة على مطلق حقوق الناس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الخبر أيضاً نحمله على أنّه يحكم بذلك في حقوق الناس الذي هو الدين دون ما عداه من الحقوق لما بيّن في الأخبار المتقدّمة</w:t>
      </w:r>
      <w:r>
        <w:rPr>
          <w:rFonts w:eastAsia="Amiri" w:cs="Amiri" w:ascii="Amiri" w:hAnsi="Amiri"/>
          <w:color w:val="111111"/>
          <w:sz w:val="28"/>
          <w:szCs w:val="28"/>
          <w:rtl w:val="true"/>
          <w:lang w:bidi="ar-SA"/>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واستشكل على هذا الجمع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 المطلق على المقيّد إنّما يصحّ بعد فرض التقييد وعدم قوّة المطلق من حيث كونه مطلقاً وهما معاً ممنوعان، لإمكان عدم إرادة التقييد في النصوص السابقه، ضرورة أنّ القضاء بها في الدين أو جوازه لا يقتضي عدم القضاء ولا عدم جوازه بغيره</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بعض روايات الاختصاص بالدين، تصريح بالاختصاص؛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في الدين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ينافي الإطلاق بلا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عدم القائل الصريح للقول الثالث بحيث أفتى به في كتابه وكلماته، كما صرّح بذلك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Style w:val="FootnoteAnchor"/>
          <w:rtl w:val="true"/>
        </w:rPr>
        <w:footnoteReference w:id="893"/>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ينقل قائل صريح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الكفاية الميل إليه على ترديد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فتبيّن أنّ الأقوى هو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الاختصاص بالدين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bookmarkStart w:id="461" w:name="pg1791_15997"/>
    </w:p>
    <w:p>
      <w:pPr>
        <w:pStyle w:val="BookText"/>
        <w:rPr/>
      </w:pPr>
      <w:bookmarkEnd w:id="461"/>
      <w:r>
        <w:rPr>
          <w:rFonts w:ascii="Amiri" w:hAnsi="Amiri" w:eastAsia="Amiri" w:cs="Amiri"/>
          <w:color w:val="111111"/>
          <w:sz w:val="28"/>
          <w:sz w:val="28"/>
          <w:szCs w:val="28"/>
          <w:rtl w:val="true"/>
          <w:lang w:bidi="ar-SA"/>
        </w:rPr>
        <w:t>ويجوز القضاء في الديون بشهادة امرأتين مع يمين المدّعي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2354747_3650668749"/>
      <w:bookmarkStart w:id="463" w:name="_Toc170"/>
      <w:bookmarkEnd w:id="462"/>
      <w:r>
        <w:rPr>
          <w:rtl w:val="true"/>
        </w:rPr>
        <w:t>جواز القضاء بشهادة امرأتين واليمين‌</w:t>
      </w:r>
      <w:bookmarkEnd w:id="4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في كتاب الشهادة جواز شهادة المرأتين منضمّاً إلى الرجل، فيقبل‌شهادة المرأتين مكان شاهد واحد فإذا قبلت شهادتهما مكان شهادة الرجل‌الواحد فهل تقبل شهادتهما مع اليمين مثل شهادة الرجل مع اليمين أم‌لا؟</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يثبت بالمرأتين واليمين، لأنّ المنضمّ إلى اليمين إذا شهدت المرأتان أضعف شطري الحجّة، فلا يقنع بانضمام الضعيف إلى الضعيف، كما لا يقنع بانضمام شهادة امرأتين</w:t>
      </w:r>
      <w:r>
        <w:rPr>
          <w:rFonts w:eastAsia="Amiri" w:cs="Amiri" w:ascii="Amiri" w:hAnsi="Amiri"/>
          <w:color w:val="111111"/>
          <w:sz w:val="28"/>
          <w:szCs w:val="28"/>
          <w:rtl w:val="true"/>
          <w:lang w:bidi="ar-SA"/>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اجتهاد في قبال النصّ وهنا روايات دالّة على جواز القضاء بالمرأتين مع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منصور بن حازم، أنّ أبا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شهد لطالب الحقّ امرأتان ويمينه، فهو جائز</w:t>
      </w:r>
      <w:r>
        <w:rPr>
          <w:rFonts w:eastAsia="Amiri" w:cs="Amiri" w:ascii="Amiri" w:hAnsi="Amiri"/>
          <w:color w:val="111111"/>
          <w:sz w:val="28"/>
          <w:szCs w:val="28"/>
          <w:rtl w:val="true"/>
          <w:lang w:bidi="ar-SA"/>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الثقة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8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شهد لصاحب الحقّ امرأتان ويمينه، فهو جائز</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منصور بن حازم قد يروي عن الثقة عن الإمام وقد</w:t>
      </w:r>
    </w:p>
    <w:p>
      <w:pPr>
        <w:pStyle w:val="BookText"/>
        <w:rPr/>
      </w:pPr>
      <w:r>
        <w:rPr>
          <w:rFonts w:ascii="Amiri" w:hAnsi="Amiri" w:eastAsia="Amiri" w:cs="Amiri"/>
          <w:color w:val="111111"/>
          <w:sz w:val="28"/>
          <w:sz w:val="28"/>
          <w:szCs w:val="28"/>
          <w:rtl w:val="true"/>
          <w:lang w:bidi="ar-SA"/>
        </w:rPr>
        <w:t>يروي‌بالمباشرة، وهنا يمكن أنّه نقله الثقة له عن الإمام مرّة ثمّ سمعها من الإمام‌نفسه، ثمّ نقلها عن الإمام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شهادة النساء مع يمين الطالب في الدين، يحلف بالله أن حقّه لحقّ</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عقد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Style w:val="FootnoteAnchor"/>
          <w:rtl w:val="true"/>
        </w:rPr>
        <w:footnoteReference w:id="899"/>
      </w:r>
      <w:r>
        <w:rPr>
          <w:rFonts w:ascii="Amiri" w:hAnsi="Amiri" w:eastAsia="Amiri" w:cs="Amiri"/>
          <w:color w:val="111111"/>
          <w:sz w:val="28"/>
          <w:sz w:val="28"/>
          <w:szCs w:val="28"/>
          <w:rtl w:val="true"/>
          <w:lang w:bidi="ar-SA"/>
        </w:rPr>
        <w:t xml:space="preserve">باباً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ثبوت دعوى المالية بشهادة رجل وامرأتين وبشهادة امرأتين ويمين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 ابن إدريس</w:t>
      </w:r>
      <w:r>
        <w:rPr>
          <w:rStyle w:val="FootnoteAnchor"/>
          <w:rtl w:val="true"/>
        </w:rPr>
        <w:footnoteReference w:id="900"/>
      </w:r>
      <w:r>
        <w:rPr>
          <w:rFonts w:ascii="Amiri" w:hAnsi="Amiri" w:eastAsia="Amiri" w:cs="Amiri"/>
          <w:color w:val="111111"/>
          <w:sz w:val="28"/>
          <w:sz w:val="28"/>
          <w:szCs w:val="28"/>
          <w:rtl w:val="true"/>
          <w:lang w:bidi="ar-SA"/>
        </w:rPr>
        <w:t>من قبول شهادة المرأتين مع اليمين في الأموال محتجّاً بانتفاء الإجماع وعدم تواتر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على مبناه من عدم حجّية الأخبار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إذا كانت معتبرة يصحّ الاستناد إليه، والدليل غير منحصر بالإجماع والأخبار المتواترة كما ذكر في محلّه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ومورد جواز شهادة المرأتين مع اليمين هو ما تقدّم في شهادة الرجل مع اليمين، فإنّ شهادتها قائمة مقام شهادة الرجل مضافاً إلى التصريح بذلك في حسنة الحلبي، ويحمل عليه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المنصور</w:t>
      </w:r>
      <w:r>
        <w:rPr>
          <w:rFonts w:eastAsia="Amiri" w:cs="Amiri" w:ascii="Amiri" w:hAnsi="Amiri"/>
          <w:color w:val="111111"/>
          <w:sz w:val="28"/>
          <w:szCs w:val="28"/>
          <w:rtl w:val="true"/>
          <w:lang w:bidi="ar-SA"/>
        </w:rPr>
        <w:t>.</w:t>
      </w:r>
      <w:bookmarkStart w:id="464" w:name="pg1791_15999"/>
    </w:p>
    <w:p>
      <w:pPr>
        <w:pStyle w:val="BookText"/>
        <w:rPr/>
      </w:pPr>
      <w:bookmarkEnd w:id="464"/>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بالدين كلّ حقّ مالي في الذمّة بأيّ سبب كان، فيشمل ما استقرضه، وثمن المبيع، ومال الإجارة، ودية الجنايات، ومهر الزوجة إذا تعلّق بالعهدة، ونفقتها، والضمان بالإتلاف والتلف إلى غير ذلك، فإذا تعلّقت الدعوى بها أو بأسبابها لأجل إثبات الدين واستتباعها ذلك فهي من الدين، وإن تعلّقت بذات الأسباب وكان الغرض نفسها لا تكون من دعوى الدين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2354749_3650668749"/>
      <w:bookmarkStart w:id="466" w:name="_Toc171"/>
      <w:bookmarkEnd w:id="465"/>
      <w:r>
        <w:rPr>
          <w:rtl w:val="true"/>
        </w:rPr>
        <w:t xml:space="preserve">المراد من </w:t>
      </w:r>
      <w:r>
        <w:rPr>
          <w:rtl w:val="true"/>
        </w:rPr>
        <w:t>«</w:t>
      </w:r>
      <w:r>
        <w:rPr>
          <w:rtl w:val="true"/>
        </w:rPr>
        <w:t>الدين</w:t>
      </w:r>
      <w:r>
        <w:rPr>
          <w:rtl w:val="true"/>
        </w:rPr>
        <w:t>»</w:t>
      </w:r>
      <w:bookmarkEnd w:id="4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في المسألة الاولى باختصاص جواز القضاء بالشاهد واليمين، أو المرأتان واليمين بالدين تعرّض في هذه المسألة بأنّ المراد من الدين ما هو؟</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ويراد منه المعنى الخاصّ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 فلانٌ يَدِينُ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استقرض وصار عليه دَيْنٌ فهو دائن</w:t>
      </w:r>
      <w:r>
        <w:rPr>
          <w:rStyle w:val="FootnoteAnchor"/>
          <w:rtl w:val="true"/>
        </w:rPr>
        <w:footnoteReference w:id="901"/>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 يدين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أي‌أعطاه مالًا إلى أجل واقرضه فيكون الدين مالًا في ذمّة شخص بسبب القرض</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منه كلّ حقّ مالي في الذمّة بأيّ سبب كان من القرض أو غيره، فيشمل ثمن المبيع ومال الإجارة وغيرها ممّا ذكره في المتن</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الغرض أنّ المراد من الدين هو المعنى الثاني فدعوى الدين التي يصحّ</w:t>
      </w:r>
    </w:p>
    <w:p>
      <w:pPr>
        <w:pStyle w:val="BookText"/>
        <w:rPr/>
      </w:pPr>
      <w:r>
        <w:rPr>
          <w:rFonts w:ascii="Amiri" w:hAnsi="Amiri" w:eastAsia="Amiri" w:cs="Amiri"/>
          <w:color w:val="111111"/>
          <w:sz w:val="28"/>
          <w:sz w:val="28"/>
          <w:szCs w:val="28"/>
          <w:rtl w:val="true"/>
          <w:lang w:bidi="ar-SA"/>
        </w:rPr>
        <w:t>القضاء بالشاهد واليمين لإثباتها هو ما إذا كان المدّعى به نفس المال الذي في الذمّة بأيّ سبب كان، أو كان المدّعى به السبب ولكن كان المقصود منه إثبات المال كما إذا ادّعي البيع مثلًا، ولكن كان مقصوده إثبات ثمن المبيع على عهدته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تعلّق الدعوى بالسبب وكان المقصود إثبات نفس السبب، فليس من دعوى الدين؛ مثل ما إذا اختلف الشريكان في بيع الدار وادّعى أحدهما البيع، فلا يصحّ فيه القضاء بالشاهد واليمين فإنّه لا يثبت بهما البيع، فإنّه ليس مالًا ولا يقصد هنا منها المال وهذا هو الفارق بين هذا القول وقول المشهور القائلين بجواز القضاء بهما في كلّ مورد يكون مالًا أو ما يقصد منه المال، فإنّه يشمل مثال المذكور لأنّ البيع ممّا يقصد منه المال نوعاً ولا يخفى أنّه إذا تعلّقت الدعوى بالسبب بقصد ثبوت المال، فيثبت بالشاهد واليمين المال المقصود به، لا نفس العنوان حتّى يترتّب عليه آثاره وأحكامه مثلًا إذا ادّعى على أحد السرقة وكان مقصوده أخذ المال المسروق منه الذي في ذمّته فيثبت بهما المال لا السرقة حتّى يترتّب عليه قطع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إذا ادّعى على أحد بيع الحيوان منه يقصد أخذ الثمن فيثبت بهما المال دون بيع الحيوان، حتّى يترتّب عليه جواز الفسخ بخيار الحيوان</w:t>
      </w:r>
      <w:r>
        <w:rPr>
          <w:rFonts w:eastAsia="Amiri" w:cs="Amiri" w:ascii="Amiri" w:hAnsi="Amiri"/>
          <w:color w:val="111111"/>
          <w:sz w:val="28"/>
          <w:szCs w:val="28"/>
          <w:rtl w:val="true"/>
          <w:lang w:bidi="ar-SA"/>
        </w:rPr>
        <w:t>.</w:t>
      </w:r>
      <w:bookmarkStart w:id="467" w:name="pg1791_16001"/>
    </w:p>
    <w:p>
      <w:pPr>
        <w:pStyle w:val="BookText"/>
        <w:rPr/>
      </w:pPr>
      <w:bookmarkEnd w:id="467"/>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تقديم الشاهد وإثبات عدالته ثمّ اليمين، فإن قدّم اليمين ثمّ أقام الشاهد فالأحوط عدم إثباته؛ وإن كان عدم اشتراط التقديم لا يخلو من قوّة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2354751_3650668749"/>
      <w:bookmarkStart w:id="469" w:name="_Toc172"/>
      <w:bookmarkEnd w:id="468"/>
      <w:r>
        <w:rPr>
          <w:rtl w:val="true"/>
        </w:rPr>
        <w:t>اشتراط الترتيب في الشاهد واليمين وتقديم الشاهد على اليمين‌</w:t>
      </w:r>
      <w:bookmarkEnd w:id="4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يبحث في هذه المسألة في أنّ القضاء بالشاهد واليمين هل يشترط فيه الترتيب بأن يقدّم الشاهد على اليمين أو لا؟ 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بوجوب الترتيب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ثمّ الحلف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 ليس شرطاً، بل هو بالخيار، إن شاء حلف قبل شاهده وإن شاء بعده كالشاهدين من شاء شهد قبل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أنّه على الترتيب يشهد له شاهده ثمّ يحلف</w:t>
      </w:r>
      <w:r>
        <w:rPr>
          <w:rFonts w:eastAsia="Amiri" w:cs="Amiri" w:ascii="Amiri" w:hAnsi="Amiri"/>
          <w:color w:val="111111"/>
          <w:sz w:val="28"/>
          <w:szCs w:val="28"/>
          <w:rtl w:val="true"/>
          <w:lang w:bidi="ar-SA"/>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9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ويشترط شهادة الشاهد أوّلًا، وثبوت عدالته ثمّ اليمين، ولو بدأ باليمين وقعت لاغية، وافتقر إلى إعادتها بعد الإقامة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9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بيان كلام المحقّق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906"/>
      </w:r>
      <w:r>
        <w:rPr>
          <w:rFonts w:ascii="IRNazanin" w:hAnsi="IRNazanin" w:eastAsia="IRNazanin"/>
          <w:color w:val="111111"/>
          <w:sz w:val="28"/>
          <w:sz w:val="28"/>
          <w:szCs w:val="28"/>
          <w:rtl w:val="true"/>
          <w:lang w:bidi="fa-IR"/>
        </w:rPr>
        <w:t>نسبته إلى قطع الأصحاب</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تمسّك القائلون باشتراط الترتيب بامور غير خالية عن 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المدّعي وظيفته البيّنة لا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بالأصالة، فإذا أقام شاهداً واحداً صارت البيّنة التي هي وظيفته ناقصة، ومتمّمها اليمين بالنصّ، بخلاف ما لو قدّم اليمين، فإنّه ابتدأ بما ليس من وظيفته</w:t>
      </w:r>
      <w:r>
        <w:rPr>
          <w:rFonts w:eastAsia="Amiri" w:cs="Amiri" w:ascii="Amiri" w:hAnsi="Amiri"/>
          <w:color w:val="111111"/>
          <w:sz w:val="28"/>
          <w:szCs w:val="28"/>
          <w:rtl w:val="true"/>
          <w:lang w:bidi="ar-SA"/>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908"/>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استدلّ له بأنّ جانبه حينئذٍ يقوى، وإنّما يحلف من يقوى جانبه، كما أنّه يحلف إذا نكل المدّعى عليه، لأنّ النكول قويّ 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أنّه إذا قدّم الشاهد أوّلًا فيقوى جانب المدّعي ومدّعاه مع شهادة شاهد واحد، ثمّ يأتي باليمين مثل يمين المدّعي بعد نكول المنكر، فإنّ النكول يوجب تقوية المدّعى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عليهما أنّ تتميم الشاهد باليمين أو تقوية جانب المدّعي بالشاهد الواحد هو فيما إذا قلنا بأنّ الشاهد الواحد هو الأصل في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واليمين شرط أو متممّ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الصحيح أنّ اليمين بمنزلة الشاهد الآخر ومكانه وهو في عرض الشاهد وجزء ركين من جزئي الحجّة، وعلى هذا لا يبقى وجه للاستدلالين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يعني إذا شككنا في ثبوت الحقّ بما إذا قدّم اليمين على الشاهد بعد الشكّ في إرادته من الإطلاق فالأصل عدم ثبوت الحقّ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الحكم مخالف للأصل فيقتصر في ثبوت الحقّ به على موضع اليقين، وهو ما إذا كان الشاهد مقدّماً على اليمين</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عليها وجود الإطلاق في بعض الروايات كما تقدّم ومع الإطلاق لا</w:t>
      </w:r>
    </w:p>
    <w:p>
      <w:pPr>
        <w:pStyle w:val="BookText"/>
        <w:rPr/>
      </w:pPr>
      <w:r>
        <w:rPr>
          <w:rFonts w:ascii="Amiri" w:hAnsi="Amiri" w:eastAsia="Amiri" w:cs="Amiri"/>
          <w:color w:val="111111"/>
          <w:sz w:val="28"/>
          <w:sz w:val="28"/>
          <w:szCs w:val="28"/>
          <w:rtl w:val="true"/>
          <w:lang w:bidi="ar-SA"/>
        </w:rPr>
        <w:t>يتمسّك بالأصل أو القدر المتيقّن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بعدم وجوب الترتيب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909"/>
      </w:r>
      <w:r>
        <w:rPr>
          <w:rFonts w:ascii="Amiri" w:hAnsi="Amiri" w:eastAsia="Amiri" w:cs="Amiri"/>
          <w:color w:val="111111"/>
          <w:sz w:val="28"/>
          <w:sz w:val="28"/>
          <w:szCs w:val="28"/>
          <w:rtl w:val="true"/>
          <w:lang w:bidi="ar-SA"/>
        </w:rPr>
        <w:t xml:space="preserve">تأمّل طائفة في ذلك الحكم، كصاحبي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91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Style w:val="FootnoteAnchor"/>
          <w:rtl w:val="true"/>
        </w:rPr>
        <w:footnoteReference w:id="9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Style w:val="FootnoteAnchor"/>
          <w:rtl w:val="true"/>
        </w:rPr>
        <w:footnoteReference w:id="912"/>
      </w:r>
      <w:r>
        <w:rPr>
          <w:rFonts w:ascii="Amiri" w:hAnsi="Amiri" w:eastAsia="Amiri" w:cs="Amiri"/>
          <w:color w:val="111111"/>
          <w:sz w:val="28"/>
          <w:sz w:val="28"/>
          <w:szCs w:val="28"/>
          <w:rtl w:val="true"/>
          <w:lang w:bidi="ar-SA"/>
        </w:rPr>
        <w:t>عدم اشتراط الترتيب، وهو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عن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Style w:val="FootnoteAnchor"/>
          <w:rtl w:val="true"/>
        </w:rPr>
        <w:footnoteReference w:id="9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كان هو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وجوب تقديم الشاهد على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بعض الأخبار الماضية الإطلاق وإن كان أكثرها خالية عنه من جهة حكاية قضاء رسول الله أو قضاء أمير المؤمنين، وأنّها كانت قضية في واقعة لا يمكن استظهار الإطلاق منها، وذلك مثل صحيحتي محمّد بن مسلم قال في الاولى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يجيز في الدين شهادة رجل واحد، ويمين صاحب الدين</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الأمر إلينا أجزنا شهادة الرجل الواحد إذا علم منه الخير، مع يمين الخصم</w:t>
      </w:r>
      <w:r>
        <w:rPr>
          <w:rFonts w:eastAsia="Amiri" w:cs="Amiri" w:ascii="Amiri" w:hAnsi="Amiri"/>
          <w:color w:val="111111"/>
          <w:sz w:val="28"/>
          <w:szCs w:val="28"/>
          <w:rtl w:val="true"/>
          <w:lang w:bidi="ar-SA"/>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رواية داود بن الحصين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ورجل واحد ويمين المدّعي إذا لم يكن امرأتان</w:t>
      </w:r>
      <w:r>
        <w:rPr>
          <w:rFonts w:eastAsia="Amiri" w:cs="Amiri" w:ascii="Amiri" w:hAnsi="Amiri"/>
          <w:color w:val="111111"/>
          <w:sz w:val="28"/>
          <w:szCs w:val="28"/>
          <w:rtl w:val="true"/>
          <w:lang w:bidi="ar-SA"/>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المستفاد منها الإطلاق من جهة تقديم الشاهد على اليمين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كثير من الروايات يذكر الشاهد أوّلًا ثمّ اليمين، ولكنّ الترتيب الذكري لا يدلّ على لزوم التقديم واشتراط الترتيب، مضافاً إلى وجود خلافه في بعض الروايات مثل ما في رواية صهيب بن عباد بن صهيب، عن الصادق، عن آبائه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قضى باليمين مع الشاهد الواحد، وأنّ عليّاً قضى به بالعراق</w:t>
      </w:r>
      <w:r>
        <w:rPr>
          <w:rFonts w:eastAsia="Amiri" w:cs="Amiri" w:ascii="Amiri" w:hAnsi="Amiri"/>
          <w:color w:val="111111"/>
          <w:sz w:val="28"/>
          <w:szCs w:val="28"/>
          <w:rtl w:val="true"/>
          <w:lang w:bidi="ar-SA"/>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عن جابر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جبرئيل إلى النبيّ فأمره أن يأخذ باليمين مع الشاهد</w:t>
      </w:r>
      <w:r>
        <w:rPr>
          <w:rFonts w:eastAsia="Amiri" w:cs="Amiri" w:ascii="Amiri" w:hAnsi="Amiri"/>
          <w:color w:val="111111"/>
          <w:sz w:val="28"/>
          <w:szCs w:val="28"/>
          <w:rtl w:val="true"/>
          <w:lang w:bidi="ar-SA"/>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 الإطلاق مشروط بكون المولى في مقام البيان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هذه واضحة فإنّها في مقام بيان أصل جواز القضاء بالشاهد واليمين دون التقديم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إنكار كون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الروايات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البيان واضح الضعف خصوصاً في مثل معتبرة داود بن الحصين</w:t>
      </w:r>
      <w:r>
        <w:rPr>
          <w:rStyle w:val="FootnoteAnchor"/>
          <w:rtl w:val="true"/>
        </w:rPr>
        <w:footnoteReference w:id="9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لو كان الترتيب شرطاً ولازماً لكان على القائل البيان، وليس في شي‌ء من الروايات ذلك</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وجه الأخذ بالاحتياط الوجوبي ورعاية الترتيب وتقديم الشاهد على</w:t>
      </w:r>
      <w:bookmarkStart w:id="470" w:name="pg1791_16007"/>
    </w:p>
    <w:p>
      <w:pPr>
        <w:pStyle w:val="BookText"/>
        <w:rPr/>
      </w:pPr>
      <w:bookmarkEnd w:id="470"/>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المال المدّعى به مشتركاً بين جماعة بسبب واحد كإرث ونحوه، فأقام بعضهم شاهداً على الدعوى وحلف لا يثبت به إلا حصّته، وثبوت سائر الحصص موقوف على حلف صاحب الحقّ، فكلّ من حلف ثبت حقّه مع الشاهد الواحد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اليمين فهو من جهة الشبهة في وجوه الإطلاق لأنّ كون المتكلّم في مقام البيان شرط فيه وهنا غير معلوم، فإذا لم يحرز الإطلاق فالأصل عدم ثبوت الحقّ به وكذا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9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الإنصاف عدم دليل واضح على ذلك غير أصالة عدم ثبوت الحقّ بدون ذلك بعد الشكّ في إرادة غيره من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Style w:val="FootnoteAnchor"/>
          <w:rtl w:val="true"/>
        </w:rPr>
        <w:footnoteReference w:id="9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كان هو الأحوط، بل لا يترك، لأنّ الأصل عدم ثبوت الحقّ بعد عدم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الأقوى وجود الإطلاق كما تقدّم ومع ذلك يحسن الاحتياط ورعاية الترتيب والله العالم</w:t>
      </w:r>
      <w:r>
        <w:rPr>
          <w:rFonts w:eastAsia="Amiri" w:cs="Amiri" w:ascii="Amiri" w:hAnsi="Amiri"/>
          <w:color w:val="111111"/>
          <w:sz w:val="28"/>
          <w:szCs w:val="28"/>
          <w:rtl w:val="true"/>
          <w:lang w:bidi="ar-SA"/>
        </w:rPr>
        <w:t>.</w:t>
      </w:r>
    </w:p>
    <w:p>
      <w:pPr>
        <w:pStyle w:val="Heading4"/>
        <w:numPr>
          <w:ilvl w:val="3"/>
          <w:numId w:val="1"/>
        </w:numPr>
        <w:rPr/>
      </w:pPr>
      <w:bookmarkStart w:id="471" w:name="__RefHeading___Toc2354753_3650668749"/>
      <w:bookmarkStart w:id="472" w:name="_Toc173"/>
      <w:bookmarkEnd w:id="471"/>
      <w:r>
        <w:rPr>
          <w:rtl w:val="true"/>
        </w:rPr>
        <w:t>هل يجب تعدّد اليمين مع تعدّد المدّعي؟</w:t>
      </w:r>
      <w:bookmarkEnd w:id="472"/>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 أنّ لرجل على عهدة آخر مال، ثمّ مات الرجل وانتقل المال إلى ورثته فصار المدّعي متعدّداً فهل يكفي في إثبات الدين شاهد واحد مع يمين واحد، أو يلزم تعدّد اليمين على حسب تعدّد الورثة؟</w:t>
      </w:r>
    </w:p>
    <w:p>
      <w:pPr>
        <w:pStyle w:val="BookText"/>
        <w:rPr/>
      </w:pPr>
      <w:r>
        <w:rPr>
          <w:rFonts w:ascii="Amiri" w:hAnsi="Amiri" w:eastAsia="Amiri" w:cs="Amiri"/>
          <w:color w:val="111111"/>
          <w:sz w:val="28"/>
          <w:sz w:val="28"/>
          <w:szCs w:val="28"/>
          <w:rtl w:val="true"/>
          <w:lang w:bidi="ar-SA"/>
        </w:rPr>
        <w:t>لا إشكال في كفاية الشاهد الواحد للجميع فإنّ الأصل في الشاهد أن يثبت بشهادته أنّ المال للغير، ولا فرق في الغير أن يكون واحداً أو متعدّداً بخلاف اليمين فإنّ متعلّقها مال الحالف وليس للإنسان أن يحلف لإثبات مال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المعروف بين الأصحاب بلا خلاف ولا إشكال أنّه يلزم على كلّ واحد منهم اليمين لإثبات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يثبت بحلفه حصّة الباقين كما أنّ ثبوت حقّه بحلفه لا يتوقّف على حلف الباقين، فكلّ من حلف يثبت حقّه مع الشاهد ومن نكل فلا يثبت حقّه لأنّها تنحلّ إلى دعاوي متعدّدة وان كانت هي واحدة بحسب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المستفاد ممّا تقدّم من الأخبار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مدّع يمين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يمين صاحب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يمين صاحب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ويمين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التعابير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أنّ ما أخذه الحالف من مال المشترك فهل يشترك فيه بقيّة الورثة الناكلين كلّ على حسب سهمهم أم لا؟ 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تصرّف الحالف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عدم الشركة لغير الحالف فيه إذا تصرّف فيه الحالف قبل أخذه من المدّعى عليه كما إذا باعه من المدّعى عليه أو وهبه أو أبرء ذمّة الغريم عنه لأنّ المفروض ثبوت حصّته في ذمّة المدّعي‌عليه وجاز له التصرّف فيه مشاعاً، فلو أخذ ثمنه مثلًا فلا يكون غيره شريكاً فيه، والإقرار بالشركة في أصل الحقّ لا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الدين والعين</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قبضها من المدّعى عليه فقد يفصل بين ما إذا كان المال المدّعى به عيناً وبين ما إذا كان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عيناً شاركه فيه بقية الورثة، لاعترافه بكونها</w:t>
      </w:r>
    </w:p>
    <w:p>
      <w:pPr>
        <w:pStyle w:val="BookText"/>
        <w:rPr/>
      </w:pPr>
      <w:r>
        <w:rPr>
          <w:rFonts w:ascii="Amiri" w:hAnsi="Amiri" w:eastAsia="Amiri" w:cs="Amiri"/>
          <w:color w:val="111111"/>
          <w:sz w:val="28"/>
          <w:sz w:val="28"/>
          <w:szCs w:val="28"/>
          <w:rtl w:val="true"/>
          <w:lang w:bidi="ar-SA"/>
        </w:rPr>
        <w:t>مشتركة ولا يكون الإفراز بيد المدّعى عليه حتّى يختصّ بالحالف، فلا يجوز له التصرّف فيه بغير إذن البقية لبقاء الإشاعة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كان ديناً فإنّ الحقّ المدّعى به المشترك فيه الجميع هو في ذمّة المدّعى عليه، وتعيين ما في الذمّة كلًا أو جزءاً في مال معيّن خارجي بيده، والمفروض هنا أنّ ذمّته مشغولة لكلّ واحد منهم بمقدار سهمه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والمناط في تعيين الدين قصد الدافع فإذا دفعه إليه بقصد حقّه وبعنوان حصّته وقبض هو أيضاً يصير ملكاً له، ولا يشارك فيه غيره وإقراره بالاشتراك في أصل الحقّ لا يكون إقراراً بالاشتراك في هذا المقبوض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بالشركة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Style w:val="FootnoteAnchor"/>
          <w:rtl w:val="true"/>
        </w:rPr>
        <w:footnoteReference w:id="922"/>
      </w:r>
      <w:r>
        <w:rPr>
          <w:rFonts w:ascii="Amiri" w:hAnsi="Amiri" w:eastAsia="Amiri" w:cs="Amiri"/>
          <w:color w:val="111111"/>
          <w:sz w:val="28"/>
          <w:sz w:val="28"/>
          <w:szCs w:val="28"/>
          <w:rtl w:val="true"/>
          <w:lang w:bidi="ar-SA"/>
        </w:rPr>
        <w:t>بالشركة مطلقاً إمّا في العين لما تقدّم، وأمّا في الدين فلاعتراف القابض بالشركة بالإشاعة، وأنّ المدّعى عليه وإن كان له تعيين ما في الذمّة في مال في الخارج لكن ليس له الاختصاص والإفراز، فلا يكون القسم صحيحة لوقوعها بغير إذن الشركاء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الشركة مطلقاً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 بعدم الشركة مطلقاً حتّى في العين والوجه فيه في الدين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الوجه فيه في العين، أنّ العين وإن كانت مشاعة ولم يكن للمدّعى عليه اختيار تقسيمها وإفرازها، ولكنّ الناكل لمّا امتنع عن الحلف فقد اسقط حقّه وأبطله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والحاكم إذا حكم بنفع الحالف وحكم باستناد شهادة الواحد ويمين الحالف أنّ العين له فهذا تقسيم قهري فيصير مالكاً ولا يشترك فيها غيره، مع أنّه لولاه يلزم الضرر على الحالف لعدم إمكان أخذ حقّه بدون إذن الشركاء</w:t>
      </w:r>
      <w:r>
        <w:rPr>
          <w:rFonts w:eastAsia="Amiri" w:cs="Amiri" w:ascii="Amiri" w:hAnsi="Amiri"/>
          <w:color w:val="111111"/>
          <w:sz w:val="28"/>
          <w:szCs w:val="28"/>
          <w:rtl w:val="true"/>
          <w:lang w:bidi="ar-SA"/>
        </w:rPr>
        <w:t>.</w:t>
      </w:r>
      <w:bookmarkStart w:id="473" w:name="pg1791_16014"/>
    </w:p>
    <w:p>
      <w:pPr>
        <w:pStyle w:val="BookText"/>
        <w:rPr/>
      </w:pPr>
      <w:bookmarkEnd w:id="473"/>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الحقّ بشاهد ويمين إنّما هو فيما لا يمكن إثباته بالبيّنة، ومع إمكانه بها لا يثبت بهما على الأحوط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هذا القول من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امتنع البعض ثبت نصيب من حلف دون الممتنع</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والوجيه من بين الأقوال الأربعة التفصيل بين الدين والعين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w:t>
      </w:r>
      <w:r>
        <w:rPr>
          <w:rFonts w:eastAsia="Amiri" w:cs="Amiri" w:ascii="Amiri" w:hAnsi="Amiri"/>
          <w:color w:val="111111"/>
          <w:sz w:val="28"/>
          <w:szCs w:val="28"/>
          <w:rtl w:val="true"/>
          <w:lang w:bidi="ar-SA"/>
        </w:rPr>
        <w:t>.</w:t>
      </w:r>
    </w:p>
    <w:p>
      <w:pPr>
        <w:pStyle w:val="Heading4"/>
        <w:numPr>
          <w:ilvl w:val="3"/>
          <w:numId w:val="1"/>
        </w:numPr>
        <w:rPr/>
      </w:pPr>
      <w:bookmarkStart w:id="474" w:name="__RefHeading___Toc2354755_3650668749"/>
      <w:bookmarkStart w:id="475" w:name="_Toc174"/>
      <w:bookmarkEnd w:id="474"/>
      <w:r>
        <w:rPr>
          <w:rtl w:val="true"/>
        </w:rPr>
        <w:t>متى يمكن ثبوت الحقّ بشاهد ويمين‌</w:t>
      </w:r>
      <w:bookmarkEnd w:id="4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لعدم الإطلاق فيما تقدّم من الروايات من هذه الجهة، فالقدر المتيقّن من مشروعيتها ما إذا لم يمكن إثبات الحقّ بالبيّنة أو يعسر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الوجه في تشريعهما هو تسهيل الأمر للناس، لعدم وجود البيّنة في كثير من القضايا، فيوجب تضييع حقوقهم، فشرع الشاهد و اليمين لحفظ حقوقهم فيما لم يتمكّن من إقامة البيّنة أو يعسر عليهم</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مرسلة يونس عمّن رواه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استخراج الحقوق بأربعة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رجلين عدلين، فإن لم يكونا رجلين فرجل وامرأتان، فإن لم تكن امرأتان فرجل ويمين المدّعي، فإن لم يكن شاهد، فاليمين على المدّعى عليه</w:t>
      </w:r>
      <w:r>
        <w:rPr>
          <w:rFonts w:eastAsia="Amiri" w:cs="Amiri" w:ascii="Amiri" w:hAnsi="Amiri"/>
          <w:color w:val="111111"/>
          <w:sz w:val="28"/>
          <w:szCs w:val="28"/>
          <w:rtl w:val="true"/>
          <w:lang w:bidi="ar-SA"/>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bookmarkStart w:id="476" w:name="pg1791_16016"/>
    </w:p>
    <w:p>
      <w:pPr>
        <w:pStyle w:val="BookText"/>
        <w:rPr/>
      </w:pPr>
      <w:bookmarkEnd w:id="476"/>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الشاهد وحلف المدّعي وحكم الحاكم بهما، ثمّ رجع الشاهد، ضمن نصف المال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477" w:name="__RefHeading___Toc2354757_3650668749"/>
      <w:bookmarkStart w:id="478" w:name="_Toc175"/>
      <w:bookmarkEnd w:id="477"/>
      <w:r>
        <w:rPr>
          <w:rtl w:val="true"/>
        </w:rPr>
        <w:t>في ضمان نصف المال لو رجع الشاهد</w:t>
      </w:r>
      <w:bookmarkEnd w:id="4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الأخبار المتقدّمة في القضاء بالشاهد واليمين أنّ الحجّة هنا ذو جزئين الشاهد واليمين، ففي الحقيقة قام اليمين مقام شاهد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يحتمل كون الحجّة هو الشاهد، واليمين شرط فيه فإذا انضمّ إليه اليمين يكون حجّة، أو يكون الحجّة هو الشاهد لكنّه ناقصة ومتمّمها ومكمّلها اليمين، ولكنّها ضعيفان ولا شاهد لهما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ما ذكرنا، فلو رجع الشاهد عن شهادته فيكون ضامناً لنصف المال لثبوت نصف المال بشهادته ونصفه الآخر باليمين فيكون نظير رجوع أحد الشاهدين فيما إذا أثبت الحقّ بالبيّنة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على الاحتمال الآخر يكون ضامناً لجميع المال لكون الحجّة لإثبات الحقّ هو الشاهد، وأمّا أصل ضمان الشاهد فيما إذا رجع فهو من أبحاث رجوع الشاهد من كتاب الشهادة سيأتي إن شاء الله</w:t>
      </w:r>
      <w:r>
        <w:rPr>
          <w:rFonts w:eastAsia="Amiri" w:cs="Amiri" w:ascii="Amiri" w:hAnsi="Amiri"/>
          <w:color w:val="111111"/>
          <w:sz w:val="28"/>
          <w:szCs w:val="28"/>
          <w:rtl w:val="true"/>
          <w:lang w:bidi="ar-SA"/>
        </w:rPr>
        <w:t>.</w:t>
      </w:r>
      <w:bookmarkStart w:id="479" w:name="pg1791_16020"/>
    </w:p>
    <w:p>
      <w:pPr>
        <w:pStyle w:val="Heading3"/>
        <w:numPr>
          <w:ilvl w:val="2"/>
          <w:numId w:val="1"/>
        </w:numPr>
        <w:rPr/>
      </w:pPr>
      <w:bookmarkStart w:id="480" w:name="__RefHeading___Toc2354759_3650668749"/>
      <w:bookmarkStart w:id="481" w:name="_Toc176"/>
      <w:bookmarkEnd w:id="479"/>
      <w:bookmarkEnd w:id="480"/>
      <w:r>
        <w:rPr>
          <w:rtl w:val="true"/>
        </w:rPr>
        <w:t>القول</w:t>
      </w:r>
      <w:r>
        <w:rPr>
          <w:rtl w:val="true"/>
        </w:rPr>
        <w:t xml:space="preserve">: </w:t>
      </w:r>
      <w:r>
        <w:rPr>
          <w:rtl w:val="true"/>
        </w:rPr>
        <w:t>في السكوت‌</w:t>
      </w:r>
      <w:bookmarkEnd w:id="481"/>
    </w:p>
    <w:p>
      <w:pPr>
        <w:pStyle w:val="Heading4"/>
        <w:numPr>
          <w:ilvl w:val="3"/>
          <w:numId w:val="1"/>
        </w:numPr>
        <w:rPr/>
      </w:pPr>
      <w:bookmarkStart w:id="482" w:name="__RefHeading___Toc2354761_3650668749"/>
      <w:bookmarkStart w:id="483" w:name="_Toc177"/>
      <w:bookmarkEnd w:id="482"/>
      <w:r>
        <w:rPr>
          <w:rtl w:val="true"/>
        </w:rPr>
        <w:t>اشارة</w:t>
      </w:r>
      <w:bookmarkEnd w:id="483"/>
    </w:p>
    <w:p>
      <w:pPr>
        <w:pStyle w:val="BookText"/>
        <w:rPr/>
      </w:pPr>
      <w:r>
        <w:rPr>
          <w:rFonts w:ascii="Amiri" w:hAnsi="Amiri" w:eastAsia="Amiri" w:cs="Amiri"/>
          <w:color w:val="111111"/>
          <w:sz w:val="28"/>
          <w:sz w:val="28"/>
          <w:szCs w:val="28"/>
          <w:rtl w:val="true"/>
          <w:lang w:bidi="ar-SA"/>
        </w:rPr>
        <w:t>أو الجواب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سكت المدّعى عليه بعد طلب الجواب عنه، فإن كان 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كصمم أو خرس أو عدم فهم اللغة أو لدهشة ووحشة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أزاله الحاكم بما يناسب ذلك، وإن كان السكوت لا لعذر، بل سكت تعنّتاً ولجاجاً، أمره الحاكم بالجواب باللطف والرفق ثمّ بالغلظة والشدّة، فإن أصرّ عليه فالأحوط أن يقول الحاكم له أجب وإلا جعلتك ناكلًا، والأولى التكرار ثلاثاً، فإن أصرّ ردّ الحاكم اليمين على المدّعي، فإن حلف ثبت حقّه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سكوت المدّعى عليه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أنّه إذا ادّعى على رجل في المحكمة بشي‌ء فالمدّعى عليه إمّا أن يقرّ أو ينكر أو يسكت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البحث عن الأوّل والثاني، فالآن نبحث عمّا إذا سكت عن الجواب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والسكوت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يسكت ولا يجيب عناداً ولجاجاً وتعنّتاً</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يسكت لعذر من صمم أو خرس أو جهل باللسان أو نحو ذلك</w:t>
      </w:r>
      <w:r>
        <w:rPr>
          <w:rFonts w:eastAsia="Amiri" w:cs="Amiri" w:ascii="Amiri" w:hAnsi="Amiri"/>
          <w:color w:val="111111"/>
          <w:sz w:val="28"/>
          <w:szCs w:val="28"/>
          <w:rtl w:val="true"/>
          <w:lang w:bidi="ar-SA"/>
        </w:rPr>
        <w:t>.</w:t>
      </w:r>
      <w:bookmarkStart w:id="484" w:name="pg1791_16023"/>
    </w:p>
    <w:p>
      <w:pPr>
        <w:pStyle w:val="BookText"/>
        <w:rPr/>
      </w:pPr>
      <w:bookmarkEnd w:id="484"/>
      <w:r>
        <w:rPr>
          <w:rFonts w:ascii="Amiri" w:hAnsi="Amiri" w:eastAsia="Amiri" w:cs="Amiri"/>
          <w:color w:val="111111"/>
          <w:sz w:val="28"/>
          <w:sz w:val="28"/>
          <w:szCs w:val="28"/>
          <w:rtl w:val="true"/>
          <w:lang w:bidi="ar-SA"/>
        </w:rPr>
        <w:t>أمّا الأوّل فلو كان للمدّعي البيّنة فيحكم الحاكم على طبقه ويعلمه بأنّ له الجرح في الشاهدين والحاكم يعمل بوظيفته، ولو لم يكن له البيّنة فألزمه الحاكم بالجواب، فإن أصرّ على السكوت ولم يجب ففيه أقوال</w:t>
      </w:r>
      <w:r>
        <w:rPr>
          <w:rFonts w:eastAsia="Amiri" w:cs="Amiri" w:ascii="Amiri" w:hAnsi="Amiri"/>
          <w:color w:val="111111"/>
          <w:sz w:val="28"/>
          <w:szCs w:val="28"/>
          <w:rtl w:val="true"/>
          <w:lang w:bidi="ar-SA"/>
        </w:rPr>
        <w:t>:</w:t>
      </w:r>
    </w:p>
    <w:p>
      <w:pPr>
        <w:pStyle w:val="Heading4"/>
        <w:numPr>
          <w:ilvl w:val="3"/>
          <w:numId w:val="1"/>
        </w:numPr>
        <w:rPr/>
      </w:pPr>
      <w:bookmarkStart w:id="485" w:name="__RefHeading___Toc2354763_3650668749"/>
      <w:bookmarkStart w:id="486" w:name="_Toc178"/>
      <w:bookmarkEnd w:id="485"/>
      <w:r>
        <w:rPr>
          <w:rtl w:val="true"/>
        </w:rPr>
        <w:t>[</w:t>
      </w:r>
      <w:r>
        <w:rPr>
          <w:rtl w:val="true"/>
        </w:rPr>
        <w:t>فيه أقوال</w:t>
      </w:r>
      <w:r>
        <w:rPr>
          <w:rtl w:val="true"/>
        </w:rPr>
        <w:t>:]</w:t>
      </w:r>
      <w:bookmarkEnd w:id="486"/>
    </w:p>
    <w:p>
      <w:pPr>
        <w:pStyle w:val="Heading5"/>
        <w:numPr>
          <w:ilvl w:val="4"/>
          <w:numId w:val="1"/>
        </w:numPr>
        <w:rPr/>
      </w:pPr>
      <w:bookmarkStart w:id="487" w:name="__RefHeading___Toc2354765_3650668749"/>
      <w:bookmarkStart w:id="488" w:name="_Toc179"/>
      <w:bookmarkEnd w:id="487"/>
      <w:r>
        <w:rPr>
          <w:rtl w:val="true"/>
        </w:rPr>
        <w:t>القول الأوّل</w:t>
      </w:r>
      <w:r>
        <w:rPr>
          <w:rtl w:val="true"/>
        </w:rPr>
        <w:t xml:space="preserve">: </w:t>
      </w:r>
      <w:r>
        <w:rPr>
          <w:rtl w:val="true"/>
        </w:rPr>
        <w:t>الحبس‌</w:t>
      </w:r>
      <w:bookmarkEnd w:id="488"/>
    </w:p>
    <w:p>
      <w:pPr>
        <w:pStyle w:val="BookText"/>
        <w:rPr/>
      </w:pPr>
      <w:r>
        <w:rPr>
          <w:rFonts w:ascii="Amiri" w:hAnsi="Amiri" w:eastAsia="Amiri" w:cs="Amiri"/>
          <w:color w:val="111111"/>
          <w:sz w:val="28"/>
          <w:sz w:val="28"/>
          <w:szCs w:val="28"/>
          <w:rtl w:val="true"/>
          <w:lang w:bidi="ar-SA"/>
        </w:rPr>
        <w:t xml:space="preserve">قال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عاند، حبس حتّى يبيّن</w:t>
      </w:r>
      <w:r>
        <w:rPr>
          <w:rFonts w:eastAsia="Amiri" w:cs="Amiri" w:ascii="Amiri" w:hAnsi="Amiri"/>
          <w:color w:val="111111"/>
          <w:sz w:val="28"/>
          <w:szCs w:val="28"/>
          <w:rtl w:val="true"/>
          <w:lang w:bidi="ar-SA"/>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إلى الشيخ المفيد</w:t>
      </w:r>
      <w:r>
        <w:rPr>
          <w:rStyle w:val="FootnoteAnchor"/>
          <w:rtl w:val="true"/>
        </w:rPr>
        <w:footnoteReference w:id="926"/>
      </w:r>
      <w:r>
        <w:rPr>
          <w:rFonts w:ascii="Amiri" w:hAnsi="Amiri" w:eastAsia="Amiri" w:cs="Amiri"/>
          <w:color w:val="111111"/>
          <w:sz w:val="28"/>
          <w:sz w:val="28"/>
          <w:szCs w:val="28"/>
          <w:rtl w:val="true"/>
          <w:lang w:bidi="ar-SA"/>
        </w:rPr>
        <w:t xml:space="preserve">والطوسي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92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928"/>
      </w:r>
      <w:r>
        <w:rPr>
          <w:rFonts w:ascii="Amiri" w:hAnsi="Amiri" w:eastAsia="Amiri" w:cs="Amiri"/>
          <w:color w:val="111111"/>
          <w:sz w:val="28"/>
          <w:sz w:val="28"/>
          <w:szCs w:val="28"/>
          <w:rtl w:val="true"/>
          <w:lang w:bidi="ar-SA"/>
        </w:rPr>
        <w:t xml:space="preserve">وجمع من الأعاظم، ونسبه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929"/>
      </w:r>
      <w:r>
        <w:rPr>
          <w:rFonts w:ascii="Amiri" w:hAnsi="Amiri" w:eastAsia="Amiri" w:cs="Amiri"/>
          <w:color w:val="111111"/>
          <w:sz w:val="28"/>
          <w:sz w:val="28"/>
          <w:szCs w:val="28"/>
          <w:rtl w:val="true"/>
          <w:lang w:bidi="ar-SA"/>
        </w:rPr>
        <w:t>إلى كافّة المتأخّرين</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والاستدلال للقول الأوّل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المرويّ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والأوّل مروي</w:t>
      </w:r>
      <w:r>
        <w:rPr>
          <w:rFonts w:eastAsia="Amiri" w:cs="Amiri" w:ascii="Amiri" w:hAnsi="Amiri"/>
          <w:color w:val="111111"/>
          <w:sz w:val="28"/>
          <w:szCs w:val="28"/>
          <w:rtl w:val="true"/>
          <w:lang w:bidi="ar-SA"/>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 المحقّق ونقل الرواية مرسلًا وينجبر بعمل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أنّه لا بدّ من نقل الرواية حتّى ينظر متنها ودلالتها ومثل هذا لا يكون معتبراً عند الأصحاب</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932"/>
      </w:r>
      <w:r>
        <w:rPr>
          <w:rFonts w:ascii="Amiri" w:hAnsi="Amiri" w:eastAsia="Amiri" w:cs="Amiri"/>
          <w:color w:val="111111"/>
          <w:sz w:val="28"/>
          <w:sz w:val="28"/>
          <w:szCs w:val="28"/>
          <w:rtl w:val="true"/>
          <w:lang w:bidi="ar-SA"/>
        </w:rPr>
        <w:t>اعترف جماعة بعدم الظفر بهذه الرواية ولعلّه النبويّ</w:t>
      </w:r>
    </w:p>
    <w:p>
      <w:pPr>
        <w:pStyle w:val="BookText"/>
        <w:rPr/>
      </w:pPr>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الواجد يحلّ عقوبته وعرضه</w:t>
      </w:r>
      <w:r>
        <w:rPr>
          <w:rFonts w:eastAsia="Amiri" w:cs="Amiri" w:ascii="Amiri" w:hAnsi="Amiri"/>
          <w:color w:val="111111"/>
          <w:sz w:val="28"/>
          <w:szCs w:val="28"/>
          <w:rtl w:val="true"/>
          <w:lang w:bidi="ar-SA"/>
        </w:rPr>
        <w:t>»</w:t>
      </w:r>
      <w:r>
        <w:rPr>
          <w:rStyle w:val="FootnoteAnchor"/>
          <w:rtl w:val="true"/>
        </w:rPr>
        <w:footnoteReference w:id="933"/>
      </w:r>
      <w:r>
        <w:rPr>
          <w:rFonts w:ascii="Amiri" w:hAnsi="Amiri" w:eastAsia="Amiri" w:cs="Amiri"/>
          <w:color w:val="111111"/>
          <w:sz w:val="28"/>
          <w:sz w:val="28"/>
          <w:szCs w:val="28"/>
          <w:rtl w:val="true"/>
          <w:lang w:bidi="ar-SA"/>
        </w:rPr>
        <w:t>بتقريب أنّ الساكت واجد للجواب ويماطل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ويفسّر العقوبة بالحبس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الواجد هو المديون الذي ثبت دينه، والواجد يعني المتمكّن من الأداء أي واجد المال والفرض فيما نحن فيه الساكت الذي لا يثبت الدين عليه وإرادة الواجد للجواب منه خلاف ظاهر الرواية، مع أنّ إطلاق العقوبة لا ينحصر بالحبس والرواية من طريق الخاصّة هكذا عن الرضا عن آبائه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 الواجد بالدين يحلّ عرضه وعقوبته ما لم يكن دينه فيما يكره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Style w:val="FootnoteAnchor"/>
          <w:rtl w:val="true"/>
        </w:rPr>
        <w:footnoteReference w:id="9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أظهر في 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أحرز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المراد أيضاً واجد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يستدلّ أيضاً بما ورد في أنّ أمير المؤمنين كان يحبس في الدين بالليّ والمطل كما عن الأصبغ بن نباتة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يلتوي على غرمائه أنّه يحبس</w:t>
      </w:r>
      <w:r>
        <w:rPr>
          <w:rFonts w:eastAsia="Amiri" w:cs="Amiri" w:ascii="Amiri" w:hAnsi="Amiri"/>
          <w:color w:val="111111"/>
          <w:sz w:val="28"/>
          <w:szCs w:val="28"/>
          <w:rtl w:val="true"/>
          <w:lang w:bidi="ar-SA"/>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منها هو المديون الثابت دينه أيضاً، فلا يمكن الاستدلال بها لما نحن فيه، لعدم ثبوت الدين على الساكت بعده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يستدلّ أيضاً بأنّ الجواب حقّ للمدّعي والساكت يمتنع عن إيفائه، فالحاكم يتوصّل في تحصيله إلى حبسه، كما إذا ثبت الحقّ على عهدته بالإقرار أو بالبيّنة ويمتنع عن الأداء</w:t>
      </w:r>
      <w:r>
        <w:rPr>
          <w:rFonts w:eastAsia="Amiri" w:cs="Amiri" w:ascii="Amiri" w:hAnsi="Amiri"/>
          <w:color w:val="111111"/>
          <w:sz w:val="28"/>
          <w:szCs w:val="28"/>
          <w:rtl w:val="true"/>
          <w:lang w:bidi="ar-SA"/>
        </w:rPr>
        <w:t>.</w:t>
      </w:r>
      <w:bookmarkStart w:id="489" w:name="pg1791_16027"/>
    </w:p>
    <w:p>
      <w:pPr>
        <w:pStyle w:val="BookText"/>
        <w:rPr/>
      </w:pPr>
      <w:bookmarkEnd w:id="489"/>
      <w:r>
        <w:rPr>
          <w:rFonts w:ascii="Amiri" w:hAnsi="Amiri" w:eastAsia="Amiri" w:cs="Amiri"/>
          <w:color w:val="111111"/>
          <w:sz w:val="28"/>
          <w:sz w:val="28"/>
          <w:szCs w:val="28"/>
          <w:rtl w:val="true"/>
          <w:lang w:bidi="ar-SA"/>
        </w:rPr>
        <w:t>وفيه أنّ هذا ممنوع صغرى وكبرى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كون الجواب حقّاً للمدّعي على عهدة المدّعى عليه غير ثابت لعدم الدليل عليه، 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فرض كون الجواب حقّاً عليه فانحصار طريق تحصيله في الحبس ممنوع، فإنّه من الممكن أن يتوصّل إليه بالرفق واللين ثمّ بالغلظة والشدّة على ترتيب مراتب النهي عن المنكر كما قال به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936"/>
      </w:r>
      <w:r>
        <w:rPr>
          <w:rFonts w:ascii="Amiri" w:hAnsi="Amiri" w:eastAsia="Amiri" w:cs="Amiri"/>
          <w:color w:val="111111"/>
          <w:sz w:val="28"/>
          <w:sz w:val="28"/>
          <w:szCs w:val="28"/>
          <w:rtl w:val="true"/>
          <w:lang w:bidi="ar-SA"/>
        </w:rPr>
        <w:t>مع أنّ القول بالحبس يوجب الضرر على المدّعي بالتأخير، بل ربما يؤدّي إلى ضياع‌المال</w:t>
      </w:r>
      <w:r>
        <w:rPr>
          <w:rFonts w:eastAsia="Amiri" w:cs="Amiri" w:ascii="Amiri" w:hAnsi="Amiri"/>
          <w:color w:val="111111"/>
          <w:sz w:val="28"/>
          <w:szCs w:val="28"/>
          <w:rtl w:val="true"/>
          <w:lang w:bidi="ar-SA"/>
        </w:rPr>
        <w:t>.</w:t>
      </w:r>
    </w:p>
    <w:p>
      <w:pPr>
        <w:pStyle w:val="Heading5"/>
        <w:numPr>
          <w:ilvl w:val="4"/>
          <w:numId w:val="1"/>
        </w:numPr>
        <w:rPr/>
      </w:pPr>
      <w:bookmarkStart w:id="490" w:name="__RefHeading___Toc2354767_3650668749"/>
      <w:bookmarkStart w:id="491" w:name="_Toc180"/>
      <w:bookmarkEnd w:id="490"/>
      <w:r>
        <w:rPr>
          <w:rtl w:val="true"/>
        </w:rPr>
        <w:t>القول الثاني</w:t>
      </w:r>
      <w:r>
        <w:rPr>
          <w:rtl w:val="true"/>
        </w:rPr>
        <w:t xml:space="preserve">: </w:t>
      </w:r>
      <w:r>
        <w:rPr>
          <w:rtl w:val="true"/>
        </w:rPr>
        <w:t>الإجبار بالضرب وغيره حتّى يجيب‌</w:t>
      </w:r>
      <w:bookmarkEnd w:id="491"/>
    </w:p>
    <w:p>
      <w:pPr>
        <w:pStyle w:val="BookText"/>
        <w:rPr/>
      </w:pPr>
      <w:r>
        <w:rPr>
          <w:rFonts w:ascii="Amiri" w:hAnsi="Amiri" w:eastAsia="Amiri" w:cs="Amiri"/>
          <w:color w:val="111111"/>
          <w:sz w:val="28"/>
          <w:sz w:val="28"/>
          <w:szCs w:val="28"/>
          <w:rtl w:val="true"/>
          <w:lang w:bidi="ar-SA"/>
        </w:rPr>
        <w:t>نسبه المحقّق إلى قيل،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بالضرب والإهانة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يجيب</w:t>
      </w:r>
      <w:r>
        <w:rPr>
          <w:rFonts w:eastAsia="Amiri" w:cs="Amiri" w:ascii="Amiri" w:hAnsi="Amiri"/>
          <w:color w:val="111111"/>
          <w:sz w:val="28"/>
          <w:szCs w:val="28"/>
          <w:rtl w:val="true"/>
          <w:lang w:bidi="ar-SA"/>
        </w:rPr>
        <w:t>»</w:t>
      </w:r>
      <w:r>
        <w:rPr>
          <w:rStyle w:val="FootnoteAnchor"/>
          <w:rtl w:val="true"/>
        </w:rPr>
        <w:footnoteReference w:id="937"/>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تعرف له من 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للقول الثاني بأدلّة الأمر بالمعروف والنهي عن المنكر على حسب مراتبهما حتّى ينتهي إلى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الابتداء بالرفق ثمّ بالشدّة إلى أعلى مراتبه، ويحتمل أن يكون الحبس أخفّاً أحياناً من الضرب والإهانة، ولم يقل به صاحب القول</w:t>
      </w:r>
      <w:r>
        <w:rPr>
          <w:rFonts w:eastAsia="Amiri" w:cs="Amiri" w:ascii="Amiri" w:hAnsi="Amiri"/>
          <w:color w:val="111111"/>
          <w:sz w:val="28"/>
          <w:szCs w:val="28"/>
          <w:rtl w:val="true"/>
          <w:lang w:bidi="ar-SA"/>
        </w:rPr>
        <w:t>.</w:t>
      </w:r>
    </w:p>
    <w:p>
      <w:pPr>
        <w:pStyle w:val="Heading5"/>
        <w:numPr>
          <w:ilvl w:val="4"/>
          <w:numId w:val="1"/>
        </w:numPr>
        <w:rPr/>
      </w:pPr>
      <w:bookmarkStart w:id="492" w:name="__RefHeading___Toc2354769_3650668749"/>
      <w:bookmarkStart w:id="493" w:name="_Toc181"/>
      <w:bookmarkEnd w:id="492"/>
      <w:r>
        <w:rPr>
          <w:rtl w:val="true"/>
        </w:rPr>
        <w:t>القول الثالث</w:t>
      </w:r>
      <w:r>
        <w:rPr>
          <w:rtl w:val="true"/>
        </w:rPr>
        <w:t xml:space="preserve">: </w:t>
      </w:r>
      <w:r>
        <w:rPr>
          <w:rtl w:val="true"/>
        </w:rPr>
        <w:t>في القول بأنّه‌يحكم على الساكت المعاند بحكم النكول‌</w:t>
      </w:r>
      <w:bookmarkEnd w:id="493"/>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938"/>
      </w:r>
      <w:r>
        <w:rPr>
          <w:rFonts w:ascii="Amiri" w:hAnsi="Amiri" w:eastAsia="Amiri" w:cs="Amiri"/>
          <w:color w:val="111111"/>
          <w:sz w:val="28"/>
          <w:sz w:val="28"/>
          <w:szCs w:val="28"/>
          <w:rtl w:val="true"/>
          <w:lang w:bidi="ar-SA"/>
        </w:rPr>
        <w:t xml:space="preserve">والحلّي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939"/>
      </w:r>
      <w:r>
        <w:rPr>
          <w:rFonts w:ascii="Amiri" w:hAnsi="Amiri" w:eastAsia="Amiri" w:cs="Amiri"/>
          <w:color w:val="111111"/>
          <w:sz w:val="28"/>
          <w:sz w:val="28"/>
          <w:szCs w:val="28"/>
          <w:rtl w:val="true"/>
          <w:lang w:bidi="ar-SA"/>
        </w:rPr>
        <w:t>وبعض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أجبت وإلا جعلتك ناكلًا ورددت اليمين على المدّعي، فإن أصرّ ردّ الحاكم اليمين على المدّعي</w:t>
      </w:r>
      <w:r>
        <w:rPr>
          <w:rFonts w:eastAsia="Amiri" w:cs="Amiri" w:ascii="Amiri" w:hAnsi="Amiri"/>
          <w:color w:val="111111"/>
          <w:sz w:val="28"/>
          <w:szCs w:val="28"/>
          <w:rtl w:val="true"/>
          <w:lang w:bidi="ar-SA"/>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واستدلّوا للقول الثالث أيضاً بامور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الإصرار على عدم الجواب نكول أو أولى منه، لأنّه امتناع عن اليمين وعن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بالنكول هو الامتناع عن الحلف، والردّ من المنكر وأنّي هو من الامتناع عن الجواب بلا 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لفظ النكول لم يرد في شي‌ء من الروايات حتّى يدور الحكم مدار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نفسه إمّا مقرّ أو منكر وإذا أجاب إمّا أن يجيب بالإقرار أو بالإنكار، فالأوّل مثبت للحقّ عليه والثاني يوجب إجراء حكم النكول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لا يكون مقرّاً ولا منكراً، بل أدّى الحقّ وليس عنده شهود فلو ادّعى الأداء يطلب منه البيّنة فليس لها بيّنة فيحكم بالأداء ولا يحسن التورية أو لا يعلم شرعيتها</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استدلّ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بوجهين آخرين للقول الثالث،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والأقوى هو القول الثالث، لا لما ذكر، بل لأنّ إجراء حكم النكول من القضاء به أو بعد ردّ الحاكم الحلف على المدّعي ليس معلّقاً على صدق النكول</w:t>
      </w:r>
      <w:r>
        <w:rPr>
          <w:rFonts w:eastAsia="Amiri" w:cs="Amiri" w:ascii="Amiri" w:hAnsi="Amiri"/>
          <w:color w:val="111111"/>
          <w:sz w:val="28"/>
          <w:szCs w:val="28"/>
          <w:rtl w:val="true"/>
          <w:lang w:bidi="ar-SA"/>
        </w:rPr>
        <w:t>»</w:t>
      </w:r>
      <w:r>
        <w:rPr>
          <w:rStyle w:val="FootnoteAnchor"/>
          <w:rtl w:val="true"/>
        </w:rPr>
        <w:footnoteReference w:id="9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النكول من حالات العارضة على المنكر، فإنّه إمّا أن يحلف أو يرد اليمين أو ينكل والساكت ليس منكراً حتّى يصدق له النكول، بل معلّق على عدم الحلف من غير</w:t>
      </w:r>
    </w:p>
    <w:p>
      <w:pPr>
        <w:pStyle w:val="BookText"/>
        <w:rPr/>
      </w:pPr>
      <w:r>
        <w:rPr>
          <w:rFonts w:ascii="Amiri" w:hAnsi="Amiri" w:eastAsia="Amiri" w:cs="Amiri"/>
          <w:color w:val="111111"/>
          <w:sz w:val="28"/>
          <w:sz w:val="28"/>
          <w:szCs w:val="28"/>
          <w:rtl w:val="true"/>
          <w:lang w:bidi="ar-SA"/>
        </w:rPr>
        <w:t>تقييد بكونه بعد الإنكار وليس فيما بأيدينا من الأخبار أنّ اليمين على المنكر إلاالمرسل المعروف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واليمين على من 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سائر الروايات تدلّ على أنّ اليمين على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المدّعى عليه</w:t>
      </w:r>
      <w:r>
        <w:rPr>
          <w:rFonts w:eastAsia="Amiri" w:cs="Amiri" w:ascii="Amiri" w:hAnsi="Amiri"/>
          <w:color w:val="111111"/>
          <w:sz w:val="28"/>
          <w:szCs w:val="28"/>
          <w:rtl w:val="true"/>
          <w:lang w:bidi="ar-SA"/>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والساكت يصدق عليه أنّه المدّعى عليه فيعرض عليه اليمين، فإذا لم يحلف فيحكم عليه أو يرد الحاكم اليمين على المدّعي، ثمّ يحكم عليه بناءً على القولين في باب النكول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يمكن الاستدلال بصدر خبر البصري</w:t>
      </w:r>
      <w:r>
        <w:rPr>
          <w:rStyle w:val="FootnoteAnchor"/>
          <w:rtl w:val="true"/>
        </w:rPr>
        <w:footnoteReference w:id="9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94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945"/>
      </w:r>
      <w:r>
        <w:rPr>
          <w:rFonts w:ascii="Amiri" w:hAnsi="Amiri" w:eastAsia="Amiri" w:cs="Amiri"/>
          <w:color w:val="111111"/>
          <w:sz w:val="28"/>
          <w:sz w:val="28"/>
          <w:szCs w:val="28"/>
          <w:rtl w:val="true"/>
          <w:lang w:bidi="ar-SA"/>
        </w:rPr>
        <w:t>وبذيله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الصدر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يعني موسى بن جعفر خبّرني عن الرجل يدّعي قبل الرجل الحقّ فلم تكن له بيّنة لماله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فيمين المدّعى‌عليه فإن حلف فلا حقّ له وإن لم يحلف فعليه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فإن لم يحلف المدّعى عليه فالحقّ عليه تدلّ على أنّ الساكت المصرّ على عدم الجواب وعدم الحلف يحكم عليه من غير لزوم ردّ الحاكم اليمين على المدّعي</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الذيل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حيّاً لألزم باليمين أو الحقّ أو يردّ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يدلّ على إلزامه بالحقّ إذا سكت ولم يحلف ولم يرد فيظهر منه أيضاً عدم</w:t>
      </w:r>
    </w:p>
    <w:p>
      <w:pPr>
        <w:pStyle w:val="BookText"/>
        <w:rPr/>
      </w:pPr>
      <w:r>
        <w:rPr>
          <w:rFonts w:ascii="Amiri" w:hAnsi="Amiri" w:eastAsia="Amiri" w:cs="Amiri"/>
          <w:color w:val="111111"/>
          <w:sz w:val="28"/>
          <w:sz w:val="28"/>
          <w:szCs w:val="28"/>
          <w:rtl w:val="true"/>
          <w:lang w:bidi="ar-SA"/>
        </w:rPr>
        <w:t>لزوم الردّ من الحاكم، بل يحكم عليه بمجرّد عدم الحلف وعدم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الخبر بالبناء للمجهول، فيشمل‌الردّ من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خلاف الظاهر، بل بناءً على ذلك لا بدّ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اليمين بالتأنيث كما في صحيحة هشام، عن أبي عبدالله تردّ اليمين على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ثبت بهذين الدليلين أنّ الساكت المصرّ على عدم الجواب عناداً أو لجاجاً يصدق عليه عنوان المدّعى عليه فيكون وظيفته اليمين أو ردّ اليمين إلى المدّعي، فإذا أصرّ على عدم الجواب ولم يحلف ولم يرد إذا عرض عليه الحلف يحكم عليه بالحقّ، بناءً على المستفاد من هذه الرواية أو يرد الحاكم اليمين على المدّعي، وإذا حلف فيحكم عليه بناءً على ما تقدّم من لزوم كون الحكم مستنداً بالبيّنات أو الأيمان</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من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هذا القول أيضاً ولعلّ الوجه في التعبير بالاحتياط اللزومي إعلان أنّ هذا القول مطابق للاحتياط من بين الأقوال، فإنّه ليس فيه الحبس أو الضرب والإهانة، بل الرفق واللطف والموعظة ثمّ الغلظة والشدّة لساناً، ثمّ الحكم على مقتضى القواعد من ردّ اليمين إلى المدّعي والحكم على المدّعى عليه، ولعلّه حلف المدّعي اليمين المردودة</w:t>
      </w:r>
      <w:r>
        <w:rPr>
          <w:rFonts w:eastAsia="Amiri" w:cs="Amiri" w:ascii="Amiri" w:hAnsi="Amiri"/>
          <w:color w:val="111111"/>
          <w:sz w:val="28"/>
          <w:szCs w:val="28"/>
          <w:rtl w:val="true"/>
          <w:lang w:bidi="ar-SA"/>
        </w:rPr>
        <w:t>.</w:t>
      </w:r>
      <w:bookmarkStart w:id="494" w:name="pg1791_16035"/>
    </w:p>
    <w:p>
      <w:pPr>
        <w:pStyle w:val="BookText"/>
        <w:rPr/>
      </w:pPr>
      <w:bookmarkEnd w:id="494"/>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سكت لعذر من صمم أو خرس أو جهل باللسان، توصّل إلى معرفة جوابه بالإشاره المفهمة أو المترجم، ولا بدّ من كونه اثنين عدلين، ولا يكفي العدل الواحد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495" w:name="__RefHeading___Toc2354771_3650668749"/>
      <w:bookmarkStart w:id="496" w:name="_Toc182"/>
      <w:bookmarkEnd w:id="495"/>
      <w:r>
        <w:rPr>
          <w:rtl w:val="true"/>
        </w:rPr>
        <w:t>فيما إذا كان السكوت لعذر</w:t>
      </w:r>
      <w:bookmarkEnd w:id="4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سكوت المدّعى عليه عن الجواب في المحكمة من جهة خوف ووحشة ودهشة، لا بدّ للقاضي أن يزيله بما يناسبه، وأما إذا كان لآفة من صمم أو خرس فلا بدّ من التواصل إلى الإشارة المفهمة لكونه مقرّاً أو منكراً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والإشارة قد تكون واضحة يفهمها القاضي وقد تكون مستغلقة فلا بدّ أن يتوصّل إلى المترجم ليبيّن الإشارة، وقد يكون للجهل باللسان فلا بدّ أيضاً من المترجم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احتاج إلى المترجم هل يعتبر التعدّد والعدالة، أو يكفي الواحد من دون اعتبار العدالة أيضاً؟</w:t>
      </w:r>
    </w:p>
    <w:p>
      <w:pPr>
        <w:pStyle w:val="BookText"/>
        <w:rPr/>
      </w:pPr>
      <w:r>
        <w:rPr>
          <w:rFonts w:ascii="Amiri" w:hAnsi="Amiri" w:eastAsia="Amiri" w:cs="Amiri"/>
          <w:color w:val="111111"/>
          <w:sz w:val="28"/>
          <w:sz w:val="28"/>
          <w:szCs w:val="28"/>
          <w:rtl w:val="true"/>
          <w:lang w:bidi="ar-SA"/>
        </w:rPr>
        <w:t xml:space="preserve">قال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استغلقت إشارته، بحيث يحتاج إلى المترجم لم يكف الواحد، وافتقر في الشهادة بإشارته إلى مترجمين عدلين</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واللازم كون المترجم اثنين عادلين، ولا يكفي عدل واحد لأنّه من باب الشهادة</w:t>
      </w:r>
      <w:r>
        <w:rPr>
          <w:rFonts w:eastAsia="Amiri" w:cs="Amiri" w:ascii="Amiri" w:hAnsi="Amiri"/>
          <w:color w:val="111111"/>
          <w:sz w:val="28"/>
          <w:szCs w:val="28"/>
          <w:rtl w:val="true"/>
          <w:lang w:bidi="ar-SA"/>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قال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العذر واستمهل في التأخير أمهله الحاكم بما يراه مصلحة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كما يستفاد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به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الترجمة من باب الشهادة فلا بدّ فيه التعدّد والعدالة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واحتمل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948"/>
      </w:r>
      <w:r>
        <w:rPr>
          <w:rFonts w:ascii="Amiri" w:hAnsi="Amiri" w:eastAsia="Amiri" w:cs="Amiri"/>
          <w:color w:val="111111"/>
          <w:sz w:val="28"/>
          <w:sz w:val="28"/>
          <w:szCs w:val="28"/>
          <w:rtl w:val="true"/>
          <w:lang w:bidi="ar-SA"/>
        </w:rPr>
        <w:t>أنّ الترجمة قرينة يكشف منه مراد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يحتمل في أصل الترجمة للّفظ أنّها من قرائن الظنّ بالمراد به، فلا يعتبر العدالة فضلًا عن التعدّد ولكنّه امِرَ بالتأمّل فيه، والإشكال فيه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الترجمة من باب نقل كلام الغير بالمعنى وباللغة الاخرى لا من باب الشهادة على أنّ المتكلّم يراد من كلامه ذلك وإذا رأى العرف شخصاً يترجم كلام أحد للآخر لا يتلقّي منه أنّه يشهد بذلك، بل تلقيّه من ذلك أنّه ينقل كلامه لآخر بالمعنى وباللغة الاخرى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واعتباره من باب الشهادة عند الأعاظم لعدم تعارف الترجمة عندهم حتّى يستظهر لهم تلقّي العرف منه، فعلى هذا لا يعتبر فيه التعدّد ولا العدالة، بل اللازم كونه ثقة وعارفاً باللغة</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لعدم الدليل على فورية الجواب عند طرح الدعوى في المحكمة، فإذا ادّعى العذر من نسيان لا بدّ له من التفكّر لزواله، أو لا بدّ له من المراجعة إلى الدفاتر، أو السؤال من أحد أو غير ذلك، فجاز للحاكم إمهاله بحيث لا يوجب الضرر على المدّعي لو أثبت كونه ذا حقّ</w:t>
      </w:r>
      <w:r>
        <w:rPr>
          <w:rFonts w:eastAsia="Amiri" w:cs="Amiri" w:ascii="Amiri" w:hAnsi="Amiri"/>
          <w:color w:val="111111"/>
          <w:sz w:val="28"/>
          <w:szCs w:val="28"/>
          <w:rtl w:val="true"/>
          <w:lang w:bidi="ar-SA"/>
        </w:rPr>
        <w:t>.</w:t>
      </w:r>
      <w:bookmarkStart w:id="497" w:name="pg1791_16039"/>
    </w:p>
    <w:p>
      <w:pPr>
        <w:pStyle w:val="BookText"/>
        <w:rPr/>
      </w:pPr>
      <w:bookmarkEnd w:id="497"/>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أجاب المدّعى‌عليه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صدّقه المدّعي فهل تسقط دعواه مع عدم البيّنة عليها، أو يكلّف المدّعى عليه بردّ الحلف على المدّعي، أو يردّ الحاكم الحلف على المدّعي؛ فإن حلف ثبت حقّه، وإن نكل سقط، أو توقّفت الدعوى؛ والمدّعي على ادّعائه إلى أن يقيم البيّنة، أو أنكر دعوى المدّعى عليه؟ وجوه، أوجهها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يصدّقه المدّعي في الفرض؛ وادّعى أنّه عالم بأنّي ذو حقّ، فله عليه الحلف، فإن حلف سقطت دعواه بأنّه عالم، وإن ردّ على المدّعي فحلف ثبت حقّه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498" w:name="__RefHeading___Toc2354773_3650668749"/>
      <w:bookmarkStart w:id="499" w:name="_Toc183"/>
      <w:bookmarkEnd w:id="498"/>
      <w:r>
        <w:rPr>
          <w:rtl w:val="true"/>
        </w:rPr>
        <w:t>فيما لو أجاب المدّعى عليه ب</w:t>
      </w:r>
      <w:r>
        <w:rPr>
          <w:rtl w:val="true"/>
        </w:rPr>
        <w:t>- «</w:t>
      </w:r>
      <w:r>
        <w:rPr>
          <w:rtl w:val="true"/>
        </w:rPr>
        <w:t>لا أدري ولا أعلم</w:t>
      </w:r>
      <w:r>
        <w:rPr>
          <w:rtl w:val="true"/>
        </w:rPr>
        <w:t>»</w:t>
      </w:r>
      <w:bookmarkEnd w:id="499"/>
    </w:p>
    <w:p>
      <w:pPr>
        <w:pStyle w:val="Heading5"/>
        <w:numPr>
          <w:ilvl w:val="4"/>
          <w:numId w:val="1"/>
        </w:numPr>
        <w:rPr/>
      </w:pPr>
      <w:bookmarkStart w:id="500" w:name="__RefHeading___Toc2354775_3650668749"/>
      <w:bookmarkStart w:id="501" w:name="_Toc184"/>
      <w:bookmarkEnd w:id="500"/>
      <w:r>
        <w:rPr>
          <w:rtl w:val="true"/>
        </w:rPr>
        <w:t>اشارة</w:t>
      </w:r>
      <w:bookmarkEnd w:id="5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رابع في الجواب لو أجاب المدّعى عليه في المحكمة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صدّقه المدّعي في عدم كونه عالماً وله مصاديق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له بيّنة فهو؛ وإلا ففيه أقوال 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منها في المتن، واختار الوجه الرابع منها</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الأوّل من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الدعوى، بل لا يكون الدعوى كذلك مسموعة، والقائل به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العروة</w:t>
      </w:r>
      <w:r>
        <w:rPr>
          <w:rFonts w:eastAsia="Amiri" w:cs="Amiri" w:ascii="Amiri" w:hAnsi="Amiri"/>
          <w:color w:val="111111"/>
          <w:sz w:val="28"/>
          <w:szCs w:val="28"/>
          <w:rtl w:val="true"/>
          <w:lang w:bidi="ar-SA"/>
        </w:rPr>
        <w:t>»</w:t>
      </w:r>
      <w:r>
        <w:rPr>
          <w:rStyle w:val="FootnoteAnchor"/>
          <w:rtl w:val="true"/>
        </w:rPr>
        <w:footnoteReference w:id="949"/>
      </w:r>
      <w:r>
        <w:rPr>
          <w:rFonts w:ascii="Amiri" w:hAnsi="Amiri" w:eastAsia="Amiri" w:cs="Amiri"/>
          <w:color w:val="111111"/>
          <w:sz w:val="28"/>
          <w:sz w:val="28"/>
          <w:szCs w:val="28"/>
          <w:rtl w:val="true"/>
          <w:lang w:bidi="ar-SA"/>
        </w:rPr>
        <w:t>وأكّد في تبيينها</w:t>
      </w:r>
    </w:p>
    <w:p>
      <w:pPr>
        <w:pStyle w:val="BookText"/>
        <w:rPr/>
      </w:pPr>
      <w:r>
        <w:rPr>
          <w:rFonts w:ascii="Amiri" w:hAnsi="Amiri" w:eastAsia="Amiri" w:cs="Amiri"/>
          <w:color w:val="111111"/>
          <w:sz w:val="28"/>
          <w:sz w:val="28"/>
          <w:szCs w:val="28"/>
          <w:rtl w:val="true"/>
          <w:lang w:bidi="ar-SA"/>
        </w:rPr>
        <w:t>وتحقيقها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Style w:val="FootnoteAnchor"/>
          <w:rtl w:val="true"/>
        </w:rPr>
        <w:footnoteReference w:id="950"/>
      </w:r>
      <w:r>
        <w:rPr>
          <w:rFonts w:ascii="Amiri" w:hAnsi="Amiri" w:eastAsia="Amiri" w:cs="Amiri"/>
          <w:color w:val="111111"/>
          <w:sz w:val="28"/>
          <w:sz w:val="28"/>
          <w:szCs w:val="28"/>
          <w:rtl w:val="true"/>
          <w:lang w:bidi="ar-SA"/>
        </w:rPr>
        <w:t>وذلك لأنّ الفرض عدم البيّنة للمدّعي لإثبات حقّه، ولا يمكن للمدّعى عليه اليمين لإسقاط الحقّ عليه لعدم علمه بالواقع ولا بدّ في اليمين أن يكون على البتّ وهو مشكوك عنده وإذا شكّ بحسب الظاهر في اشتغال ذمّته فيجري في حقّه أصل براءة الذمّة ومع إجراء الأصل لا يكون مكلّفاً بأداء شي‌ء للمدّعي، والفرض أنّ المدّعي يصدقه في عدم علمه وبراءة ذمّته بحسب الظاهر وعدم كونه مكلّفاً بشي‌ء، فكيف يمكن طرح الدعوى عليه؟ فعلى هذا لا يكون الدعوى مسموعة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النراقي بعد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ما عرفت من عدم صحّة الدعوى عليه بعد اعتراف المدّعي في ظاهر الشرع، وكذا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لا ينبغي الإشكال في سقوط الدعوى مع عدم البيّنة واعتراف المدّعي بعدم علم المدّعى عليه وكون الأصل براءة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لم تكن بيّنة له سقطت دعواه، بمعنى عدم ترتّب أثر عليها في حقّه، إذ لم يثبت من الشارع في حقّ المدّعي سوى البيّنة أو التحليف، وهما منفيّان في المقام قطعاً</w:t>
      </w:r>
      <w:r>
        <w:rPr>
          <w:rFonts w:eastAsia="Amiri" w:cs="Amiri" w:ascii="Amiri" w:hAnsi="Amiri"/>
          <w:color w:val="111111"/>
          <w:sz w:val="28"/>
          <w:szCs w:val="28"/>
          <w:rtl w:val="true"/>
          <w:lang w:bidi="ar-SA"/>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استدلّ لذلك بروايات واردة في ادّعاء رجل زوجية امرأة لها زوج، وأنّه لا تسمع دعواه إذا لم يكن له بيّنة وإليك الآن ملاحظة الروايات</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أو موثّقة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تزوّج جارية أو تمتّع بها فحدّثه رجل ثقة أو غير ثقة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امرأتي وليست لي بيّنة،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ثقة فلا يقرّبها وإن كان غير ثقة فلا يقبل منه</w:t>
      </w:r>
      <w:r>
        <w:rPr>
          <w:rFonts w:eastAsia="Amiri" w:cs="Amiri" w:ascii="Amiri" w:hAnsi="Amiri"/>
          <w:color w:val="111111"/>
          <w:sz w:val="28"/>
          <w:szCs w:val="28"/>
          <w:rtl w:val="true"/>
          <w:lang w:bidi="ar-SA"/>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أو حسنة عبدالعزيز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أخي مات وتزوّجت امرأته فجاء عمّي فادّعى أنّه كان تزوّجها سرّاً فسألتها عن ذلك فأنكرت أشدّ الإنكار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بيني وبينه شي‌ء قطّ،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يلزمك إقرارها ويلزمه إنكارها</w:t>
      </w:r>
      <w:r>
        <w:rPr>
          <w:rFonts w:eastAsia="Amiri" w:cs="Amiri" w:ascii="Amiri" w:hAnsi="Amiri"/>
          <w:color w:val="111111"/>
          <w:sz w:val="28"/>
          <w:szCs w:val="28"/>
          <w:rtl w:val="true"/>
          <w:lang w:bidi="ar-SA"/>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تزوّج امرأة في بلد من البلدان فسألها لك زوج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فتزوّجها ثمّ إنّ رجلًا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امرأتي فأنكرت المرأة ذلك ما يلزم الزوج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امرأته إلا أن يقيم البيّنة</w:t>
      </w:r>
      <w:r>
        <w:rPr>
          <w:rFonts w:eastAsia="Amiri" w:cs="Amiri" w:ascii="Amiri" w:hAnsi="Amiri"/>
          <w:color w:val="111111"/>
          <w:sz w:val="28"/>
          <w:szCs w:val="28"/>
          <w:rtl w:val="true"/>
          <w:lang w:bidi="ar-SA"/>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 أنّ المدّعي ليس له بيّنة، والمدّعى عليه وهو الزوج غيرعالم بالواقع، فلا يكلّفه باليمين وليترتّب على الزوجية أثر، بل قال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امرأته إلا أن يقيم البيّنة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أو حسنة عبدالعزيز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يلزمك إقرارها ويلزمه إنكارها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 في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أو موثّقة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ثقة فلا يقربها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الكراهة، بقرينة روايتين الأخيرتين واحتمال كونه خبريّاً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إيراد الخدشة بذاك الاستدلال بأنّه قد تقدّم شرائط سماع الدعوى وأنّها كانت تسعة شروط ولم يكن منها عدم قول المدّعى عليه لا أدري حتّى تكون الدعوى غير مسموعة، مضافاً إلى أنّه كيف يمكن سماع الدعوى إذا كانت له بيّنة، وعدم سماعها إذا لم يكن لها بيّنة مع عدم إمكان الحلف منه مع كون البيّنة والحلف متفرّعان على سماع الدعوى ومتأخّران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وسقوط الدعوى بعد كونها مسموعة خلاف مقتضى القضاء ووظائف الحاكم، فإنّ وظيفته الفصل وحلّ النزاع ورفع التخاصم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الروايات فليست فيها وقوع التخاصم والترافع عند القاضي، بل وقعت مشكلة للسائل أو لغيره، فيسئل الإمام عن حكمها ولا ربط له بالدعوى في المحكمة و وظيفة القاضي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 والثالث من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الحاكم يكلّف المدّعى عليه بأن يرد الحلف على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يرده بنفسه إلى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حلف حكم على المدّعى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المحقّق الأردبيلي</w:t>
      </w:r>
      <w:r>
        <w:rPr>
          <w:rStyle w:val="FootnoteAnchor"/>
          <w:rtl w:val="true"/>
        </w:rPr>
        <w:footnoteReference w:id="955"/>
      </w:r>
      <w:r>
        <w:rPr>
          <w:rFonts w:ascii="Amiri" w:hAnsi="Amiri" w:eastAsia="Amiri" w:cs="Amiri"/>
          <w:color w:val="111111"/>
          <w:sz w:val="28"/>
          <w:sz w:val="28"/>
          <w:szCs w:val="28"/>
          <w:rtl w:val="true"/>
          <w:lang w:bidi="ar-SA"/>
        </w:rPr>
        <w:t>قائل به، وأيضاً قال المحقّق الآشتياني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يظهر من الأكثرين حتّى من كثير ممّن يقول بالقضاء بالنكول، القضاء عليه بعد ردّ اليمين إلى المدّعي، إمّا من المدّعى عليه وإمّا من الحاكم بعد امتناعه من الردّ</w:t>
      </w:r>
      <w:r>
        <w:rPr>
          <w:rFonts w:eastAsia="Amiri" w:cs="Amiri" w:ascii="Amiri" w:hAnsi="Amiri"/>
          <w:color w:val="111111"/>
          <w:sz w:val="28"/>
          <w:szCs w:val="28"/>
          <w:rtl w:val="true"/>
          <w:lang w:bidi="ar-SA"/>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والدليل عليه أنّ مقتضى 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أقضى بينكم بالبيّنات والأيمان</w:t>
      </w:r>
      <w:r>
        <w:rPr>
          <w:rFonts w:eastAsia="Amiri" w:cs="Amiri" w:ascii="Amiri" w:hAnsi="Amiri"/>
          <w:color w:val="111111"/>
          <w:sz w:val="28"/>
          <w:szCs w:val="28"/>
          <w:rtl w:val="true"/>
          <w:lang w:bidi="ar-SA"/>
        </w:rPr>
        <w:t>»</w:t>
      </w:r>
      <w:r>
        <w:rPr>
          <w:rStyle w:val="FootnoteAnchor"/>
          <w:rtl w:val="true"/>
        </w:rPr>
        <w:footnoteReference w:id="957"/>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استخراج الحقوق بأربعة</w:t>
      </w:r>
      <w:r>
        <w:rPr>
          <w:rFonts w:eastAsia="Amiri" w:cs="Amiri" w:ascii="Amiri" w:hAnsi="Amiri"/>
          <w:color w:val="111111"/>
          <w:sz w:val="28"/>
          <w:szCs w:val="28"/>
          <w:rtl w:val="true"/>
          <w:lang w:bidi="ar-SA"/>
        </w:rPr>
        <w:t>»</w:t>
      </w:r>
      <w:r>
        <w:rPr>
          <w:rStyle w:val="FootnoteAnchor"/>
          <w:rtl w:val="true"/>
        </w:rPr>
        <w:footnoteReference w:id="958"/>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أحكام المسلمين على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عادلة، أو يمين قاطعة، أو سنة ماضية</w:t>
      </w:r>
      <w:r>
        <w:rPr>
          <w:rFonts w:eastAsia="Amiri" w:cs="Amiri" w:ascii="Amiri" w:hAnsi="Amiri"/>
          <w:color w:val="111111"/>
          <w:sz w:val="28"/>
          <w:szCs w:val="28"/>
          <w:rtl w:val="true"/>
          <w:lang w:bidi="ar-SA"/>
        </w:rPr>
        <w:t>»</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وفيما نقله الصدوق في الخصال في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أحكام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سنّة جارية مع أئمّة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اقض</w:t>
      </w:r>
    </w:p>
    <w:p>
      <w:pPr>
        <w:pStyle w:val="BookText"/>
        <w:rPr/>
      </w:pPr>
      <w:r>
        <w:rPr>
          <w:rFonts w:ascii="Amiri" w:hAnsi="Amiri" w:eastAsia="Amiri" w:cs="Amiri"/>
          <w:color w:val="111111"/>
          <w:sz w:val="28"/>
          <w:sz w:val="28"/>
          <w:szCs w:val="28"/>
          <w:rtl w:val="true"/>
          <w:lang w:bidi="ar-SA"/>
        </w:rPr>
        <w:t>بينهم بالبيّنات، وأضفهم إلى اسمي</w:t>
      </w:r>
      <w:r>
        <w:rPr>
          <w:rFonts w:eastAsia="Amiri" w:cs="Amiri" w:ascii="Amiri" w:hAnsi="Amiri"/>
          <w:color w:val="111111"/>
          <w:sz w:val="28"/>
          <w:szCs w:val="28"/>
          <w:rtl w:val="true"/>
          <w:lang w:bidi="ar-SA"/>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قطع الدعوى مع عدم البيّنة إلا بالحلف، وحيث لا يمكن للمدّعى عليه هنا الحلف لعدم علمه بالواقع، فلا بدّ من ردّه إلى المدّعي أو ردّ الحاكم إلى المدّعى لو امتنع المدّعى عليه من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أنّ المستفاد من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ساير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هو يمين المدّعى عليه وليست وظيفة المدّعي اليمين، إلا إذا دلّ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شمول إطلاق أخبار ردّ اليمين إلى المدّعي للمقام، فلا بدّ للمدّعى عليه أن يرد اليمين إليه والحاكم إن امتنع المدّعى عليه من الردّ حتّى يصحّ القضاء باليمين، مدفوعة؛ بأنّ المستفاد من الإطلاقات هو ردّ اليمين من المدّعى عليه بعد ثبوتها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لا يمكن له اليمين فلا يثبت عليه حتّى يخيّر بين الحلف أو الردّ إلى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الدعوى ويبقى المدّعي على ادّعائه إلى أن يقيم البيّنة، أو يحصل المدّعى عليه حالة الاطمئنان وأنكر الدعوى جزماً أو أقرّ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أوجهه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الحقّ فإنّ الدعوى إذا كانت واجدة للشرائط كانت مسموعة، ولا وجه للقول بعدم سماعها لو لم يكن للمدّعي بيّنة، أو لا يمكن للمدّعى عليه الحلف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لا وجه لسقوطها لذلك فإنّ بقاء الدعوى يقتضي الوظيفة للحاكم كي يفصل ويرفع التخاصم</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والمتعارف في المحاكم أنّ وظيفة الحاكم قد تكون صدور الحكم إذا</w:t>
      </w:r>
      <w:bookmarkStart w:id="502" w:name="pg1791_16050"/>
    </w:p>
    <w:p>
      <w:pPr>
        <w:pStyle w:val="BookText"/>
        <w:rPr/>
      </w:pPr>
      <w:bookmarkEnd w:id="502"/>
      <w:r>
        <w:rPr>
          <w:rFonts w:ascii="Amiri" w:hAnsi="Amiri" w:eastAsia="Amiri" w:cs="Amiri"/>
          <w:color w:val="111111"/>
          <w:sz w:val="28"/>
          <w:sz w:val="28"/>
          <w:szCs w:val="28"/>
          <w:rtl w:val="true"/>
          <w:lang w:bidi="ar-SA"/>
        </w:rPr>
        <w:t>اجتمعت شرائط الحكم، أو صدور القرار مثل قرار ردّ الدعوى، أو قرار منع التعقيب، أو قرار موقوفية التعقيب، أو قرار استماع شهادة الشهود، أو الإرجاع إلى الخبرة وغيره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إذا لم يكن للمدّعي البيّنة ولا يمكن للمدّعى عليه الحلف فيصدر الحاكم قرار توقّف الدعوى، أو موقوفية التعقيب فحينئذٍ يُلَفُّ المَلَفُّ ويخرج من المَلَفّات الجارية في المحكمة يومياً حتّى يأتي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بالبيّنة، وإمّا بالإنكار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ما إذا حكم الحاكم فإنّه يصير مختومة وغير قابلة للجريان في المحكمة</w:t>
      </w:r>
      <w:r>
        <w:rPr>
          <w:rFonts w:eastAsia="Amiri" w:cs="Amiri" w:ascii="Amiri" w:hAnsi="Amiri"/>
          <w:color w:val="111111"/>
          <w:sz w:val="28"/>
          <w:szCs w:val="28"/>
          <w:rtl w:val="true"/>
          <w:lang w:bidi="ar-SA"/>
        </w:rPr>
        <w:t>.</w:t>
      </w:r>
    </w:p>
    <w:p>
      <w:pPr>
        <w:pStyle w:val="Heading5"/>
        <w:numPr>
          <w:ilvl w:val="4"/>
          <w:numId w:val="1"/>
        </w:numPr>
        <w:rPr/>
      </w:pPr>
      <w:bookmarkStart w:id="503" w:name="__RefHeading___Toc2354777_3650668749"/>
      <w:bookmarkStart w:id="504" w:name="_Toc185"/>
      <w:bookmarkEnd w:id="503"/>
      <w:r>
        <w:rPr>
          <w:rtl w:val="true"/>
        </w:rPr>
        <w:t>هل يمكن جعل الجواب بلا أدري من قسم المنكر؟</w:t>
      </w:r>
      <w:bookmarkEnd w:id="504"/>
    </w:p>
    <w:p>
      <w:pPr>
        <w:pStyle w:val="BookText"/>
        <w:rPr/>
      </w:pPr>
      <w:r>
        <w:rPr>
          <w:rFonts w:ascii="Amiri" w:hAnsi="Amiri" w:eastAsia="Amiri" w:cs="Amiri"/>
          <w:color w:val="111111"/>
          <w:sz w:val="28"/>
          <w:sz w:val="28"/>
          <w:szCs w:val="28"/>
          <w:rtl w:val="true"/>
          <w:lang w:bidi="ar-SA"/>
        </w:rPr>
        <w:t xml:space="preserve">وهنا كلام آخر 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Style w:val="FootnoteAnchor"/>
          <w:rtl w:val="true"/>
        </w:rPr>
        <w:footnoteReference w:id="961"/>
      </w:r>
      <w:r>
        <w:rPr>
          <w:rFonts w:ascii="Amiri" w:hAnsi="Amiri" w:eastAsia="Amiri" w:cs="Amiri"/>
          <w:color w:val="111111"/>
          <w:sz w:val="28"/>
          <w:sz w:val="28"/>
          <w:szCs w:val="28"/>
          <w:rtl w:val="true"/>
          <w:lang w:bidi="ar-SA"/>
        </w:rPr>
        <w:t>في جعل المدّعى عليه الذي يجيب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قسم المنكر، وعليه اليمين بنفي العلم ونفي الاستحقاق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حصر الأصحاب حال المدّعى عليه في الثلاثة عدم حال رابع مخالف لها في الحكم، وحينئذٍ فإذا كان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فهو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عدم كونه إقراراً، كضرورة عدم كونه سكوتاً فليس إلا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وخلاصة كلامه أنّ للمنكر فردان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من يكون قاطعاً للواقع وأنكره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من لا يعلم الواقع ولكنّه ينفي المدّعى به واستحقاق المدّعي على ذمّته ظاهراً وفعلًا، فإنّه مع شكّه في اشتغال ذمّته يجري في حقّه أصالة عدم اشتغال</w:t>
      </w:r>
    </w:p>
    <w:p>
      <w:pPr>
        <w:pStyle w:val="BookText"/>
        <w:rPr/>
      </w:pPr>
      <w:r>
        <w:rPr>
          <w:rFonts w:ascii="Amiri" w:hAnsi="Amiri" w:eastAsia="Amiri" w:cs="Amiri"/>
          <w:color w:val="111111"/>
          <w:sz w:val="28"/>
          <w:sz w:val="28"/>
          <w:szCs w:val="28"/>
          <w:rtl w:val="true"/>
          <w:lang w:bidi="ar-SA"/>
        </w:rPr>
        <w:t>الذمّة، فينكر استحقاق المدّعى به عليه، فيكون منكراً وعليه اليمين بنفي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 ما دلّ على أنّ اليمين لا بدّ أن يكون على البتّ على الغالب من كونه من قسم الأوّل، أمّا القسم الآخر فيكفي اليمين على عدم العلم نحو يمين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الإنكار والادّعاء لا بدّ أن يتواردان على مورد واحد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أنكر ما ادّعاه المدّعي،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ادّعى ما ينكره الآخر، ففي المقام لو ادّعى المدّعي أنّ المدّعى عليه عالم باشتغال ذمّته وهو ينكره،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فحينئذٍ يتواردان على مورد واحد ويصدق عليه أنّه منكر لما ادّعاه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عليه آثار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ادّعي عليه ديناً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فهو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لا يثبته ولا ينفيه، فلا يكون منكراً له، وما أنكره هو العلم بالواقع الذي لا يدّعيه المدّعي، بل يصدّقه في عدم علمه بالواقع على الفرض، فلا يصدق عليه المنكر، فإذا لم يصدق عليه المنكر فلا يتوجّه إليه الحلف أيضاً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إذا كذبه المدّعي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بل يدّعي عليه أنّه عالم باشتغال ذمّته، ففي الحقيقة كان للمدّعي دعويان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الدين على ذمّة المدّعى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أنّه عالم باشتغال ذمّته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الدعوى الثاني هو يدّعي ما ينكره المدّعى عليه، فيكون من مصاديق المدّعي والمنكر، فعلى المنكر الحلف على نفي العلم فلو حلف يسقط عليه دعوى الدراية، ولا يجوز للمدّعي تجديد الدعوى عند الحاكم أو حاكم آخر، ولا يجوز له إقامة البيّنة على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يحلف وردّ اليمين على المدّعي فيحلف المدّعي على الدراية، ولازم علمه بالواقع ثبوت اشتغال الذمّة متي يعلمه،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المدّعى عليه بأنّه لا يدري يسقط دعوى الدراية، فلا تسمع دعوى المدّعي ولا البيّنة منه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حقّه الواقعي فلا يسقط به، ولو أراد إقامة البيّنة عليه تقبل منه، بل له المقاصّة بمقدار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الدعوى متعلّقة بعين في يده منتقلة إليه من ذي يد، وقلنا يجوز له الحلف استناداً إلى اليد على الواقع فحلف عليه، سقطت الدعوى وذهب الحلف بحقّه، ولا تسمع بيّنة منه، ولا يجوز له المقاصّة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فيثبت بحلفه الواقع أيضاً، وأمّا حلف المدّعى عليه فمسقط دعوى الدراية عليه فقط، ويبقى دعوى الواقع على حاله فلو أمكن له إقامة البيّنة جاز كما جاز له المقاصّة من ماله كما سيجي‌ء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ذيل المسألة السابقة أنّ المدّعى عليه الذي أجاب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إذا ادّعي عليه المدّعي بكونه عالماً بالواقع لو حلف على نفي العلم يسقط عنه دعوى العلم بالواقع، ويترتّب عليه آثاره ولكن دعوى الواقع على حاله ويصدر الحاكم قرار توقّف الدعوى، فإذا تمكّن من إقامة البيّنة تقبل منه، بل له المقاصّة من مال المدّعى عليه بمقدار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كانت الدعوى متعلّقة بدين</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تعلّقت بعين في يده فتارة يعلم منشأ مالكيته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انتقل إليه من ذي يد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بالإرث كما إذا كانت في يد أبيه، ويتصرّف فيه ثمّ مات وانتقل إليه إرثاً، وإمّا بالبيع، وإمّا بالهبة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كيفية مالكيته لهذا العين بل تكون فيما يتعلّق به وما يملكه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بمنشأ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يجيب في قبال الدعوى عليه بقوله لا أعلم، ولكنّه جاز له الحلف على كونها ملكاً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وبالنتيجه لا تكون ملكاً للمدّعي بناءً على جواز الحلف على الملكية باستناد اليد، كما جاز الشهادة عليها باستناد اليد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خبر حفص بن غياث</w:t>
      </w:r>
      <w:r>
        <w:rPr>
          <w:rStyle w:val="FootnoteAnchor"/>
          <w:rtl w:val="true"/>
        </w:rPr>
        <w:footnoteReference w:id="962"/>
      </w: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جاز لك أن تشتريه ويصير ملكاً لك، ثمّ تقول بعد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لي وتحلف عليه، ولا يجوز أن تنسبه إلى من صار ملكه من قبله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على أنّه لو اشترى عيناً من شخص كان في يده يجوز له أن يحلف أنّها ملك له، باستناد اليد الدالّة على كون الشخص مالكاً له، ثمّ صار ملكاً له بالاشتراء، كما أنّ صدر الخبر يدلّ على جواز الشهادة على كون العين ملكاً لمن في يده، مع أنّ الشهادة كانت أصعب من اليمين لعدم جوازها إلا مع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كيفية مالكيته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كانت في يده ولم يعلم من أيّ سبب انتقل إليه وأنّها له فعلًا أو لا؟</w:t>
      </w:r>
    </w:p>
    <w:p>
      <w:pPr>
        <w:pStyle w:val="BookText"/>
        <w:rPr/>
      </w:pPr>
      <w:r>
        <w:rPr>
          <w:rFonts w:ascii="Amiri" w:hAnsi="Amiri" w:eastAsia="Amiri" w:cs="Amiri"/>
          <w:color w:val="111111"/>
          <w:sz w:val="28"/>
          <w:sz w:val="28"/>
          <w:szCs w:val="28"/>
          <w:rtl w:val="true"/>
          <w:lang w:bidi="ar-SA"/>
        </w:rPr>
        <w:t xml:space="preserve">فقال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منها مثل الحكم في الصورة الاولى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إذا ادّعى عليه مدّع وقال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أنّها لي أو لك، يحكم بمقتضى يده أنّها له، فإذا لم يكن للمدّعي بيّنة وادّعى عليه العلم بأنّها له جاز له أن يحلف على عدم العلم وتسقط به دعوى المدّعي وتبقي في يده محكومة بأنّها له</w:t>
      </w:r>
      <w:r>
        <w:rPr>
          <w:rFonts w:eastAsia="Amiri" w:cs="Amiri" w:ascii="Amiri" w:hAnsi="Amiri"/>
          <w:color w:val="111111"/>
          <w:sz w:val="28"/>
          <w:szCs w:val="28"/>
          <w:rtl w:val="true"/>
          <w:lang w:bidi="ar-SA"/>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Style w:val="FootnoteAnchor"/>
          <w:rtl w:val="true"/>
        </w:rPr>
        <w:footnoteReference w:id="9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يدّعي عليه العلم أو ادّعى وحلف على نفي</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أجاب المدّعى‌عليه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لي، وهو لغيرك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أقرّ لحاضر وصدّقه الحاضر كان هو المدّعى‌عليه، فحينئذٍ له إقامة الدعوى على المقرّ له، فإن تمّت وصار ماله إليه فهو، وإلا له الدعوى على المقرّ بأنّه صار سبباً للغرامة، وله البدأة بالدعوى على المقرّ، فإن ثبت حقّه أخذ الغرامة منه، وله حينئذٍ الدعوى على المقرّ له لأخذ عين ماله، فإن ثبتت دعواه عليه ردّ غرامة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أقرّ لغائب يلحقه حكم الدعوى على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مجهول المالك وأمره إلى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دعوى مدّعي الملكية تقبل إذ لا معارض له يردّ إليه، وإلا فعليه البيّنة، ومع عدمها لا يبعد إرجاع الحاكم الحلف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لك بل 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ادّعى التولية ترتفع الخصومة بالنسبة إلى نفسه، وتتوجّه إليه لكونه مدّعي التولية، فإن توجّه الحلف إليه وقلنا بجواز حلف المتولّي فحلف سقطت الدعوى، وإن نفى عن نفسه التولية فأمره إلى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قال المدّعى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لا يحكم بكونها له، بل يقرع بينه وبين المدّعي، لأنّه يشترط في دلالة اليد على الملكية عدم اعتراف ذيها بعدم علمه بأنّه له أو لا؟</w:t>
      </w:r>
    </w:p>
    <w:p>
      <w:pPr>
        <w:pStyle w:val="BookText"/>
        <w:rPr/>
      </w:pPr>
      <w:r>
        <w:rPr>
          <w:rFonts w:ascii="Amiri" w:hAnsi="Amiri" w:eastAsia="Amiri" w:cs="Amiri"/>
          <w:color w:val="111111"/>
          <w:sz w:val="28"/>
          <w:sz w:val="28"/>
          <w:szCs w:val="28"/>
          <w:rtl w:val="true"/>
          <w:lang w:bidi="ar-SA"/>
        </w:rPr>
        <w:t>ولكنّ الظاهر عدم الدليل على هذا الشرط</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فالأقوى ما قاله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يجوز للمدّعى عليه أن يحلف على عدم كونه ملكاً للمدّعي، أو يحلف على أنّه ملك لنفسه باستناد اليد ولا يضرّ بذلك عدم علمه بمنشأ مالكيته، وأنّه من أين صارت في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لصبيّ أو مجنون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ونفى الولاية عن نفسه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أجاب 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المدّعي أبرأ ذمّتي، أو أخذ المدّعى به منّي، أو وهبني، أو باعني، أو صالحني، ونحو ذلك، انقلبت الدعوى؛ وصار المدّعى عليه مدّعياً والمدّعي منكراً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هذه الدعوى على ما تقدّم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فرض فروضاً كثيرة في الجواب، مثل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لزيد مثلًا الحاضر، أو لغائب،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لي، بل هو مجهول المالك، أو وقف،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لصبيّ، أو لمجنون ونفي عن نفسه التولية، أو يدّعي كونه وليّاً لهما، ففي الكلّ يتوجّه الدعوى إلى غير 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في الفرض الأوّل يكون المدّعى عليه هو المقرّ له، أو يكون الدعوى على الغائب، أو يكون الدعوى لمال المجهول المالك، أو الوقف ولكلّ حكمه في بابه لم نتعرّض له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تعرّض للفروض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مفصّلًا، فراجع</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القسم من الجواب يرجع إلى الإقرار بالمدّعى به، وقبول مالكية المدّعى له، ولكن يدّعي الإيفاء أو الإبراء أو البيع أو الهبة أو الصلح أو غير ذلك، ففي الحقيقة ينقلب الدعوى؛ فإنّ المدّعى عليه، يصير مدّعياً، والمدّعي، مدّعى‌عليه، فلا بدّ لهذا المدّعي الإثبات والمدّعى عليه الجديد الجواب، ولا إشكال في أنّ الجواب منه أيضاً قد يكون بالإقرار، أو بالإنكار، أو بالسكوت، أو بلا أدري، والكلام فيها الكلام</w:t>
      </w:r>
      <w:r>
        <w:rPr>
          <w:rFonts w:eastAsia="Amiri" w:cs="Amiri" w:ascii="Amiri" w:hAnsi="Amiri"/>
          <w:color w:val="111111"/>
          <w:sz w:val="28"/>
          <w:szCs w:val="28"/>
          <w:rtl w:val="true"/>
          <w:lang w:bidi="ar-SA"/>
        </w:rPr>
        <w:t>.</w:t>
      </w:r>
      <w:bookmarkStart w:id="505" w:name="pg1791_16062"/>
    </w:p>
    <w:p>
      <w:pPr>
        <w:pStyle w:val="Heading3"/>
        <w:numPr>
          <w:ilvl w:val="2"/>
          <w:numId w:val="1"/>
        </w:numPr>
        <w:rPr/>
      </w:pPr>
      <w:bookmarkStart w:id="506" w:name="__RefHeading___Toc2354779_3650668749"/>
      <w:bookmarkStart w:id="507" w:name="_Toc186"/>
      <w:bookmarkEnd w:id="505"/>
      <w:bookmarkEnd w:id="506"/>
      <w:r>
        <w:rPr>
          <w:rtl w:val="true"/>
        </w:rPr>
        <w:t>القول</w:t>
      </w:r>
      <w:r>
        <w:rPr>
          <w:rtl w:val="true"/>
        </w:rPr>
        <w:t xml:space="preserve">: </w:t>
      </w:r>
      <w:r>
        <w:rPr>
          <w:rtl w:val="true"/>
        </w:rPr>
        <w:t>في أحكام الحلف‌</w:t>
      </w:r>
      <w:bookmarkEnd w:id="507"/>
    </w:p>
    <w:p>
      <w:pPr>
        <w:pStyle w:val="Heading4"/>
        <w:numPr>
          <w:ilvl w:val="3"/>
          <w:numId w:val="1"/>
        </w:numPr>
        <w:rPr/>
      </w:pPr>
      <w:bookmarkStart w:id="508" w:name="__RefHeading___Toc2354781_3650668749"/>
      <w:bookmarkStart w:id="509" w:name="_Toc187"/>
      <w:bookmarkEnd w:id="508"/>
      <w:r>
        <w:rPr>
          <w:rtl w:val="true"/>
        </w:rPr>
        <w:t>اشارة</w:t>
      </w:r>
      <w:bookmarkEnd w:id="50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الحلف ولا يترتّب عليه أثر من إسقاط حقّ أو إثباته إلا أن يكون بالله تعالى، أو بأسمائه الخاصّة به تعالى كالرحمان والقديم والأوّل الذي ليس قبله شي‌ء، وكذا الأوصاف المشتركة المنصرفة إليه تعالى كالرازق والخالق، بل الأوصاف غير المنصرفة إذا ضمّ إليها ما يجعلها مختصّة به، والأحوط عدم الاكتفاء بالأخير، وأحوط منه عدم الاكتفاء بغير الجلالة، ولا يصحّ بغيره تعالى، كالأنبياء والأوصياء والكتب المنزلة والأماكن المقدّسة، كالكعبة وغيرها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ولا يصحّ الحلف إلا بالله تعالى بلا خلاف، بل بالإجماع</w:t>
      </w:r>
      <w:r>
        <w:rPr>
          <w:rFonts w:eastAsia="Amiri" w:cs="Amiri" w:ascii="Amiri" w:hAnsi="Amiri"/>
          <w:color w:val="111111"/>
          <w:sz w:val="28"/>
          <w:szCs w:val="28"/>
          <w:rtl w:val="true"/>
          <w:lang w:bidi="ar-SA"/>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الوضعي، يعني لو حلف بغير الله عزّ وجلّ لا</w:t>
      </w:r>
      <w:bookmarkStart w:id="510" w:name="pg1791_16064"/>
    </w:p>
    <w:p>
      <w:pPr>
        <w:pStyle w:val="BookText"/>
        <w:rPr/>
      </w:pPr>
      <w:bookmarkEnd w:id="510"/>
      <w:r>
        <w:rPr>
          <w:rFonts w:ascii="Amiri" w:hAnsi="Amiri" w:eastAsia="Amiri" w:cs="Amiri"/>
          <w:color w:val="111111"/>
          <w:sz w:val="28"/>
          <w:sz w:val="28"/>
          <w:szCs w:val="28"/>
          <w:rtl w:val="true"/>
          <w:lang w:bidi="ar-SA"/>
        </w:rPr>
        <w:t>يترتّب عليه أثر المقصود من الحلف، وهو إسقاط الحقّ عن نفسه، أو إثباته على المدّعى عليه، فلا يصحّ الحلف بالأنبياء والأوصياء والأماكن الشريفة، كالكعبة والبقاع المتبرّكة والكتب المنزلة والقرآن العظيم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هو الحكم التكليفي، أي يحرم الحلف بغير الله عزّ وجلّ فلو حلف بغير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بكلمات الشريفة التي نقلنا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فمضافاً إلى عدم الصحّة، وعدم ترتّب الأثر عليه، يكون آثماً لارتكاب فعل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تعرّض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التكليفي في 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في أحكام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واختار الكراهة كما سيجي‌ء إن شاء الله</w:t>
      </w:r>
      <w:r>
        <w:rPr>
          <w:rFonts w:eastAsia="Amiri" w:cs="Amiri" w:ascii="Amiri" w:hAnsi="Amiri"/>
          <w:color w:val="111111"/>
          <w:sz w:val="28"/>
          <w:szCs w:val="28"/>
          <w:rtl w:val="true"/>
          <w:lang w:bidi="ar-SA"/>
        </w:rPr>
        <w:t>.</w:t>
      </w:r>
    </w:p>
    <w:p>
      <w:pPr>
        <w:pStyle w:val="Heading4"/>
        <w:numPr>
          <w:ilvl w:val="3"/>
          <w:numId w:val="1"/>
        </w:numPr>
        <w:rPr/>
      </w:pPr>
      <w:bookmarkStart w:id="511" w:name="__RefHeading___Toc2354783_3650668749"/>
      <w:bookmarkStart w:id="512" w:name="_Toc188"/>
      <w:bookmarkEnd w:id="511"/>
      <w:r>
        <w:rPr>
          <w:rtl w:val="true"/>
        </w:rPr>
        <w:t>فيما تدلّ على عدم صحّة الحلف إلا بالله تعالى‌</w:t>
      </w:r>
      <w:bookmarkEnd w:id="512"/>
    </w:p>
    <w:p>
      <w:pPr>
        <w:pStyle w:val="Heading5"/>
        <w:numPr>
          <w:ilvl w:val="4"/>
          <w:numId w:val="1"/>
        </w:numPr>
        <w:rPr/>
      </w:pPr>
      <w:bookmarkStart w:id="513" w:name="__RefHeading___Toc2354785_3650668749"/>
      <w:bookmarkStart w:id="514" w:name="_Toc189"/>
      <w:bookmarkEnd w:id="513"/>
      <w:r>
        <w:rPr>
          <w:rtl w:val="true"/>
        </w:rPr>
        <w:t>اشارة</w:t>
      </w:r>
      <w:bookmarkEnd w:id="514"/>
    </w:p>
    <w:p>
      <w:pPr>
        <w:pStyle w:val="BookText"/>
        <w:rPr/>
      </w:pPr>
      <w:r>
        <w:rPr>
          <w:rFonts w:ascii="Amiri" w:hAnsi="Amiri" w:eastAsia="Amiri" w:cs="Amiri"/>
          <w:color w:val="111111"/>
          <w:sz w:val="28"/>
          <w:sz w:val="28"/>
          <w:szCs w:val="28"/>
          <w:rtl w:val="true"/>
          <w:lang w:bidi="ar-SA"/>
        </w:rPr>
        <w:t>أمّا لزوم الحلف بالله عزّ وجلّ وعدم صحّة الحلف بغيره فدلالة كثير من الروايات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سليمان بن خالد، عن أبي عبدالله وفيها بعد سؤال نبيّ من الأنبياء عن الله عزّ وجلّ عن كيفية الحكم بين الناس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فأوحى الله عزّ وجلّ إليه احكم بينهم بكتابي، وأضفهم إلى اسمي فحلّفهم به</w:t>
      </w:r>
      <w:r>
        <w:rPr>
          <w:rFonts w:eastAsia="Amiri" w:cs="Amiri" w:ascii="Amiri" w:hAnsi="Amiri"/>
          <w:color w:val="111111"/>
          <w:sz w:val="28"/>
          <w:szCs w:val="28"/>
          <w:rtl w:val="true"/>
          <w:lang w:bidi="ar-SA"/>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أبان بن عثمان، عمّن أخبره،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نبيّاً من الأنبياء شكا إلى ربّه القضاء،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أقضى بما لم تر عيني ولم تسمع اذني؟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بينهم بالبيّنات، وأضفهم إلى اسمي يحلفون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أرني الحقّ كما هو عندك حتّى</w:t>
      </w:r>
    </w:p>
    <w:p>
      <w:pPr>
        <w:pStyle w:val="BookText"/>
        <w:rPr/>
      </w:pPr>
      <w:r>
        <w:rPr>
          <w:rFonts w:ascii="Amiri" w:hAnsi="Amiri" w:eastAsia="Amiri" w:cs="Amiri"/>
          <w:color w:val="111111"/>
          <w:sz w:val="28"/>
          <w:sz w:val="28"/>
          <w:szCs w:val="28"/>
          <w:rtl w:val="true"/>
          <w:lang w:bidi="ar-SA"/>
        </w:rPr>
        <w:t>أقضى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تطيق ذلك، فألحّ على ربّه حتّى فعل، فجاءه رجل يستعدي على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أخذ مالي، فأوحى الله إلى داود أنّ هذاالمستعدي قتل أبا هذا، وأخذ ماله، فأمر داود بالمستعدي فقتل، وأخذ ماله، فدفع إلى المستعدى‌عليه،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فعجب الناس، وتحدثوا حتّى بلغ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عليه من ذلك ما كره، فدعا ربّه أن يرفع ذلك ففعل، ثمّ أوحى الله إليه، أن احكم بينهم بالبيّنات، وأضفهم إلى اسمي يحلفون به</w:t>
      </w:r>
      <w:r>
        <w:rPr>
          <w:rFonts w:eastAsia="Amiri" w:cs="Amiri" w:ascii="Amiri" w:hAnsi="Amiri"/>
          <w:color w:val="111111"/>
          <w:sz w:val="28"/>
          <w:szCs w:val="28"/>
          <w:rtl w:val="true"/>
          <w:lang w:bidi="ar-SA"/>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نبيّاً من الأنبياء شكا إلى ربّه كيف أقضى في امور لم أخبر ببيانها؟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ردّهم إليّ وأضفهم إلى اسمي يحلفون به</w:t>
      </w:r>
      <w:r>
        <w:rPr>
          <w:rFonts w:eastAsia="Amiri" w:cs="Amiri" w:ascii="Amiri" w:hAnsi="Amiri"/>
          <w:color w:val="111111"/>
          <w:sz w:val="28"/>
          <w:szCs w:val="28"/>
          <w:rtl w:val="true"/>
          <w:lang w:bidi="ar-SA"/>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دلّت هذه الأخبار على وجوب الحلف باسم الله في قطع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الحسن بن عليّ العسكري في تفسيره، عن آبائه في كيفيةقضاء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يكن له بيّنة حلف المدّعى عليه بالله</w:t>
      </w:r>
      <w:r>
        <w:rPr>
          <w:rFonts w:eastAsia="Amiri" w:cs="Amiri" w:ascii="Amiri" w:hAnsi="Amiri"/>
          <w:color w:val="111111"/>
          <w:sz w:val="28"/>
          <w:szCs w:val="28"/>
          <w:rtl w:val="true"/>
          <w:lang w:bidi="ar-SA"/>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عبدالرحمن بن أبي عبدالله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المطلوب بالحقّ‌قد مات، فاقيمت عليه البيّنة، فعلى المدّعي اليمين بالله الذي لا إله إلا هو</w:t>
      </w:r>
      <w:r>
        <w:rPr>
          <w:rFonts w:eastAsia="Amiri" w:cs="Amiri" w:ascii="Amiri" w:hAnsi="Amiri"/>
          <w:color w:val="111111"/>
          <w:sz w:val="28"/>
          <w:szCs w:val="28"/>
          <w:rtl w:val="true"/>
          <w:lang w:bidi="ar-SA"/>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ابن أبي يعفور،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أقام بعد ما</w:t>
      </w:r>
      <w:bookmarkStart w:id="515" w:name="pg1791_16068"/>
    </w:p>
    <w:p>
      <w:pPr>
        <w:pStyle w:val="BookText"/>
        <w:rPr/>
      </w:pPr>
      <w:bookmarkEnd w:id="515"/>
      <w:r>
        <w:rPr>
          <w:rFonts w:ascii="Amiri" w:hAnsi="Amiri" w:eastAsia="Amiri" w:cs="Amiri"/>
          <w:color w:val="111111"/>
          <w:sz w:val="28"/>
          <w:sz w:val="28"/>
          <w:szCs w:val="28"/>
          <w:rtl w:val="true"/>
          <w:lang w:bidi="ar-SA"/>
        </w:rPr>
        <w:t>استحلفه بالله خمسين قسامة ما كان له، وكانت اليمين قد أبطلت كلّ ما ادّعاه قبله ممّا قد استحلفه عليه</w:t>
      </w:r>
      <w:r>
        <w:rPr>
          <w:rFonts w:eastAsia="Amiri" w:cs="Amiri" w:ascii="Amiri" w:hAnsi="Amiri"/>
          <w:color w:val="111111"/>
          <w:sz w:val="28"/>
          <w:szCs w:val="28"/>
          <w:rtl w:val="true"/>
          <w:lang w:bidi="ar-SA"/>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المفهوم منها أنّه إن أقام البيّنة قبل الحلف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حقّه، وإن حلف بغير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حمزة الثمالي،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تحلفوا إلا بالله ومن حلف بالله فليصدق، ومن لم يصدق فليس من الله، ومن حلف له بالله فليرض، ومن حلف له بالله فلم يرض فليس من الله عزّ وجلّ</w:t>
      </w:r>
      <w:r>
        <w:rPr>
          <w:rFonts w:eastAsia="Amiri" w:cs="Amiri" w:ascii="Amiri" w:hAnsi="Amiri"/>
          <w:color w:val="111111"/>
          <w:sz w:val="28"/>
          <w:szCs w:val="28"/>
          <w:rtl w:val="true"/>
          <w:lang w:bidi="ar-SA"/>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كما تلاحظ تدلّ على حرمة الحلف بغير الله عزّ وجلّ فيكون فاسداً وتدلّ بالمفهوم على عدم وجوب الرضا بالحلف بغير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محمّد بن مسلم عن أبي جعفر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عزّ وجلّ أن يقسم من خلقه بما شاء وليس لخلقه أن يقسموا إلا به</w:t>
      </w:r>
      <w:r>
        <w:rPr>
          <w:rFonts w:eastAsia="Amiri" w:cs="Amiri" w:ascii="Amiri" w:hAnsi="Amiri"/>
          <w:color w:val="111111"/>
          <w:sz w:val="28"/>
          <w:szCs w:val="28"/>
          <w:rtl w:val="true"/>
          <w:lang w:bidi="ar-SA"/>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أرى للرجل أن يحلف إلا بالله</w:t>
      </w:r>
      <w:r>
        <w:rPr>
          <w:rFonts w:eastAsia="Amiri" w:cs="Amiri" w:ascii="Amiri" w:hAnsi="Amiri"/>
          <w:color w:val="111111"/>
          <w:sz w:val="28"/>
          <w:szCs w:val="28"/>
          <w:rtl w:val="true"/>
          <w:lang w:bidi="ar-SA"/>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6" w:name="__RefHeading___Toc2354787_3650668749"/>
      <w:bookmarkStart w:id="517" w:name="_Toc190"/>
      <w:bookmarkEnd w:id="516"/>
      <w:r>
        <w:rPr>
          <w:rtl w:val="true"/>
        </w:rPr>
        <w:t>في عدم اختصاص الحلف بلفظ الجلالة</w:t>
      </w:r>
      <w:bookmarkEnd w:id="517"/>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المستفاد من هذه الأخبار لزوم كون الحلف بالله عزّ وجلّ في قبال</w:t>
      </w:r>
      <w:bookmarkStart w:id="518" w:name="pg1791_16070"/>
    </w:p>
    <w:p>
      <w:pPr>
        <w:pStyle w:val="BookText"/>
        <w:rPr/>
      </w:pPr>
      <w:bookmarkEnd w:id="518"/>
      <w:r>
        <w:rPr>
          <w:rFonts w:ascii="Amiri" w:hAnsi="Amiri" w:eastAsia="Amiri" w:cs="Amiri"/>
          <w:color w:val="111111"/>
          <w:sz w:val="28"/>
          <w:sz w:val="28"/>
          <w:szCs w:val="28"/>
          <w:rtl w:val="true"/>
          <w:lang w:bidi="ar-SA"/>
        </w:rPr>
        <w:t>الحلف بغيره، لا أن يكون الحلف بلفظ الجلالة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قوله في رواية محمّد بن مسلم، وليس لخلقه أن يقسموا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قوله في صحيحة سليمان بن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أضفهم إلى اسمي تحلفهم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الاسم لا يختصّ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يشمل الأسماء الخاصّة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كالرحمن والرحيم، وكذا الأوصاف المشتركة المنصرفة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كالرّزاق والخالق، بل الأوصاف غير المنصرفة إذا انضمّ إليها ما يجعلها مختصّة به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بجميع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القادر على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كلّها أسماء الله عزّ وجلّ ويصحّ الحلف بها لصدق الحلف بالله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الغاية هو الارتداع عن الحلف‌كاذباً، وهو موجود في جميع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 الحلف بلفظ الجلالة بلا إشكال</w:t>
      </w:r>
      <w:r>
        <w:rPr>
          <w:rFonts w:eastAsia="Amiri" w:cs="Amiri" w:ascii="Amiri" w:hAnsi="Amiri"/>
          <w:color w:val="111111"/>
          <w:sz w:val="28"/>
          <w:szCs w:val="28"/>
          <w:rtl w:val="true"/>
          <w:lang w:bidi="ar-SA"/>
        </w:rPr>
        <w:t>.</w:t>
      </w:r>
    </w:p>
    <w:p>
      <w:pPr>
        <w:pStyle w:val="Heading5"/>
        <w:numPr>
          <w:ilvl w:val="4"/>
          <w:numId w:val="1"/>
        </w:numPr>
        <w:rPr/>
      </w:pPr>
      <w:bookmarkStart w:id="519" w:name="__RefHeading___Toc2354789_3650668749"/>
      <w:bookmarkStart w:id="520" w:name="_Toc191"/>
      <w:bookmarkEnd w:id="519"/>
      <w:r>
        <w:rPr>
          <w:rtl w:val="true"/>
        </w:rPr>
        <w:t>الحلف بالله بغير ألفاظ العربية</w:t>
      </w:r>
      <w:bookmarkEnd w:id="520"/>
    </w:p>
    <w:p>
      <w:pPr>
        <w:pStyle w:val="BookText"/>
        <w:rPr/>
      </w:pPr>
      <w:r>
        <w:rPr>
          <w:rFonts w:ascii="Amiri" w:hAnsi="Amiri" w:eastAsia="Amiri" w:cs="Amiri"/>
          <w:color w:val="111111"/>
          <w:sz w:val="28"/>
          <w:sz w:val="28"/>
          <w:szCs w:val="28"/>
          <w:rtl w:val="true"/>
          <w:lang w:bidi="ar-SA"/>
        </w:rPr>
        <w:t xml:space="preserve">وقال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يشترط في الحلف العربية، بل يكفي ترجمته بأيّ لغة كانت لصدق الحلف بالله</w:t>
      </w:r>
      <w:r>
        <w:rPr>
          <w:rFonts w:eastAsia="Amiri" w:cs="Amiri" w:ascii="Amiri" w:hAnsi="Amiri"/>
          <w:color w:val="111111"/>
          <w:sz w:val="28"/>
          <w:szCs w:val="28"/>
          <w:rtl w:val="true"/>
          <w:lang w:bidi="ar-SA"/>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صحيح، لما قلنا من أنّ المراد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الروايات هو ذاته المقدّسة، فلا بدّ من كون الحلف به عزّ اسمه وفي كلّ لغة يكون اللفظ الدالّ على ذاته المقدّسة كافياً في الحلف به، كما تعرّض له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الآتيه</w:t>
      </w:r>
      <w:r>
        <w:rPr>
          <w:rFonts w:eastAsia="Amiri" w:cs="Amiri" w:ascii="Amiri" w:hAnsi="Amiri"/>
          <w:color w:val="111111"/>
          <w:sz w:val="28"/>
          <w:szCs w:val="28"/>
          <w:rtl w:val="true"/>
          <w:lang w:bidi="ar-SA"/>
        </w:rPr>
        <w:t>.</w:t>
      </w:r>
      <w:bookmarkStart w:id="521" w:name="pg1791_16073"/>
    </w:p>
    <w:p>
      <w:pPr>
        <w:pStyle w:val="BookText"/>
        <w:rPr/>
      </w:pPr>
      <w:bookmarkEnd w:id="521"/>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لزوم الحلف بالله بين أن يكون الحالف والمستحلف مسلمين أو كافرين أو مختلفين، بل ولا بين كون الكافر ممّن يعتقد بالله أو يجحده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في إحلاف المجوس ضمّ قوله</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2354791_3650668749"/>
      <w:bookmarkStart w:id="523" w:name="_Toc192"/>
      <w:bookmarkEnd w:id="522"/>
      <w:r>
        <w:rPr>
          <w:rtl w:val="true"/>
        </w:rPr>
        <w:t>في لزوم إحلاف الكفّار بالله عزّ وجلّ‌</w:t>
      </w:r>
      <w:bookmarkEnd w:id="523"/>
    </w:p>
    <w:p>
      <w:pPr>
        <w:pStyle w:val="Heading5"/>
        <w:numPr>
          <w:ilvl w:val="4"/>
          <w:numId w:val="1"/>
        </w:numPr>
        <w:rPr/>
      </w:pPr>
      <w:bookmarkStart w:id="524" w:name="__RefHeading___Toc2354793_3650668749"/>
      <w:bookmarkStart w:id="525" w:name="_Toc193"/>
      <w:bookmarkEnd w:id="524"/>
      <w:r>
        <w:rPr>
          <w:rtl w:val="true"/>
        </w:rPr>
        <w:t>اشارة</w:t>
      </w:r>
      <w:bookmarkEnd w:id="5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استفدنا من الأخبار المتقدّمة الكثيرة أنّ الحلف لا بدّ وأن يكون بالله عزّ وجلّ وهو المؤثّر إسقاطاً وإثباتاً، وإنّ الحلف بغيره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صحيح وغير مؤثّر، وإن كان بامور ذات حرمة وشرافة وعظمة كالأنبياء والملائكة والكتب المنزلة والأماكن الشريفة والأئمّة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الأخبار من جهة الحالف والمستحلف مطلق يشمل المسلم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وكمثال نقول، جاء في صحيحة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لخلقه أن يقسموا إلا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مطلق بلا إشكال وكذا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أضفهم إلى اسمي يحلفون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بعض الروايات تدلّ على لزوم حلف اليهود والنصارى والمجوس بالله عزّ وجلّ، وهم من الكفّار المعتقدون بالله عزّ وجلّ وبنبوّة غير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رواية سليمان بن خالد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يحلف اليهودي ولا النصراني ولا المجوسي بغير الله،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فَاحْكُمْ بَيْنَهُمْ بِمَا أنزَلَ اللهُ</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bookmarkStart w:id="526" w:name="pg1791_16075"/>
    </w:p>
    <w:p>
      <w:pPr>
        <w:pStyle w:val="BookText"/>
        <w:rPr/>
      </w:pPr>
      <w:bookmarkEnd w:id="526"/>
      <w:r>
        <w:rPr>
          <w:rFonts w:ascii="Amiri" w:hAnsi="Amiri" w:eastAsia="Amiri" w:cs="Amiri"/>
          <w:color w:val="111111"/>
          <w:sz w:val="28"/>
          <w:sz w:val="28"/>
          <w:szCs w:val="28"/>
          <w:rtl w:val="true"/>
          <w:lang w:bidi="ar-SA"/>
        </w:rPr>
        <w:t xml:space="preserve">وكذا رواية جرّاح المدائني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يحلف بغير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اليهودي والنصراني والمجوسي لا تحلفوهم إلا بالله عزّ وجلّ</w:t>
      </w:r>
      <w:r>
        <w:rPr>
          <w:rFonts w:eastAsia="Amiri" w:cs="Amiri" w:ascii="Amiri" w:hAnsi="Amiri"/>
          <w:color w:val="111111"/>
          <w:sz w:val="28"/>
          <w:szCs w:val="28"/>
          <w:rtl w:val="true"/>
          <w:lang w:bidi="ar-SA"/>
        </w:rPr>
        <w:t>»</w:t>
      </w:r>
      <w:r>
        <w:rPr>
          <w:rStyle w:val="FootnoteAnchor"/>
          <w:rtl w:val="true"/>
        </w:rPr>
        <w:footnoteReference w:id="9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أهل الملل يستحلفون؟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تحلفوهم إلا بالله عزّ وجلّ</w:t>
      </w:r>
      <w:r>
        <w:rPr>
          <w:rFonts w:eastAsia="Amiri" w:cs="Amiri" w:ascii="Amiri" w:hAnsi="Amiri"/>
          <w:color w:val="111111"/>
          <w:sz w:val="28"/>
          <w:szCs w:val="28"/>
          <w:rtl w:val="true"/>
          <w:lang w:bidi="ar-SA"/>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وموثّقه سماعة،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هل يصلح لأحد أن يحلف أحداً من اليهود والنصارى والمجوس بآلهتهم؟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يصلح لأحد أن يحلف أحداً إلا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7" w:name="__RefHeading___Toc2354795_3650668749"/>
      <w:bookmarkStart w:id="528" w:name="_Toc194"/>
      <w:bookmarkEnd w:id="527"/>
      <w:r>
        <w:rPr>
          <w:rtl w:val="true"/>
        </w:rPr>
        <w:t>حول جواز إحلاف الذمّي بما يقتضيه دينه‌</w:t>
      </w:r>
      <w:bookmarkEnd w:id="528"/>
    </w:p>
    <w:p>
      <w:pPr>
        <w:pStyle w:val="BookText"/>
        <w:rPr/>
      </w:pPr>
      <w:r>
        <w:rPr>
          <w:rFonts w:ascii="Amiri" w:hAnsi="Amiri" w:eastAsia="Amiri" w:cs="Amiri"/>
          <w:color w:val="111111"/>
          <w:sz w:val="28"/>
          <w:sz w:val="28"/>
          <w:szCs w:val="28"/>
          <w:rtl w:val="true"/>
          <w:lang w:bidi="ar-SA"/>
        </w:rPr>
        <w:t>نعم، قد وردت أخبار دالّة على جواز حلف اليهود والنصارى والمجوس بغير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رواية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استحلف يهوديّاً بالتوراة التي أنزلت 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رواية محمّد بن مسلم، عن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الأحكام؟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دين ما يستحلفون به</w:t>
      </w:r>
      <w:r>
        <w:rPr>
          <w:rFonts w:eastAsia="Amiri" w:cs="Amiri" w:ascii="Amiri" w:hAnsi="Amiri"/>
          <w:color w:val="111111"/>
          <w:sz w:val="28"/>
          <w:szCs w:val="28"/>
          <w:rtl w:val="true"/>
          <w:lang w:bidi="ar-SA"/>
        </w:rPr>
        <w:t>»</w:t>
      </w:r>
      <w:r>
        <w:rPr>
          <w:rStyle w:val="FootnoteAnchor"/>
          <w:rtl w:val="true"/>
        </w:rPr>
        <w:footnoteReference w:id="9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يراد بها السؤال عن الأحكام في الشرائع السابقة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دين ما يستحلفون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محمّد بن مسلم في</w:t>
      </w:r>
    </w:p>
    <w:p>
      <w:pPr>
        <w:pStyle w:val="BookText"/>
        <w:rPr/>
      </w:pPr>
      <w:r>
        <w:rPr>
          <w:rFonts w:ascii="Amiri" w:hAnsi="Amiri" w:eastAsia="Amiri" w:cs="Amiri"/>
          <w:color w:val="111111"/>
          <w:sz w:val="28"/>
          <w:sz w:val="28"/>
          <w:szCs w:val="28"/>
          <w:rtl w:val="true"/>
          <w:lang w:bidi="ar-SA"/>
        </w:rPr>
        <w:t>الخبر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الأحكام؟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 على كلّ دين بما يستحلفون</w:t>
      </w:r>
      <w:r>
        <w:rPr>
          <w:rFonts w:eastAsia="Amiri" w:cs="Amiri" w:ascii="Amiri" w:hAnsi="Amiri"/>
          <w:color w:val="111111"/>
          <w:sz w:val="28"/>
          <w:szCs w:val="28"/>
          <w:rtl w:val="true"/>
          <w:lang w:bidi="ar-SA"/>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رواية محمّد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استحلف أهل الكتاب بيمين صبر أن يستحلف بكتابه وملّته</w:t>
      </w:r>
      <w:r>
        <w:rPr>
          <w:rFonts w:eastAsia="Amiri" w:cs="Amiri" w:ascii="Amiri" w:hAnsi="Amiri"/>
          <w:color w:val="111111"/>
          <w:sz w:val="28"/>
          <w:szCs w:val="28"/>
          <w:rtl w:val="true"/>
          <w:lang w:bidi="ar-SA"/>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عبّر عن هذا الحلف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بيمين الصبر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يمين الصبر التي يمسكك الحكم عليها حتّى تحلف، أو التي لزم ويجبر عليها حالفها</w:t>
      </w:r>
      <w:r>
        <w:rPr>
          <w:rFonts w:eastAsia="Amiri" w:cs="Amiri" w:ascii="Amiri" w:hAnsi="Amiri"/>
          <w:color w:val="111111"/>
          <w:sz w:val="28"/>
          <w:szCs w:val="28"/>
          <w:rtl w:val="true"/>
          <w:lang w:bidi="ar-SA"/>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تمسّك بهذه الأخبار جمع من الأصحاب مثل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987"/>
      </w:r>
      <w:r>
        <w:rPr>
          <w:rFonts w:ascii="Amiri" w:hAnsi="Amiri" w:eastAsia="Amiri" w:cs="Amiri"/>
          <w:color w:val="111111"/>
          <w:sz w:val="28"/>
          <w:sz w:val="28"/>
          <w:szCs w:val="28"/>
          <w:rtl w:val="true"/>
          <w:lang w:bidi="ar-SA"/>
        </w:rPr>
        <w:t xml:space="preserve">والعلامة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988"/>
      </w:r>
      <w:r>
        <w:rPr>
          <w:rFonts w:ascii="Amiri" w:hAnsi="Amiri" w:eastAsia="Amiri" w:cs="Amiri"/>
          <w:color w:val="111111"/>
          <w:sz w:val="28"/>
          <w:sz w:val="28"/>
          <w:szCs w:val="28"/>
          <w:rtl w:val="true"/>
          <w:lang w:bidi="ar-SA"/>
        </w:rPr>
        <w:t xml:space="preserve">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989"/>
      </w:r>
      <w:r>
        <w:rPr>
          <w:rFonts w:ascii="Amiri" w:hAnsi="Amiri" w:eastAsia="Amiri" w:cs="Amiri"/>
          <w:color w:val="111111"/>
          <w:sz w:val="28"/>
          <w:sz w:val="28"/>
          <w:szCs w:val="28"/>
          <w:rtl w:val="true"/>
          <w:lang w:bidi="ar-SA"/>
        </w:rPr>
        <w:t>وغيرهم فجوّزوا إحلاف الذمّي، بل مطلق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يقضيه دينه إذا رآه الحاكم أردع له من الباطل وأوفق لإثبات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رأى الحاكم إحلاف الذمّي بما يقتضيه دينه أردع، جاز</w:t>
      </w:r>
      <w:r>
        <w:rPr>
          <w:rFonts w:eastAsia="Amiri" w:cs="Amiri" w:ascii="Amiri" w:hAnsi="Amiri"/>
          <w:color w:val="111111"/>
          <w:sz w:val="28"/>
          <w:szCs w:val="28"/>
          <w:rtl w:val="true"/>
          <w:lang w:bidi="ar-SA"/>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اجيب عن هذه الأخبار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قضية في واقعة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لعلّ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حلفهم بالله عزّ وجلّ وبالتوراة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أنّها مختصّه بالإمام؛ وغيرها كما ذكرها المحقّق النراقي</w:t>
      </w:r>
      <w:r>
        <w:rPr>
          <w:rStyle w:val="FootnoteAnchor"/>
          <w:rtl w:val="true"/>
        </w:rPr>
        <w:footnoteReference w:id="991"/>
      </w:r>
      <w:r>
        <w:rPr>
          <w:rFonts w:ascii="Amiri" w:hAnsi="Amiri" w:eastAsia="Amiri" w:cs="Amiri"/>
          <w:color w:val="111111"/>
          <w:sz w:val="28"/>
          <w:sz w:val="28"/>
          <w:szCs w:val="28"/>
          <w:rtl w:val="true"/>
          <w:lang w:bidi="ar-SA"/>
        </w:rPr>
        <w:t xml:space="preserve">وكذا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خبر السكوني</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هنا قرئنا طائفتان من الروايات وحاولنا في توجيه الروايات الدالّة على جواز إحلاف الكفّار بآلهتهم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طائفة تدلّ بإطلاقها على لزوم إحلاف الكفّار بالله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طائفة تدلّ على جواز حلف اليهود أو النصارى أو المجوس بآلهتهم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الظاهر عدم تمامية الوجوه المذكورة كما ذكر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ذيل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معارضة للأخبار المتقدّمة</w:t>
      </w:r>
      <w:r>
        <w:rPr>
          <w:rFonts w:eastAsia="Amiri" w:cs="Amiri" w:ascii="Amiri" w:hAnsi="Amiri"/>
          <w:color w:val="111111"/>
          <w:sz w:val="28"/>
          <w:szCs w:val="28"/>
          <w:rtl w:val="true"/>
          <w:lang w:bidi="ar-SA"/>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والأولى ذلك، فإنّ قوله في موثّقة سماعة بعد سؤال السائل عن جواز حلف اليهود أو النصارى أو المجوس بآلهتهم،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يصلح لأحد أن يحلف أحداً إلا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Style w:val="FootnoteAnchor"/>
          <w:rtl w:val="true"/>
        </w:rPr>
        <w:footnoteReference w:id="994"/>
      </w:r>
      <w:r>
        <w:rPr>
          <w:rFonts w:ascii="Amiri" w:hAnsi="Amiri" w:eastAsia="Amiri" w:cs="Amiri"/>
          <w:color w:val="111111"/>
          <w:sz w:val="28"/>
          <w:sz w:val="28"/>
          <w:szCs w:val="28"/>
          <w:rtl w:val="true"/>
          <w:lang w:bidi="ar-SA"/>
        </w:rPr>
        <w:t>يدلّ على الحصر، يعني أنّ الحلف بغير الله عزّ وجلّ باطل، والحلف منحصر بالله عزّ وجلّ فهذه الروايات الثلاثة يعارضها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حصل التعارض بينها وبين ما تقدّم من عدم جواز إحلاف اليهود والنصارى والمجوس بغير الله عزّ وجلّ فلا بدّ من الرجوع إلى العلاج لرفع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الأخبار المتقدّمة راجحة</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بالأشهرية، رواية وفتوى، والأصرحية</w:t>
      </w:r>
      <w:r>
        <w:rPr>
          <w:rFonts w:eastAsia="Amiri" w:cs="Amiri" w:ascii="Amiri" w:hAnsi="Amiri"/>
          <w:color w:val="111111"/>
          <w:sz w:val="28"/>
          <w:szCs w:val="28"/>
          <w:rtl w:val="true"/>
          <w:lang w:bidi="ar-SA"/>
        </w:rPr>
        <w:t>.</w:t>
      </w:r>
      <w:bookmarkStart w:id="529" w:name="pg1791_16081"/>
    </w:p>
    <w:p>
      <w:pPr>
        <w:pStyle w:val="BookText"/>
        <w:rPr/>
      </w:pPr>
      <w:bookmarkEnd w:id="5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خالق النور والظلمة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رأى الحاكم أنّ إحلاف الذمّي بما يقتضيه دينه أردع، هل يجوز الاكتفاء به كالإحلاف بالتوراة التي انزلت 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والأشبه عدم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بضمّ ما ذُكر إلى اسم الله إذا لم يكن أمراً باطلًا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وبموافقة الكتاب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آية الوصيّة في السفر فَيُقْسِمَان بِاللهِ</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وبموافقة الاحتياط والأصل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وبالمخالفة لمذاهب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وبالأحدثية</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فكلام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رأى الحاكم أنّ إحلاف الذمّي بما يقتضيه دينه أردع، هل يجوز الاكتفاء به كالإحلاف بالتوراة التي أنزلت على موسى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والأشبه عدم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والمستند هو إطلاق الروايات وخصوص ما دلّ على لزوم إحلاف أهل الذمّة بالله عزّ وجلّ، كما تقدّم بعد ترجيحها على ما يعارضها</w:t>
      </w:r>
      <w:r>
        <w:rPr>
          <w:rFonts w:eastAsia="Amiri" w:cs="Amiri" w:ascii="Amiri" w:hAnsi="Amiri"/>
          <w:color w:val="111111"/>
          <w:sz w:val="28"/>
          <w:szCs w:val="28"/>
          <w:rtl w:val="true"/>
          <w:lang w:bidi="ar-SA"/>
        </w:rPr>
        <w:t>.</w:t>
      </w:r>
    </w:p>
    <w:p>
      <w:pPr>
        <w:pStyle w:val="Heading5"/>
        <w:numPr>
          <w:ilvl w:val="4"/>
          <w:numId w:val="1"/>
        </w:numPr>
        <w:rPr/>
      </w:pPr>
      <w:bookmarkStart w:id="530" w:name="__RefHeading___Toc2354797_3650668749"/>
      <w:bookmarkStart w:id="531" w:name="_Toc195"/>
      <w:bookmarkEnd w:id="530"/>
      <w:r>
        <w:rPr>
          <w:rtl w:val="true"/>
        </w:rPr>
        <w:t>عدم‌لزوم ضمّ الضميمة في إحلاف المجوس بلفظ الجلالة</w:t>
      </w:r>
      <w:bookmarkEnd w:id="531"/>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 جماعة كالشيخ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997"/>
      </w:r>
      <w:r>
        <w:rPr>
          <w:rFonts w:ascii="Amiri" w:hAnsi="Amiri" w:eastAsia="Amiri" w:cs="Amiri"/>
          <w:color w:val="111111"/>
          <w:sz w:val="28"/>
          <w:sz w:val="28"/>
          <w:szCs w:val="28"/>
          <w:rtl w:val="true"/>
          <w:lang w:bidi="ar-SA"/>
        </w:rPr>
        <w:t>وفخر المحقّقين 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Style w:val="FootnoteAnchor"/>
          <w:rtl w:val="true"/>
        </w:rPr>
        <w:footnoteReference w:id="998"/>
      </w:r>
      <w:r>
        <w:rPr>
          <w:rFonts w:ascii="Amiri" w:hAnsi="Amiri" w:eastAsia="Amiri" w:cs="Amiri"/>
          <w:color w:val="111111"/>
          <w:sz w:val="28"/>
          <w:sz w:val="28"/>
          <w:szCs w:val="28"/>
          <w:rtl w:val="true"/>
          <w:lang w:bidi="ar-SA"/>
        </w:rPr>
        <w:t xml:space="preserve">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999"/>
      </w:r>
      <w:r>
        <w:rPr>
          <w:rFonts w:ascii="Amiri" w:hAnsi="Amiri" w:eastAsia="Amiri" w:cs="Amiri"/>
          <w:color w:val="111111"/>
          <w:sz w:val="28"/>
          <w:sz w:val="28"/>
          <w:szCs w:val="28"/>
          <w:rtl w:val="true"/>
          <w:lang w:bidi="ar-SA"/>
        </w:rPr>
        <w:t xml:space="preserve">لزوم 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خلقني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خالق النور والظلمة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لفظ الجلالة في إحلاف المجوس وذلك لأنّهم قائلون بأنّ النور إله، فإذا حلف بالله يحتمل أن يقصد منه معتقده وهو النور، فلا بدّ لرفع الإبهام أن يضيف إلى لفظ الجلالة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خلقني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خالق الظلمة والنور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المحقّق الآشتياني</w:t>
      </w:r>
      <w:r>
        <w:rPr>
          <w:rStyle w:val="FootnoteAnchor"/>
          <w:rtl w:val="true"/>
        </w:rPr>
        <w:footnoteReference w:id="1000"/>
      </w:r>
      <w:r>
        <w:rPr>
          <w:rFonts w:ascii="Amiri" w:hAnsi="Amiri" w:eastAsia="Amiri" w:cs="Amiri"/>
          <w:color w:val="111111"/>
          <w:sz w:val="28"/>
          <w:sz w:val="28"/>
          <w:szCs w:val="28"/>
          <w:rtl w:val="true"/>
          <w:lang w:bidi="ar-SA"/>
        </w:rPr>
        <w:t>لذلك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المستفاد من الأخبار عدم كفاية الحلف بغير الله، فبمقتضاها يجب إحراز وقوع الحلف بها، إمّا بالعلم أو بالظنّ القائم مقامه شرعاً كظواهر الألفاظ فالذي يحلف بالرزّاق والخالق وإن احتمل أنّه أراد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ظاهر اللفظ خلافه فيؤخذ به، وكذا لو احتمل التورية في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فقد الأمران بأن لا يكون هنا علم ولا ظنّ معتبر مثل المقام فإنّ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الحالف المجوسي معنى غير الذات المقدّسة، فلا يكفي الحلف به ما لم ينضمّ إليه ما يصرفه ولو بحسب الظاهر إلى الذات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اجتهاد في مقابل النصّ لصراحة الروايات بكفاية الإحلاف في اليهود والنصارى والمجوس بلفظ الجلالة وحده</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حلف بلفظ الإله يحتمل إرادته النور منه وأمّا لفظ الجلالة فهو علم للذات المجتمع لجميع صفات الكمال، فلا يمكن إرادة غيره منه، فالحلف بالله عزّ وجلّ ظاهر في الذات المقدّسة وهو حجّة شرعاً على قوله، فيكفي من دون ضمّ الضميمة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يبقى الكلام في الكافر الملحد الجاحد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يجب إحلافه بالله عزّ وجلّ أيضاً وإن جحده ولم يعتقد له احترام حتّى كون الحلف به رادعاً عن الكذب؟</w:t>
      </w:r>
    </w:p>
    <w:p>
      <w:pPr>
        <w:pStyle w:val="BookText"/>
        <w:rPr/>
      </w:pPr>
      <w:r>
        <w:rPr>
          <w:rFonts w:ascii="Amiri" w:hAnsi="Amiri" w:eastAsia="Amiri" w:cs="Amiri"/>
          <w:color w:val="111111"/>
          <w:sz w:val="28"/>
          <w:sz w:val="28"/>
          <w:szCs w:val="28"/>
          <w:rtl w:val="true"/>
          <w:lang w:bidi="ar-SA"/>
        </w:rPr>
        <w:t xml:space="preserve">الظاهر ذلك؛ لإطلاق ما تقدّم من الروايات، كما ذهب إليه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إلى الإطلاقات التي مقتضاها عدم الفرق في الكافر بين من يعتقد بالله وبين من يجحده</w:t>
      </w:r>
      <w:r>
        <w:rPr>
          <w:rFonts w:eastAsia="Amiri" w:cs="Amiri" w:ascii="Amiri" w:hAnsi="Amiri"/>
          <w:color w:val="111111"/>
          <w:sz w:val="28"/>
          <w:szCs w:val="28"/>
          <w:rtl w:val="true"/>
          <w:lang w:bidi="ar-SA"/>
        </w:rPr>
        <w:t>»</w:t>
      </w:r>
      <w:r>
        <w:rPr>
          <w:rStyle w:val="FootnoteAnchor"/>
          <w:rtl w:val="true"/>
        </w:rPr>
        <w:footnoteReference w:id="10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يقال بسقوط الحلف حينئذٍ، فإنّ الغرض من الحلف هو إيجاد الرادع في نفس الحالف عن الإنكار كذباً إمّا من جهة الاحترام العظيم الذي كان قائلًا للمحلوف به فلا يحلف به كذباً فإنّه هتك لاحترامه عنده، وإمّا من جهة الخوف من المؤاخذة عند الحلف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مفقودان عند الكافر الجاحد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الإحلاف به لغواً لعدم احترام له عنده، وعدم خوفه منه لعدم اعتقاده بوجوده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نظير الدعوى على الميّت إذا لم يكن للمدّعي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لغواً وبلا فائدة، بل يحتمل التأثير في نفسه إذا وعظه الحاكم، وبين له عقوبة الحلف بالله عزّ وجلّ كذباً فلا يحلف كذباً، ولو لم يؤثر ولم يخف عن الحلف وحلف؛ فلا أقلّ من كونه سبباً للمؤاخذة عليه وعقوبته حتّى في الدنيا على ما في بعض الروايات</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بخلاف ما إذا قلنا بسقوط الحلف فلا يصل المدّعي بحقّه أيضاً من دون إيجاب سبب لعقوبة الكافر المنكر لحقّه، فللحلف أثر على أيّ حال، فلا يكون‌لغواً</w:t>
      </w:r>
      <w:r>
        <w:rPr>
          <w:rFonts w:eastAsia="Amiri" w:cs="Amiri" w:ascii="Amiri" w:hAnsi="Amiri"/>
          <w:color w:val="111111"/>
          <w:sz w:val="28"/>
          <w:szCs w:val="28"/>
          <w:rtl w:val="true"/>
          <w:lang w:bidi="ar-SA"/>
        </w:rPr>
        <w:t>.</w:t>
      </w:r>
      <w:bookmarkStart w:id="532" w:name="pg1791_16087"/>
    </w:p>
    <w:p>
      <w:pPr>
        <w:pStyle w:val="BookText"/>
        <w:rPr/>
      </w:pPr>
      <w:bookmarkEnd w:id="532"/>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يترتّب أثر على الحلف بغير الله تعالى وإن رضي الخصمان الحلف بغيره، كما أنّه لا أثر لضمّ غير اسم الله تعالى إليه، فإذا حلف بالله كفى؛ ضمّ إليه سائر الصفات أو لا، كما يكفي الواحد من الأسماء الخاصّة؛ ضمّ إليه شي‌ء آخر أو 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بلزوم ردّ اليمين إلى المدّعي من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ردّ الحاكم اليمين فيما إذا امتنع المدّعى عليه من الحلف، وهنا لا يكون المدّعى عليه ممتنعاً فلا وجه للردّ من الحاكم</w:t>
      </w:r>
      <w:r>
        <w:rPr>
          <w:rFonts w:eastAsia="Amiri" w:cs="Amiri" w:ascii="Amiri" w:hAnsi="Amiri"/>
          <w:color w:val="111111"/>
          <w:sz w:val="28"/>
          <w:szCs w:val="28"/>
          <w:rtl w:val="true"/>
          <w:lang w:bidi="ar-SA"/>
        </w:rPr>
        <w:t>.</w:t>
      </w:r>
    </w:p>
    <w:p>
      <w:pPr>
        <w:pStyle w:val="Heading4"/>
        <w:numPr>
          <w:ilvl w:val="3"/>
          <w:numId w:val="1"/>
        </w:numPr>
        <w:rPr/>
      </w:pPr>
      <w:bookmarkStart w:id="533" w:name="__RefHeading___Toc2354799_3650668749"/>
      <w:bookmarkStart w:id="534" w:name="_Toc196"/>
      <w:bookmarkEnd w:id="533"/>
      <w:r>
        <w:rPr>
          <w:rtl w:val="true"/>
        </w:rPr>
        <w:t>عدم ترتّب الأثر على الحلف بغير الله وإن رضي به الخصمان‌</w:t>
      </w:r>
      <w:bookmarkEnd w:id="5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 الحلف بغير الله لا يكون صحيحاً، ولا يترتّب عليه الأثر من إسقاطه الحقّ أو إثباته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هنا يقع البحث في أنّه إذا رضي المدّعي مثلًا بحلف المدّعى عليه بغير الله من المقدّسات الدينية في الإسلام، كما أنّه كان معروفاً أنّ رجلًا حلف بالله عزّ وجلّ فلم يقبل منه الخصم والتمس إحلافه بأبي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باعتقاده أنّ الحلف به كذباً يوجب استحقاقه العذاب عاجلًا، فهل يصلح الحلف بغير الله أو لا؟</w:t>
      </w:r>
    </w:p>
    <w:p>
      <w:pPr>
        <w:pStyle w:val="BookText"/>
        <w:rPr/>
      </w:pPr>
      <w:r>
        <w:rPr>
          <w:rFonts w:ascii="Amiri" w:hAnsi="Amiri" w:eastAsia="Amiri" w:cs="Amiri"/>
          <w:color w:val="111111"/>
          <w:sz w:val="28"/>
          <w:sz w:val="28"/>
          <w:szCs w:val="28"/>
          <w:rtl w:val="true"/>
          <w:lang w:bidi="ar-SA"/>
        </w:rPr>
        <w:t>الظاهر عدم الصحّة وإن رضي به الخصم، وذلك لإطلاق الأخبار المتقدّمة، فيكون نظير أن يرضي المدّعي‌عليه بإقامة شاهد واحد للمدّعي في المحكمة</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لا أثر لضمّ غير الله عزّ وجلّ إليه في الحلف، فإنّه كالحجر جنب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لأثر لضمّ أسمائه الخاصّة إلى لفظ الجلالة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والرحمن، والرحيم وغير ذلك، لكفاية الأوّل بلا إشكال</w:t>
      </w:r>
      <w:r>
        <w:rPr>
          <w:rFonts w:eastAsia="Amiri" w:cs="Amiri" w:ascii="Amiri" w:hAnsi="Amiri"/>
          <w:color w:val="111111"/>
          <w:sz w:val="28"/>
          <w:szCs w:val="28"/>
          <w:rtl w:val="true"/>
          <w:lang w:bidi="ar-SA"/>
        </w:rPr>
        <w:t>.</w:t>
      </w:r>
      <w:bookmarkStart w:id="535" w:name="pg1791_16089"/>
    </w:p>
    <w:p>
      <w:pPr>
        <w:pStyle w:val="BookText"/>
        <w:rPr/>
      </w:pPr>
      <w:bookmarkEnd w:id="535"/>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عدم ترتّب أثر على الحلف بغير الله تعالى، فهل الحلف بغيره محرّم تكليفاً في إثبات أمر أو إبطاله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المتعارف بين الناس؟ الأقوى عدم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مكروه، سيّما إذا صار ذلك سبباً لترك الحلف بالله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536" w:name="__RefHeading___Toc2354801_3650668749"/>
      <w:bookmarkStart w:id="537" w:name="_Toc197"/>
      <w:bookmarkEnd w:id="536"/>
      <w:r>
        <w:rPr>
          <w:rtl w:val="true"/>
        </w:rPr>
        <w:t>في حرمة الحلف بغير الله تعالى تكليفاً وعدمها</w:t>
      </w:r>
      <w:bookmarkEnd w:id="537"/>
    </w:p>
    <w:p>
      <w:pPr>
        <w:pStyle w:val="Heading5"/>
        <w:numPr>
          <w:ilvl w:val="4"/>
          <w:numId w:val="1"/>
        </w:numPr>
        <w:rPr/>
      </w:pPr>
      <w:bookmarkStart w:id="538" w:name="__RefHeading___Toc2354803_3650668749"/>
      <w:bookmarkStart w:id="539" w:name="_Toc198"/>
      <w:bookmarkEnd w:id="538"/>
      <w:r>
        <w:rPr>
          <w:rtl w:val="true"/>
        </w:rPr>
        <w:t>اشارة</w:t>
      </w:r>
      <w:bookmarkEnd w:id="5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البحث عن حكم الحلف بغير الله عزّ وجلّ وضعاً، وهو عدم الصحّة وعدم ترتّب الأثر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حكمه تكليفاً بمعنى أنّه هل هو حرام أو لا؟ ففيه قولان</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يقال بالحرمة كما عن المحقّق النراقي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لا يصحّ الحلف إلا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يترتّب الأثر إلا عليه ولا ينعقد في باب الأيمان إلا به كذلك لا يجوز الحلف إلا به، فيأثم الحالف بغيره من المخلوقات كالأنبياء والأئمّة والملائكة والكتب المعظّمة والكعبة والحرم والمشاهد المشرّفة والآباء والأصدقاء ونحوها، على الأشهر بين الطائفة،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مقتضى الإجماعات المنقولة</w:t>
      </w:r>
      <w:r>
        <w:rPr>
          <w:rStyle w:val="FootnoteAnchor"/>
          <w:rtl w:val="true"/>
        </w:rPr>
        <w:footnoteReference w:id="1002"/>
      </w:r>
      <w:r>
        <w:rPr>
          <w:rFonts w:ascii="Amiri" w:hAnsi="Amiri" w:eastAsia="Amiri" w:cs="Amiri"/>
          <w:color w:val="111111"/>
          <w:sz w:val="28"/>
          <w:sz w:val="28"/>
          <w:szCs w:val="28"/>
          <w:rtl w:val="true"/>
          <w:lang w:bidi="ar-SA"/>
        </w:rPr>
        <w:t>، وصرّح به جماعة منهم المحقّق الأردبيلي</w:t>
      </w:r>
      <w:r>
        <w:rPr>
          <w:rStyle w:val="FootnoteAnchor"/>
          <w:rtl w:val="true"/>
        </w:rPr>
        <w:footnoteReference w:id="1003"/>
      </w:r>
      <w:r>
        <w:rPr>
          <w:rFonts w:ascii="Amiri" w:hAnsi="Amiri" w:eastAsia="Amiri" w:cs="Amiri"/>
          <w:color w:val="111111"/>
          <w:sz w:val="28"/>
          <w:sz w:val="28"/>
          <w:szCs w:val="28"/>
          <w:rtl w:val="true"/>
          <w:lang w:bidi="ar-SA"/>
        </w:rPr>
        <w:t xml:space="preserve">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Style w:val="FootnoteAnchor"/>
          <w:rtl w:val="true"/>
        </w:rPr>
        <w:footnoteReference w:id="1004"/>
      </w:r>
      <w:r>
        <w:rPr>
          <w:rFonts w:ascii="IRNazanin" w:hAnsi="IRNazanin" w:eastAsia="IRNazanin"/>
          <w:color w:val="111111"/>
          <w:sz w:val="28"/>
          <w:sz w:val="28"/>
          <w:szCs w:val="28"/>
          <w:rtl w:val="true"/>
          <w:lang w:bidi="fa-IR"/>
        </w:rPr>
        <w:t>وشارحه</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وبعض مشايخنا المعاصرين</w:t>
      </w:r>
      <w:r>
        <w:rPr>
          <w:rFonts w:eastAsia="Amiri" w:cs="Amiri" w:ascii="Amiri" w:hAnsi="Amiri"/>
          <w:color w:val="111111"/>
          <w:sz w:val="28"/>
          <w:szCs w:val="28"/>
          <w:rtl w:val="true"/>
          <w:lang w:bidi="ar-SA"/>
        </w:rPr>
        <w:t>»</w:t>
      </w:r>
      <w:r>
        <w:rPr>
          <w:rStyle w:val="FootnoteAnchor"/>
          <w:rtl w:val="true"/>
        </w:rPr>
        <w:footnoteReference w:id="10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الإحلاف بغير أسماء الله عزّ وجلّ كالكتب المنزّلة والرسل المعظّمة والأماكن المشرّفة</w:t>
      </w:r>
      <w:r>
        <w:rPr>
          <w:rFonts w:eastAsia="Amiri" w:cs="Amiri" w:ascii="Amiri" w:hAnsi="Amiri"/>
          <w:color w:val="111111"/>
          <w:sz w:val="28"/>
          <w:szCs w:val="28"/>
          <w:rtl w:val="true"/>
          <w:lang w:bidi="ar-SA"/>
        </w:rPr>
        <w:t>»</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واحتمل في كلامه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تكليفاً كما استظهرها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العبارة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ظاهر العبارة وغيرها ترتب الاثم بذلك زيادة على عدم انقطاع الدعوى</w:t>
      </w:r>
      <w:r>
        <w:rPr>
          <w:rFonts w:eastAsia="Amiri" w:cs="Amiri" w:ascii="Amiri" w:hAnsi="Amiri"/>
          <w:color w:val="111111"/>
          <w:sz w:val="28"/>
          <w:szCs w:val="28"/>
          <w:rtl w:val="true"/>
          <w:lang w:bidi="ar-SA"/>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الصحّة وضعاً كما استظهره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العبارة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والمراد بعدم الجواز هنا بالنظر إلى الاعتداد به في إثبات الحقّ</w:t>
      </w:r>
      <w:r>
        <w:rPr>
          <w:rFonts w:eastAsia="Amiri" w:cs="Amiri" w:ascii="Amiri" w:hAnsi="Amiri"/>
          <w:color w:val="111111"/>
          <w:sz w:val="28"/>
          <w:szCs w:val="28"/>
          <w:rtl w:val="true"/>
          <w:lang w:bidi="ar-SA"/>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جواز الحلف في نفسه بمعنى عدم الإثم به ففيه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الجواز، يعني جواز الحلف بغير الله عزّ وجلّ ممّا تقدّم في إثبات أمر اخبر به، أو إبطاله وهو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كلام الآشتياني أيضاً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المشهور هو الجواز وهو الحقّ</w:t>
      </w:r>
      <w:r>
        <w:rPr>
          <w:rFonts w:eastAsia="Amiri" w:cs="Amiri" w:ascii="Amiri" w:hAnsi="Amiri"/>
          <w:color w:val="111111"/>
          <w:sz w:val="28"/>
          <w:szCs w:val="28"/>
          <w:rtl w:val="true"/>
          <w:lang w:bidi="ar-SA"/>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وتمسّك في القول بالجواز بالسيرة المستمرّة في سائر الأعصار والأمصار، من العلماء والعوامّ من القسم بغير الله عزّ وجلّ في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وتمسّك أيضاً بالقرآن والنصوص كما سيأتي</w:t>
      </w:r>
      <w:r>
        <w:rPr>
          <w:rStyle w:val="FootnoteAnchor"/>
          <w:rtl w:val="true"/>
        </w:rPr>
        <w:footnoteReference w:id="1011"/>
      </w:r>
      <w:r>
        <w:rPr>
          <w:rFonts w:ascii="Amiri" w:hAnsi="Amiri" w:eastAsia="Amiri" w:cs="Amiri"/>
          <w:color w:val="111111"/>
          <w:sz w:val="28"/>
          <w:sz w:val="28"/>
          <w:szCs w:val="28"/>
          <w:rtl w:val="true"/>
          <w:lang w:bidi="ar-SA"/>
        </w:rPr>
        <w:t xml:space="preserve">وقال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w:t>
      </w:r>
    </w:p>
    <w:p>
      <w:pPr>
        <w:pStyle w:val="BookText"/>
        <w:rPr/>
      </w:pPr>
      <w:r>
        <w:rPr>
          <w:rFonts w:ascii="Amiri" w:hAnsi="Amiri" w:eastAsia="Amiri" w:cs="Amiri"/>
          <w:color w:val="111111"/>
          <w:sz w:val="28"/>
          <w:sz w:val="28"/>
          <w:szCs w:val="28"/>
          <w:rtl w:val="true"/>
          <w:lang w:bidi="ar-SA"/>
        </w:rPr>
        <w:t xml:space="preserve">كلام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عدم الحرمة كما قال لما قال</w:t>
      </w:r>
      <w:r>
        <w:rPr>
          <w:rFonts w:eastAsia="Amiri" w:cs="Amiri" w:ascii="Amiri" w:hAnsi="Amiri"/>
          <w:color w:val="111111"/>
          <w:sz w:val="28"/>
          <w:szCs w:val="28"/>
          <w:rtl w:val="true"/>
          <w:lang w:bidi="ar-SA"/>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إلى الجواز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الأقوى عدم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استدلّوا بروايات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الحسين بن زيد،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المناهي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نهى أن يحلف الرجل بغير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حلف بغير الله فليس من الله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ونهى أن يقول الرجل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وحياتك وحياة فلان</w:t>
      </w:r>
      <w:r>
        <w:rPr>
          <w:rFonts w:eastAsia="Amiri" w:cs="Amiri" w:ascii="Amiri" w:hAnsi="Amiri"/>
          <w:color w:val="111111"/>
          <w:sz w:val="28"/>
          <w:szCs w:val="28"/>
          <w:rtl w:val="true"/>
          <w:lang w:bidi="ar-SA"/>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أرى للرجل أن يحلف إلا بالله</w:t>
      </w:r>
      <w:r>
        <w:rPr>
          <w:rFonts w:eastAsia="Amiri" w:cs="Amiri" w:ascii="Amiri" w:hAnsi="Amiri"/>
          <w:color w:val="111111"/>
          <w:sz w:val="28"/>
          <w:szCs w:val="28"/>
          <w:rtl w:val="true"/>
          <w:lang w:bidi="ar-SA"/>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العيّاشي في تفسيره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يُؤْمِنُ أكْثَرُهُمْ بِاللَّهِ إِلا وَهُمْ مُشْرِكُونَ</w:t>
      </w:r>
      <w:r>
        <w:rPr>
          <w:rStyle w:val="FootnoteAnchor"/>
          <w:rtl w:val="true"/>
        </w:rPr>
        <w:footnoteReference w:id="10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ذلك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وحياتك</w:t>
      </w:r>
      <w:r>
        <w:rPr>
          <w:rFonts w:eastAsia="Amiri" w:cs="Amiri" w:ascii="Amiri" w:hAnsi="Amiri"/>
          <w:color w:val="111111"/>
          <w:sz w:val="28"/>
          <w:szCs w:val="28"/>
          <w:rtl w:val="true"/>
          <w:lang w:bidi="ar-SA"/>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أبي جعفر شرك طاعة قول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وفلان</w:t>
      </w:r>
      <w:r>
        <w:rPr>
          <w:rFonts w:eastAsia="Amiri" w:cs="Amiri" w:ascii="Amiri" w:hAnsi="Amiri"/>
          <w:color w:val="111111"/>
          <w:sz w:val="28"/>
          <w:szCs w:val="28"/>
          <w:rtl w:val="true"/>
          <w:lang w:bidi="ar-SA"/>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اقْسِمُ بِمَوَاقِعِ النُّجُومِ</w:t>
      </w:r>
      <w:r>
        <w:rPr>
          <w:rStyle w:val="FootnoteAnchor"/>
          <w:rtl w:val="true"/>
        </w:rPr>
        <w:footnoteReference w:id="101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bookmarkStart w:id="540" w:name="pg1791_16095"/>
    </w:p>
    <w:p>
      <w:pPr>
        <w:pStyle w:val="BookText"/>
        <w:rPr/>
      </w:pPr>
      <w:bookmarkEnd w:id="5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إثم من حلف بها</w:t>
      </w:r>
      <w:r>
        <w:rPr>
          <w:rFonts w:eastAsia="IRNazanin" w:cs="IRNazanin"/>
          <w:color w:val="111111"/>
          <w:sz w:val="28"/>
          <w:szCs w:val="28"/>
          <w:rtl w:val="true"/>
          <w:lang w:bidi="fa-IR"/>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روى العيّاشي، عن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يمين بغير الله فهي من خطوات الشيطان</w:t>
      </w:r>
      <w:r>
        <w:rPr>
          <w:rFonts w:eastAsia="Amiri" w:cs="Amiri" w:ascii="Amiri" w:hAnsi="Amiri"/>
          <w:color w:val="111111"/>
          <w:sz w:val="28"/>
          <w:szCs w:val="28"/>
          <w:rtl w:val="true"/>
          <w:lang w:bidi="ar-SA"/>
        </w:rPr>
        <w:t>»</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عبدالرحمن بن أبي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حلف أن ينحر ولده،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خطوات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يمين بغير الله عزّ وجلّ فهي من خطوات الشيطان</w:t>
      </w:r>
      <w:r>
        <w:rPr>
          <w:rFonts w:eastAsia="Amiri" w:cs="Amiri" w:ascii="Amiri" w:hAnsi="Amiri"/>
          <w:color w:val="111111"/>
          <w:sz w:val="28"/>
          <w:szCs w:val="28"/>
          <w:rtl w:val="true"/>
          <w:lang w:bidi="ar-SA"/>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ما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عن 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فَاذْكُرُوا اللهَ كَذِكْرِكُمْ آبَاءَكُمْ أوْ أشَدَّ ذِكْراً</w:t>
      </w:r>
      <w:r>
        <w:rPr>
          <w:rStyle w:val="FootnoteAnchor"/>
          <w:rtl w:val="true"/>
        </w:rPr>
        <w:footnoteReference w:id="10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 الجاهلية كان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وأبيك وبلى وأبيك فأمروا أن يقولوا لا والله وبلى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فدلالتها على الحرمة ظاهرة، وسند بعضها وإن كانت ضعيفة لكنّها منجبرة بعمل الأصحاب</w:t>
      </w:r>
      <w:r>
        <w:rPr>
          <w:rFonts w:eastAsia="Amiri" w:cs="Amiri" w:ascii="Amiri" w:hAnsi="Amiri"/>
          <w:color w:val="111111"/>
          <w:sz w:val="28"/>
          <w:szCs w:val="28"/>
          <w:rtl w:val="true"/>
          <w:lang w:bidi="ar-SA"/>
        </w:rPr>
        <w:t>.</w:t>
      </w:r>
    </w:p>
    <w:p>
      <w:pPr>
        <w:pStyle w:val="Heading5"/>
        <w:numPr>
          <w:ilvl w:val="4"/>
          <w:numId w:val="1"/>
        </w:numPr>
        <w:rPr/>
      </w:pPr>
      <w:bookmarkStart w:id="541" w:name="__RefHeading___Toc2354805_3650668749"/>
      <w:bookmarkStart w:id="542" w:name="_Toc199"/>
      <w:bookmarkEnd w:id="541"/>
      <w:r>
        <w:rPr>
          <w:rtl w:val="true"/>
        </w:rPr>
        <w:t>الاستدلال على جواز الحلف بغير الله‌</w:t>
      </w:r>
      <w:bookmarkEnd w:id="542"/>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القائلين بالجواز فقد استدلّوا بوجود القسم بغير الله عزّ وجلّ في كلمات النبيّ والأئمّة، وكذا الحلف بغير الله من كثير من أصحابهم عندهم وبحضرتهم مع عدم النهي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موجود في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 في أحاديث النبيّ على ما في كتب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صحيح مسلم جاء رجل إلى النبيّ فقال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الصدقة أعظم أجراً؟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وأبيك لتنبأنّه أن تصدق وأنت صحيح شحيح تخشى الفقر وتأمّل البقاء</w:t>
      </w:r>
      <w:r>
        <w:rPr>
          <w:rFonts w:eastAsia="Amiri" w:cs="Amiri" w:ascii="Amiri" w:hAnsi="Amiri"/>
          <w:color w:val="111111"/>
          <w:sz w:val="28"/>
          <w:szCs w:val="28"/>
          <w:rtl w:val="true"/>
          <w:lang w:bidi="ar-SA"/>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فلعمري ما أتم الله عزّ وجلّ حجّ من لم يطف بين الصفا والمروة</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 في كلام أمير المؤمنين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ولعمري ما على من قتال من خالف الحقّ، وخابط الغيّ، من إدهان ولا إيهان، فاتّقوا الله عباد الله، وفِرّوا إلى الله من الله</w:t>
      </w:r>
      <w:r>
        <w:rPr>
          <w:rFonts w:eastAsia="Amiri" w:cs="Amiri" w:ascii="Amiri" w:hAnsi="Amiri"/>
          <w:color w:val="111111"/>
          <w:sz w:val="28"/>
          <w:szCs w:val="28"/>
          <w:rtl w:val="true"/>
          <w:lang w:bidi="ar-SA"/>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له إلى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ولعمري يا معاوية لئن نظرت بعقلك دون هواك لتجدني أبرء الناس من دم عثمان</w:t>
      </w:r>
      <w:r>
        <w:rPr>
          <w:rFonts w:eastAsia="Amiri" w:cs="Amiri" w:ascii="Amiri" w:hAnsi="Amiri"/>
          <w:color w:val="111111"/>
          <w:sz w:val="28"/>
          <w:szCs w:val="28"/>
          <w:rtl w:val="true"/>
          <w:lang w:bidi="ar-SA"/>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 من كلامهم بمحضرهم مع عدم نهيهم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خبر أبي جرير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قد عرفت انقطاعي إلى أبيك ثمّ إليك ثمّ حلفت له، وحقّ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فلان وفلان حتّى انتهيت إليه أنّه لا يخرج منّي ما تخبرني به إلى أحد من الناس</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محمّد بن يزيد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قائماً على رأس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أنّ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نزعم أنّ الناس عبيد لنا، لا</w:t>
      </w:r>
    </w:p>
    <w:p>
      <w:pPr>
        <w:pStyle w:val="BookText"/>
        <w:rPr/>
      </w:pPr>
      <w:r>
        <w:rPr>
          <w:rFonts w:ascii="Amiri" w:hAnsi="Amiri" w:eastAsia="Amiri" w:cs="Amiri"/>
          <w:color w:val="111111"/>
          <w:sz w:val="28"/>
          <w:sz w:val="28"/>
          <w:szCs w:val="28"/>
          <w:rtl w:val="true"/>
          <w:lang w:bidi="ar-SA"/>
        </w:rPr>
        <w:t xml:space="preserve">وقرابتي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قلته قطّ ولا سمعت أحداً من آبائي قاله ولا بلغني من أحد من آبائي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عبيد لنا في الطاعة، موال لنا في الدين، فليبلغ الشاهد الغائب</w:t>
      </w:r>
      <w:r>
        <w:rPr>
          <w:rFonts w:eastAsia="Amiri" w:cs="Amiri" w:ascii="Amiri" w:hAnsi="Amiri"/>
          <w:color w:val="111111"/>
          <w:sz w:val="28"/>
          <w:szCs w:val="28"/>
          <w:rtl w:val="true"/>
          <w:lang w:bidi="ar-SA"/>
        </w:rPr>
        <w:t>»</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هذا كان مراد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يخطر في بالي وجود القسم في النصوص بغير الله تعالى شأنه</w:t>
      </w:r>
      <w:r>
        <w:rPr>
          <w:rFonts w:eastAsia="Amiri" w:cs="Amiri" w:ascii="Amiri" w:hAnsi="Amiri"/>
          <w:color w:val="111111"/>
          <w:sz w:val="28"/>
          <w:szCs w:val="28"/>
          <w:rtl w:val="true"/>
          <w:lang w:bidi="ar-SA"/>
        </w:rPr>
        <w:t>»</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ظهر من هذه الروايات أنّ الحلف بغير الله كان موجوداً في كلماتهم، وكان النبيّ يحلف بغير الله، وكذا أمير المؤمنين وسائر الأئمّه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يحلف بغير الله في حضرتهم وهم لا يمنعون عنه وكذا تمسّك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بالسيرة المستمرّة من زماننا هذا إلى زمن الأئمّه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العلماء والعوامّ فإنّهم يحلفون في مقام إثبات كلامهم أو التأكيد لما أخبر به أو لنفي أمر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المحقّق الآشتياني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الاستدلال نظر لا يخفى وجهه، وقال في تعليقته عليه في ذيل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فيه أنّ اعتبار السيرة إنّما هو من حيث كشفها عن تقرير الحجّة بعد ما لم يردع وقد ردع بما قد عرفته من الأخبار، فلا بدّ من نقل الكلام في دلالة تلك الأخبار</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الجمع بين الروايات</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ويلاحظ عليه أنّ وجود الحلف بغير الله في محضرهم أو حلف النبيّ والعلوي</w:t>
      </w:r>
      <w:bookmarkStart w:id="543" w:name="pg1791_16101"/>
    </w:p>
    <w:p>
      <w:pPr>
        <w:pStyle w:val="BookText"/>
        <w:rPr/>
      </w:pPr>
      <w:bookmarkEnd w:id="543"/>
      <w:r>
        <w:rPr>
          <w:rFonts w:ascii="Amiri" w:hAnsi="Amiri" w:eastAsia="Amiri" w:cs="Amiri"/>
          <w:color w:val="111111"/>
          <w:sz w:val="28"/>
          <w:sz w:val="28"/>
          <w:szCs w:val="28"/>
          <w:rtl w:val="true"/>
          <w:lang w:bidi="ar-SA"/>
        </w:rPr>
        <w:t>وأمّا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سألتك بالقرآن أو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عدم حرمته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وسائر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الله كما تقدّم بعضها في الروايات دليل على صحّة السيرة وحجّيتها، ومن ذلك يكشف عدم كون تلك الروايات في مقام الردع، بل لا بدّ من حملها على الكراهة كما صنعها جمع من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القدماء والمتأخّرين، فإنّه مقتضى الجمع بين الأخبار كما في سائر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لهذا الجمع ما في خبر الحلبي من التعليل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للرجل أن يحلف إلا بالله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حلف الرجل بهذا وأشباهه لترك الحلف بالله</w:t>
      </w:r>
      <w:r>
        <w:rPr>
          <w:rFonts w:eastAsia="Amiri" w:cs="Amiri" w:ascii="Amiri" w:hAnsi="Amiri"/>
          <w:color w:val="111111"/>
          <w:sz w:val="28"/>
          <w:szCs w:val="28"/>
          <w:rtl w:val="true"/>
          <w:lang w:bidi="ar-SA"/>
        </w:rPr>
        <w:t>»</w:t>
      </w:r>
      <w:r>
        <w:rPr>
          <w:rStyle w:val="FootnoteAnchor"/>
          <w:rtl w:val="true"/>
        </w:rPr>
        <w:footnoteReference w:id="1032"/>
      </w:r>
      <w:r>
        <w:rPr>
          <w:rFonts w:ascii="Amiri" w:hAnsi="Amiri" w:eastAsia="Amiri" w:cs="Amiri"/>
          <w:color w:val="111111"/>
          <w:sz w:val="28"/>
          <w:sz w:val="28"/>
          <w:szCs w:val="28"/>
          <w:rtl w:val="true"/>
          <w:lang w:bidi="ar-SA"/>
        </w:rPr>
        <w:t>فإنّه شاهد لوجه النهي من الحلف بغير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يشهد له ما عن النبيّ من طرق العامّة من حلف بغير الله فقد أشرك أو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الحلف بالنبيّ، أو بأحد من الأئمّة، أو بالقرآن العظيم لا يوجب الشرك، أو الكفر، بل المراد التحذير وترك اليمين بغير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هذه الجهة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عدم الحرمة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هو مكروه، سيّما إذا صار ذلك سبباً لترك الحلف بالله تعالي</w:t>
      </w:r>
      <w:r>
        <w:rPr>
          <w:rFonts w:eastAsia="Amiri" w:cs="Amiri" w:ascii="Amiri" w:hAnsi="Amiri"/>
          <w:color w:val="111111"/>
          <w:sz w:val="28"/>
          <w:szCs w:val="28"/>
          <w:rtl w:val="true"/>
          <w:lang w:bidi="ar-SA"/>
        </w:rPr>
        <w:t>»</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4" w:name="__RefHeading___Toc2354807_3650668749"/>
      <w:bookmarkStart w:id="545" w:name="_Toc200"/>
      <w:bookmarkEnd w:id="544"/>
      <w:r>
        <w:rPr>
          <w:rtl w:val="true"/>
        </w:rPr>
        <w:t xml:space="preserve">حكم الحلف بجملة </w:t>
      </w:r>
      <w:r>
        <w:rPr>
          <w:rtl w:val="true"/>
        </w:rPr>
        <w:t>«</w:t>
      </w:r>
      <w:r>
        <w:rPr>
          <w:rtl w:val="true"/>
        </w:rPr>
        <w:t>سألتك بالقرآن</w:t>
      </w:r>
      <w:r>
        <w:rPr>
          <w:rtl w:val="true"/>
        </w:rPr>
        <w:t xml:space="preserve">» </w:t>
      </w:r>
      <w:r>
        <w:rPr>
          <w:rtl w:val="true"/>
        </w:rPr>
        <w:t>أو بالنبي وغيره‌</w:t>
      </w:r>
      <w:bookmarkEnd w:id="545"/>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لاستدلال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ليس حلفاً، بل هو من باب</w:t>
      </w:r>
      <w:bookmarkStart w:id="546" w:name="pg1791_16102"/>
    </w:p>
    <w:p>
      <w:pPr>
        <w:pStyle w:val="BookText"/>
        <w:rPr/>
      </w:pPr>
      <w:bookmarkEnd w:id="546"/>
      <w:r>
        <w:rPr>
          <w:rFonts w:ascii="Amiri" w:hAnsi="Amiri" w:eastAsia="Amiri" w:cs="Amiri"/>
          <w:color w:val="111111"/>
          <w:sz w:val="28"/>
          <w:sz w:val="28"/>
          <w:szCs w:val="28"/>
          <w:rtl w:val="true"/>
          <w:lang w:bidi="ar-SA"/>
        </w:rPr>
        <w:t>الاستشفاع والتوسيط</w:t>
      </w:r>
      <w:r>
        <w:rPr>
          <w:rFonts w:eastAsia="Amiri" w:cs="Amiri" w:ascii="Amiri" w:hAnsi="Amiri"/>
          <w:color w:val="111111"/>
          <w:sz w:val="28"/>
          <w:szCs w:val="28"/>
          <w:rtl w:val="true"/>
          <w:lang w:bidi="ar-SA"/>
        </w:rPr>
        <w:t>»</w:t>
      </w:r>
      <w:r>
        <w:rPr>
          <w:rStyle w:val="FootnoteAnchor"/>
          <w:rtl w:val="true"/>
        </w:rPr>
        <w:footnoteReference w:id="10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يتوصّل بحرمة النبيّ أو أمير المؤمنين عنده أن يفعل له ما يستدعيه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تحصّل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الحلف الذي يكون مؤثّراً في إسقاط الحقّ بحيث لا يجوز للمدّعي طرح الدعوى مجدّداً أو التقاصّ من مال المدّعى عليه بعد اليمين وإن اعتقد كونه ذا حقّ لما تقدّم من قوله ذهبت اليمين بحقّه، وكذا في إثبات الحقّ لو ردّ اليمين إلى المدّعي فحلف؛ فإنّه إذا حلف يثبت حقّه، وكذا فيما إذا حلف لإلزام نفسه على فعل أمر أو تركه، بحيث لو خالف يلزم عليه الكفّارة هو الحلف بالله عزّ وجلّ؛ أي بذاته المقدّسة وله الأسماء الحسنى، سواء كان بلفظ الجلالة أو غيره، من سائر أسماء المختصّة أو المشتركة المنصرفة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بالقرينة، ويشمل ما كان بغير 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وقلنا أنّ الحلف بغير الله لا يصحّ وضعاً يعني لا يترتّب عليه الأثر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في حرمته تكليفاً بحيث كما لا يترتّب عليه الأثر المطلوب من اليمين كذلك ارتكب محرّماً ويكون آثماً أو لا يكون حراماً، بل كان مكروهاً كما قوّيناها</w:t>
      </w:r>
      <w:r>
        <w:rPr>
          <w:rFonts w:eastAsia="Amiri" w:cs="Amiri" w:ascii="Amiri" w:hAnsi="Amiri"/>
          <w:color w:val="111111"/>
          <w:sz w:val="28"/>
          <w:szCs w:val="28"/>
          <w:rtl w:val="true"/>
          <w:lang w:bidi="ar-SA"/>
        </w:rPr>
        <w:t>.</w:t>
      </w:r>
    </w:p>
    <w:p>
      <w:pPr>
        <w:pStyle w:val="Heading5"/>
        <w:numPr>
          <w:ilvl w:val="4"/>
          <w:numId w:val="1"/>
        </w:numPr>
        <w:rPr/>
      </w:pPr>
      <w:bookmarkStart w:id="547" w:name="__RefHeading___Toc2354809_3650668749"/>
      <w:bookmarkStart w:id="548" w:name="_Toc201"/>
      <w:bookmarkEnd w:id="547"/>
      <w:r>
        <w:rPr>
          <w:rtl w:val="true"/>
        </w:rPr>
        <w:t>في كراهة الحلف بالله عزّ وجلّ واستحباب تركه‌</w:t>
      </w:r>
      <w:bookmarkEnd w:id="548"/>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يقع الكلام في أنّ اليمين بالله عزّ وجلّ مكروه ويستحبّ تركه ولو كان صادقاً، سواء في الدعاوي وفي المحكمة لإثبات براءته ممّا ادّعي عليه، أو في غيرها كما في التأكيد فيما أخبر به من الإقدام بأمر أو عدمه مثلًا، إلا أن يكون</w:t>
      </w:r>
    </w:p>
    <w:p>
      <w:pPr>
        <w:pStyle w:val="BookText"/>
        <w:rPr/>
      </w:pPr>
      <w:r>
        <w:rPr>
          <w:rFonts w:ascii="Amiri" w:hAnsi="Amiri" w:eastAsia="Amiri" w:cs="Amiri"/>
          <w:color w:val="111111"/>
          <w:sz w:val="28"/>
          <w:sz w:val="28"/>
          <w:szCs w:val="28"/>
          <w:rtl w:val="true"/>
          <w:lang w:bidi="ar-SA"/>
        </w:rPr>
        <w:t>ضرورة تقتضي ذلك، أو كان من الامور المهمّة لا بدّ له من الحلف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لما ورد في روايات كثيرة فيها الصحيح وغيره المنجبر بالشهرة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على بن مهزيار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لأكره أن أقول والله على حال من الأحوال ولكنّه غمني أن يقال ما لم يكن</w:t>
      </w:r>
      <w:r>
        <w:rPr>
          <w:rFonts w:eastAsia="Amiri" w:cs="Amiri" w:ascii="Amiri" w:hAnsi="Amiri"/>
          <w:color w:val="111111"/>
          <w:sz w:val="28"/>
          <w:szCs w:val="28"/>
          <w:rtl w:val="true"/>
          <w:lang w:bidi="ar-SA"/>
        </w:rPr>
        <w:t>»</w:t>
      </w:r>
      <w:r>
        <w:rPr>
          <w:rStyle w:val="FootnoteAnchor"/>
          <w:rtl w:val="true"/>
        </w:rPr>
        <w:footnoteReference w:id="1035"/>
      </w:r>
      <w:r>
        <w:rPr>
          <w:rFonts w:ascii="Amiri" w:hAnsi="Amiri" w:eastAsia="Amiri" w:cs="Amiri"/>
          <w:color w:val="111111"/>
          <w:sz w:val="28"/>
          <w:sz w:val="28"/>
          <w:szCs w:val="28"/>
          <w:rtl w:val="true"/>
          <w:lang w:bidi="ar-SA"/>
        </w:rPr>
        <w:t>يدلّ على الكراهة مطلقاً إلا عند الاضطرار أو أمر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الله أن يحلف به أعطاه الله خيراً ممّا ذهب منه</w:t>
      </w:r>
      <w:r>
        <w:rPr>
          <w:rFonts w:eastAsia="Amiri" w:cs="Amiri" w:ascii="Amiri" w:hAnsi="Amiri"/>
          <w:color w:val="111111"/>
          <w:sz w:val="28"/>
          <w:szCs w:val="28"/>
          <w:rtl w:val="true"/>
          <w:lang w:bidi="ar-SA"/>
        </w:rPr>
        <w:t>»</w:t>
      </w:r>
      <w:r>
        <w:rPr>
          <w:rStyle w:val="FootnoteAnchor"/>
          <w:rtl w:val="true"/>
        </w:rPr>
        <w:footnoteReference w:id="10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الترغيب في ترك الحلف بالله إجلالًا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فيستفاد منها استحباب ترك الحلف بالله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أبي أيّوب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تحلفوا بالله صادقين ولا كاذبين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تَجْعَلُوا اللهَ عُرْضَةً لأيْمَانِكُمْ</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تَجْعَلُوا اللهَ عُرْضَةً لأيْمَانِكُمْ أنْ تَبَرُّوا وَتَتَّقُوا وَتُصْلِحُوا بَيْنَ النَّاسِ وَاللهُ سَمِيعٌ عَلِيمٌ</w:t>
      </w:r>
      <w:r>
        <w:rPr>
          <w:rStyle w:val="FootnoteAnchor"/>
          <w:rtl w:val="true"/>
        </w:rPr>
        <w:footnoteReference w:id="1039"/>
      </w:r>
      <w:r>
        <w:rPr>
          <w:rFonts w:ascii="Amiri" w:hAnsi="Amiri" w:eastAsia="Amiri" w:cs="Amiri"/>
          <w:color w:val="111111"/>
          <w:sz w:val="28"/>
          <w:sz w:val="28"/>
          <w:szCs w:val="28"/>
          <w:rtl w:val="true"/>
          <w:lang w:bidi="ar-SA"/>
        </w:rPr>
        <w:t>العرضة يقال للمعرض للأمر، مثلًا المتاع عرضة للبيع، يعني يقع معرضاً للبيع، فمعنى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تجعلوا الله معرضاً لأيمانكم فتبدلوه بكثرة الحلف به، لأن تكونوا باراً ومتّقياً وتقدّروا على الإصلاح بين الناس، فإنّ من حلف بالله كثيراً في الامور الجزئية وابتلائه لا يعتمد بقوله ولا يعتني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والنهي يحمل على الكراهة، كما أنّ قوله لا تحلفوا بالله صادقين ولا كاذبين، فيرفع اليد عن ظهور النهي في الحرمة في اليمين الصادقة فقط، بما يدلّ على الجواز صريحاً، كما في المستفيضة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أقضى بينكم بالبيّنات والأيمان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الأخبار أنّه لو ترك الحلف بالله عزّ وجلّ إجلالًا له، فيترتّب عليها أداء الحقّ الذي ادّعي عليه أعطاه الله عزّ وجلّ خيراً ممّا ذهب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تدلّ عليه خبر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الله أن يحلف به أعطاه الله خيراً ممّا ذهب منه</w:t>
      </w:r>
      <w:r>
        <w:rPr>
          <w:rFonts w:eastAsia="Amiri" w:cs="Amiri" w:ascii="Amiri" w:hAnsi="Amiri"/>
          <w:color w:val="111111"/>
          <w:sz w:val="28"/>
          <w:szCs w:val="28"/>
          <w:rtl w:val="true"/>
          <w:lang w:bidi="ar-SA"/>
        </w:rPr>
        <w:t>»</w:t>
      </w:r>
      <w:r>
        <w:rPr>
          <w:rStyle w:val="FootnoteAnchor"/>
          <w:rtl w:val="true"/>
        </w:rPr>
        <w:footnoteReference w:id="10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أباه كانت عنده امرأة من الخوارج 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حنيفة، فقال له 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عندك امرأة تبرأ من جدّك فقضى لأبي أنّه طلّقها فادّعت عليه صداقها فجاءت به إلى أمير المدينة تستعديه فقال له أمير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تحلف وإمّا أن تعطيها،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فأعطها أربعمائة دينار،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ألست محقّاً؟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أجللت الله أن أحلف به يمين صبر</w:t>
      </w:r>
      <w:r>
        <w:rPr>
          <w:rFonts w:eastAsia="Amiri" w:cs="Amiri" w:ascii="Amiri" w:hAnsi="Amiri"/>
          <w:color w:val="111111"/>
          <w:sz w:val="28"/>
          <w:szCs w:val="28"/>
          <w:rtl w:val="true"/>
          <w:lang w:bidi="ar-SA"/>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يستحبّ ترك الحلف بالله عزّ وجلّ، كذلك يستحبّ ترك الإحلاف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لرواية عبدالحميد الطائي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غريماً إلى السلطان يستحلفه وهو يعلم أنّه يحلف ثمّ</w:t>
      </w:r>
      <w:bookmarkStart w:id="549" w:name="pg1791_16108"/>
    </w:p>
    <w:p>
      <w:pPr>
        <w:pStyle w:val="BookText"/>
        <w:rPr/>
      </w:pPr>
      <w:bookmarkEnd w:id="549"/>
      <w:r>
        <w:rPr>
          <w:rFonts w:ascii="Amiri" w:hAnsi="Amiri" w:eastAsia="Amiri" w:cs="Amiri"/>
          <w:color w:val="111111"/>
          <w:sz w:val="28"/>
          <w:sz w:val="28"/>
          <w:szCs w:val="28"/>
          <w:rtl w:val="true"/>
          <w:lang w:bidi="ar-SA"/>
        </w:rPr>
        <w:t xml:space="preserve">تركه تعظيماً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يرض الله له بمنزلة يوم القيامة إلا منزلة إبراهيم خليل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في الحلف بالله عزّ وجلّ صادقاً</w:t>
      </w:r>
      <w:r>
        <w:rPr>
          <w:rFonts w:eastAsia="Amiri" w:cs="Amiri" w:ascii="Amiri" w:hAnsi="Amiri"/>
          <w:color w:val="111111"/>
          <w:sz w:val="28"/>
          <w:szCs w:val="28"/>
          <w:rtl w:val="true"/>
          <w:lang w:bidi="ar-SA"/>
        </w:rPr>
        <w:t>.</w:t>
      </w:r>
    </w:p>
    <w:p>
      <w:pPr>
        <w:pStyle w:val="Heading5"/>
        <w:numPr>
          <w:ilvl w:val="4"/>
          <w:numId w:val="1"/>
        </w:numPr>
        <w:rPr/>
      </w:pPr>
      <w:bookmarkStart w:id="550" w:name="__RefHeading___Toc2354811_3650668749"/>
      <w:bookmarkStart w:id="551" w:name="_Toc202"/>
      <w:bookmarkEnd w:id="550"/>
      <w:r>
        <w:rPr>
          <w:rtl w:val="true"/>
        </w:rPr>
        <w:t>حكم الحلف بالله كاذباً</w:t>
      </w:r>
      <w:bookmarkEnd w:id="551"/>
    </w:p>
    <w:p>
      <w:pPr>
        <w:pStyle w:val="BookText"/>
        <w:rPr/>
      </w:pPr>
      <w:r>
        <w:rPr>
          <w:rFonts w:ascii="Amiri" w:hAnsi="Amiri" w:eastAsia="Amiri" w:cs="Amiri"/>
          <w:color w:val="111111"/>
          <w:sz w:val="28"/>
          <w:sz w:val="28"/>
          <w:szCs w:val="28"/>
          <w:rtl w:val="true"/>
          <w:lang w:bidi="ar-SA"/>
        </w:rPr>
        <w:t>أمّا الحلف بالله عزّ وجلّ كاذباً فهو من المحرّمات الشديدة، بل من الكبائر الموبقة ووردت فيها تهديدات شديدة في أخبار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جابر بن يزيد،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واليمين الفاجرة فإنّها تدع الديار من أهلها بلاقع</w:t>
      </w:r>
      <w:r>
        <w:rPr>
          <w:rFonts w:eastAsia="Amiri" w:cs="Amiri" w:ascii="Amiri" w:hAnsi="Amiri"/>
          <w:color w:val="111111"/>
          <w:sz w:val="28"/>
          <w:szCs w:val="28"/>
          <w:rtl w:val="true"/>
          <w:lang w:bidi="ar-SA"/>
        </w:rPr>
        <w:t>»</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 تزيد في العمر وصدقة السرّ تطفئ غضب الربّ، وأنّ قطيعة الرحم واليمين الكاذبة لتذران الديار بلاقع من أهلها، وتثقلان الرحم، وإن ثقل الرحم انقطاع النسل</w:t>
      </w:r>
      <w:r>
        <w:rPr>
          <w:rFonts w:eastAsia="Amiri" w:cs="Amiri" w:ascii="Amiri" w:hAnsi="Amiri"/>
          <w:color w:val="111111"/>
          <w:sz w:val="28"/>
          <w:szCs w:val="28"/>
          <w:rtl w:val="true"/>
          <w:lang w:bidi="ar-SA"/>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عبيدة،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خصال لا يموت صاحبهنّ أبداً حتّى يرى وبالهن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البغي وقطيعة الرحم واليمين الكاذبة يبارز الله بها، وإن أعجل الطاعة ثواباً لصلة الرحم، وإنّ القوم ليكونون فجارا فيتواصلون فتنمى أموالهم ويبرون فتزاد أعمارهم، وإنّ اليمين الكاذبة وقطيعة الرحم ليذران الديار بلاقع من أهلها وتثقلان</w:t>
      </w:r>
    </w:p>
    <w:p>
      <w:pPr>
        <w:pStyle w:val="BookText"/>
        <w:rPr/>
      </w:pPr>
      <w:r>
        <w:rPr>
          <w:rFonts w:ascii="IRNazanin" w:hAnsi="IRNazanin" w:eastAsia="IRNazanin"/>
          <w:color w:val="111111"/>
          <w:sz w:val="28"/>
          <w:sz w:val="28"/>
          <w:szCs w:val="28"/>
          <w:rtl w:val="true"/>
          <w:lang w:bidi="fa-IR"/>
        </w:rPr>
        <w:t>الرحم، وإن ثقل الرحم انقطاع النسل</w:t>
      </w:r>
      <w:r>
        <w:rPr>
          <w:rFonts w:eastAsia="IRNazanin" w:cs="IRNazanin"/>
          <w:color w:val="111111"/>
          <w:sz w:val="28"/>
          <w:szCs w:val="28"/>
          <w:rtl w:val="true"/>
          <w:lang w:bidi="fa-IR"/>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قال به النراقي</w:t>
      </w:r>
      <w:r>
        <w:rPr>
          <w:rStyle w:val="FootnoteAnchor"/>
          <w:rtl w:val="true"/>
        </w:rPr>
        <w:footnoteReference w:id="1046"/>
      </w:r>
      <w:r>
        <w:rPr>
          <w:rFonts w:ascii="Amiri" w:hAnsi="Amiri" w:eastAsia="Amiri" w:cs="Amiri"/>
          <w:color w:val="111111"/>
          <w:sz w:val="28"/>
          <w:sz w:val="28"/>
          <w:szCs w:val="28"/>
          <w:rtl w:val="true"/>
          <w:lang w:bidi="ar-SA"/>
        </w:rPr>
        <w:t xml:space="preserve">يستحبّ للقاضي وعظ الحالف قبله، ويتذكّر له أنّ الحلف بالله كاذباً كان بمنزلة المبارزة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تدع الديار بلاقع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بلقع‌وهي الأرض القفر التي لاشي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فيريد أنّ الحالف بها يفتقر ويذهب ماله وما في بيته من الرزق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 يفرق الله شمله ويقتر عليه ما أولاه من‌نعمه</w:t>
      </w:r>
      <w:r>
        <w:rPr>
          <w:rFonts w:eastAsia="Amiri" w:cs="Amiri" w:ascii="Amiri" w:hAnsi="Amiri"/>
          <w:color w:val="111111"/>
          <w:sz w:val="28"/>
          <w:szCs w:val="28"/>
          <w:rtl w:val="true"/>
          <w:lang w:bidi="ar-SA"/>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استحباب وعظ القاضي قبل الحلف، والاستحلاف في المسألة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أحكام الحلف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نحن نتعرّض المسألة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بالمناسبة ونترك البحث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للقاضي وعظ الحالف قبله، وترغيبه في ترك اليمين إجلالًا لله تعالى ولو كان صادقاً، وأخافه من عذاب الله تعالى إن حلف كاذباً</w:t>
      </w:r>
      <w:r>
        <w:rPr>
          <w:rFonts w:eastAsia="Amiri" w:cs="Amiri" w:ascii="Amiri" w:hAnsi="Amiri"/>
          <w:color w:val="111111"/>
          <w:sz w:val="28"/>
          <w:szCs w:val="28"/>
          <w:rtl w:val="true"/>
          <w:lang w:bidi="ar-SA"/>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Style w:val="FootnoteAnchor"/>
          <w:rtl w:val="true"/>
        </w:rPr>
        <w:footnoteReference w:id="10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للحاكم تقديم العظة على اليمين والتخويف من عاقبتها</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 المحقّق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بذكر ما ورد من ذلك له من الترغيب في الترك والتخويف من الفعل، وأنّها إذا وقعت كاذبة تدع الديار بلاقع وأنّه</w:t>
      </w:r>
      <w:bookmarkStart w:id="552" w:name="pg1791_16113"/>
    </w:p>
    <w:p>
      <w:pPr>
        <w:pStyle w:val="BookText"/>
        <w:rPr/>
      </w:pPr>
      <w:bookmarkEnd w:id="552"/>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الأخرس بالإشارة المفهمة، ولا بأس بأن تكتب اليمين في لوح ويغسل ويؤمر بشربه بعد إعلامه، فإن شرب كان حالفاً، وإلا الزم بالحقّ، ولعلّ بعد الإعلام كان ذلك نحو 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الجمع بينهما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مبارز لله تعالى ويخشي عليه انقطاع النسل والفقر عقبة</w:t>
      </w:r>
      <w:r>
        <w:rPr>
          <w:rFonts w:eastAsia="Amiri" w:cs="Amiri" w:ascii="Amiri" w:hAnsi="Amiri"/>
          <w:color w:val="111111"/>
          <w:sz w:val="28"/>
          <w:szCs w:val="28"/>
          <w:rtl w:val="true"/>
          <w:lang w:bidi="ar-SA"/>
        </w:rPr>
        <w:t>»</w:t>
      </w:r>
      <w:r>
        <w:rPr>
          <w:rStyle w:val="FootnoteAnchor"/>
          <w:rtl w:val="true"/>
        </w:rPr>
        <w:footnoteReference w:id="10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والدليل عليه ما تقدّم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روايتان في 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الأبواب</w:t>
      </w:r>
      <w:r>
        <w:rPr>
          <w:rStyle w:val="FootnoteAnchor"/>
          <w:rtl w:val="true"/>
        </w:rPr>
        <w:footnoteReference w:id="1051"/>
      </w:r>
      <w:r>
        <w:rPr>
          <w:rFonts w:ascii="Amiri" w:hAnsi="Amiri" w:eastAsia="Amiri" w:cs="Amiri"/>
          <w:color w:val="111111"/>
          <w:sz w:val="28"/>
          <w:sz w:val="28"/>
          <w:szCs w:val="28"/>
          <w:rtl w:val="true"/>
          <w:lang w:bidi="ar-SA"/>
        </w:rPr>
        <w:t xml:space="preserve">ما ينبغي التوجّه إليه والتذكّر له دائماً للاجتناب ممّا يتعارف بين الناس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كلماتهم كثيراً مع قوله لو كان كاذباً يوجب إهزاز العرش إعظاماً له</w:t>
      </w:r>
      <w:r>
        <w:rPr>
          <w:rFonts w:eastAsia="Amiri" w:cs="Amiri" w:ascii="Amiri" w:hAnsi="Amiri"/>
          <w:color w:val="111111"/>
          <w:sz w:val="28"/>
          <w:szCs w:val="28"/>
          <w:rtl w:val="true"/>
          <w:lang w:bidi="ar-SA"/>
        </w:rPr>
        <w:t>.</w:t>
      </w:r>
    </w:p>
    <w:p>
      <w:pPr>
        <w:pStyle w:val="Heading4"/>
        <w:numPr>
          <w:ilvl w:val="3"/>
          <w:numId w:val="1"/>
        </w:numPr>
        <w:rPr/>
      </w:pPr>
      <w:bookmarkStart w:id="553" w:name="__RefHeading___Toc2354813_3650668749"/>
      <w:bookmarkStart w:id="554" w:name="_Toc203"/>
      <w:bookmarkEnd w:id="553"/>
      <w:r>
        <w:rPr>
          <w:rtl w:val="true"/>
        </w:rPr>
        <w:t>الأقوال في حلف الأخرس‌</w:t>
      </w:r>
      <w:bookmarkEnd w:id="5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حلف الأخرس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حلفه بالإشارة المفهمة كسائر اموره، لأنّ الشارع أقام إشارته مقام الكلام في العقود والإيقاعات والعبادات، فكذلك في باب الدعوى وهو المشهور</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052"/>
      </w:r>
      <w:r>
        <w:rPr>
          <w:rFonts w:ascii="Amiri" w:hAnsi="Amiri" w:eastAsia="Amiri" w:cs="Amiri"/>
          <w:color w:val="111111"/>
          <w:sz w:val="28"/>
          <w:sz w:val="28"/>
          <w:szCs w:val="28"/>
          <w:rtl w:val="true"/>
          <w:lang w:bidi="ar-SA"/>
        </w:rPr>
        <w:t>وهو الإشارة والإيماء إلى اسم الله</w:t>
      </w:r>
    </w:p>
    <w:p>
      <w:pPr>
        <w:pStyle w:val="BookText"/>
        <w:rPr/>
      </w:pPr>
      <w:r>
        <w:rPr>
          <w:rFonts w:ascii="Amiri" w:hAnsi="Amiri" w:eastAsia="Amiri" w:cs="Amiri"/>
          <w:color w:val="111111"/>
          <w:sz w:val="28"/>
          <w:sz w:val="28"/>
          <w:szCs w:val="28"/>
          <w:rtl w:val="true"/>
          <w:lang w:bidi="ar-SA"/>
        </w:rPr>
        <w:t>عزّوجلّ ويضع يده على اسم الله في المصحف، وإن لم يكن يكتب اسم الله عزّ وجلّ ويضع يده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يظهر من كلامه هو الجمع بين الإشارة ووضع اليد على اسم الله عزّ وجلّ في المصحف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ابن حمزة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1053"/>
      </w:r>
      <w:r>
        <w:rPr>
          <w:rFonts w:ascii="Amiri" w:hAnsi="Amiri" w:eastAsia="Amiri" w:cs="Amiri"/>
          <w:color w:val="111111"/>
          <w:sz w:val="28"/>
          <w:sz w:val="28"/>
          <w:szCs w:val="28"/>
          <w:rtl w:val="true"/>
          <w:lang w:bidi="ar-SA"/>
        </w:rPr>
        <w:t>وهو أن تكتب اليمين في لوح ويغسل ويؤمر بشربه بعد إعلامه</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ومستند هذا رواية صحيحة رواها المشايخ الثلاث عن محمّد بن مسلم قال 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الأخرس كيف يحلف إذا ادّعي عليه 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للمدّعي بيّنة؟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بأخرس وادّعي عليه دين ولم يكن للمدّعي بيّنة،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يخرجني من الدنيا حتّى بيّنت للُامّة جميع ما تحتاج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بمصحف، فاتي به، فقال للأخرس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فرفع رأسه إلى السماء، وأشار أنّه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بوليّه، فأتي بأخ له فأقعده إلى جنبه،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على بدواة وصحيفة، فأتاه بهما، ثمّ قال لأخي الأخرس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بينك وبينه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فتقدم إليه بذلك، ثمّ كتب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الذي لا إله إلا هو عالم الغيب والشهادة، الرحمن الرحيم الطالب الغالب، الضارّ النافع، المهلك المدرك، الذي يعلم السرّ والعلانية، إنّ فلان بن فلان المدّعي ليس له قبل فلان بن فلان أعني الأخرس حقّ ولا طلبة بوجه من الوجوه، ولا سبب من الأسباب، ثمّ</w:t>
      </w:r>
    </w:p>
    <w:p>
      <w:pPr>
        <w:pStyle w:val="BookText"/>
        <w:rPr/>
      </w:pPr>
      <w:r>
        <w:rPr>
          <w:rFonts w:ascii="Amiri" w:hAnsi="Amiri" w:eastAsia="Amiri" w:cs="Amiri"/>
          <w:color w:val="111111"/>
          <w:sz w:val="28"/>
          <w:sz w:val="28"/>
          <w:szCs w:val="28"/>
          <w:rtl w:val="true"/>
          <w:lang w:bidi="ar-SA"/>
        </w:rPr>
        <w:t>غسله، وأمر الأخرس أن يشربه، فامتنع، فألزمه الدين</w:t>
      </w:r>
      <w:r>
        <w:rPr>
          <w:rFonts w:eastAsia="Amiri" w:cs="Amiri" w:ascii="Amiri" w:hAnsi="Amiri"/>
          <w:color w:val="111111"/>
          <w:sz w:val="28"/>
          <w:szCs w:val="28"/>
          <w:rtl w:val="true"/>
          <w:lang w:bidi="ar-SA"/>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كان مفاد هذه الرواية الصحيحة العالية سنداً، أنّ لحلف الأخرس كيفية خاصّة وهذا مخالف لما قاله المشهور من أنّ حلفه بالإشارة، فلذا قد تصدّى لتوجيه الرواية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Style w:val="FootnoteAnchor"/>
          <w:rtl w:val="true"/>
        </w:rPr>
        <w:footnoteReference w:id="1055"/>
      </w:r>
      <w:r>
        <w:rPr>
          <w:rFonts w:ascii="Amiri" w:hAnsi="Amiri" w:eastAsia="Amiri" w:cs="Amiri"/>
          <w:color w:val="111111"/>
          <w:sz w:val="28"/>
          <w:sz w:val="28"/>
          <w:szCs w:val="28"/>
          <w:rtl w:val="true"/>
          <w:lang w:bidi="ar-SA"/>
        </w:rPr>
        <w:t>أنّها قضية في واقعة ولا يمكن التعدّي عن موردها والسراية إلى غيرها، بأن يستند إليها في باب حلف الأخرس في توجيه الروايات الدالّة على كيفية حلف الأخرس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نقل القضية جواباً عمّا سأله محمّد بن مسلم عن كيفية حلف الأخرس فلا جرم يكون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المسألة، لا أنّه قضية نقلها من دون التعرّض للجواب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ينافي مع ما في متن الرواية من قول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لم يخرجني من الدنيا حتّى بيّنت للُامّة جميع ما تحتاج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دالّ على أنّ حلفه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ابن إدريس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1056"/>
      </w:r>
      <w:r>
        <w:rPr>
          <w:rFonts w:ascii="Amiri" w:hAnsi="Amiri" w:eastAsia="Amiri" w:cs="Amiri"/>
          <w:color w:val="111111"/>
          <w:sz w:val="28"/>
          <w:sz w:val="28"/>
          <w:szCs w:val="28"/>
          <w:rtl w:val="true"/>
          <w:lang w:bidi="ar-SA"/>
        </w:rPr>
        <w:t>من حملها على أخرسٍ لا إشارة مفهمة له، فلمّا لم يكن له إشارة جعل أمير المؤمنين حلفه بهذه الكيفية</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مناف لما في الرواية أيضاً، لأنّ أمير المؤمنين سئل عن الأخرس بعدالإتيان بالمصحف ما هذا؟ فرفع رأسه إلى السماء، وأشار أنّه كتاب</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فمعلوم أنّه كان يفهم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باب التغليظ فإنّه أراد الحلف مع التغليظ فأتي بهذه الكيفية فكتبها وغسلها وأمره بشربه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مناف لقوله في ذيل الحديث فامتنع فألزمه الدين فإنّ له أن يمتنع عن الحلف مع التغليظ فلا وجه لإلزامه الدين بمجرّد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منافاة بين قول المشهور مع الرواية، فإنّ ما في الرواية من طرق الإشارة ومن مصاديقها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Style w:val="FootnoteAnchor"/>
          <w:rtl w:val="true"/>
        </w:rPr>
        <w:footnoteReference w:id="1057"/>
      </w:r>
      <w:r>
        <w:rPr>
          <w:rFonts w:ascii="Amiri" w:hAnsi="Amiri" w:eastAsia="Amiri" w:cs="Amiri"/>
          <w:color w:val="111111"/>
          <w:sz w:val="28"/>
          <w:sz w:val="28"/>
          <w:szCs w:val="28"/>
          <w:rtl w:val="true"/>
          <w:lang w:bidi="ar-SA"/>
        </w:rPr>
        <w:t>مع أنّ الظاهر حصول الإشارة بهذا أيضاً فلا ينافي ما ذكره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ويناقش فيه أنّ الكيفية الخاصّة التي صنعها أمير المؤمنين كان في مقابل الإشارة، لا من مصاديقها، فإنّه تكتب اليمين فيشربها، فيكون الشرب هو الحلف ولا ربط له بالإشارة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معرض عنها فيسقط عن الاعتبار، فإنّ الرواية مع نقلها في الكتب الروائي وكان في مرءى ومنظر المشهور معذلك لم يفتوا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كلام المحقّق الأردبيلي ناظر إلى ردّه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الذي نجده رجحان ما في الرواية، لصحتّها، وعدم ظهور دليل غيرها ومجرّد كون الإشارة معتبرة في مواضع، لا يوجب كونها كلّية، وعدم جواز العمل بالرواية</w:t>
      </w:r>
      <w:r>
        <w:rPr>
          <w:rFonts w:eastAsia="Amiri" w:cs="Amiri" w:ascii="Amiri" w:hAnsi="Amiri"/>
          <w:color w:val="111111"/>
          <w:sz w:val="28"/>
          <w:szCs w:val="28"/>
          <w:rtl w:val="true"/>
          <w:lang w:bidi="ar-SA"/>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اختار الأردبيلي التخيير بين الإشارة وبين ما في الرواية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التخيير</w:t>
      </w:r>
      <w:bookmarkStart w:id="555" w:name="pg1791_16121"/>
    </w:p>
    <w:p>
      <w:pPr>
        <w:pStyle w:val="BookText"/>
        <w:rPr/>
      </w:pPr>
      <w:bookmarkEnd w:id="555"/>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الحلف العربية، بل يكفي بأيّ لغة إذا كان باسم الله أو صفاته المختصّة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بينهما أولى من تعيين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ابن حمزة باستناد الرواية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القول أتقن وأظهر</w:t>
      </w:r>
      <w:r>
        <w:rPr>
          <w:rFonts w:eastAsia="Amiri" w:cs="Amiri" w:ascii="Amiri" w:hAnsi="Amiri"/>
          <w:color w:val="111111"/>
          <w:sz w:val="28"/>
          <w:szCs w:val="28"/>
          <w:rtl w:val="true"/>
          <w:lang w:bidi="ar-SA"/>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أن يقال إنّ مقتضى كلام المشهور أنّ المستفاد من مذاق الشرع أنّ إشارة الأخرس بمنزلة كلامه، وقائمة مقام كلامه في جميع الامور من العبادات والعقود والإيقاعات وغيرها، وأمّا الرواية فهي صحيحة أيضاً وقابلة للعمل، فحينئذٍ الأحوط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به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معذلك كلّه فالأحوط الجمع بينهما مع رضا الأخرس وإلا فالإشارة</w:t>
      </w:r>
      <w:r>
        <w:rPr>
          <w:rFonts w:eastAsia="Amiri" w:cs="Amiri" w:ascii="Amiri" w:hAnsi="Amiri"/>
          <w:color w:val="111111"/>
          <w:sz w:val="28"/>
          <w:szCs w:val="28"/>
          <w:rtl w:val="true"/>
          <w:lang w:bidi="ar-SA"/>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الأحوط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الجمع بينهما عمل بقول المشهور وبما في الرواية، فهو أولى</w:t>
      </w:r>
      <w:r>
        <w:rPr>
          <w:rFonts w:eastAsia="Amiri" w:cs="Amiri" w:ascii="Amiri" w:hAnsi="Amiri"/>
          <w:color w:val="111111"/>
          <w:sz w:val="28"/>
          <w:szCs w:val="28"/>
          <w:rtl w:val="true"/>
          <w:lang w:bidi="ar-SA"/>
        </w:rPr>
        <w:t>.</w:t>
      </w:r>
    </w:p>
    <w:p>
      <w:pPr>
        <w:pStyle w:val="Heading4"/>
        <w:numPr>
          <w:ilvl w:val="3"/>
          <w:numId w:val="1"/>
        </w:numPr>
        <w:rPr/>
      </w:pPr>
      <w:bookmarkStart w:id="556" w:name="__RefHeading___Toc2354815_3650668749"/>
      <w:bookmarkStart w:id="557" w:name="_Toc204"/>
      <w:bookmarkEnd w:id="556"/>
      <w:r>
        <w:rPr>
          <w:rtl w:val="true"/>
        </w:rPr>
        <w:t>في كفاية الحلف بذاته المقدّسة بأيّ لغة كانت‌</w:t>
      </w:r>
      <w:bookmarkEnd w:id="557"/>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 المستفاد من الروايات اعتبار كون الحلف بذاته المقدّسة، من غير دخالة لاسم خاصّ ولا شبهة في أنّه إذا حلف بما يدلّ على الذات المقدّسة بأيّ لغة كانت يصدق أنّه حلف بالله عزّ وجلّ، ويشملها قوله في معتبرة محمّد بن</w:t>
      </w:r>
      <w:bookmarkStart w:id="558" w:name="pg1791_16123"/>
    </w:p>
    <w:p>
      <w:pPr>
        <w:pStyle w:val="BookText"/>
        <w:rPr/>
      </w:pPr>
      <w:bookmarkEnd w:id="558"/>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تحقّق الحلف إن اقتصر على اسم الله،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ليس لفلان على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يجب التغليظ بالقول، مثل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الغالب القاهر المهلك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بالزمان كيوم الجمعة والعيد، ولا بالمكان كالأمكنة المشرّفة، ولا بالأفعال كالقيام مستقبل القبلة آخذاً المصحف الشريف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أنّ التغليظ مستحبّ للحاكم، وله وجه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وَالّيْلِ إذَا يَغْشَى</w:t>
      </w:r>
      <w:r>
        <w:rPr>
          <w:rStyle w:val="FootnoteAnchor"/>
          <w:rtl w:val="true"/>
        </w:rPr>
        <w:footnoteReference w:id="1061"/>
      </w:r>
      <w:r>
        <w:rPr>
          <w:rFonts w:ascii="Amiri" w:hAnsi="Amiri" w:eastAsia="Amiri" w:cs="Amiri"/>
          <w:color w:val="111111"/>
          <w:sz w:val="28"/>
          <w:sz w:val="28"/>
          <w:szCs w:val="28"/>
          <w:rtl w:val="true"/>
          <w:lang w:bidi="ar-SA"/>
        </w:rPr>
        <w:t>وَالنّجْمِ إذَا هَوَى</w:t>
      </w:r>
      <w:r>
        <w:rPr>
          <w:rStyle w:val="FootnoteAnchor"/>
          <w:rtl w:val="true"/>
        </w:rPr>
        <w:footnoteReference w:id="1062"/>
      </w:r>
      <w:r>
        <w:rPr>
          <w:rFonts w:ascii="Amiri" w:hAnsi="Amiri" w:eastAsia="Amiri" w:cs="Amiri"/>
          <w:color w:val="111111"/>
          <w:sz w:val="28"/>
          <w:sz w:val="28"/>
          <w:szCs w:val="28"/>
          <w:rtl w:val="true"/>
          <w:lang w:bidi="ar-SA"/>
        </w:rPr>
        <w:t>وما أشبه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عزّ وجلّ أن يقسم من خلقه بما شاء، وليس لخلقه أن يقسموا إلا به</w:t>
      </w:r>
      <w:r>
        <w:rPr>
          <w:rFonts w:eastAsia="Amiri" w:cs="Amiri" w:ascii="Amiri" w:hAnsi="Amiri"/>
          <w:color w:val="111111"/>
          <w:sz w:val="28"/>
          <w:szCs w:val="28"/>
          <w:rtl w:val="true"/>
          <w:lang w:bidi="ar-SA"/>
        </w:rPr>
        <w:t>»</w:t>
      </w:r>
      <w:r>
        <w:rPr>
          <w:rStyle w:val="FootnoteAnchor"/>
          <w:rtl w:val="true"/>
        </w:rPr>
        <w:footnoteReference w:id="10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قوله في معتبرة سليمان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وأضفهم إلى اسمي فحلّفهم به</w:t>
      </w:r>
      <w:r>
        <w:rPr>
          <w:rFonts w:eastAsia="Amiri" w:cs="Amiri" w:ascii="Amiri" w:hAnsi="Amiri"/>
          <w:color w:val="111111"/>
          <w:sz w:val="28"/>
          <w:szCs w:val="28"/>
          <w:rtl w:val="true"/>
          <w:lang w:bidi="ar-SA"/>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دليل على اعتبار العربيّة، ومع وجود الإطلاق في هذه الروايات فلا مجال للتمسّك بأصالة عدم ترتّب الأثر على الحلف بالله بغير العربية إذا شكّ في ترتّب الأثر عليه</w:t>
      </w:r>
      <w:r>
        <w:rPr>
          <w:rFonts w:eastAsia="Amiri" w:cs="Amiri" w:ascii="Amiri" w:hAnsi="Amiri"/>
          <w:color w:val="111111"/>
          <w:sz w:val="28"/>
          <w:szCs w:val="28"/>
          <w:rtl w:val="true"/>
          <w:lang w:bidi="ar-SA"/>
        </w:rPr>
        <w:t>.</w:t>
      </w:r>
    </w:p>
    <w:p>
      <w:pPr>
        <w:pStyle w:val="Heading4"/>
        <w:numPr>
          <w:ilvl w:val="3"/>
          <w:numId w:val="1"/>
        </w:numPr>
        <w:rPr/>
      </w:pPr>
      <w:bookmarkStart w:id="559" w:name="__RefHeading___Toc2354817_3650668749"/>
      <w:bookmarkStart w:id="560" w:name="_Toc205"/>
      <w:bookmarkEnd w:id="559"/>
      <w:r>
        <w:rPr>
          <w:rtl w:val="true"/>
        </w:rPr>
        <w:t>في استحباب التغليظ للحاكم‌</w:t>
      </w:r>
      <w:bookmarkEnd w:id="560"/>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المدّعى عليه في مقام الحلف إذا حلف بالله عزّ وجلّ من غير زيادة عليه ومن دون تغليظ يكفي ذلك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ويصدق أنّه حلف واتي</w:t>
      </w:r>
    </w:p>
    <w:p>
      <w:pPr>
        <w:pStyle w:val="BookText"/>
        <w:rPr/>
      </w:pPr>
      <w:r>
        <w:rPr>
          <w:rFonts w:ascii="Amiri" w:hAnsi="Amiri" w:eastAsia="Amiri" w:cs="Amiri"/>
          <w:color w:val="111111"/>
          <w:sz w:val="28"/>
          <w:sz w:val="28"/>
          <w:szCs w:val="28"/>
          <w:rtl w:val="true"/>
          <w:lang w:bidi="ar-SA"/>
        </w:rPr>
        <w:t>بوظيفته ويترتّب عليه جميع الآثار،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ليس لفلان على كذا يكفي سقوط الحقّ عنه، ورفع الخصومة لإطلاق الأدلّة ويشمله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واليمين على المدّعى عليه وغيره من الروايات كقوله في صحيحة الخزّاز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حلف له بالله فليرض</w:t>
      </w:r>
      <w:r>
        <w:rPr>
          <w:rFonts w:eastAsia="Amiri" w:cs="Amiri" w:ascii="Amiri" w:hAnsi="Amiri"/>
          <w:color w:val="111111"/>
          <w:sz w:val="28"/>
          <w:szCs w:val="28"/>
          <w:rtl w:val="true"/>
          <w:lang w:bidi="ar-SA"/>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ذكروا أنّه يستحبّ للحاكم التغليظ وهو المعروف بين الأصحاب، بل نفي بعضهم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والتغليظ قد يكون بالقول؛ مثل ما في خبر إحلاف أمير المؤمنين الأخرس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الذي لا إله إلا هو عالم الغيب والشهادة، الرحمن الرحيم، الطالب الغالب، الضارّ النافع، الملك المدرك، الذي يعلم من السرّ ما يعلمه من العلانية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بالمكان كالمسجد الحرام أو سائر المساجد أو المشاهد المشرّفة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بالزمان كالجمعة والعيد وبعد الزوال وبعد العصر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بالفعل كالقيام مستقبل القبلة وآخذاً المصحف بيده، أو وضع اليد على اسم الله عزّ وجلّ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لذلك بوجوه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التغليظ بذلك أردع له عن الحلف كاذباً لخوفه من العقوبة، وكان أقرب إلى التأثير في مؤاخذته وعقوبته لو تجرّأ وحلف كاذباً وكان أوقع في تعظيم الحلف وتجليل اسم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صحيحة الأخرس، عن حمّاد،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الأخرس كيف يحلف إذا ادّعي عليه 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للمدّعي بيّنة؟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 بأخرس فادّعي عليه دين ولم يكن للمدّعي بيّنة،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يخرجني من الدنيا حتّى بيّنت للُامّة جميع ما تحتاج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بمصحف، فاتي به، فقال للأخرس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فرفع رأسه إلى السماء، وأشار أنّه كتاب الله عزّ وجلّ،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بوليّه، فاتي بأخ له فأقعده إلى جنبه،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على بدواة وصحيفة، فأتاه بهما ثمّ قال لأخي الأخرس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لأخيك هذا بينك وبينه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فتقدّم إليه بذلك، ثمّ كتب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الذي لا إله إلا هو عالم الغيب والشهادة، الرحمن الرحيم الطالب الغالب، الضارّ النافع، المهلك المدرك، الذي يعلم السرّ والعلانية، إنّ فلان بن فلان المدّعي ليس له قبل فلان بن فلان أعني الأخرس حقّ ولا طلبة بوجه من الوجوه، ولا بسبب من الأسباب، ثمّ غسله، وأمر الأخرس أن يشربه، فامتنع، فألزمه الدين</w:t>
      </w:r>
      <w:r>
        <w:rPr>
          <w:rFonts w:eastAsia="Amiri" w:cs="Amiri" w:ascii="Amiri" w:hAnsi="Amiri"/>
          <w:color w:val="111111"/>
          <w:sz w:val="28"/>
          <w:szCs w:val="28"/>
          <w:rtl w:val="true"/>
          <w:lang w:bidi="ar-SA"/>
        </w:rPr>
        <w:t>»</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رواية عبدالرحمن بن أبي عبدالله في باب الدعوى على الميّت من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فعلى المدّعي اليمين بالله الذي لا إله إلا هو</w:t>
      </w:r>
      <w:r>
        <w:rPr>
          <w:rFonts w:eastAsia="Amiri" w:cs="Amiri" w:ascii="Amiri" w:hAnsi="Amiri"/>
          <w:color w:val="111111"/>
          <w:sz w:val="28"/>
          <w:szCs w:val="28"/>
          <w:rtl w:val="true"/>
          <w:lang w:bidi="ar-SA"/>
        </w:rPr>
        <w:t>»</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الحسين بن علوان، عن جعفر،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كان يستحلف والنصارى واليهود في بيعهم وكنائسهم و المجوس في بيوت</w:t>
      </w:r>
    </w:p>
    <w:p>
      <w:pPr>
        <w:pStyle w:val="BookText"/>
        <w:rPr/>
      </w:pPr>
      <w:r>
        <w:rPr>
          <w:rFonts w:ascii="Amiri" w:hAnsi="Amiri" w:eastAsia="Amiri" w:cs="Amiri"/>
          <w:color w:val="111111"/>
          <w:sz w:val="28"/>
          <w:sz w:val="28"/>
          <w:szCs w:val="28"/>
          <w:rtl w:val="true"/>
          <w:lang w:bidi="ar-SA"/>
        </w:rPr>
        <w:t>نيرانهم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شدّدوا عليهم احتياطاً للمسلمين</w:t>
      </w:r>
      <w:r>
        <w:rPr>
          <w:rFonts w:eastAsia="Amiri" w:cs="Amiri" w:ascii="Amiri" w:hAnsi="Amiri"/>
          <w:color w:val="111111"/>
          <w:sz w:val="28"/>
          <w:szCs w:val="28"/>
          <w:rtl w:val="true"/>
          <w:lang w:bidi="ar-SA"/>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الشهيد عن طرق العامّة</w:t>
      </w:r>
      <w:r>
        <w:rPr>
          <w:rStyle w:val="FootnoteAnchor"/>
          <w:rtl w:val="true"/>
        </w:rPr>
        <w:footnoteReference w:id="1069"/>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صوريا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أذكركم بالله الذي نجاكم من آل فرعون، وأقطعكم البحر، وظلل عليكم الغمام، وأنزل عليكم المنّ والسلوى، وأنزل التوراة على موسى، أتجدون في كتابكم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ذكرتني بعظيم ولا يسعني أن أكذبك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الحديث</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الوجوه وإن كانت قابلة للخدشة والإيراد، ولكن الظاهر كفاية ذلك في الدلالة على الرجحان والاستحباب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الكلّ نظر، لعدم نهوضها لإثبات العموم، وورودها في موارد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بالقول به، لاشتهاره بين الأصحاب، بل نفي بعضهم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القدر كاف في مقام الاستحباب</w:t>
      </w:r>
      <w:r>
        <w:rPr>
          <w:rFonts w:eastAsia="Amiri" w:cs="Amiri" w:ascii="Amiri" w:hAnsi="Amiri"/>
          <w:color w:val="111111"/>
          <w:sz w:val="28"/>
          <w:szCs w:val="28"/>
          <w:rtl w:val="true"/>
          <w:lang w:bidi="ar-SA"/>
        </w:rPr>
        <w:t>»</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ولذا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أنّ التغليظ مستحبّ للحاكم وله وجه</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والاستحباب مختصّ بالحاكم دون الحالف، لعدم الدليل عليه وعدم القائل‌به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نقلنا عنه بقوله وهذا القدر كاف في مقام الاستحباب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ولذا يخصّ ذلك بالحاكم دون الغريم، لاختصاص فتاويهم‌به</w:t>
      </w:r>
      <w:r>
        <w:rPr>
          <w:rFonts w:eastAsia="Amiri" w:cs="Amiri" w:ascii="Amiri" w:hAnsi="Amiri"/>
          <w:color w:val="111111"/>
          <w:sz w:val="28"/>
          <w:szCs w:val="28"/>
          <w:rtl w:val="true"/>
          <w:lang w:bidi="ar-SA"/>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يستحبّ للحالف التغليظ، بل يمكن أن يقال باستحباب ترك التغليظ له، لأنّ أصل الحلف بالله عزّ وجلّ مرجوح كما تقدّم، فالتغليظ فيه مرجوح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التغليظ فظاهر النصّ والفتوى أنّه من وظائف الحاكم، وأنّ استحبابه مختصّ به، وأمّا الحالف فالتخفيف في جانبه أولى، لأنّ اليمين مطلقاً مرغوب عنها فكلّما خففت كان أولى</w:t>
      </w:r>
      <w:r>
        <w:rPr>
          <w:rFonts w:eastAsia="Amiri" w:cs="Amiri" w:ascii="Amiri" w:hAnsi="Amiri"/>
          <w:color w:val="111111"/>
          <w:sz w:val="28"/>
          <w:szCs w:val="28"/>
          <w:rtl w:val="true"/>
          <w:lang w:bidi="ar-SA"/>
        </w:rPr>
        <w:t>»</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لا يبعد أن يكون الأرجح له ترك التغليظ؛ وإن استحبّ للحاكم التغليظ احتياطاً على أموال الناس</w:t>
      </w:r>
      <w:r>
        <w:rPr>
          <w:rFonts w:eastAsia="Amiri" w:cs="Amiri" w:ascii="Amiri" w:hAnsi="Amiri"/>
          <w:color w:val="111111"/>
          <w:sz w:val="28"/>
          <w:szCs w:val="28"/>
          <w:rtl w:val="true"/>
          <w:lang w:bidi="ar-SA"/>
        </w:rPr>
        <w:t>»</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واستبعد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Style w:val="FootnoteAnchor"/>
          <w:rtl w:val="true"/>
        </w:rPr>
        <w:footnoteReference w:id="1075"/>
      </w:r>
      <w:r>
        <w:rPr>
          <w:rFonts w:ascii="Amiri" w:hAnsi="Amiri" w:eastAsia="Amiri" w:cs="Amiri"/>
          <w:color w:val="111111"/>
          <w:sz w:val="28"/>
          <w:sz w:val="28"/>
          <w:szCs w:val="28"/>
          <w:rtl w:val="true"/>
          <w:lang w:bidi="ar-SA"/>
        </w:rPr>
        <w:t>الجمع بين استحباب التغليظ للحاكم مع كونه مرجوحاً بالنسبة إلى الحالف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ويبعد رجحان الأمر للحاكم مع كونه مرجوحاً ومكروهاً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الاستبعاد، فإنّ القاضي وظيفته إحقاق الحقّ والمنع عن تضييع الحقوق، فكلّما كان أردع للإنكار كذباً؛ كان أولى وأرجح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الحالف فوظيفته اليمين فكلّما كان أخفّ، كان أولى وأرجح</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موارد مشابهة في الفقه، كاستحباب أن يكون المضيف يسعي في الضيافة ويصرف غاية إمكاناته، ويستحبّ للضيف أن لا يصير موجباً لزحمة المضيف ومشقّته</w:t>
      </w:r>
      <w:r>
        <w:rPr>
          <w:rFonts w:eastAsia="Amiri" w:cs="Amiri" w:ascii="Amiri" w:hAnsi="Amiri"/>
          <w:color w:val="111111"/>
          <w:sz w:val="28"/>
          <w:szCs w:val="28"/>
          <w:rtl w:val="true"/>
          <w:lang w:bidi="ar-SA"/>
        </w:rPr>
        <w:t>.</w:t>
      </w:r>
      <w:bookmarkStart w:id="561" w:name="pg1791_16133"/>
    </w:p>
    <w:p>
      <w:pPr>
        <w:pStyle w:val="BookText"/>
        <w:rPr/>
      </w:pPr>
      <w:bookmarkEnd w:id="561"/>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الحالف قبول التغليظ، ولا يجوز إجباره عليه، ولو امتنع عنه لم يكن ناكلًا، بل لا يبعد أن يكون الأرجح له ترك التغليظ؛ وإن استحبّ للحاكم التغليظ احتياطاً على أموال الناس، ويستحبّ التغليظ في جميع الحقوق إلا الأموال، فإنّه لايغلّظ فيها بما دون نصاب القطع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562" w:name="__RefHeading___Toc2354819_3650668749"/>
      <w:bookmarkStart w:id="563" w:name="_Toc206"/>
      <w:bookmarkEnd w:id="562"/>
      <w:r>
        <w:rPr>
          <w:rtl w:val="true"/>
        </w:rPr>
        <w:t>في لزوم إطاعة الحالف الحاكم في التغليظ</w:t>
      </w:r>
      <w:bookmarkEnd w:id="563"/>
    </w:p>
    <w:p>
      <w:pPr>
        <w:pStyle w:val="Heading5"/>
        <w:numPr>
          <w:ilvl w:val="4"/>
          <w:numId w:val="1"/>
        </w:numPr>
        <w:rPr/>
      </w:pPr>
      <w:bookmarkStart w:id="564" w:name="__RefHeading___Toc2354821_3650668749"/>
      <w:bookmarkStart w:id="565" w:name="_Toc207"/>
      <w:bookmarkEnd w:id="564"/>
      <w:r>
        <w:rPr>
          <w:rtl w:val="true"/>
        </w:rPr>
        <w:t>اشارة</w:t>
      </w:r>
      <w:bookmarkEnd w:id="5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امتنع عن الإجابة إلى التغليظ لم يجبر ولم يتحقّق بامتناعه النكول</w:t>
      </w:r>
      <w:r>
        <w:rPr>
          <w:rFonts w:eastAsia="Amiri" w:cs="Amiri" w:ascii="Amiri" w:hAnsi="Amiri"/>
          <w:color w:val="111111"/>
          <w:sz w:val="28"/>
          <w:szCs w:val="28"/>
          <w:rtl w:val="true"/>
          <w:lang w:bidi="ar-SA"/>
        </w:rPr>
        <w:t>»</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كلام المحقّق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 إلا عند من ستعرف</w:t>
      </w:r>
      <w:r>
        <w:rPr>
          <w:rFonts w:eastAsia="Amiri" w:cs="Amiri" w:ascii="Amiri" w:hAnsi="Amiri"/>
          <w:color w:val="111111"/>
          <w:sz w:val="28"/>
          <w:szCs w:val="28"/>
          <w:rtl w:val="true"/>
          <w:lang w:bidi="ar-SA"/>
        </w:rPr>
        <w:t>»</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مراده بعض العامّة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لذلك بالأصل بعد إطلاق ما دلّ على كون الواجب الحلف بالله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حلف بالله فليصدق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حلف له بالله فليرض</w:t>
      </w:r>
      <w:r>
        <w:rPr>
          <w:rFonts w:eastAsia="Amiri" w:cs="Amiri" w:ascii="Amiri" w:hAnsi="Amiri"/>
          <w:color w:val="111111"/>
          <w:sz w:val="28"/>
          <w:szCs w:val="28"/>
          <w:rtl w:val="true"/>
          <w:lang w:bidi="ar-SA"/>
        </w:rPr>
        <w:t>»</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ومراده بالأصل هو عدم وجوب القبول وعدم جواز إجباره على التغليظ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ومراده من الإطلاق هو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حلف له بالله فليرض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من جهة إلزام الحاكم عليه بالتغليظ وعدمه</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وتأمّل في ذلك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يجب على الحالف إجابة الحاكم</w:t>
      </w:r>
    </w:p>
    <w:p>
      <w:pPr>
        <w:pStyle w:val="BookText"/>
        <w:rPr/>
      </w:pPr>
      <w:r>
        <w:rPr>
          <w:rFonts w:ascii="Amiri" w:hAnsi="Amiri" w:eastAsia="Amiri" w:cs="Amiri"/>
          <w:color w:val="111111"/>
          <w:sz w:val="28"/>
          <w:sz w:val="28"/>
          <w:szCs w:val="28"/>
          <w:rtl w:val="true"/>
          <w:lang w:bidi="ar-SA"/>
        </w:rPr>
        <w:t>إلى التغليظ أو لا؟ المشهور عدم الوجوب، وعدم إجباره عليه وأنّه لا يتحقّق النكول بامتناعه منه، ولكنّه محلّ تأمّل</w:t>
      </w:r>
      <w:r>
        <w:rPr>
          <w:rFonts w:eastAsia="Amiri" w:cs="Amiri" w:ascii="Amiri" w:hAnsi="Amiri"/>
          <w:color w:val="111111"/>
          <w:sz w:val="28"/>
          <w:szCs w:val="28"/>
          <w:rtl w:val="true"/>
          <w:lang w:bidi="ar-SA"/>
        </w:rPr>
        <w:t>»</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 أنّ للتأمّل وجه؛ فإنّ الحاكم إذا رأى المصلحة في التغليظ وأنّه كان أردع للحالف فأمره بإتيان الحلف مغلظة بالقول، أو بالفعل، أو بالزمان، أو بالمكان فيجب عليه الإطاعة لأنّ للحاكم الولاية عليه في القضاء ولو امتنع كان له إجباره، ولو أصرّ على الامتناع يحكم عليه بمقتضى النكول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يخرج عن الأصل، بعد عدم ثبوت الإطلاق في الأدلّة من هذه الجهة ولا تكون في مقام البيان من جهة أمر الحاكم بالتغليظ وعدمه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080"/>
      </w:r>
      <w:r>
        <w:rPr>
          <w:rFonts w:ascii="Amiri" w:hAnsi="Amiri" w:eastAsia="Amiri" w:cs="Amiri"/>
          <w:color w:val="111111"/>
          <w:sz w:val="28"/>
          <w:sz w:val="28"/>
          <w:szCs w:val="28"/>
          <w:rtl w:val="true"/>
          <w:lang w:bidi="ar-SA"/>
        </w:rPr>
        <w:t>عن بعض العامّة</w:t>
      </w:r>
      <w:r>
        <w:rPr>
          <w:rStyle w:val="FootnoteAnchor"/>
          <w:rtl w:val="true"/>
        </w:rPr>
        <w:footnoteReference w:id="1081"/>
      </w:r>
      <w:r>
        <w:rPr>
          <w:rFonts w:ascii="Amiri" w:hAnsi="Amiri" w:eastAsia="Amiri" w:cs="Amiri"/>
          <w:color w:val="111111"/>
          <w:sz w:val="28"/>
          <w:sz w:val="28"/>
          <w:szCs w:val="28"/>
          <w:rtl w:val="true"/>
          <w:lang w:bidi="ar-SA"/>
        </w:rPr>
        <w:t>ذلك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خلافاً لبعض العامّة من وجوب الإجابة عليه وتحقّق النكول بالامتناع لو طلبه الحاكم منه، وذكر في بيان الوجه له أنّه مضافاً إلى استمراره السيرة على توجيه اليمين مغلظة على المنكر مثلًا؛ مع عدم إجباره بعدم وجوبه عليه وإجراء حكم النكول عليه مع احتمال كونه لتغليظه لا لأصله</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وكلام بعض العامّة صحيح و الوجه فيه عدم جواز مخالفة الحاكم فيما إذا أمره باليمين المغلظة، والسيرة أيضاً شاهدة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لذلك أيضاً تخصيص بعض آخر منهم وجوب الإجابة وتحقّق النكول بالامتناع، بالتغليظ المكاني والزماني دون القولي فإنّ تركه في القولي لا يعد مخالفة للحاكم؛ فإنّ التغليظ</w:t>
      </w:r>
      <w:bookmarkStart w:id="566" w:name="pg1791_16137"/>
    </w:p>
    <w:p>
      <w:pPr>
        <w:pStyle w:val="BookText"/>
        <w:rPr/>
      </w:pPr>
      <w:bookmarkEnd w:id="566"/>
      <w:r>
        <w:rPr>
          <w:rFonts w:ascii="Amiri" w:hAnsi="Amiri" w:eastAsia="Amiri" w:cs="Amiri"/>
          <w:color w:val="111111"/>
          <w:sz w:val="28"/>
          <w:sz w:val="28"/>
          <w:szCs w:val="28"/>
          <w:rtl w:val="true"/>
          <w:lang w:bidi="ar-SA"/>
        </w:rPr>
        <w:t>من جنس المأتيّ به بخلاف الآخرين؛ فإنّ امتناعه عن التغليظ فيهما يعد مخالفة لأمر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 بعض العامّة دقيق عميق، فإنّ علمائهم كانوا داخلين في الحكومة وبيدهم القضاء والامور الإجرائية، فكان نظرياتهم أصوب للواقع والتحقّق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ووافقهم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التفصيل الأخير بين التغليظ القولي والأخيرين، فلم يجوز الجبر في التغليظ القولي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بالزمان والمكان فيجبر عليهما</w:t>
      </w:r>
      <w:r>
        <w:rPr>
          <w:rFonts w:eastAsia="Amiri" w:cs="Amiri" w:ascii="Amiri" w:hAnsi="Amiri"/>
          <w:color w:val="111111"/>
          <w:sz w:val="28"/>
          <w:szCs w:val="28"/>
          <w:rtl w:val="true"/>
          <w:lang w:bidi="ar-SA"/>
        </w:rPr>
        <w:t>»</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7" w:name="__RefHeading___Toc2354823_3650668749"/>
      <w:bookmarkStart w:id="568" w:name="_Toc208"/>
      <w:bookmarkEnd w:id="567"/>
      <w:r>
        <w:rPr>
          <w:rtl w:val="true"/>
        </w:rPr>
        <w:t>حكم التغليظ في الحلف في الأموال‌</w:t>
      </w:r>
      <w:bookmarkEnd w:id="568"/>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التغليظ في الحقوق كلّها وإن قلت عدا المال فإنّه لا يغلظ فيه، بمادون نصاب القطع</w:t>
      </w:r>
      <w:r>
        <w:rPr>
          <w:rFonts w:eastAsia="Amiri" w:cs="Amiri" w:ascii="Amiri" w:hAnsi="Amiri"/>
          <w:color w:val="111111"/>
          <w:sz w:val="28"/>
          <w:szCs w:val="28"/>
          <w:rtl w:val="true"/>
          <w:lang w:bidi="ar-SA"/>
        </w:rPr>
        <w:t>»</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التفصيل هو المشهور بين الأصحاب، وذكروا أنّه مرويّ، وما وقفت على مستنده</w:t>
      </w:r>
      <w:r>
        <w:rPr>
          <w:rFonts w:eastAsia="Amiri" w:cs="Amiri" w:ascii="Amiri" w:hAnsi="Amiri"/>
          <w:color w:val="111111"/>
          <w:sz w:val="28"/>
          <w:szCs w:val="28"/>
          <w:rtl w:val="true"/>
          <w:lang w:bidi="ar-SA"/>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مرادهم من الرواية ما عن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عمّن رواه عن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بن‌مسلم وزرارة عنهما جميعاً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لايحلف أحد عند قبر النبيّ على أقلّ‌ممّا يجب فيه القطع</w:t>
      </w:r>
      <w:r>
        <w:rPr>
          <w:rFonts w:eastAsia="Amiri" w:cs="Amiri" w:ascii="Amiri" w:hAnsi="Amiri"/>
          <w:color w:val="111111"/>
          <w:sz w:val="28"/>
          <w:szCs w:val="28"/>
          <w:rtl w:val="true"/>
          <w:lang w:bidi="ar-SA"/>
        </w:rPr>
        <w:t>»</w:t>
      </w:r>
      <w:r>
        <w:rPr>
          <w:rStyle w:val="FootnoteAnchor"/>
          <w:rtl w:val="true"/>
        </w:rPr>
        <w:footnoteReference w:id="10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صحيحة لو كان عن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كان</w:t>
      </w:r>
      <w:bookmarkStart w:id="569" w:name="pg1791_16139"/>
    </w:p>
    <w:p>
      <w:pPr>
        <w:pStyle w:val="BookText"/>
        <w:rPr/>
      </w:pPr>
      <w:bookmarkEnd w:id="569"/>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التوكيل في الحلف ولا النيابة فيه، فلو وكّل غيره وحلف عنه بوكالته أو نيابته لم يترتّب عليه أثر، ولا يفصل به خصومة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عمّن‌رواه عن حريز فهي 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بها متوقّفة على إلغاء الخصوصية فيهما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عند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مطلق التغليظ المكاني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إلى مطلق التغليظ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التغليظ في الحقوق المالي أقلّ من النصاب في قطع اليد، وهو ربع الدينار غير مشروع، وهو كما ترى، فإنّ استفادة هذا الحكم الكلّي من الرواية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لما لم يكن دليل واضح لأصل الاستحباب، بل كان استحباب التغليظ للحاكم معروفاً بين الأصحاب ومشتهراً عندهم، وهذا الاشتهار في الأقلّ ممّا يجب فيه القطع غير ثابت فالاستثناء صحيح والاستحباب فيه أيضاً غير ثابت</w:t>
      </w:r>
      <w:r>
        <w:rPr>
          <w:rFonts w:eastAsia="Amiri" w:cs="Amiri" w:ascii="Amiri" w:hAnsi="Amiri"/>
          <w:color w:val="111111"/>
          <w:sz w:val="28"/>
          <w:szCs w:val="28"/>
          <w:rtl w:val="true"/>
          <w:lang w:bidi="ar-SA"/>
        </w:rPr>
        <w:t>.</w:t>
      </w:r>
    </w:p>
    <w:p>
      <w:pPr>
        <w:pStyle w:val="Heading4"/>
        <w:numPr>
          <w:ilvl w:val="3"/>
          <w:numId w:val="1"/>
        </w:numPr>
        <w:rPr/>
      </w:pPr>
      <w:bookmarkStart w:id="570" w:name="__RefHeading___Toc2354825_3650668749"/>
      <w:bookmarkStart w:id="571" w:name="_Toc209"/>
      <w:bookmarkEnd w:id="570"/>
      <w:r>
        <w:rPr>
          <w:rtl w:val="true"/>
        </w:rPr>
        <w:t>عدم جواز التوكيل والنيابة في الحلف‌</w:t>
      </w:r>
      <w:bookmarkEnd w:id="571"/>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واليمين على المدّعى‌عليه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أدلّة الاستحلاف، هو المباشرة، يعني أنّ اليمين وظيفة للمدّعى عليه ولا بدّ أن يأتي بها بنفسه حتّى يترتّب عليها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وجواز الوكالة والنيابة فيها يحتاج إلى دليل ولا دليل عليه، فلو وكّل غيره وحلف عنه بوكالته أو نيابته لم يترتّب عليه أثر ولا يفصل به الخصومة</w:t>
      </w:r>
      <w:r>
        <w:rPr>
          <w:rFonts w:eastAsia="Amiri" w:cs="Amiri" w:ascii="Amiri" w:hAnsi="Amiri"/>
          <w:color w:val="111111"/>
          <w:sz w:val="28"/>
          <w:szCs w:val="28"/>
          <w:rtl w:val="true"/>
          <w:lang w:bidi="ar-SA"/>
        </w:rPr>
        <w:t>.</w:t>
      </w:r>
      <w:bookmarkStart w:id="572" w:name="pg1791_16141"/>
    </w:p>
    <w:p>
      <w:pPr>
        <w:pStyle w:val="BookText"/>
        <w:rPr/>
      </w:pPr>
      <w:bookmarkEnd w:id="572"/>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وأن يكون الحلف في مجلس القضاء، وليس للحاكم الاستنابة فيه إلا لعذر كمرض أو حيض والمجلس في المسجد، أو كون المرأة مخدّرة حضورها في المجلس نقص عليها، أو غير ذلك، فيجوز الاستنابة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عدم جواز الاستنابة في مجلس القضاء وبحضور الحاكم، فما يترتّب عليه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مورد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الحلف بأمر الحاكم واستحلافه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573" w:name="__RefHeading___Toc2354827_3650668749"/>
      <w:bookmarkStart w:id="574" w:name="_Toc210"/>
      <w:bookmarkEnd w:id="573"/>
      <w:r>
        <w:rPr>
          <w:rtl w:val="true"/>
        </w:rPr>
        <w:t>فيما يستدلّ به على عدم جواز الاستنابة للحاكم في الاستحلاف‌</w:t>
      </w:r>
      <w:bookmarkEnd w:id="5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يستحلف الحاكم أحداً، إلا في مجلس قضائه، إلا مع العذر كالمرض المانع وشبهه، فحينئذٍ يستنيب للحاكم أن يحلّفه في منزله</w:t>
      </w:r>
      <w:r>
        <w:rPr>
          <w:rFonts w:eastAsia="Amiri" w:cs="Amiri" w:ascii="Amiri" w:hAnsi="Amiri"/>
          <w:color w:val="111111"/>
          <w:sz w:val="28"/>
          <w:szCs w:val="28"/>
          <w:rtl w:val="true"/>
          <w:lang w:bidi="ar-SA"/>
        </w:rPr>
        <w:t>»</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ملحقات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المدّعى عليه الإجماع أنّه يجب أن يكون الحلف في مجلس القضاء، وأنّه لا يجوز للحاكم الاستنابة فيه إلا لعذر من مرض مانع</w:t>
      </w:r>
      <w:r>
        <w:rPr>
          <w:rFonts w:eastAsia="Amiri" w:cs="Amiri" w:ascii="Amiri" w:hAnsi="Amiri"/>
          <w:color w:val="111111"/>
          <w:sz w:val="28"/>
          <w:szCs w:val="28"/>
          <w:rtl w:val="true"/>
          <w:lang w:bidi="ar-SA"/>
        </w:rPr>
        <w:t>»</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إشكال في أنّه ليس المراد من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وحدة مجلس الحكم والإحلاف، بحيث لو أحلفه اليوم في المحكمة أو في يوم آخر، أو أحلفه في المسجد أو مكان شريف غيره لرعاية التغليظ، ثمّ حكم في المحكمة كان غير صحيح وغير مؤثّر، بل مرادهم لزوم إتيان المدّعى عليه في</w:t>
      </w:r>
    </w:p>
    <w:p>
      <w:pPr>
        <w:pStyle w:val="BookText"/>
        <w:rPr/>
      </w:pPr>
      <w:r>
        <w:rPr>
          <w:rFonts w:ascii="Amiri" w:hAnsi="Amiri" w:eastAsia="Amiri" w:cs="Amiri"/>
          <w:color w:val="111111"/>
          <w:sz w:val="28"/>
          <w:sz w:val="28"/>
          <w:szCs w:val="28"/>
          <w:rtl w:val="true"/>
          <w:lang w:bidi="ar-SA"/>
        </w:rPr>
        <w:t>المحكمة ومجلس القضاء للحلف، حتّى لا يحتاج الحاكم إلى الاستنابة، فإنّ الاستنابة للحاكم بأنّ يستنيب أحداً لإحلاف المدّعى عليه خارج المحكمة غير جائز إلا إذا كان معذوراً عن الحضور في المحكمة لعذر شرعي أو 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يجوز الاستنابةفي مجلس القضاء وحضور الحاكم، بأن يستنيب أحداً كان عارفاً بموازين القضاء أن يحلف المدّعى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الأصل عدم ترتّب الأثر على اليمين، الذي اتي بها باستحلاف غير الحاكم نيابة عن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المتبادر من أدلّة موازين القضاء، وهو أنّ الاستحلاف كان وظيفة للقاضي، كما أنّ أصل القضاء كذلك، فلا يجوز الاستنابة فيه كما لا يجوز في أصل القضاء وباستظهار المباشرة من قوله تعالى جواباً لما شكى به نبيّ من الأنبياء من القضاء بما لم تر العين، ولم تسمع الاذن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إقض بينهم بالبيّنات وأضفهم إلى اسمي يحلفون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الظاهر منه مباشرته في ذلك بنفسه فلا تصحّ الاستنابة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Style w:val="FootnoteAnchor"/>
          <w:rtl w:val="true"/>
        </w:rPr>
        <w:footnoteReference w:id="1088"/>
      </w:r>
      <w:r>
        <w:rPr>
          <w:rFonts w:ascii="Amiri" w:hAnsi="Amiri" w:eastAsia="Amiri" w:cs="Amiri"/>
          <w:color w:val="111111"/>
          <w:sz w:val="28"/>
          <w:sz w:val="28"/>
          <w:szCs w:val="28"/>
          <w:rtl w:val="true"/>
          <w:lang w:bidi="ar-SA"/>
        </w:rPr>
        <w:t>على الأصل بأنّه مقطوع بالإطلاقات، وعلى دعوى التبادر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استظهار المباشرة بأنّهما ممنوعتان،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ذهب بعضهم إلى عدم الاشتراط، أي عدم اشتراط المباشرة، بل جوّزوا الاستنابة للحاكم</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 الاستحلاف ليس مثل أصل القضاء، فإنّه من مقدّمات القضاء، مثل إحضار الشهود واستماع شهادتهم، وكسب نظر الخبراء في المورد، وغيره</w:t>
      </w:r>
      <w:bookmarkStart w:id="575" w:name="pg1791_16145"/>
    </w:p>
    <w:p>
      <w:pPr>
        <w:pStyle w:val="BookText"/>
        <w:rPr/>
      </w:pPr>
      <w:bookmarkEnd w:id="575"/>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الحلف على البتّ؛ سواء كان في فعل نفسه أو فعل غيره، وسواء كان في نفي أو إثبات، فمع علمه بالواقعة يجوز الحلف، ومع عدم علمه لا يجوز إلا على عدم العلم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لا يلزم تصدّيها للحاكم مباشرة، بل يجوز الاستنابة فيها كما هو المتعارف</w:t>
      </w:r>
      <w:r>
        <w:rPr>
          <w:rFonts w:eastAsia="Amiri" w:cs="Amiri" w:ascii="Amiri" w:hAnsi="Amiri"/>
          <w:color w:val="111111"/>
          <w:sz w:val="28"/>
          <w:szCs w:val="28"/>
          <w:rtl w:val="true"/>
          <w:lang w:bidi="ar-SA"/>
        </w:rPr>
        <w:t>.</w:t>
      </w:r>
    </w:p>
    <w:p>
      <w:pPr>
        <w:pStyle w:val="Heading4"/>
        <w:numPr>
          <w:ilvl w:val="3"/>
          <w:numId w:val="1"/>
        </w:numPr>
        <w:rPr/>
      </w:pPr>
      <w:bookmarkStart w:id="576" w:name="__RefHeading___Toc2354829_3650668749"/>
      <w:bookmarkStart w:id="577" w:name="_Toc211"/>
      <w:bookmarkEnd w:id="576"/>
      <w:r>
        <w:rPr>
          <w:rtl w:val="true"/>
        </w:rPr>
        <w:t>في وجوب كون الحالف على علم وجزم‌</w:t>
      </w:r>
      <w:bookmarkEnd w:id="577"/>
    </w:p>
    <w:p>
      <w:pPr>
        <w:pStyle w:val="Heading5"/>
        <w:numPr>
          <w:ilvl w:val="4"/>
          <w:numId w:val="1"/>
        </w:numPr>
        <w:rPr/>
      </w:pPr>
      <w:bookmarkStart w:id="578" w:name="__RefHeading___Toc2354831_3650668749"/>
      <w:bookmarkStart w:id="579" w:name="_Toc212"/>
      <w:bookmarkEnd w:id="578"/>
      <w:r>
        <w:rPr>
          <w:rtl w:val="true"/>
        </w:rPr>
        <w:t>اشارة</w:t>
      </w:r>
      <w:bookmarkEnd w:id="5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المسألة ذات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 في فعل نفس الحالف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 في فعل نفس الحالف نفياً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 في فعل غير الحالف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 في فعل غير الحالف نفياً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وقع البحث في هذه المسألة في كيفية الحلف وأنّه لا بدّ أن يكون الحالف على علم وعلى البتّ، فنقول</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إشكال في أنّ الأصل في اليمين أن يكون متوجّهاً إلى المدّعى عليه، وذلك لدلالة الأخبار المستفيضة عليه والإجماع بقسميه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يخرج عن الأصل المذكور وبتوجّه اليمين إلى المدّعي لدلالة دليل على المورد مثل ما إذا ردّ المدّعى عليه اليمين إلى المدّعي فله أن يحلف ويثبت حقّه كما تقدّم، لدلالة الأخبار عليه، وكذا إذا نكل المنكر عن اليمين، وعن الردّ فردّ الحاكم اليمين إلى المدّعي، أو كانت الدعوى على الميّت فيلزم على المدّعي مع إقامة البيّنة اليمين</w:t>
      </w:r>
    </w:p>
    <w:p>
      <w:pPr>
        <w:pStyle w:val="BookText"/>
        <w:rPr/>
      </w:pPr>
      <w:r>
        <w:rPr>
          <w:rFonts w:ascii="Amiri" w:hAnsi="Amiri" w:eastAsia="Amiri" w:cs="Amiri"/>
          <w:color w:val="111111"/>
          <w:sz w:val="28"/>
          <w:sz w:val="28"/>
          <w:szCs w:val="28"/>
          <w:rtl w:val="true"/>
          <w:lang w:bidi="ar-SA"/>
        </w:rPr>
        <w:t>استظهاراً، أو كان له شاهد واحد في الدعاوي المالية، فله أن ينضمّ إليه اليمين فيثبت حقّه بالشاهد الواحد مع اليمين، وكذا غيرها من الموارد التي دلّ 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الحكم بوجوب كون الحلف على العلم والبتّ، بين أن يكون الحالف هو المدّعي نفسه، وبين أن يكون المدّعى عليه فيجب على الحالف أن يحلف على علم وجزم بما يحلف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والإجماع من الأصحاب، فإنّه لا خلاف بينهم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يستدلّ بصحيحة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يحلف الرجل إلا على علمه</w:t>
      </w:r>
      <w:r>
        <w:rPr>
          <w:rFonts w:eastAsia="Amiri" w:cs="Amiri" w:ascii="Amiri" w:hAnsi="Amiri"/>
          <w:color w:val="111111"/>
          <w:sz w:val="28"/>
          <w:szCs w:val="28"/>
          <w:rtl w:val="true"/>
          <w:lang w:bidi="ar-SA"/>
        </w:rPr>
        <w:t>»</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يستدلّ أيضاً بصحيحة محمّد بن مسلم في قضية الأخرس فإنّ أمير المؤمنين كتب بعد ذكر الجلالة مع التغليظ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فلان بن فلان المدّعي ليس له قبل فلان بن فلان أعني الأخرس حقّ ولا طلبة بوجه من الوجوه</w:t>
      </w:r>
      <w:r>
        <w:rPr>
          <w:rFonts w:eastAsia="Amiri" w:cs="Amiri" w:ascii="Amiri" w:hAnsi="Amiri"/>
          <w:color w:val="111111"/>
          <w:sz w:val="28"/>
          <w:szCs w:val="28"/>
          <w:rtl w:val="true"/>
          <w:lang w:bidi="ar-SA"/>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يستدلّ بخبر البصري في الدعوى على الميّت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فعلى المدّعي اليمين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مات فلان وإنّ حقّه لعليه</w:t>
      </w:r>
      <w:r>
        <w:rPr>
          <w:rFonts w:eastAsia="Amiri" w:cs="Amiri" w:ascii="Amiri" w:hAnsi="Amiri"/>
          <w:color w:val="111111"/>
          <w:sz w:val="28"/>
          <w:szCs w:val="28"/>
          <w:rtl w:val="true"/>
          <w:lang w:bidi="ar-SA"/>
        </w:rPr>
        <w:t>»</w:t>
      </w:r>
      <w:r>
        <w:rPr>
          <w:rStyle w:val="FootnoteAnchor"/>
          <w:rtl w:val="true"/>
        </w:rPr>
        <w:footnoteReference w:id="10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الرواية يكون الحالف المدّعي</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يستدلّ بخبر ابن أبي يعفور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فاستحلفه فحلف أن لا حقّ له قبله ذهبت اليمين بحقّ المدّعي</w:t>
      </w:r>
      <w:r>
        <w:rPr>
          <w:rFonts w:eastAsia="Amiri" w:cs="Amiri" w:ascii="Amiri" w:hAnsi="Amiri"/>
          <w:color w:val="111111"/>
          <w:sz w:val="28"/>
          <w:szCs w:val="28"/>
          <w:rtl w:val="true"/>
          <w:lang w:bidi="ar-SA"/>
        </w:rPr>
        <w:t>»</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bookmarkStart w:id="580" w:name="pg1791_16149"/>
    </w:p>
    <w:p>
      <w:pPr>
        <w:pStyle w:val="Heading5"/>
        <w:numPr>
          <w:ilvl w:val="4"/>
          <w:numId w:val="1"/>
        </w:numPr>
        <w:rPr/>
      </w:pPr>
      <w:bookmarkStart w:id="581" w:name="__RefHeading___Toc2354833_3650668749"/>
      <w:bookmarkStart w:id="582" w:name="_Toc213"/>
      <w:bookmarkEnd w:id="580"/>
      <w:bookmarkEnd w:id="581"/>
      <w:r>
        <w:rPr>
          <w:rtl w:val="true"/>
        </w:rPr>
        <w:t>في وجوب كون الحلف على البتّ في جميع الصور من غير استثناء</w:t>
      </w:r>
      <w:bookmarkEnd w:id="582"/>
    </w:p>
    <w:p>
      <w:pPr>
        <w:pStyle w:val="BookText"/>
        <w:rPr/>
      </w:pPr>
      <w:r>
        <w:rPr>
          <w:rFonts w:ascii="Amiri" w:hAnsi="Amiri" w:eastAsia="Amiri" w:cs="Amiri"/>
          <w:color w:val="111111"/>
          <w:sz w:val="28"/>
          <w:sz w:val="28"/>
          <w:szCs w:val="28"/>
          <w:rtl w:val="true"/>
          <w:lang w:bidi="ar-SA"/>
        </w:rPr>
        <w:t>والحالف قد يحلف على فعل نفسه إثباتاً أو نفياً، وقد يحلف على فعل غيره إثباتاً أو نفياً 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 على فعل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يحلف على البتّ والقطع، لأنّه علم بفعل نفسه أو عدمه، فإذا كان عالماً يحلف على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 على فعل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الحلف على فعل الغير إثباتاً، فيحلف أيضاً على علم وبتّ، فإنّ الاطّلاع على فعل الغير إثباتاً ممكن بالمشاهدة وغيرها، وأمّا إذا كان الحلف على نفي فعل الغير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يحلف على عدم العلم فإنّه لا يطّلع على جميع أفعال الغير حتّى يحلف على نفيه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قرّر المسألة بتقريرين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يختصر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على البتّ أبداً، إلا إذا حلف على نفي فعل الغير</w:t>
      </w:r>
      <w:r>
        <w:rPr>
          <w:rFonts w:eastAsia="Amiri" w:cs="Amiri" w:ascii="Amiri" w:hAnsi="Amiri"/>
          <w:color w:val="111111"/>
          <w:sz w:val="28"/>
          <w:szCs w:val="28"/>
          <w:rtl w:val="true"/>
          <w:lang w:bidi="ar-SA"/>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رجل على أحد ديناً بعنوان القرض مثلًا، فأنكره المدّعى عليه وحلف على نفي الاستقراض منه، ولو ردّ الحلف على المدّعي فحلف على إثبات الفرض، فهناك يكون الحالف على علم وجزم على فعل نفسه نفياً كما في الأوّل وإثباتاً كما في الثاني</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ادّعى رجل على آخر بغصب ماله أو سرقته وأنكره الآخر ولم يحلف، بل ردّ اليمين على المدّعي فإنّه يحلف جزماً وعلى بتّ بغصب المال أو سرقته منه، فهذا حلف على فعل الغير إثباتاً ويكون على علم وبتّ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الاخرى، وهي الحلف على نفي فعل الغير، مثل أن يدّعي رجل على مورّث أحد بدين،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الوارث إنّي لا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يمكن له الحلف على بتّ على عدم كون موّرثه مديوناً فإنّه من‌الممكن أن لا يطّلع عليه وكان مديوناً واقعاً، فحينئذٍ له الحلف على عدم‌العلم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فعل الغير قد يكون مقيّداً بقيود زماني أو مكاني أو غيره، بحيث لو فعله كان يطّلع عليه الآخر قطعاً، فإذا ادّعي عليه المورّث في المثال أمكن أن يحلف الوارث على نفيه عن مورّثه على بتّ وجزم، فحينئذٍ في هذه الصورة أيضاً لو كان عالماً بنفي الفعل عن الآخر يحلف عن جزم وبتّ على عدم تحقّق الفعل من الآخر، لا الحلف على عدم العلم، فإنّ الحلف على عدم العلم مؤثّر فيما إذا ادّعى على الوارث العلم بكون مورّثه مديوناً، ويسقط به الدعوى ويكون الحلف أيضاً على بتّ وعلم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فيما لم يدّع عليه العلم، فالحلف على عدم العلم بالنسبة إلى الواقع لا أثر 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في جميع الصور الأربعة لا بدّ أن يكون الحلف على البتّ من غير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والضابط أنّ اليمين على علم دائماً</w:t>
      </w:r>
      <w:r>
        <w:rPr>
          <w:rFonts w:eastAsia="Amiri" w:cs="Amiri" w:ascii="Amiri" w:hAnsi="Amiri"/>
          <w:color w:val="111111"/>
          <w:sz w:val="28"/>
          <w:szCs w:val="28"/>
          <w:rtl w:val="true"/>
          <w:lang w:bidi="ar-SA"/>
        </w:rPr>
        <w:t>»</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الحلف على البتّ في فعل نفسه نفياً وإثباتاً، وفي فعل غيره 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نفي فعل غيره فيحلف على عدم العلم، والأقوى عدم الفرق بين فعل نفسه وغيره فمع علمه بالحال يحلف على البتّ ولو في نفي فعل</w:t>
      </w:r>
      <w:bookmarkStart w:id="583" w:name="pg1791_16153"/>
    </w:p>
    <w:p>
      <w:pPr>
        <w:pStyle w:val="BookText"/>
        <w:rPr/>
      </w:pPr>
      <w:bookmarkEnd w:id="583"/>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الحلف على مال الغير أو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إثباتاً أو إسقاطاً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أجنبيّاً عن الدعوى، كما لو حلف زيد على براءة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 الوليّ الإجباري أو القيّم على الصغير أو المتولّي للوقف تردّد، والأشبه عدم الجواز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غيره، وإن لم يكن عالماً وادّعى المدّعى عليه العلم حلف على نفيه</w:t>
      </w:r>
      <w:r>
        <w:rPr>
          <w:rFonts w:eastAsia="Amiri" w:cs="Amiri" w:ascii="Amiri" w:hAnsi="Amiri"/>
          <w:color w:val="111111"/>
          <w:sz w:val="28"/>
          <w:szCs w:val="28"/>
          <w:rtl w:val="true"/>
          <w:lang w:bidi="ar-SA"/>
        </w:rPr>
        <w:t>»</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وكلام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كذلك وهو الحقّ كما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على ما قالوا من الضابطة إشكال آخر، وهو أنّ الحلف على فعل نفسه أو نفي فعل نفسه لا يكون على الجزم وعلى البتّ دائماً، فإنّه من الممكن أن يفعل عملًا ثمّ نسيه أو لم يفعل ونسي وتخيّل الفعل فإذا ادّعى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إذا ادّعى عليه أنّه باعه شيئاً وهو نسيه فلا يمكن له الحلف على نفيه جزماً، وإن كان فعل نفسه، 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فتكون الضابطة أنّه إذا ادّعى عليه أمر، فلو تذكّر حلف على البتّ وإلا حلف على نفي العلم ولو كان فعل نفسه إثباتاً أو نفياً</w:t>
      </w:r>
      <w:r>
        <w:rPr>
          <w:rFonts w:eastAsia="Amiri" w:cs="Amiri" w:ascii="Amiri" w:hAnsi="Amiri"/>
          <w:color w:val="111111"/>
          <w:sz w:val="28"/>
          <w:szCs w:val="28"/>
          <w:rtl w:val="true"/>
          <w:lang w:bidi="ar-SA"/>
        </w:rPr>
        <w:t>.</w:t>
      </w:r>
    </w:p>
    <w:p>
      <w:pPr>
        <w:pStyle w:val="Heading4"/>
        <w:numPr>
          <w:ilvl w:val="3"/>
          <w:numId w:val="1"/>
        </w:numPr>
        <w:rPr/>
      </w:pPr>
      <w:bookmarkStart w:id="584" w:name="__RefHeading___Toc2354835_3650668749"/>
      <w:bookmarkStart w:id="585" w:name="_Toc214"/>
      <w:bookmarkEnd w:id="584"/>
      <w:r>
        <w:rPr>
          <w:rtl w:val="true"/>
        </w:rPr>
        <w:t>عدم جواز الحلف على مال الغير إلا في الوليّ والمتولّي للوقف‌</w:t>
      </w:r>
      <w:bookmarkEnd w:id="585"/>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الحلف على إثبات مال الغير أو حقّه أو على نفيه‌وإسقاطه فيما إذا كان الحالف أجنبيّاً عن الدعوى وغير مرتبط بها،</w:t>
      </w:r>
    </w:p>
    <w:p>
      <w:pPr>
        <w:pStyle w:val="BookText"/>
        <w:rPr/>
      </w:pPr>
      <w:r>
        <w:rPr>
          <w:rFonts w:ascii="Amiri" w:hAnsi="Amiri" w:eastAsia="Amiri" w:cs="Amiri"/>
          <w:color w:val="111111"/>
          <w:sz w:val="28"/>
          <w:sz w:val="28"/>
          <w:szCs w:val="28"/>
          <w:rtl w:val="true"/>
          <w:lang w:bidi="ar-SA"/>
        </w:rPr>
        <w:t>لايصحّ‌ولا يترتّب عليه آثار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يرسلونه إرسال المسلّمات</w:t>
      </w:r>
      <w:r>
        <w:rPr>
          <w:rFonts w:eastAsia="Amiri" w:cs="Amiri" w:ascii="Amiri" w:hAnsi="Amiri"/>
          <w:color w:val="111111"/>
          <w:sz w:val="28"/>
          <w:szCs w:val="28"/>
          <w:rtl w:val="true"/>
          <w:lang w:bidi="ar-SA"/>
        </w:rPr>
        <w:t>»</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والدليل على ذلك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يعني أنّ الأصل عدم ترتّب الأثر على هذا اليمين من ذهاب حقّ المدّعي، وسقوط دعواه وعدم جواز التقاصّ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الروايات في اعتبار كون الحلف على مال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 إلى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097"/>
      </w:r>
      <w:r>
        <w:rPr>
          <w:rFonts w:ascii="Amiri" w:hAnsi="Amiri" w:eastAsia="Amiri" w:cs="Amiri"/>
          <w:color w:val="111111"/>
          <w:sz w:val="28"/>
          <w:sz w:val="28"/>
          <w:szCs w:val="28"/>
          <w:rtl w:val="true"/>
          <w:lang w:bidi="ar-SA"/>
        </w:rPr>
        <w:t>أمراً رابعاً، وهو أنّ الحلف ثابت فيما إذا نكل عنه يثبت الحقّ عليه أو إذا أقرّ بالحقّ ثبت على عهدته، ولا يتحقّق شي‌ء منهما في حقّ الغير إذا كان الحالف أجنبيّاً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فيما إذا كان الحالف أجنبيّاً عن الدعوى والمال وغير مرتبط بها صحيح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فيما لو فرضنا كونه وليّاً قهريّاً للمالك الصغير كالأب مثلًا، أو قيّماً منصوباً من طرف أبيه بحيث يتصرّفان في المال كتصرّف الملاك وكان المال في اختيارهما وبيدهما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متولّي الوقف؛ فالظاهر صدق كونهم طرفاً للدعوى عرفاً ويصدق عليهم المنكر فيشملهم 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أقضى بينكم بالبيّنات والأيمان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واليمين على المنكر</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هذه الموارد لا تكون الاستدلالات تامّة للُامور التالية</w:t>
      </w:r>
      <w:r>
        <w:rPr>
          <w:rFonts w:eastAsia="Amiri" w:cs="Amiri" w:ascii="Amiri" w:hAnsi="Amiri"/>
          <w:color w:val="111111"/>
          <w:sz w:val="28"/>
          <w:szCs w:val="28"/>
          <w:rtl w:val="true"/>
          <w:lang w:bidi="ar-SA"/>
        </w:rPr>
        <w:t>.</w:t>
      </w:r>
      <w:bookmarkStart w:id="586" w:name="pg1791_16157"/>
    </w:p>
    <w:p>
      <w:pPr>
        <w:pStyle w:val="BookText"/>
        <w:rPr/>
      </w:pPr>
      <w:bookmarkEnd w:id="586"/>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تثبت اليمين في الدعاوي الماليّة وغيرها كالنكاح والطلاق والقتل، ولا تثبت في الحدود فإنّها لا تثبت إلا بالإقرار أو البيّنة بالشرائط المقرّرة في محلّها،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الإجماع في الموارد الثلاث غير محقّق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مقطوع بالإطلاقات الماضية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 الروايات أيضاً ممنوع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واختصاص الحلف بما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098"/>
      </w:r>
      <w:r>
        <w:rPr>
          <w:rFonts w:ascii="IRNazanin" w:hAnsi="IRNazanin" w:eastAsia="IRNazanin"/>
          <w:color w:val="111111"/>
          <w:sz w:val="28"/>
          <w:sz w:val="28"/>
          <w:szCs w:val="28"/>
          <w:rtl w:val="true"/>
          <w:lang w:bidi="fa-IR"/>
        </w:rPr>
        <w:t>لا شاهد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ولذا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مثل الوليّ الإجباري أو القيّم على الصغير أو المتولّي للوقف تردّد</w:t>
      </w:r>
      <w:r>
        <w:rPr>
          <w:rFonts w:eastAsia="Amiri" w:cs="Amiri" w:ascii="Amiri" w:hAnsi="Amiri"/>
          <w:color w:val="111111"/>
          <w:sz w:val="28"/>
          <w:szCs w:val="28"/>
          <w:rtl w:val="true"/>
          <w:lang w:bidi="ar-SA"/>
        </w:rPr>
        <w:t>»</w:t>
      </w:r>
      <w:r>
        <w:rPr>
          <w:rStyle w:val="FootnoteAnchor"/>
          <w:rtl w:val="true"/>
        </w:rPr>
        <w:footnoteReference w:id="1099"/>
      </w:r>
      <w:r>
        <w:rPr>
          <w:rFonts w:ascii="Amiri" w:hAnsi="Amiri" w:eastAsia="Amiri" w:cs="Amiri"/>
          <w:color w:val="111111"/>
          <w:sz w:val="28"/>
          <w:sz w:val="28"/>
          <w:szCs w:val="28"/>
          <w:rtl w:val="true"/>
          <w:lang w:bidi="ar-SA"/>
        </w:rPr>
        <w:t xml:space="preserve">ولكنه خرج عن الترديد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والأشبه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لترجيحه استدلال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الأقوى صحّة الحلف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 الإجباري أو القيم على الصغير أو المتولّي للوقف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المنكر عليهم عرفاً وهم طرف الدعوى في المحكمة بلا إشكال</w:t>
      </w:r>
      <w:r>
        <w:rPr>
          <w:rFonts w:eastAsia="Amiri" w:cs="Amiri" w:ascii="Amiri" w:hAnsi="Amiri"/>
          <w:color w:val="111111"/>
          <w:sz w:val="28"/>
          <w:szCs w:val="28"/>
          <w:rtl w:val="true"/>
          <w:lang w:bidi="ar-SA"/>
        </w:rPr>
        <w:t>.</w:t>
      </w:r>
    </w:p>
    <w:p>
      <w:pPr>
        <w:pStyle w:val="Heading4"/>
        <w:numPr>
          <w:ilvl w:val="3"/>
          <w:numId w:val="1"/>
        </w:numPr>
        <w:rPr/>
      </w:pPr>
      <w:bookmarkStart w:id="587" w:name="__RefHeading___Toc2354837_3650668749"/>
      <w:bookmarkStart w:id="588" w:name="_Toc215"/>
      <w:bookmarkEnd w:id="587"/>
      <w:r>
        <w:rPr>
          <w:rtl w:val="true"/>
        </w:rPr>
        <w:t>في عدم توجّه اليمين في الحدود</w:t>
      </w:r>
      <w:bookmarkEnd w:id="588"/>
    </w:p>
    <w:p>
      <w:pPr>
        <w:pStyle w:val="Heading5"/>
        <w:numPr>
          <w:ilvl w:val="4"/>
          <w:numId w:val="1"/>
        </w:numPr>
        <w:rPr/>
      </w:pPr>
      <w:bookmarkStart w:id="589" w:name="__RefHeading___Toc2354839_3650668749"/>
      <w:bookmarkStart w:id="590" w:name="_Toc216"/>
      <w:bookmarkEnd w:id="589"/>
      <w:r>
        <w:rPr>
          <w:rtl w:val="true"/>
        </w:rPr>
        <w:t>اشارة</w:t>
      </w:r>
      <w:bookmarkEnd w:id="590"/>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ثبوت القسم في جميع الدعاوي، مالية كانت أو غيرها كالنكاح والطلاق والقتل وغيرها، ولكن يستثني من ذلك الحدود فإنّه لا يثبت فيها اليمين، بل كانت طريق إثباتها البيّنة أو الإقرار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تسمع الدعوى في الحدود، مجرّدة عن البيّنة ولا يتوجّه اليمين على المنكر</w:t>
      </w:r>
      <w:r>
        <w:rPr>
          <w:rFonts w:eastAsia="Amiri" w:cs="Amiri" w:ascii="Amiri" w:hAnsi="Amiri"/>
          <w:color w:val="111111"/>
          <w:sz w:val="28"/>
          <w:szCs w:val="28"/>
          <w:rtl w:val="true"/>
          <w:lang w:bidi="ar-SA"/>
        </w:rPr>
        <w:t>»</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تعرّض للمسألة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سماع الدعوى في الحدود من دون أن يكون للمدّعي البيّنة وذلك لما تقدّم في شرائط سماع الدعوى أنّه لا بدّ أن يكون الدعوى مرتبطة به، ولا يكون أجنبيّاً عنها، كما إذا كان مالكاً أو ذا حقّ أو كان وكيلًا أو وليّاً أو قيّماً أو متولّياً وأمثالها، وفي الحدود لا يكون كذلك، فإنّها حقّ الله عزّ وجلّ وهو مستحقّها، ولا يكون المدّعي مستحقّاً لها ولا يكون مرتبط بها، فلا يسمع دعواه فيها مجرّدة عن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والمستحقّ وهو الله عزّ وجلّ لم يأذن في الدعوى ولم يطلب الإثبات، بل الظاهر هو أمره بخلاف ذلك لأمره بدرء الحدود بالشبهات كما في حديث محمّد بن علي بن الحسين،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ادرؤوا الحدود بالشبهات، ولا شفاعة، ولا كفالة، ولا يمين في حدّ</w:t>
      </w:r>
      <w:r>
        <w:rPr>
          <w:rFonts w:eastAsia="Amiri" w:cs="Amiri" w:ascii="Amiri" w:hAnsi="Amiri"/>
          <w:color w:val="111111"/>
          <w:sz w:val="28"/>
          <w:szCs w:val="28"/>
          <w:rtl w:val="true"/>
          <w:lang w:bidi="ar-SA"/>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أمره بالتوبة من موجبها من غير أن يظهره للحاكم كما نقل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 الذي أقرّ أربع مرّات أنّه قال لقنبر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احتفظ به ثمّ غضب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بالرجل منكم أن يأتي بعض هذه الفواحش فيفضح نفسه على رؤوس الملأ أفلا تاب في بيته فوالله لتوبته فيما بينه وبين الله أفضل من إقامتي عليه الحدّ</w:t>
      </w:r>
      <w:r>
        <w:rPr>
          <w:rFonts w:eastAsia="Amiri" w:cs="Amiri" w:ascii="Amiri" w:hAnsi="Amiri"/>
          <w:color w:val="111111"/>
          <w:sz w:val="28"/>
          <w:szCs w:val="28"/>
          <w:rtl w:val="true"/>
          <w:lang w:bidi="ar-SA"/>
        </w:rPr>
        <w:t>»</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فقال إنّي زنيت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استتر ثمّ تاب كان خيراً له</w:t>
      </w:r>
      <w:r>
        <w:rPr>
          <w:rFonts w:eastAsia="Amiri" w:cs="Amiri" w:ascii="Amiri" w:hAnsi="Amiri"/>
          <w:color w:val="111111"/>
          <w:sz w:val="28"/>
          <w:szCs w:val="28"/>
          <w:rtl w:val="true"/>
          <w:lang w:bidi="ar-SA"/>
        </w:rPr>
        <w:t>»</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أتى رجل أمير المؤمنين فقال يا أمير المؤمنين إنّي زنيت فطهّرني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دعاك إلى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الطهارة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طهارة أفضل من التوبة</w:t>
      </w:r>
      <w:r>
        <w:rPr>
          <w:rFonts w:eastAsia="Amiri" w:cs="Amiri" w:ascii="Amiri" w:hAnsi="Amiri"/>
          <w:color w:val="111111"/>
          <w:sz w:val="28"/>
          <w:szCs w:val="28"/>
          <w:rtl w:val="true"/>
          <w:lang w:bidi="ar-SA"/>
        </w:rPr>
        <w:t>»</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نقل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طرق العامّة</w:t>
      </w:r>
      <w:r>
        <w:rPr>
          <w:rStyle w:val="FootnoteAnchor"/>
          <w:rtl w:val="true"/>
        </w:rPr>
        <w:footnoteReference w:id="1106"/>
      </w:r>
      <w:r>
        <w:rPr>
          <w:rFonts w:ascii="Amiri" w:hAnsi="Amiri" w:eastAsia="Amiri" w:cs="Amiri"/>
          <w:color w:val="111111"/>
          <w:sz w:val="28"/>
          <w:sz w:val="28"/>
          <w:szCs w:val="28"/>
          <w:rtl w:val="true"/>
          <w:lang w:bidi="ar-SA"/>
        </w:rPr>
        <w:t xml:space="preserve">أنّه 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حمل رجلًا على الإقرار عنده بالزنا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سترته بثوبك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سماع الدعوى في الحدود مع البيّنة أنّ الحدود تثبت بالبيّنة من غير دخالة في الدعوى فيها، بل ولو لم يكن مدّعي أصلًا وأقامت البيّنة تبرّعاً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تتوجّه اليمين في الحدود على المنكر وذلك لما دلّ عليه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ادرؤوا الحدود بالشبهات ولا شفاعة ولا كفالة ولا يمين في حدّ</w:t>
      </w:r>
      <w:r>
        <w:rPr>
          <w:rFonts w:eastAsia="Amiri" w:cs="Amiri" w:ascii="Amiri" w:hAnsi="Amiri"/>
          <w:color w:val="111111"/>
          <w:sz w:val="28"/>
          <w:szCs w:val="28"/>
          <w:rtl w:val="true"/>
          <w:lang w:bidi="ar-SA"/>
        </w:rPr>
        <w:t>»</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غياث بن إبراهيم، عن جعفر، عن أبيه،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يستحلف صاحب الحدّ</w:t>
      </w:r>
      <w:r>
        <w:rPr>
          <w:rFonts w:eastAsia="Amiri" w:cs="Amiri" w:ascii="Amiri" w:hAnsi="Amiri"/>
          <w:color w:val="111111"/>
          <w:sz w:val="28"/>
          <w:szCs w:val="28"/>
          <w:rtl w:val="true"/>
          <w:lang w:bidi="ar-SA"/>
        </w:rPr>
        <w:t>»</w:t>
      </w:r>
      <w:r>
        <w:rPr>
          <w:rStyle w:val="FootnoteAnchor"/>
          <w:rtl w:val="true"/>
        </w:rPr>
        <w:footnoteReference w:id="1108"/>
      </w:r>
      <w:r>
        <w:rPr>
          <w:rFonts w:ascii="Amiri" w:hAnsi="Amiri" w:eastAsia="Amiri" w:cs="Amiri"/>
          <w:color w:val="111111"/>
          <w:sz w:val="28"/>
          <w:sz w:val="28"/>
          <w:szCs w:val="28"/>
          <w:rtl w:val="true"/>
          <w:lang w:bidi="ar-SA"/>
        </w:rPr>
        <w:t>المراد منه من يجب إجراء الحدّ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رجل أمير المؤمنين برجل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قذفني ولم تكن له بيّنة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استحلفه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يمين في حدّ ولا قصاص في عظم</w:t>
      </w:r>
      <w:r>
        <w:rPr>
          <w:rFonts w:eastAsia="Amiri" w:cs="Amiri" w:ascii="Amiri" w:hAnsi="Amiri"/>
          <w:color w:val="111111"/>
          <w:sz w:val="28"/>
          <w:szCs w:val="28"/>
          <w:rtl w:val="true"/>
          <w:lang w:bidi="ar-SA"/>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فأحلفه لي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عليه يمين</w:t>
      </w:r>
      <w:r>
        <w:rPr>
          <w:rFonts w:eastAsia="Amiri" w:cs="Amiri" w:ascii="Amiri" w:hAnsi="Amiri"/>
          <w:color w:val="111111"/>
          <w:sz w:val="28"/>
          <w:szCs w:val="28"/>
          <w:rtl w:val="true"/>
          <w:lang w:bidi="ar-SA"/>
        </w:rPr>
        <w:t>»</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 أنّ الدعوى في الحدود غير مسموعة، ولا تتوجّه اليمين فيها إلى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111"/>
      </w:r>
      <w:r>
        <w:rPr>
          <w:rFonts w:ascii="Amiri" w:hAnsi="Amiri" w:eastAsia="Amiri" w:cs="Amiri"/>
          <w:color w:val="111111"/>
          <w:sz w:val="28"/>
          <w:sz w:val="28"/>
          <w:szCs w:val="28"/>
          <w:rtl w:val="true"/>
          <w:lang w:bidi="ar-SA"/>
        </w:rPr>
        <w:t xml:space="preserve">بلا خلاف أجده فيه، كما اعترف به غير واحد ومرسلة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Style w:val="FootnoteAnchor"/>
          <w:rtl w:val="true"/>
        </w:rPr>
        <w:footnoteReference w:id="1112"/>
      </w:r>
      <w:r>
        <w:rPr>
          <w:rFonts w:ascii="Amiri" w:hAnsi="Amiri" w:eastAsia="Amiri" w:cs="Amiri"/>
          <w:color w:val="111111"/>
          <w:sz w:val="28"/>
          <w:sz w:val="28"/>
          <w:szCs w:val="28"/>
          <w:rtl w:val="true"/>
          <w:lang w:bidi="ar-SA"/>
        </w:rPr>
        <w:t>مورداً للاعتماد لانتسابه إلى النبيّ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ورواية غياث بن إبراهيم</w:t>
      </w:r>
      <w:r>
        <w:rPr>
          <w:rStyle w:val="FootnoteAnchor"/>
          <w:rtl w:val="true"/>
        </w:rPr>
        <w:footnoteReference w:id="1113"/>
      </w:r>
      <w:r>
        <w:rPr>
          <w:rFonts w:ascii="Amiri" w:hAnsi="Amiri" w:eastAsia="Amiri" w:cs="Amiri"/>
          <w:color w:val="111111"/>
          <w:sz w:val="28"/>
          <w:sz w:val="28"/>
          <w:szCs w:val="28"/>
          <w:rtl w:val="true"/>
          <w:lang w:bidi="ar-SA"/>
        </w:rPr>
        <w:t xml:space="preserve">منجبر بعمل الأصحاب كما قاله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114"/>
      </w:r>
      <w:r>
        <w:rPr>
          <w:rFonts w:ascii="Amiri" w:hAnsi="Amiri" w:eastAsia="Amiri" w:cs="Amiri"/>
          <w:color w:val="111111"/>
          <w:sz w:val="28"/>
          <w:sz w:val="28"/>
          <w:szCs w:val="28"/>
          <w:rtl w:val="true"/>
          <w:lang w:bidi="ar-SA"/>
        </w:rPr>
        <w:t>وكذا رواية الثالثة وهي مرسلة محمّد بن أبي نصر</w:t>
      </w:r>
      <w:r>
        <w:rPr>
          <w:rStyle w:val="FootnoteAnchor"/>
          <w:rtl w:val="true"/>
        </w:rPr>
        <w:footnoteReference w:id="1115"/>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116"/>
      </w:r>
      <w:r>
        <w:rPr>
          <w:rFonts w:ascii="Amiri" w:hAnsi="Amiri" w:eastAsia="Amiri" w:cs="Amiri"/>
          <w:color w:val="111111"/>
          <w:sz w:val="28"/>
          <w:sz w:val="28"/>
          <w:szCs w:val="28"/>
          <w:rtl w:val="true"/>
          <w:lang w:bidi="ar-SA"/>
        </w:rPr>
        <w:t xml:space="preserve">في المرسل الذي كالصحيح بابن أبي عمير على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1117"/>
      </w:r>
      <w:r>
        <w:rPr>
          <w:rFonts w:ascii="Amiri" w:hAnsi="Amiri" w:eastAsia="Amiri" w:cs="Amiri"/>
          <w:color w:val="111111"/>
          <w:sz w:val="28"/>
          <w:sz w:val="28"/>
          <w:szCs w:val="28"/>
          <w:rtl w:val="true"/>
          <w:lang w:bidi="ar-SA"/>
        </w:rPr>
        <w:t xml:space="preserve">والبزنطي على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1118"/>
      </w:r>
      <w:r>
        <w:rPr>
          <w:rFonts w:ascii="Amiri" w:hAnsi="Amiri" w:eastAsia="Amiri" w:cs="Amiri"/>
          <w:color w:val="111111"/>
          <w:sz w:val="28"/>
          <w:sz w:val="28"/>
          <w:szCs w:val="28"/>
          <w:rtl w:val="true"/>
          <w:lang w:bidi="ar-SA"/>
        </w:rPr>
        <w:t>من أصحاب الإجماع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وسهل بن زياد من شيوخ الإجازة ولذا</w:t>
      </w:r>
      <w:bookmarkStart w:id="591" w:name="pg1791_16166"/>
    </w:p>
    <w:p>
      <w:pPr>
        <w:pStyle w:val="BookText"/>
        <w:rPr/>
      </w:pPr>
      <w:bookmarkEnd w:id="591"/>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في سهل،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هنا من التنبيه على امور</w:t>
      </w:r>
      <w:r>
        <w:rPr>
          <w:rFonts w:eastAsia="Amiri" w:cs="Amiri" w:ascii="Amiri" w:hAnsi="Amiri"/>
          <w:color w:val="111111"/>
          <w:sz w:val="28"/>
          <w:szCs w:val="28"/>
          <w:rtl w:val="true"/>
          <w:lang w:bidi="ar-SA"/>
        </w:rPr>
        <w:t>:</w:t>
      </w:r>
    </w:p>
    <w:p>
      <w:pPr>
        <w:pStyle w:val="Heading5"/>
        <w:numPr>
          <w:ilvl w:val="4"/>
          <w:numId w:val="1"/>
        </w:numPr>
        <w:rPr/>
      </w:pPr>
      <w:bookmarkStart w:id="592" w:name="__RefHeading___Toc2354841_3650668749"/>
      <w:bookmarkStart w:id="593" w:name="_Toc217"/>
      <w:bookmarkEnd w:id="592"/>
      <w:r>
        <w:rPr>
          <w:rtl w:val="true"/>
        </w:rPr>
        <w:t>التنبيه الأوّل</w:t>
      </w:r>
      <w:r>
        <w:rPr>
          <w:rtl w:val="true"/>
        </w:rPr>
        <w:t xml:space="preserve">: </w:t>
      </w:r>
      <w:r>
        <w:rPr>
          <w:rtl w:val="true"/>
        </w:rPr>
        <w:t>في تعميم عدم ثبوت اليمين في الحدّ للتعزير</w:t>
      </w:r>
      <w:bookmarkEnd w:id="593"/>
    </w:p>
    <w:p>
      <w:pPr>
        <w:pStyle w:val="BookText"/>
        <w:rPr/>
      </w:pPr>
      <w:r>
        <w:rPr>
          <w:rFonts w:ascii="Amiri" w:hAnsi="Amiri" w:eastAsia="Amiri" w:cs="Amiri"/>
          <w:color w:val="111111"/>
          <w:sz w:val="28"/>
          <w:sz w:val="28"/>
          <w:szCs w:val="28"/>
          <w:rtl w:val="true"/>
          <w:lang w:bidi="ar-SA"/>
        </w:rPr>
        <w:t>أنّ المراد من الحدود في قولهم لا تسمع الدعوى في الحدود، أو قولهم لا تثبت اليمين في الحدود أعمّ من التعزير فإنّ الحدّ في الروايات، وكذا في كلمات بعض الفقهاء قد يطلق ويراد منه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الآن أمثلة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عبدالرحمن بن الحجّاج، عن أبي إبراهيم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الأرْضَ بَعْدَ مَوْتِهَا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يحييها بالقطر ولكن يبعث الله رجالًا فيحيون العدل فتحيى الأرض لإحياء العدل ولإقامة الحدّ فيه أنفع في الأرض من القطر أربعين صباحاً</w:t>
      </w:r>
      <w:r>
        <w:rPr>
          <w:rFonts w:eastAsia="Amiri" w:cs="Amiri" w:ascii="Amiri" w:hAnsi="Amiri"/>
          <w:color w:val="111111"/>
          <w:sz w:val="28"/>
          <w:szCs w:val="28"/>
          <w:rtl w:val="true"/>
          <w:lang w:bidi="ar-SA"/>
        </w:rPr>
        <w:t>»</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رواية ابن رباط عن أبي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لكلّ شي‌ء حدّاً وجعل على من تعدّى حدّاً من حدود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w:t>
      </w:r>
      <w:r>
        <w:rPr>
          <w:rFonts w:eastAsia="Amiri" w:cs="Amiri" w:ascii="Amiri" w:hAnsi="Amiri"/>
          <w:color w:val="111111"/>
          <w:sz w:val="28"/>
          <w:szCs w:val="28"/>
          <w:rtl w:val="true"/>
          <w:lang w:bidi="ar-SA"/>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رواية سماعة، قال سألته عن شهود زور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يجلدون حدّاً ليس له وقت و ذلك إلى الإمام </w:t>
      </w:r>
      <w:r>
        <w:rPr>
          <w:rFonts w:eastAsia="Amiri" w:cs="Amiri" w:ascii="Amiri" w:hAnsi="Amiri"/>
          <w:color w:val="111111"/>
          <w:sz w:val="28"/>
          <w:szCs w:val="28"/>
          <w:rtl w:val="true"/>
          <w:lang w:bidi="ar-SA"/>
        </w:rPr>
        <w:t>...»</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على ذلك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ادرؤوا الحدود بالشبهات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يمين في 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وسائر الأحكام المترتّبة على الحدود مثل عفو الإمام عن الحدّ</w:t>
      </w:r>
      <w:bookmarkStart w:id="594" w:name="pg1791_16168"/>
    </w:p>
    <w:p>
      <w:pPr>
        <w:pStyle w:val="BookText"/>
        <w:rPr/>
      </w:pPr>
      <w:bookmarkEnd w:id="594"/>
      <w:r>
        <w:rPr>
          <w:rFonts w:ascii="Amiri" w:hAnsi="Amiri" w:eastAsia="Amiri" w:cs="Amiri"/>
          <w:color w:val="111111"/>
          <w:sz w:val="28"/>
          <w:sz w:val="28"/>
          <w:szCs w:val="28"/>
          <w:rtl w:val="true"/>
          <w:lang w:bidi="ar-SA"/>
        </w:rPr>
        <w:t>إذا ثبت بالإقرار مثلًا، يشمل التعزيرات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أغمضنا عن ذلك وقلنا بعدم إطلاق الحدّ على التعزير في هذه الروايات يمكن أيضاً ترتّب هذه الأحكام على التعزيرات بالأوّلوية، فإنّه إذا إدرء الحدّ بالشبهة ففي التعزير بطريق أولى، أو إذا قلنا بأنّه لا يمين في الحدّ، بل المنكر يخلي سبيله من غير يمين لو لم يقم عليه البيّنة ففي التعزير بطريق أولى أيضاً</w:t>
      </w:r>
      <w:r>
        <w:rPr>
          <w:rFonts w:eastAsia="Amiri" w:cs="Amiri" w:ascii="Amiri" w:hAnsi="Amiri"/>
          <w:color w:val="111111"/>
          <w:sz w:val="28"/>
          <w:szCs w:val="28"/>
          <w:rtl w:val="true"/>
          <w:lang w:bidi="ar-SA"/>
        </w:rPr>
        <w:t>.</w:t>
      </w:r>
    </w:p>
    <w:p>
      <w:pPr>
        <w:pStyle w:val="Heading5"/>
        <w:numPr>
          <w:ilvl w:val="4"/>
          <w:numId w:val="1"/>
        </w:numPr>
        <w:rPr/>
      </w:pPr>
      <w:bookmarkStart w:id="595" w:name="__RefHeading___Toc2354843_3650668749"/>
      <w:bookmarkStart w:id="596" w:name="_Toc218"/>
      <w:bookmarkEnd w:id="595"/>
      <w:r>
        <w:rPr>
          <w:rtl w:val="true"/>
        </w:rPr>
        <w:t>التنبيه الثاني</w:t>
      </w:r>
      <w:r>
        <w:rPr>
          <w:rtl w:val="true"/>
        </w:rPr>
        <w:t xml:space="preserve">: </w:t>
      </w:r>
      <w:r>
        <w:rPr>
          <w:rtl w:val="true"/>
        </w:rPr>
        <w:t>سماع الدعوى من المحتسبين في حقوق الله عزّ وجلّ‌</w:t>
      </w:r>
      <w:bookmarkEnd w:id="596"/>
    </w:p>
    <w:p>
      <w:pPr>
        <w:pStyle w:val="BookText"/>
        <w:rPr/>
      </w:pPr>
      <w:r>
        <w:rPr>
          <w:rFonts w:ascii="Amiri" w:hAnsi="Amiri" w:eastAsia="Amiri" w:cs="Amiri"/>
          <w:color w:val="111111"/>
          <w:sz w:val="28"/>
          <w:sz w:val="28"/>
          <w:szCs w:val="28"/>
          <w:rtl w:val="true"/>
          <w:lang w:bidi="ar-SA"/>
        </w:rPr>
        <w:t>أنّه لا بدّ للحاكم الإسلامي وسلطان العادل في الحكومة الإسلامية من نصب أفراد لإصلاح المجتمع وتطهيره وتزكية الامّة من الفساد والغيّ والانحرافات الأخلاقي كما أنّ الرسول كان له عيون في المجتمع ليخبره ما يجري بين الامّة حتّى يجنبهم عن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عيون وكان أيضاً بنفسه‌يمشي في الأسواق ويمنع أهل السوق من الإجحاف والغلاء والاحتكاروالغشّ، وحتّي يجلد المتخلّفون في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ويعبّر عن هذا الأفراد المنصوبين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 الحسبة معروف في الكتب العامّة يبحث فيه عن وظائف المحتسبين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وظائفهم ردع المفسدين والمتجاوزين عن الفساد والتجاوز وإيجاد الفضاء الأمن للناس من أموالهم ونفوسهم وأعراضهم</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رأى أحد منهم شخصاً مرتكباً للزنا أو شرب الخمر فكانت وظيفته اطّلاع الحاكم وطرح الدعوى عليه وكان للحاكم سماع تلك الدعوى وترتيب الأثر عليه بلا إشكال</w:t>
      </w:r>
      <w:r>
        <w:rPr>
          <w:rFonts w:eastAsia="Amiri" w:cs="Amiri" w:ascii="Amiri" w:hAnsi="Amiri"/>
          <w:color w:val="111111"/>
          <w:sz w:val="28"/>
          <w:szCs w:val="28"/>
          <w:rtl w:val="true"/>
          <w:lang w:bidi="ar-SA"/>
        </w:rPr>
        <w:t>.</w:t>
      </w:r>
      <w:bookmarkStart w:id="597" w:name="pg1791_16170"/>
    </w:p>
    <w:p>
      <w:pPr>
        <w:pStyle w:val="BookText"/>
        <w:rPr/>
      </w:pPr>
      <w:bookmarkEnd w:id="597"/>
      <w:r>
        <w:rPr>
          <w:rFonts w:ascii="Amiri" w:hAnsi="Amiri" w:eastAsia="Amiri" w:cs="Amiri"/>
          <w:color w:val="111111"/>
          <w:sz w:val="28"/>
          <w:sz w:val="28"/>
          <w:szCs w:val="28"/>
          <w:rtl w:val="true"/>
          <w:lang w:bidi="ar-SA"/>
        </w:rPr>
        <w:t>فإذا شهد عليه الشهود، أو أمكن أخذا الإقرار منه بحيل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 عن أمير المؤمنين ذلك فيحكم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يمين عليه، بل يخلي سبيله من غير يمين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 قاله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Style w:val="FootnoteAnchor"/>
          <w:rtl w:val="true"/>
        </w:rPr>
        <w:footnoteReference w:id="1122"/>
      </w:r>
      <w:r>
        <w:rPr>
          <w:rFonts w:ascii="Amiri" w:hAnsi="Amiri" w:eastAsia="Amiri" w:cs="Amiri"/>
          <w:color w:val="111111"/>
          <w:sz w:val="28"/>
          <w:sz w:val="28"/>
          <w:szCs w:val="28"/>
          <w:rtl w:val="true"/>
          <w:lang w:bidi="ar-SA"/>
        </w:rPr>
        <w:t>من عدم سماع الدعوى مجرّدة عن البيّنة في الحدود راجع إلى الدعوى من أشخاص عادي وأفراد غير مسؤول، فإنّ الحدود من حقوق الله عزّ وجلّ وهذه الأفراد أجنبيّ عن الدعوى، فلا تسمع دعواهم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المحتسب ومن كانت وظيفته حفظ النظام وإصلاح الامّة وفي الحقيقة كانوا من امناء الله وعيون الحكّام، فطرح الدعوى منهم حقّ ومسموع ويترتّب عليه الأثر ولكن لا يمين على المنكر على أيّ حال</w:t>
      </w:r>
      <w:r>
        <w:rPr>
          <w:rFonts w:eastAsia="Amiri" w:cs="Amiri" w:ascii="Amiri" w:hAnsi="Amiri"/>
          <w:color w:val="111111"/>
          <w:sz w:val="28"/>
          <w:szCs w:val="28"/>
          <w:rtl w:val="true"/>
          <w:lang w:bidi="ar-SA"/>
        </w:rPr>
        <w:t>.</w:t>
      </w:r>
    </w:p>
    <w:p>
      <w:pPr>
        <w:pStyle w:val="Heading5"/>
        <w:numPr>
          <w:ilvl w:val="4"/>
          <w:numId w:val="1"/>
        </w:numPr>
        <w:rPr/>
      </w:pPr>
      <w:bookmarkStart w:id="598" w:name="__RefHeading___Toc2354845_3650668749"/>
      <w:bookmarkStart w:id="599" w:name="_Toc219"/>
      <w:bookmarkEnd w:id="598"/>
      <w:r>
        <w:rPr>
          <w:rtl w:val="true"/>
        </w:rPr>
        <w:t>التنبيه الثالث</w:t>
      </w:r>
      <w:r>
        <w:rPr>
          <w:rtl w:val="true"/>
        </w:rPr>
        <w:t xml:space="preserve">: </w:t>
      </w:r>
      <w:r>
        <w:rPr>
          <w:rtl w:val="true"/>
        </w:rPr>
        <w:t>في سماع الدعوى في حقوق الله من الزوج‌</w:t>
      </w:r>
      <w:bookmarkEnd w:id="599"/>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للإنسان أن يحفظ نفسه وماله وجاز له الدفاع عنهما كذلك له حفظ عرضه وناموسه ويجب عليه الدفاع عنها، فلو رأى إنساناً متجاوزاً يريد التعدّي إلى عياليه فيدفع عنها ولو بقتله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له طرح الدعوى عليه عند الحاكم بالتجاوز والزنا مثلًا ويسمع دعواه، فكان الجناية على زوجته جناية عليه ولا يكون أجنبيّاً عن الدعوى، فكون الزنا من حقوق الله عزّ وجلّ لا يمنع الزوج عن إقامة الدعوى على الزاني في المحاكم، فلا بدّ من استثنائه عن عدم سماع الدعوى أيضاً</w:t>
      </w:r>
      <w:r>
        <w:rPr>
          <w:rFonts w:eastAsia="Amiri" w:cs="Amiri" w:ascii="Amiri" w:hAnsi="Amiri"/>
          <w:color w:val="111111"/>
          <w:sz w:val="28"/>
          <w:szCs w:val="28"/>
          <w:rtl w:val="true"/>
          <w:lang w:bidi="ar-SA"/>
        </w:rPr>
        <w:t>.</w:t>
      </w:r>
      <w:bookmarkStart w:id="600" w:name="pg1791_16172"/>
    </w:p>
    <w:p>
      <w:pPr>
        <w:pStyle w:val="BookText"/>
        <w:rPr/>
      </w:pPr>
      <w:bookmarkEnd w:id="600"/>
      <w:r>
        <w:rPr>
          <w:rFonts w:ascii="Amiri" w:hAnsi="Amiri" w:eastAsia="Amiri" w:cs="Amiri"/>
          <w:color w:val="111111"/>
          <w:sz w:val="28"/>
          <w:sz w:val="28"/>
          <w:szCs w:val="28"/>
          <w:rtl w:val="true"/>
          <w:lang w:bidi="ar-SA"/>
        </w:rPr>
        <w:t>ولا فرق في عدم ثبوت الحلف بين أن يكون المورد من حقّ الله محضاً كالزنا، أو مشتركاً بينه وبين حقّ الناس كالقذف، فإذا ادّعى عليه أنّه قذفه بالزنا فأنكر لم يتوجّه عليه يمين، ولو حلف المدّعي لم يثبت عليه حدّ القذف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الدعوى مركّبة من حقّ الله وحقّ الناس كالسرقة فبالنسبة إلى حقّ الناس تثبت اليمين، دون القطع الذي هو حقّ الله تعالى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5"/>
        <w:numPr>
          <w:ilvl w:val="4"/>
          <w:numId w:val="1"/>
        </w:numPr>
        <w:rPr/>
      </w:pPr>
      <w:bookmarkStart w:id="601" w:name="__RefHeading___Toc2354847_3650668749"/>
      <w:bookmarkStart w:id="602" w:name="_Toc220"/>
      <w:bookmarkEnd w:id="601"/>
      <w:r>
        <w:rPr>
          <w:rtl w:val="true"/>
        </w:rPr>
        <w:t>ترجيح حقّ الله على حقّ الناس في الحقّ المشترك‌</w:t>
      </w:r>
      <w:bookmarkEnd w:id="602"/>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الحقوق التي تكون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أقسام قد تكون لله محضاً كالزنا وشرب الخمر،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حرّمهما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تَقْرَبُواْ الزّنَي</w:t>
      </w:r>
      <w:r>
        <w:rPr>
          <w:rStyle w:val="FootnoteAnchor"/>
          <w:rtl w:val="true"/>
        </w:rPr>
        <w:footnoteReference w:id="1123"/>
      </w:r>
      <w:r>
        <w:rPr>
          <w:rFonts w:ascii="Amiri" w:hAnsi="Amiri" w:eastAsia="Amiri" w:cs="Amiri"/>
          <w:color w:val="111111"/>
          <w:sz w:val="28"/>
          <w:sz w:val="28"/>
          <w:szCs w:val="28"/>
          <w:rtl w:val="true"/>
          <w:lang w:bidi="ar-SA"/>
        </w:rPr>
        <w:t>أو إِنَّمَا الْخَمْرُ وَالْمَيْسِرُ وَالأنصَابُ وَالأزْلامُ رِجْسٌ مِنْ عَمَلِ الشَّيْطَانِ فَاجْتَنِبُوهُ</w:t>
      </w:r>
      <w:r>
        <w:rPr>
          <w:rStyle w:val="FootnoteAnchor"/>
          <w:rtl w:val="true"/>
        </w:rPr>
        <w:footnoteReference w:id="1124"/>
      </w:r>
      <w:r>
        <w:rPr>
          <w:rFonts w:ascii="Amiri" w:hAnsi="Amiri" w:eastAsia="Amiri" w:cs="Amiri"/>
          <w:color w:val="111111"/>
          <w:sz w:val="28"/>
          <w:sz w:val="28"/>
          <w:szCs w:val="28"/>
          <w:rtl w:val="true"/>
          <w:lang w:bidi="ar-SA"/>
        </w:rPr>
        <w:t xml:space="preserve">فإذا ارتكب شخص الزنا أو شرب الخمر فقد تعرّض لما حرّمه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محضاً فقد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تسمع الدعوى فيه ولا يثبت اليمين، وقد تكون مشتركاً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الناس مثل القذف، فإنّ القاذف كما أنّه ارتكب لما حرّمه الله عزّ وجلّ فقد تعرّض لهتك عرض شخص آخر واتّهمه بالزنا مثلًا، فهل هذا الحقّ أيضاً يكون مثل حقّ الله المحض في عدم سماع الدعوى فيه مجرّدة عن البيّنة وعدم ثبوت اليمين فيه على المنكر أو لا؟</w:t>
      </w:r>
    </w:p>
    <w:p>
      <w:pPr>
        <w:pStyle w:val="BookText"/>
        <w:rPr/>
      </w:pPr>
      <w:r>
        <w:rPr>
          <w:rFonts w:ascii="Amiri" w:hAnsi="Amiri" w:eastAsia="Amiri" w:cs="Amiri"/>
          <w:color w:val="111111"/>
          <w:sz w:val="28"/>
          <w:sz w:val="28"/>
          <w:szCs w:val="28"/>
          <w:rtl w:val="true"/>
          <w:lang w:bidi="ar-SA"/>
        </w:rPr>
        <w:t xml:space="preserve">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سماع الدعوى بها من المقذوف قولان</w:t>
      </w:r>
      <w:r>
        <w:rPr>
          <w:rFonts w:eastAsia="Amiri" w:cs="Amiri" w:ascii="Amiri" w:hAnsi="Amiri"/>
          <w:color w:val="111111"/>
          <w:sz w:val="28"/>
          <w:szCs w:val="28"/>
          <w:rtl w:val="true"/>
          <w:lang w:bidi="ar-SA"/>
        </w:rPr>
        <w:t>»</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اختاره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126"/>
      </w:r>
      <w:r>
        <w:rPr>
          <w:rFonts w:ascii="Amiri" w:hAnsi="Amiri" w:eastAsia="Amiri" w:cs="Amiri"/>
          <w:color w:val="111111"/>
          <w:sz w:val="28"/>
          <w:sz w:val="28"/>
          <w:szCs w:val="28"/>
          <w:rtl w:val="true"/>
          <w:lang w:bidi="ar-SA"/>
        </w:rPr>
        <w:t>أنّها تسمع ترجيحاً لجانب حقّ الاولى وهو المقذوف فبناءً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على الآخر أنّه قذفه بالزنا تسمع الدعوى، ولو لم يكن له بيّنة فيحلف المنكر القاذف فيسقط عنه الدعوى، ولو لم يحلف وردّ الحلف إلى المقذوف وحلف ثبت الحدّ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عبارة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أن يحلف ليثبت الحدّ على القاذف</w:t>
      </w:r>
      <w:r>
        <w:rPr>
          <w:rFonts w:eastAsia="Amiri" w:cs="Amiri" w:ascii="Amiri" w:hAnsi="Amiri"/>
          <w:color w:val="111111"/>
          <w:sz w:val="28"/>
          <w:szCs w:val="28"/>
          <w:rtl w:val="true"/>
          <w:lang w:bidi="ar-SA"/>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حلف المقذوف اليمين المردودة من المنكر فيثبت الحدّ على القاذف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أنّه يدّعي رجل أنّ الآخر قذفه بالزنا، يعني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زان وليس له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الآخر ادّعى على المقذوف أنّه زان وأنكره المقذوف ولم يكن للقاذف البيّنة فحلف المقذوف المنكر للزنا فيثبت الحدّ على القاذف فيكون الحلف ابتدائياً، لكن في الدعوى الاخرى التي ادّعاها عليه القاذف المنكر في الدعوى الاولى</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واستحسن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تعلّقه بحقّ الاولى وحمل نفي اليمين في الحدّ على ما إذا لم يتعلّق بحقّ الاولى</w:t>
      </w:r>
      <w:r>
        <w:rPr>
          <w:rFonts w:eastAsia="Amiri" w:cs="Amiri" w:ascii="Amiri" w:hAnsi="Amiri"/>
          <w:color w:val="111111"/>
          <w:sz w:val="28"/>
          <w:szCs w:val="28"/>
          <w:rtl w:val="true"/>
          <w:lang w:bidi="ar-SA"/>
        </w:rPr>
        <w:t>.</w:t>
      </w:r>
      <w:bookmarkStart w:id="603" w:name="pg1791_16176"/>
    </w:p>
    <w:p>
      <w:pPr>
        <w:pStyle w:val="BookText"/>
        <w:rPr/>
      </w:pPr>
      <w:bookmarkEnd w:id="603"/>
      <w:r>
        <w:rPr>
          <w:rFonts w:ascii="Amiri" w:hAnsi="Amiri" w:eastAsia="Amiri" w:cs="Amiri"/>
          <w:color w:val="111111"/>
          <w:sz w:val="28"/>
          <w:sz w:val="28"/>
          <w:szCs w:val="28"/>
          <w:rtl w:val="true"/>
          <w:lang w:bidi="ar-SA"/>
        </w:rPr>
        <w:t>والقول الثاني وهو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لا تسمع ترجيحاً لحقّ الله عزّ وجلّ ولإطلاق ما تقدّم من الروايات وعمومها،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يمين في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بعمومه على نفي اليمين في الحدّ، سواء كان حقّ الله المحض أو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مرسلة البزنطي المتقدّمة ومع وجود هذه الروايات المعتبرة كما تقدّم لا مجال لقول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فالأقوى عدم السماع كما عليه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تكون الحقّ مركّباً من‌حقّ الله عزّ وجلّ وحقّ الناس؛ يعني يكون فيه حقّان أحدهما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للناس كما في السرقة فإنّ فيها القطع وهو حقّ الله عزّ وجلّ لقوله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وَالسَّارِقُ وَالسَّارِقَةُ فَاقْطَعُوا أيْدِيَهُمَا</w:t>
      </w:r>
      <w:r>
        <w:rPr>
          <w:rStyle w:val="FootnoteAnchor"/>
          <w:rtl w:val="true"/>
        </w:rPr>
        <w:footnoteReference w:id="1128"/>
      </w:r>
      <w:r>
        <w:rPr>
          <w:rFonts w:ascii="Amiri" w:hAnsi="Amiri" w:eastAsia="Amiri" w:cs="Amiri"/>
          <w:color w:val="111111"/>
          <w:sz w:val="28"/>
          <w:sz w:val="28"/>
          <w:szCs w:val="28"/>
          <w:rtl w:val="true"/>
          <w:lang w:bidi="ar-SA"/>
        </w:rPr>
        <w:t>وردّ المال أو الغرامة مثلًا أو قيمةً وهو حقّ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فعندئذٍ يسمع الدعوى ويثبت اليمين بالنسبة إلى حقّ الناس، ولا يسمع الدعوى ولا يثبت اليمين فيها بالنسبة إلى حقّ الله عزّ وجلّ</w:t>
      </w:r>
      <w:r>
        <w:rPr>
          <w:rFonts w:eastAsia="Amiri" w:cs="Amiri" w:ascii="Amiri" w:hAnsi="Amiri"/>
          <w:color w:val="111111"/>
          <w:sz w:val="28"/>
          <w:szCs w:val="28"/>
          <w:rtl w:val="true"/>
          <w:lang w:bidi="ar-SA"/>
        </w:rPr>
        <w:t>.</w:t>
      </w:r>
    </w:p>
    <w:p>
      <w:pPr>
        <w:pStyle w:val="Heading4"/>
        <w:numPr>
          <w:ilvl w:val="3"/>
          <w:numId w:val="1"/>
        </w:numPr>
        <w:rPr/>
      </w:pPr>
      <w:bookmarkStart w:id="604" w:name="__RefHeading___Toc2354849_3650668749"/>
      <w:bookmarkStart w:id="605" w:name="_Toc221"/>
      <w:bookmarkEnd w:id="604"/>
      <w:r>
        <w:rPr>
          <w:rtl w:val="true"/>
        </w:rPr>
        <w:t>ثبوت اليمين في السرقة بالنسبة إلى ردّ المال دون القطع‌</w:t>
      </w:r>
      <w:bookmarkEnd w:id="605"/>
    </w:p>
    <w:p>
      <w:pPr>
        <w:pStyle w:val="BookText"/>
        <w:rPr/>
      </w:pPr>
      <w:r>
        <w:rPr>
          <w:rFonts w:ascii="Amiri" w:hAnsi="Amiri" w:eastAsia="Amiri" w:cs="Amiri"/>
          <w:color w:val="111111"/>
          <w:sz w:val="28"/>
          <w:sz w:val="28"/>
          <w:szCs w:val="28"/>
          <w:rtl w:val="true"/>
          <w:lang w:bidi="ar-SA"/>
        </w:rPr>
        <w:t>فلو ادّعى رجل على آخر بسرقة ماله تسمع الدعوى بالنسبة إلى المال، ولو لم يكن له بيّنة لا بدّ للمنكر اليمين فلو حلف يسقط عنه الدعوى ولو ردّ اليمين إلى المدّعي وحلف يثبت المال على المدّعى عليه دون القطع</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التفكيك بين القطع وبين ردّ المال مع كونها متلازمين، فلو ثبت السرقة وألزم المدّعى عليه بردّ المال فلا بدّ من قطع اليد أيضاً ولو لم تثبت ولم يلزم يقطع، فلا يلزم بردّ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التفكيك بين المتلازمين تكويناً غير جائز، بل محال مثل التفكيك بين الشمس وضوءها أو النار وحرارتها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الامور الاعتبارية فلا يكون محالًا بل جائز، ولها نظائر ففي ما نحن فيه فكلّ من القطع وردّ المال موقوف على ثبوت موضوعه، فلو لم يثبت عنوان السارق مع اليمين فلا يترتّب عليه القطع وإن حلف المدّعي اليمين المردودة، فإذا ثبت السرقة بالنسبة إلى المال مع اليمين فيترتّب عليه ردّ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ذلك ما إذا توضّأ بالماء المشتبه بالنجاسة، يحكم بعدم حصول الطهارة مع الحكم بطهارة أعضاء الوضوء، فإنّه إذا شكّ في حصول الطهارة مع هذا الماء المشتبه وعدمه، فيحكم بعدم حصولها لاستصحاب بقاء الحدث وإذا شكّ في نجاسة أعضاء الوضوء يحكم بطهارتها لاستصحاب الطهارة فيها مع أنّ هذا يوجب التفكيك بين المتلازمين، فإنّه لو كان الأعضاء طاهراً فلا بدّ من حصول الطهارة، ولو لم يحصل الطهارة فلا بدّ من نجاسة الماء ويلزم منها نجاسة أعضاء الوضوء ولكن الاستصحابين جاريين هنا؛ ولا يلزم محذور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حكم ما إذا أقام لإثبات السرقة شاهداً واحداً مع يمين المدّعي، فإنّه لا يكفي لإثبات القطع ولكن يثبت بها ردّ المال</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المبنى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الدعوى مركّبة من حقّ الله وحقّ الناس كالسرقة فبالنسبة إلى حقّ الناس تثبت اليمين دون القطع الذي هو حقّ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للقاضي وعظ الحالف قبله، وترغيبه في ترك اليمين إجلالًا لله تعالى ولو كان صادقاً، وأخافه من عذاب الله تعالى إن حلف كاذباً، وقد 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حلف بالله كاذباً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حلف على يمين وهو يعلم أنّه كاذب فقد بارز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اليمين الكاذبة تدع الديار بلاقع من أهلها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منّا هذا البحث في ذيل 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السلسلة من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مفصّلًا، فراجع</w:t>
      </w:r>
      <w:r>
        <w:rPr>
          <w:rFonts w:eastAsia="Amiri" w:cs="Amiri" w:ascii="Amiri" w:hAnsi="Amiri"/>
          <w:color w:val="111111"/>
          <w:sz w:val="28"/>
          <w:szCs w:val="28"/>
          <w:rtl w:val="true"/>
          <w:lang w:bidi="ar-SA"/>
        </w:rPr>
        <w:t>.</w:t>
      </w:r>
      <w:bookmarkStart w:id="606" w:name="pg1791_16183"/>
    </w:p>
    <w:p>
      <w:pPr>
        <w:pStyle w:val="Heading3"/>
        <w:numPr>
          <w:ilvl w:val="2"/>
          <w:numId w:val="1"/>
        </w:numPr>
        <w:rPr/>
      </w:pPr>
      <w:bookmarkStart w:id="607" w:name="__RefHeading___Toc2354851_3650668749"/>
      <w:bookmarkStart w:id="608" w:name="_Toc222"/>
      <w:bookmarkEnd w:id="606"/>
      <w:bookmarkEnd w:id="607"/>
      <w:r>
        <w:rPr>
          <w:rtl w:val="true"/>
        </w:rPr>
        <w:t>القول</w:t>
      </w:r>
      <w:r>
        <w:rPr>
          <w:rtl w:val="true"/>
        </w:rPr>
        <w:t xml:space="preserve">: </w:t>
      </w:r>
      <w:r>
        <w:rPr>
          <w:rtl w:val="true"/>
        </w:rPr>
        <w:t>في أحكام اليد</w:t>
      </w:r>
      <w:bookmarkEnd w:id="608"/>
    </w:p>
    <w:p>
      <w:pPr>
        <w:pStyle w:val="Heading4"/>
        <w:numPr>
          <w:ilvl w:val="3"/>
          <w:numId w:val="1"/>
        </w:numPr>
        <w:rPr/>
      </w:pPr>
      <w:bookmarkStart w:id="609" w:name="__RefHeading___Toc2354853_3650668749"/>
      <w:bookmarkStart w:id="610" w:name="_Toc223"/>
      <w:bookmarkEnd w:id="609"/>
      <w:r>
        <w:rPr>
          <w:rtl w:val="true"/>
        </w:rPr>
        <w:t>اشارة</w:t>
      </w:r>
      <w:bookmarkEnd w:id="61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كان تحت استيلاء شخص وفي يده بنحو من الأنحاء، فهو محكوم بملكيّته وأنّه له؛ سواء كان من الأعيان أو المنافع أو الحقوق أو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في يده مزرعة موقوفة ويدّعي أنّه المتولّي يحكم بكونه كذلك، ولا يشترط في دلالة اليد على الملكية ونحوها التصرّفات الموقوفة على الملك فلو كان شي‌ء في يده يحكم بأنّه ملكه ولو لم يتصرّف فيه فعلًا، ولا دعوى ذي اليد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في يده شي‌ء فمات ولم يعلم أنّه له ولم يسمع منه دعوى الملكية، يحكم بأنّه له وهو لوارثه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يشترط عدم اعترافه بعدمها، بل الظاهر الحكم بملكية ما في يده ولو لم يعلم أنّه له، فإن اعترف بأنّي لا أعلم أنّ ما في يدي لي أم لا، يحكم بكونه له بالنسبة إلى نفسه وغيره</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تعرّض الأصحاب لأحكام اليد في الأبواب المختلفة من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كتاب القضاء وذكروا فيه فروعاً متعدّدة؛ مثل ما إذا ادّعى رجل على آخر بما</w:t>
      </w:r>
      <w:bookmarkStart w:id="611" w:name="pg1791_16185"/>
    </w:p>
    <w:p>
      <w:pPr>
        <w:pStyle w:val="BookText"/>
        <w:rPr/>
      </w:pPr>
      <w:bookmarkEnd w:id="611"/>
      <w:r>
        <w:rPr>
          <w:rFonts w:ascii="Amiri" w:hAnsi="Amiri" w:eastAsia="Amiri" w:cs="Amiri"/>
          <w:color w:val="111111"/>
          <w:sz w:val="28"/>
          <w:sz w:val="28"/>
          <w:szCs w:val="28"/>
          <w:rtl w:val="true"/>
          <w:lang w:bidi="ar-SA"/>
        </w:rPr>
        <w:t>تحت يده، أو على اثنين أو أكثر بما تحت يدهما، أو ادّعى مالًا لا يد عليه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ما إذا وقع التنازع بين رجلين بما تحت يدهما أو تحت يد ثالث، وكذا لو وقع التعارض بين اليد السابقة والحالية وغيرها من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تصدّى بعض من المتأخّرين لجمع أحكام اليد تحت عنوان قاعدة اليد وتعرّض للقاعدة في كتاب القواعد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قاعدة اخرى تحت عنوان قاعدة على اليد وهي يدلّ على ضمان صاحب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نتعرّض للقاعدة بمقدار يناسب الفروع التي ذكرها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 وتوضيح ما يبتني عليه الفروع،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يقع البحث من جهات</w:t>
      </w:r>
      <w:r>
        <w:rPr>
          <w:rFonts w:eastAsia="Amiri" w:cs="Amiri" w:ascii="Amiri" w:hAnsi="Amiri"/>
          <w:color w:val="111111"/>
          <w:sz w:val="28"/>
          <w:szCs w:val="28"/>
          <w:rtl w:val="true"/>
          <w:lang w:bidi="ar-SA"/>
        </w:rPr>
        <w:t>:</w:t>
      </w:r>
    </w:p>
    <w:p>
      <w:pPr>
        <w:pStyle w:val="Heading4"/>
        <w:numPr>
          <w:ilvl w:val="3"/>
          <w:numId w:val="1"/>
        </w:numPr>
        <w:rPr/>
      </w:pPr>
      <w:bookmarkStart w:id="612" w:name="__RefHeading___Toc2354855_3650668749"/>
      <w:bookmarkStart w:id="613" w:name="_Toc224"/>
      <w:bookmarkEnd w:id="612"/>
      <w:r>
        <w:rPr>
          <w:rtl w:val="true"/>
        </w:rPr>
        <w:t>[</w:t>
      </w:r>
      <w:r>
        <w:rPr>
          <w:rtl w:val="true"/>
        </w:rPr>
        <w:t>يقع البحث من جهات</w:t>
      </w:r>
      <w:r>
        <w:rPr>
          <w:rtl w:val="true"/>
        </w:rPr>
        <w:t>:]</w:t>
      </w:r>
      <w:bookmarkEnd w:id="613"/>
    </w:p>
    <w:p>
      <w:pPr>
        <w:pStyle w:val="Heading5"/>
        <w:numPr>
          <w:ilvl w:val="4"/>
          <w:numId w:val="1"/>
        </w:numPr>
        <w:rPr/>
      </w:pPr>
      <w:bookmarkStart w:id="614" w:name="__RefHeading___Toc2354857_3650668749"/>
      <w:bookmarkStart w:id="615" w:name="_Toc225"/>
      <w:bookmarkEnd w:id="614"/>
      <w:r>
        <w:rPr>
          <w:rtl w:val="true"/>
        </w:rPr>
        <w:t>الاولى</w:t>
      </w:r>
      <w:r>
        <w:rPr>
          <w:rtl w:val="true"/>
        </w:rPr>
        <w:t xml:space="preserve">: </w:t>
      </w:r>
      <w:r>
        <w:rPr>
          <w:rtl w:val="true"/>
        </w:rPr>
        <w:t>في مدرك القاعدة ودليل اعتبارها</w:t>
      </w:r>
      <w:bookmarkEnd w:id="615"/>
    </w:p>
    <w:p>
      <w:pPr>
        <w:pStyle w:val="BookText"/>
        <w:rPr/>
      </w:pPr>
      <w:r>
        <w:rPr>
          <w:rFonts w:ascii="Amiri" w:hAnsi="Amiri" w:eastAsia="Amiri" w:cs="Amiri"/>
          <w:color w:val="111111"/>
          <w:sz w:val="28"/>
          <w:sz w:val="28"/>
          <w:szCs w:val="28"/>
          <w:rtl w:val="true"/>
          <w:lang w:bidi="ar-SA"/>
        </w:rPr>
        <w:t>فقد استدلّوا لذلك بامور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الكلّ على أنّ من كان عنده مال وكان بيده وتحت استيلائه فهو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أنّ الإجماع حجّة وهو أحد الأدلّة الشرعية فيما إذا كان كاشفاً عن رأى المعصوم أو وجود دليل عند المجمعين لم يصل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هناك دليل أو أدلّة يحتمل أن يكون مدركاً للمجمعين، فليس هو حجّة، بل لا بدّ من مراجعة المدرك والاستظهار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روايات ستأتي</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و بناء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كلّ عصر وزمان وفي كلّ مصر ومكان من جميع الملل من كلّ الأديان، بل من الملحدين والكفّار على</w:t>
      </w:r>
    </w:p>
    <w:p>
      <w:pPr>
        <w:pStyle w:val="BookText"/>
        <w:rPr/>
      </w:pPr>
      <w:r>
        <w:rPr>
          <w:rFonts w:ascii="Amiri" w:hAnsi="Amiri" w:eastAsia="Amiri" w:cs="Amiri"/>
          <w:color w:val="111111"/>
          <w:sz w:val="28"/>
          <w:sz w:val="28"/>
          <w:szCs w:val="28"/>
          <w:rtl w:val="true"/>
          <w:lang w:bidi="ar-SA"/>
        </w:rPr>
        <w:t>اعتبار اليد وكونها أمارة لملكية ما في يده سيرة من العقلاء ولا يتوقّفون في ترتيب آثار الملكية عليه من غير تفحّص وتحقيق في كيفية وقوعه تحت يده وأنّ المال هل هو له أو لغيره من سرقة أو غصب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الشارع المقدّس لم يردع عن هذه السيرة والبناء أصلًا ولو كان لوصل إلينا، ويوجب كثرة السؤال عنه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الدواعي فيه بل أمضاها الشارع وأيدّها بما سيجي‌ء من الروايات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يجز هذا لم يقم للمسلمين سوق</w:t>
      </w:r>
      <w:r>
        <w:rPr>
          <w:rFonts w:eastAsia="Amiri" w:cs="Amiri" w:ascii="Amiri" w:hAnsi="Amiri"/>
          <w:color w:val="111111"/>
          <w:sz w:val="28"/>
          <w:szCs w:val="28"/>
          <w:rtl w:val="true"/>
          <w:lang w:bidi="ar-SA"/>
        </w:rPr>
        <w:t>»</w:t>
      </w:r>
      <w:r>
        <w:rPr>
          <w:rStyle w:val="FootnoteAnchor"/>
          <w:rtl w:val="true"/>
        </w:rPr>
        <w:footnoteReference w:id="1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استولى على شي‌ء منه فهو له</w:t>
      </w:r>
      <w:r>
        <w:rPr>
          <w:rFonts w:eastAsia="Amiri" w:cs="Amiri" w:ascii="Amiri" w:hAnsi="Amiri"/>
          <w:color w:val="111111"/>
          <w:sz w:val="28"/>
          <w:szCs w:val="28"/>
          <w:rtl w:val="true"/>
          <w:lang w:bidi="ar-SA"/>
        </w:rPr>
        <w:t>»</w:t>
      </w:r>
      <w:r>
        <w:rPr>
          <w:rStyle w:val="FootnoteAnchor"/>
          <w:rtl w:val="true"/>
        </w:rPr>
        <w:footnoteReference w:id="1130"/>
      </w:r>
      <w:r>
        <w:rPr>
          <w:rFonts w:ascii="Amiri" w:hAnsi="Amiri" w:eastAsia="Amiri" w:cs="Amiri"/>
          <w:color w:val="111111"/>
          <w:sz w:val="28"/>
          <w:sz w:val="28"/>
          <w:szCs w:val="28"/>
          <w:rtl w:val="true"/>
          <w:lang w:bidi="ar-SA"/>
        </w:rPr>
        <w:t xml:space="preserve">لما يأتي وهذا البناء والسيرة من العقلاء أمر محقّق، بل السيرة من المسلمين والمتديّنين والمتشرّعين موجودة ومتّصلة بزمن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في مرءى ومنظرهم ولم يردعوا عنه، بل إمضاء السيرة منهم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السيرة وترتيب آثار الملكية على ما في اليد كانت من جهة حصول الاطمينان الشخصي بها، فالميزان هو الاطمينان لا أمارية اليد، مدفوعة بأنّ المقطوع من السيرة أنّها قائمة على ترتيب آثار الملكية على ما في يد الرجل ولو لم يحصل لهم الاطمينان الشخصي فإنّهم يدخلون السوق مثلًا ويشترون الأجناس من كلّ أحد من غير معرفة له وسابقة معه</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أن يقال الاطمينان حاصل من جهة الغلبة على أنّ الاستيلاء بلحاظ الملكية وهو اطمينان نوعي لا الاطمينان في آحاد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حفص بن غياث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شيئاً في يدي رجل يجوز لي أن أشهد أنّه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أنّه في يده ولا أشهد أنّه له فلعلّه لغيره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أفيحلّ الشراء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لغيره فمن أين جاز لك أن تشتريه ويصير ملكا لك؟ ثمّ تقول بعد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لي وتحلف عليه ولا يجوز أن تنسبه إلى من صار ملكه من قبله إليك؟ ثمّ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يجز هذا لم يقم للمسلمين سوق</w:t>
      </w:r>
      <w:r>
        <w:rPr>
          <w:rFonts w:eastAsia="Amiri" w:cs="Amiri" w:ascii="Amiri" w:hAnsi="Amiri"/>
          <w:color w:val="111111"/>
          <w:sz w:val="28"/>
          <w:szCs w:val="28"/>
          <w:rtl w:val="true"/>
          <w:lang w:bidi="ar-SA"/>
        </w:rPr>
        <w:t>»</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وإن كانت ضعيفة سنداً لكنّها منجبرة بعمل الأصحاب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وتقريب الاستدلال بها أنّ السؤال فيها وإن كان راجعاً إلى جواز الشهادة على ما في يد رجل أنّه له، ولكنّه يظهر من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اليد أمارة للملكية ويترتّب على ما في يد رجل آثار الملكية له، و من جملته جواز الشراء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بعد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ملك له ويحلف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أنّه لو لم يترتّب عليه آثار الملكية فلا يصير ملكاً للمشتري ولا يجوز له أن يحلف أنّه صار ملكاً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الاشتراء منه يجوز أن ينسب المال إليه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ملك له ولو لم يجز ذلك ولم يترتّب على ما تحت اليد آثار الملكية لم يقم للمسلمين سوق ولم يستقرّ حجر على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بالصراحة العالية على كون اليد أمارة على الملك</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يونس بن يعقوب،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تموت قبل</w:t>
      </w:r>
    </w:p>
    <w:p>
      <w:pPr>
        <w:pStyle w:val="BookText"/>
        <w:rPr/>
      </w:pPr>
      <w:r>
        <w:rPr>
          <w:rFonts w:ascii="Amiri" w:hAnsi="Amiri" w:eastAsia="Amiri" w:cs="Amiri"/>
          <w:color w:val="111111"/>
          <w:sz w:val="28"/>
          <w:sz w:val="28"/>
          <w:szCs w:val="28"/>
          <w:rtl w:val="true"/>
          <w:lang w:bidi="ar-SA"/>
        </w:rPr>
        <w:t>الرجل أو رجل قبل المرأة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من متاع النساء فهو للمرأة، وما كان من متاع الرجال والنساء فهو بينهما، ومن استولى على شي‌ء منه فهو له</w:t>
      </w:r>
      <w:r>
        <w:rPr>
          <w:rFonts w:eastAsia="Amiri" w:cs="Amiri" w:ascii="Amiri" w:hAnsi="Amiri"/>
          <w:color w:val="111111"/>
          <w:sz w:val="28"/>
          <w:szCs w:val="28"/>
          <w:rtl w:val="true"/>
          <w:lang w:bidi="ar-SA"/>
        </w:rPr>
        <w:t>»</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من حيث السند موثّقة فلا إشكال في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ودلالتها أيضاً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جعل ما كان من متاع النساء أمارة على كونه تحت يد المرأة، وجعل يدها أمارة للملكية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للمرأة، وكذا ما كان مشتركاً فهو تحت يدهما وكان لهما ويقسّم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صرّح بما يظهر منه أنّ الاستيلاء على شي‌ء دليل على الملكية بأعلى 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إرجاع الضمير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متاع البيت لا يوجب الاختصاص في الكلام بأن يكون الاستيلاء على متاع البيت يكشف عن كونه ملكاً له، فإنّ المورد لا يكون مخصّصاً ولا وجه له</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معتبرة عبدالرحمن بن الحجّاج،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سألني هل يقضي ابن أبي ليلى بالقضاء ثمّ يرجع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قضى في متاع الرجل والمرأة إذا مات أحدهما فادّعاه ورثة الحيّ وورثة الميّت، أو طلّقها فادّعاه الرجل وادّعته المرأة بأربع قضايا،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فقضى فيه بقول إبراهيم النخعي، كان يجعل متاع المرأة الذي لا يصلح للرجل للمرأة، ومتاع الرجل الذي لا يكون للمرأة للرجل، وما كان للرجال والنساء بينهما نصفان، ثمّ بلغني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مدّعيان جميعاً فالذي بأيديهما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يدّعيان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نصفان،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صاحب البيت والمرأة الداخلة</w:t>
      </w:r>
    </w:p>
    <w:p>
      <w:pPr>
        <w:pStyle w:val="BookText"/>
        <w:rPr/>
      </w:pPr>
      <w:r>
        <w:rPr>
          <w:rFonts w:ascii="Amiri" w:hAnsi="Amiri" w:eastAsia="Amiri" w:cs="Amiri"/>
          <w:color w:val="111111"/>
          <w:sz w:val="28"/>
          <w:sz w:val="28"/>
          <w:szCs w:val="28"/>
          <w:rtl w:val="true"/>
          <w:lang w:bidi="ar-SA"/>
        </w:rPr>
        <w:t xml:space="preserve">عليه وهي المدّعية، فالمتاع كلّه للرجل إلا متاع النساء الذي لا يكون للرجال فهو للمرأة، ثمّ قضى بقضاء بعد ذلك لولا أنّى شهدته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أروه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امرأة منّا ولها زوج وتركت متاعاً فرفعته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المتاع، فلمّا قرأه قال للزوج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يكون للرجال والمرأة فقد جعلناه للمرأة إلا الميزان، فإنّه من متاع الرجل فهو 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فعلى أيّ شي‌ء هو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بقول إبراهيم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 البيت للرجل، ثمّ 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أنت 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الذي أخبرتني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شهدته وإن كان قد رجع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المتاع للمرأة؟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إن أقامت بيّنة إلى كم كانت تحتاج؟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سألت من بين لابتيها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الجبلين ونحن يومئذٍ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لأخبروك أنّ الجهاز والمتاع يهدى علانية من بيت المرأة إلى بيت زوجها، فهي التي جاءت به وهذا المدّعى فإن زعم أنّه أحدث فيه شيئاً فليأت عليه البيّنة</w:t>
      </w:r>
      <w:r>
        <w:rPr>
          <w:rFonts w:eastAsia="Amiri" w:cs="Amiri" w:ascii="Amiri" w:hAnsi="Amiri"/>
          <w:color w:val="111111"/>
          <w:sz w:val="28"/>
          <w:szCs w:val="28"/>
          <w:rtl w:val="true"/>
          <w:lang w:bidi="ar-SA"/>
        </w:rPr>
        <w:t>»</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أنّ الرواية تدلّ على اختصاص متاع البيت بالمرأة وأنّ الرجل إن زعم أنّه أحدث فيه شيئاً وكان مالكاً له يكون مدّعياً ولا بدّ له الإثبات بالبيّنة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فيه أنّ المرأة هي التي جاءت به من بيتها، فتكون مستولية على المتاع والاستيلاء كاشف عن كونها مالكه فإنّه لا طريق على كشف مالكيتها للمتاع إلا الاستيلاء واليد</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الدار يوجد</w:t>
      </w:r>
    </w:p>
    <w:p>
      <w:pPr>
        <w:pStyle w:val="BookText"/>
        <w:rPr/>
      </w:pPr>
      <w:r>
        <w:rPr>
          <w:rFonts w:ascii="Amiri" w:hAnsi="Amiri" w:eastAsia="Amiri" w:cs="Amiri"/>
          <w:color w:val="111111"/>
          <w:sz w:val="28"/>
          <w:sz w:val="28"/>
          <w:szCs w:val="28"/>
          <w:rtl w:val="true"/>
          <w:lang w:bidi="ar-SA"/>
        </w:rPr>
        <w:t>فيها الورق؟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معمورة فيها أهلها فهي لهم، وإن كانت خربة قد جلا عنها أهلها فالذي وجد المال أحقّ به</w:t>
      </w:r>
      <w:r>
        <w:rPr>
          <w:rFonts w:eastAsia="Amiri" w:cs="Amiri" w:ascii="Amiri" w:hAnsi="Amiri"/>
          <w:color w:val="111111"/>
          <w:sz w:val="28"/>
          <w:szCs w:val="28"/>
          <w:rtl w:val="true"/>
          <w:lang w:bidi="ar-SA"/>
        </w:rPr>
        <w:t>»</w:t>
      </w:r>
      <w:r>
        <w:rPr>
          <w:rStyle w:val="FootnoteAnchor"/>
          <w:rtl w:val="true"/>
        </w:rPr>
        <w:footnoteReference w:id="1134"/>
      </w:r>
      <w:r>
        <w:rPr>
          <w:rFonts w:ascii="Amiri" w:hAnsi="Amiri" w:eastAsia="Amiri" w:cs="Amiri"/>
          <w:color w:val="111111"/>
          <w:sz w:val="28"/>
          <w:sz w:val="28"/>
          <w:szCs w:val="28"/>
          <w:rtl w:val="true"/>
          <w:lang w:bidi="ar-SA"/>
        </w:rPr>
        <w:t>، فحكم الإمام بأنّ الورق إذا وجد في الدار المعمورة كانت لهم، ومعلوم أنّ الوجه فيه هو الاستيلاء على الدار وما وجد فيها وهذا الاستيلاء كاشف عن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جميل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وجد في منزله ديناراً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 منزله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كثير،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لقطة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وجد في صندوقه ديناراً،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 أحد يده في صندوقه غيره أو يضع فيه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له</w:t>
      </w:r>
      <w:r>
        <w:rPr>
          <w:rFonts w:eastAsia="Amiri" w:cs="Amiri" w:ascii="Amiri" w:hAnsi="Amiri"/>
          <w:color w:val="111111"/>
          <w:sz w:val="28"/>
          <w:szCs w:val="28"/>
          <w:rtl w:val="true"/>
          <w:lang w:bidi="ar-SA"/>
        </w:rPr>
        <w:t>»</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الرواية كسابقتها في الدلالة على اعتبار اليد وكاشفيته عن الملكية، وكذا تدلّ على اعتبار اليد بالنسبة إلى صاحب اليد أيضاً فلو شكّ في مال كانت تحت يده واستيلائه، هل هو ملك له أو لغيره فنفس استيلائه عليه أمارة على كونه ملكاً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سئل عن الورق توجد في الدار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عامرة فهي لأهلها، وإن كانت خراباً فسبيلها سبيل اللقطة</w:t>
      </w:r>
      <w:r>
        <w:rPr>
          <w:rFonts w:eastAsia="Amiri" w:cs="Amiri" w:ascii="Amiri" w:hAnsi="Amiri"/>
          <w:color w:val="111111"/>
          <w:sz w:val="28"/>
          <w:szCs w:val="28"/>
          <w:rtl w:val="true"/>
          <w:lang w:bidi="ar-SA"/>
        </w:rPr>
        <w:t>»</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ودلالتها واضحة كسابقتيها ولكنّها مرسلة سنداً</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كانت</w:t>
      </w:r>
    </w:p>
    <w:p>
      <w:pPr>
        <w:pStyle w:val="BookText"/>
        <w:rPr/>
      </w:pPr>
      <w:r>
        <w:rPr>
          <w:rFonts w:ascii="Amiri" w:hAnsi="Amiri" w:eastAsia="Amiri" w:cs="Amiri"/>
          <w:color w:val="111111"/>
          <w:sz w:val="28"/>
          <w:sz w:val="28"/>
          <w:szCs w:val="28"/>
          <w:rtl w:val="true"/>
          <w:lang w:bidi="ar-SA"/>
        </w:rPr>
        <w:t xml:space="preserve">له رحى على نهر قرية والقرية لرجل، فأراد صاحب القرية أن يسوق إلى قريته الماء في غير هذا النهر ويعطّل هذه الرحى، أله ذلك أم لا؟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يتّقى الله ويعمل في ذلك بالمعروف ولا يضرّ أخاه المؤمن</w:t>
      </w:r>
      <w:r>
        <w:rPr>
          <w:rFonts w:eastAsia="Amiri" w:cs="Amiri" w:ascii="Amiri" w:hAnsi="Amiri"/>
          <w:color w:val="111111"/>
          <w:sz w:val="28"/>
          <w:szCs w:val="28"/>
          <w:rtl w:val="true"/>
          <w:lang w:bidi="ar-SA"/>
        </w:rPr>
        <w:t>»</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الاستدلال بها أنّه إذا كانت القرية لرجل فالظاهر أنّ طريق الماء ونهر القرية أيضاً كان ملكاً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الرجل الآخر كان له رحي على نهر هذه القرية ولم يعلم أنّه اشترى من مالك القرية أو كان بإذنه من دون أن يكون مالكاً للرحي، فنهي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التوقيع الشريف عن الإضرار بأخيه المؤمن يكشف عن اعتبار يده واستيلائه على الرحي وكانت يده أمارة للملكية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العيص بن القاسم،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مملوك ادّعى أنّه حرّ ولم يأت ببيّنة على ذلك أشتريه؟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أدخل السوق واريد أشترى جارية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حرّة،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اشترها إلا أن يكون لها بيّنة</w:t>
      </w:r>
      <w:r>
        <w:rPr>
          <w:rFonts w:eastAsia="Amiri" w:cs="Amiri" w:ascii="Amiri" w:hAnsi="Amiri"/>
          <w:color w:val="111111"/>
          <w:sz w:val="28"/>
          <w:szCs w:val="28"/>
          <w:rtl w:val="true"/>
          <w:lang w:bidi="ar-SA"/>
        </w:rPr>
        <w:t>»</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الاستدلال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اشتراء المملوك أو الحرّة من دون التوجّه إلى ادّعائهما الحرّية إلا أن يأتيا بالبيّنة عليهما، وذلك لاعتبار اليد عليهما وأنّها أمارة الملكية إلا أن يثبت خلافها</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عثمان بن عيسى وحمّاد بن عثمان جميعاً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فدك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أتحكم فينا</w:t>
      </w:r>
    </w:p>
    <w:p>
      <w:pPr>
        <w:pStyle w:val="BookText"/>
        <w:rPr/>
      </w:pPr>
      <w:r>
        <w:rPr>
          <w:rFonts w:ascii="Amiri" w:hAnsi="Amiri" w:eastAsia="Amiri" w:cs="Amiri"/>
          <w:color w:val="111111"/>
          <w:sz w:val="28"/>
          <w:sz w:val="28"/>
          <w:szCs w:val="28"/>
          <w:rtl w:val="true"/>
          <w:lang w:bidi="ar-SA"/>
        </w:rPr>
        <w:t>بخلاف حكم الله في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 يد المسلمين شي‌ء يملكونه، ادّعيت أنا فيه، من تسأل البيّنة؟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كنت أسأل البيّنة على ما تدّعيه على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في يدي شي‌ء فادّعى فيه المسلمون، تسألني البيّنة على ما في يدي؟ وقد ملكته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ولم تسأل المؤمنين البيّنة على ما ادّعوا على كما سألتني البيّنة على ما ادّعيت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على من ادّعى، واليمين على من أنكر</w:t>
      </w:r>
      <w:r>
        <w:rPr>
          <w:rFonts w:eastAsia="Amiri" w:cs="Amiri" w:ascii="Amiri" w:hAnsi="Amiri"/>
          <w:color w:val="111111"/>
          <w:sz w:val="28"/>
          <w:szCs w:val="28"/>
          <w:rtl w:val="true"/>
          <w:lang w:bidi="ar-SA"/>
        </w:rPr>
        <w:t>»</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وتقريب الاستدلال عليها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في يد المسلمين شي‌ء يملكونه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كان في يدهم شي‌ء يتصرّفون فيه، ويعاملون معه معاملة الملكيةمن جهة كاشفية يدهم عن الملكية لا أن يعرف ملكيتهم عليهم من طريق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مسعدة بن صدقة،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هو لك حلال حتّى تعلم أنّه حرام بعينه فتدعه من قبل نفسك، وذلك مثل الثوب يكون عليك قد اشتريته وهو سرقة، أو المملوك عندك ولعلّه حرّ قد باع نفسه، أو خدع فبيع قهراً، أو امرأة تحتك وهي اختك أو رضيعتك، والأشياء كلّها على هذا حتّى يستبين لك غير ذلك، أو تقوم به البيّنة</w:t>
      </w:r>
      <w:r>
        <w:rPr>
          <w:rFonts w:eastAsia="Amiri" w:cs="Amiri" w:ascii="Amiri" w:hAnsi="Amiri"/>
          <w:color w:val="111111"/>
          <w:sz w:val="28"/>
          <w:szCs w:val="28"/>
          <w:rtl w:val="true"/>
          <w:lang w:bidi="ar-SA"/>
        </w:rPr>
        <w:t>»</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وتقريب الاستدلال بها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مثل الثوب يكون عليك قد</w:t>
      </w:r>
    </w:p>
    <w:p>
      <w:pPr>
        <w:pStyle w:val="BookText"/>
        <w:rPr/>
      </w:pPr>
      <w:r>
        <w:rPr>
          <w:rFonts w:ascii="Amiri" w:hAnsi="Amiri" w:eastAsia="Amiri" w:cs="Amiri"/>
          <w:color w:val="111111"/>
          <w:sz w:val="28"/>
          <w:sz w:val="28"/>
          <w:szCs w:val="28"/>
          <w:rtl w:val="true"/>
          <w:lang w:bidi="ar-SA"/>
        </w:rPr>
        <w:t>اشتريته وهو 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عدم الاعتناء باحتمال السرقة فيما إذا اشترى الثوب ممّن كان في يده لأمارية اليد على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أن يعامل معه معاملةالملكية ويلغى احتمال الخلاف، وكذلك في المملوك إذ اشتراه مع احتمال كونه 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وذلك مثل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من باب ذكر بعض المصاديق لقاعدة الحلّ التي في صدر الرواية؛ حتّى يدلّ على أنّ اعتبار اليد من باب أنّها أصل لا أمارة؛ يعني أنّه إذا شكّ في الثوب المشتري هل هو حلال أو حرام من جهة احتمال السرقة، فيحكم أنّه حلالًا، أو العبد المشتري هل هو حلال أو حرام من جهة احتمال كونه حرّاً فيحكم تعبّداً أنّه حلال من باب القاعدة؛ فإنّه يرد عليه أنّه لا مجال للقاعدة، بل يكون مجرى استصحاب عدم تحقّق الملكية الحاكم على أصالة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من باب التنظير والمثال في عدم الاعتناء باحتمال الخلاف وإن كان في الأوّل من باب التعبّد، والحكم بالحلّية في مشكوك الحلّية والحرمة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 من باب إلغاء احتمال الخلاف والحكم بكون ذي اليد مالكاً</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Style w:val="FootnoteAnchor"/>
          <w:rtl w:val="true"/>
        </w:rPr>
        <w:footnoteReference w:id="1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هذه الروايات وإن كان ضعيفاً إلا أنّ جميعاً معتبرة لوجودها في الاصول المعتبرة، ومع ذلك منجبرة بعمل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وبغير ما ذكر من الأخبار معتضدة، فلا كلام في أصل القاعدة يعني كون اليد مقتضياً للملكية، فلا وجه للمناقشة في الروايات من حيث السند لكون بعضها معتبرة بلا إشكال</w:t>
      </w:r>
      <w:r>
        <w:rPr>
          <w:rFonts w:eastAsia="Amiri" w:cs="Amiri" w:ascii="Amiri" w:hAnsi="Amiri"/>
          <w:color w:val="111111"/>
          <w:sz w:val="28"/>
          <w:szCs w:val="28"/>
          <w:rtl w:val="true"/>
          <w:lang w:bidi="ar-SA"/>
        </w:rPr>
        <w:t>.</w:t>
      </w:r>
      <w:bookmarkStart w:id="616" w:name="pg1791_16203"/>
    </w:p>
    <w:p>
      <w:pPr>
        <w:pStyle w:val="Heading5"/>
        <w:numPr>
          <w:ilvl w:val="4"/>
          <w:numId w:val="1"/>
        </w:numPr>
        <w:rPr/>
      </w:pPr>
      <w:bookmarkStart w:id="617" w:name="__RefHeading___Toc2354859_3650668749"/>
      <w:bookmarkStart w:id="618" w:name="_Toc226"/>
      <w:bookmarkEnd w:id="616"/>
      <w:bookmarkEnd w:id="617"/>
      <w:r>
        <w:rPr>
          <w:rtl w:val="true"/>
        </w:rPr>
        <w:t>الثانية</w:t>
      </w:r>
      <w:r>
        <w:rPr>
          <w:rtl w:val="true"/>
        </w:rPr>
        <w:t xml:space="preserve">: </w:t>
      </w:r>
      <w:r>
        <w:rPr>
          <w:rtl w:val="true"/>
        </w:rPr>
        <w:t>هل اعتبار اليد، هو من باب أنّها أصل أو أمارة</w:t>
      </w:r>
      <w:bookmarkEnd w:id="618"/>
    </w:p>
    <w:p>
      <w:pPr>
        <w:pStyle w:val="Heading6"/>
        <w:numPr>
          <w:ilvl w:val="5"/>
          <w:numId w:val="1"/>
        </w:numPr>
        <w:rPr/>
      </w:pPr>
      <w:bookmarkStart w:id="619" w:name="__RefHeading___Toc2354861_3650668749"/>
      <w:bookmarkStart w:id="620" w:name="_Toc227"/>
      <w:bookmarkEnd w:id="619"/>
      <w:r>
        <w:rPr>
          <w:rtl w:val="true"/>
        </w:rPr>
        <w:t>اشارة</w:t>
      </w:r>
      <w:bookmarkEnd w:id="620"/>
    </w:p>
    <w:p>
      <w:pPr>
        <w:pStyle w:val="BookText"/>
        <w:rPr/>
      </w:pPr>
      <w:r>
        <w:rPr>
          <w:rFonts w:ascii="Amiri" w:hAnsi="Amiri" w:eastAsia="Amiri" w:cs="Amiri"/>
          <w:color w:val="111111"/>
          <w:sz w:val="28"/>
          <w:sz w:val="28"/>
          <w:szCs w:val="28"/>
          <w:rtl w:val="true"/>
          <w:lang w:bidi="ar-SA"/>
        </w:rPr>
        <w:t>في الفرق بين اعتبار اليد من باب الأصل أو الأمارة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ان كان اعتبار اليد وحجّيتها عند الشارع من جهة أنّ الشي‌ء الذي كان تحت يد إنسان يحتمل أن يكون ملكاً له ويحتمل العدم، فيكون مشكوك الملكية، فالشارع جعل اليد حجّة تعبّداً لرفع التحيّر في مقام العمل مع قطع النظر عن جهة كشفه عن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عامل الشارع مع مشكوك الملكية معاملةالملك ظاهراً فهو أصل نظير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 لك حلال حتّى تعلم أنّه حرام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الظاهر منه بقرينة الغاية أنّ كلّ شي‌ء شكّ في حلّيته وحرمته فهو حلال، فموضوع الحكم هو الشي‌ء المشكوك بوصف أنّه مشكوك، فالحلّية حكم ظاهري مجعول لرفع تحيّر المكلّف في مقام العمل ويعبّر عنها بالأصل العملي في مقام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اعتبار اليد من جهة كشفها عن الملكية وأماريتها لها، بما أنّ الغالب في من له يد على مال أنّه مالك له، فمعنى حجّيتها واعتبارها إلغاء احتمال الخلاف فيه، فتصير كاشفاً تامّاً عن الملكية وطريقاً إليها نظير العلم بالملكية، فيترتّب عليها آثار الملكية فإنّه مالك واقعاً فيكون 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هل المستفاد من مدرك القاعدة اعتبار اليد من باب الأصل أو الأمارة؟</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البجنوردي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والحقّ في هذا المقام هو أنّه لو كان المدرك لهاهو الإجماع أو هذه الأخبار فلا يمكن إثبات أماريتها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كان المدرك‌هو بناء العقلاء كما هو كذلك، حيث قلنا أنّ الأخبار إمضاء للبناء</w:t>
      </w:r>
    </w:p>
    <w:p>
      <w:pPr>
        <w:pStyle w:val="BookText"/>
        <w:rPr/>
      </w:pPr>
      <w:r>
        <w:rPr>
          <w:rFonts w:ascii="Amiri" w:hAnsi="Amiri" w:eastAsia="Amiri" w:cs="Amiri"/>
          <w:color w:val="111111"/>
          <w:sz w:val="28"/>
          <w:sz w:val="28"/>
          <w:szCs w:val="28"/>
          <w:rtl w:val="true"/>
          <w:lang w:bidi="ar-SA"/>
        </w:rPr>
        <w:t>وسيرةالعقلائية فالحقّ أماريتها</w:t>
      </w:r>
      <w:r>
        <w:rPr>
          <w:rFonts w:eastAsia="Amiri" w:cs="Amiri" w:ascii="Amiri" w:hAnsi="Amiri"/>
          <w:color w:val="111111"/>
          <w:sz w:val="28"/>
          <w:szCs w:val="28"/>
          <w:rtl w:val="true"/>
          <w:lang w:bidi="ar-SA"/>
        </w:rPr>
        <w:t>»</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ومحصّل 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الأخبار قد يكون جواز الشراء والشهادة مستنداً إلى اليد كما في رواية حفص بن غياث</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يكون جواز الشراء من ذي اليد وعدم الاعتناء بقول الجارية والعبد ما لم يأتيا بالبيّنة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حمزة بن حمران</w:t>
      </w:r>
      <w:r>
        <w:rPr>
          <w:rStyle w:val="FootnoteAnchor"/>
          <w:rtl w:val="true"/>
        </w:rPr>
        <w:footnoteReference w:id="1145"/>
      </w:r>
      <w:r>
        <w:rPr>
          <w:rFonts w:ascii="Amiri" w:hAnsi="Amiri" w:eastAsia="Amiri" w:cs="Amiri"/>
          <w:color w:val="111111"/>
          <w:sz w:val="28"/>
          <w:sz w:val="28"/>
          <w:szCs w:val="28"/>
          <w:rtl w:val="true"/>
          <w:lang w:bidi="ar-SA"/>
        </w:rPr>
        <w:t>، والعيص</w:t>
      </w:r>
      <w:r>
        <w:rPr>
          <w:rStyle w:val="FootnoteAnchor"/>
          <w:rtl w:val="true"/>
        </w:rPr>
        <w:footnoteReference w:id="1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أعمّ من الأمارية والأصلية، ويجتمع مع كلّ واحد منهما، فلا يمكن إثبات خصوص أحدهما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قوله في موثّقة يونس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استولى على شي‌ء منه فهو له</w:t>
      </w:r>
      <w:r>
        <w:rPr>
          <w:rFonts w:eastAsia="Amiri" w:cs="Amiri" w:ascii="Amiri" w:hAnsi="Amiri"/>
          <w:color w:val="111111"/>
          <w:sz w:val="28"/>
          <w:szCs w:val="28"/>
          <w:rtl w:val="true"/>
          <w:lang w:bidi="ar-SA"/>
        </w:rPr>
        <w:t>»</w:t>
      </w:r>
      <w:r>
        <w:rPr>
          <w:rStyle w:val="FootnoteAnchor"/>
          <w:rtl w:val="true"/>
        </w:rPr>
        <w:footnoteReference w:id="1147"/>
      </w:r>
      <w:r>
        <w:rPr>
          <w:rFonts w:ascii="Amiri" w:hAnsi="Amiri" w:eastAsia="Amiri" w:cs="Amiri"/>
          <w:color w:val="111111"/>
          <w:sz w:val="28"/>
          <w:sz w:val="28"/>
          <w:szCs w:val="28"/>
          <w:rtl w:val="true"/>
          <w:lang w:bidi="ar-SA"/>
        </w:rPr>
        <w:t>لا يدلّ إلا على ترتيب آثار الملكية على ما استولى عليه، وقد بيّنّا أنّ مثل هذا المعنى أعمّ من خصوص أحد هذين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نظره أنّ الأخبار تدلّ على حجّية اليد، أمّا أنّ الوجه فيها هو الأمارية فلا</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بناء العقلاء فحيث إنّ بناء العقلاء ليس من جهة التعبّد بترتيب آثارالملكية عند الشكّ فيها، بل من جهة كشفها عن الملكية الحاصل من غلبةكون ما تحت اليد ملكاً لذي اليد، فيرون اليد طريقاً وكاشفاً عن مالكية ذي‌اليد ما لم يعترف بأنّه ليس له كسائر الظنون النوعية والطرق والأمارات العقلانية</w:t>
      </w:r>
      <w:r>
        <w:rPr>
          <w:rFonts w:eastAsia="Amiri" w:cs="Amiri" w:ascii="Amiri" w:hAnsi="Amiri"/>
          <w:color w:val="111111"/>
          <w:sz w:val="28"/>
          <w:szCs w:val="28"/>
          <w:rtl w:val="true"/>
          <w:lang w:bidi="ar-SA"/>
        </w:rPr>
        <w:t>.</w:t>
      </w:r>
      <w:bookmarkStart w:id="621" w:name="pg1791_16207"/>
    </w:p>
    <w:p>
      <w:pPr>
        <w:pStyle w:val="Heading6"/>
        <w:numPr>
          <w:ilvl w:val="5"/>
          <w:numId w:val="1"/>
        </w:numPr>
        <w:rPr/>
      </w:pPr>
      <w:bookmarkStart w:id="622" w:name="__RefHeading___Toc2354863_3650668749"/>
      <w:bookmarkStart w:id="623" w:name="_Toc228"/>
      <w:bookmarkEnd w:id="621"/>
      <w:bookmarkEnd w:id="622"/>
      <w:r>
        <w:rPr>
          <w:rtl w:val="true"/>
        </w:rPr>
        <w:t>المناقشة في ما استظهره البجنوردي من الأخبار</w:t>
      </w:r>
      <w:bookmarkEnd w:id="623"/>
    </w:p>
    <w:p>
      <w:pPr>
        <w:pStyle w:val="BookText"/>
        <w:rPr/>
      </w:pPr>
      <w:r>
        <w:rPr>
          <w:rFonts w:ascii="Amiri" w:hAnsi="Amiri" w:eastAsia="Amiri" w:cs="Amiri"/>
          <w:color w:val="111111"/>
          <w:sz w:val="28"/>
          <w:sz w:val="28"/>
          <w:szCs w:val="28"/>
          <w:rtl w:val="true"/>
          <w:lang w:bidi="ar-SA"/>
        </w:rPr>
        <w:t>ويمكن المناقشة فيما استظهره من الأخبار بأنّ اليد إذا كانت معتبرة عند العرف والعقلاء بنحو الطريقية والأمارية وكان بنائهم على ترتيب آثار الملكية على ما في يد الآخر من غير تفحّص وتحقيق، وعدم الاعتناء باحتمال خلافه وكان هذا البناء منهم في مرءى ومنظر من الشارع الأقدس؛ فإذا وقع في كلام السائلين عنهم عن مصاديق هذا البناء واعتبار اليد فاعتبرها الشارع وجعلها حجّة يستظهر منه أنّ اعتباره عنده كان على النحو الذي يعتبره العقلاء من ترتيب آثار الملكية عليه لا أن يكون حجّة عند الشكّ تعبّداً،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استولى على شي‌ء منه فهو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منه أنّه ملك له باعتبار الاستيلاء، ويستفاد منه أنّ الاستيلاء على شي‌ء أمارة على كونه ملكاً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قوله في رواية حفص بن غياث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يجز هذا لم يقم للمسلمين سوق</w:t>
      </w:r>
      <w:r>
        <w:rPr>
          <w:rFonts w:eastAsia="Amiri" w:cs="Amiri" w:ascii="Amiri" w:hAnsi="Amiri"/>
          <w:color w:val="111111"/>
          <w:sz w:val="28"/>
          <w:szCs w:val="28"/>
          <w:rtl w:val="true"/>
          <w:lang w:bidi="ar-SA"/>
        </w:rPr>
        <w:t>»</w:t>
      </w:r>
      <w:r>
        <w:rPr>
          <w:rStyle w:val="FootnoteAnchor"/>
          <w:rtl w:val="true"/>
        </w:rPr>
        <w:footnoteReference w:id="1148"/>
      </w:r>
      <w:r>
        <w:rPr>
          <w:rFonts w:ascii="Amiri" w:hAnsi="Amiri" w:eastAsia="Amiri" w:cs="Amiri"/>
          <w:color w:val="111111"/>
          <w:sz w:val="28"/>
          <w:sz w:val="28"/>
          <w:szCs w:val="28"/>
          <w:rtl w:val="true"/>
          <w:lang w:bidi="ar-SA"/>
        </w:rPr>
        <w:t>يدلّ على اعتبار اليد شرعاً على نحو اعتبارها عند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سائر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لا إشكال في أنّ اعتبار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مدركه الأخبار أو بناء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جهة كونها طريقاً وامارة لملكية ما كان تحت يد ذي اليد ويترتّب عليها آثار الملكية</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ثمرة النزاع تظهر في تقدّم اليد على الاستصحاب الجاري في أكثر مواردها وعلى سائر الاصول لما تقرّر في محلّه من تقدّم الأمارة على الأصل الموافق أو المخالف</w:t>
      </w:r>
      <w:r>
        <w:rPr>
          <w:rFonts w:eastAsia="Amiri" w:cs="Amiri" w:ascii="Amiri" w:hAnsi="Amiri"/>
          <w:color w:val="111111"/>
          <w:sz w:val="28"/>
          <w:szCs w:val="28"/>
          <w:rtl w:val="true"/>
          <w:lang w:bidi="ar-SA"/>
        </w:rPr>
        <w:t>.</w:t>
      </w:r>
      <w:bookmarkStart w:id="624" w:name="pg1791_16209"/>
    </w:p>
    <w:p>
      <w:pPr>
        <w:pStyle w:val="Heading5"/>
        <w:numPr>
          <w:ilvl w:val="4"/>
          <w:numId w:val="1"/>
        </w:numPr>
        <w:rPr/>
      </w:pPr>
      <w:bookmarkStart w:id="625" w:name="__RefHeading___Toc2354865_3650668749"/>
      <w:bookmarkStart w:id="626" w:name="_Toc229"/>
      <w:bookmarkEnd w:id="624"/>
      <w:bookmarkEnd w:id="625"/>
      <w:r>
        <w:rPr>
          <w:rtl w:val="true"/>
        </w:rPr>
        <w:t>الثالثة</w:t>
      </w:r>
      <w:r>
        <w:rPr>
          <w:rtl w:val="true"/>
        </w:rPr>
        <w:t xml:space="preserve">: </w:t>
      </w:r>
      <w:r>
        <w:rPr>
          <w:rtl w:val="true"/>
        </w:rPr>
        <w:t>ما هو المراد من اليد؟</w:t>
      </w:r>
      <w:bookmarkEnd w:id="626"/>
    </w:p>
    <w:p>
      <w:pPr>
        <w:pStyle w:val="BookText"/>
        <w:rPr/>
      </w:pPr>
      <w:r>
        <w:rPr>
          <w:rFonts w:ascii="Amiri" w:hAnsi="Amiri" w:eastAsia="Amiri" w:cs="Amiri"/>
          <w:color w:val="111111"/>
          <w:sz w:val="28"/>
          <w:sz w:val="28"/>
          <w:szCs w:val="28"/>
          <w:rtl w:val="true"/>
          <w:lang w:bidi="ar-SA"/>
        </w:rPr>
        <w:t>في المراد من اليد هنا إذا قيل باقتضاء اليد الملكية، أو قيل بأمارية اليد للملكية، فما المراد منها؟ ذكر اللغويون لليد معاني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أطراف الأصابع إلى الكتف وهي مؤنّثة لامها محذوفة والأصل يَدَئ ومثنّاها يدان والجمع الأيدي والأيادي جمع الجمع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يد بيضاء في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أنّه حاذق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لعبة يداً 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نقداً حاضراً بحاضر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عليه 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في 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في ملكي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بيد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في تصرّفه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 مع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حفظه ووقايته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المسلون يد واحدة على من سواهم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مجتمعون على عداوته، إلى غير ذلك من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يهمّنا أنّها حقيقة في الجميع أو مجاز في الجميع أو حقيقة في البعض، ومجاز في البعض الآخر، بل إنّما المهمّ أنّه ما المراد منها في المتفاهم العرفي في محلّ البحث، فنقول</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إشكال في أنّ المراد منها في محلّ البحث هو الاستيلاء والسلطة الخارجية على شي‌ء في أنّ القاعدة هل تجري في المنافع أو تختصّ بالأعيان، والاستيلاء والسلطة أمر عرفي يختلف في نظرهم بحسب ما استولى عليه مثلًا الاستيلاء على</w:t>
      </w:r>
      <w:bookmarkStart w:id="627" w:name="pg1791_16211"/>
    </w:p>
    <w:p>
      <w:pPr>
        <w:pStyle w:val="BookText"/>
        <w:rPr/>
      </w:pPr>
      <w:bookmarkEnd w:id="627"/>
      <w:r>
        <w:rPr>
          <w:rFonts w:ascii="Amiri" w:hAnsi="Amiri" w:eastAsia="Amiri" w:cs="Amiri"/>
          <w:color w:val="111111"/>
          <w:sz w:val="28"/>
          <w:sz w:val="28"/>
          <w:szCs w:val="28"/>
          <w:rtl w:val="true"/>
          <w:lang w:bidi="ar-SA"/>
        </w:rPr>
        <w:t>الدار فهو بأن يكون ساكناً فيها أو يكون مفتاحها في يده والاستيلاء على الدكّان بأن يكتب فيه والاستيلاء على الأرض بالزراعة فيه والاستيلاء على الثوب والخاتم بلبسهما أو يكون في صندوقه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شي‌ء تحت استيلاء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 أنحاء الاستيلاء المناسب له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ندري هل هو ملك له أو لا؟ فنفس اليد عليه والاستيلاء الخارجي عليه يكون أمارة للملكية، ويترتّب عليه آثارها</w:t>
      </w:r>
      <w:r>
        <w:rPr>
          <w:rFonts w:eastAsia="Amiri" w:cs="Amiri" w:ascii="Amiri" w:hAnsi="Amiri"/>
          <w:color w:val="111111"/>
          <w:sz w:val="28"/>
          <w:szCs w:val="28"/>
          <w:rtl w:val="true"/>
          <w:lang w:bidi="ar-SA"/>
        </w:rPr>
        <w:t>.</w:t>
      </w:r>
    </w:p>
    <w:p>
      <w:pPr>
        <w:pStyle w:val="Heading5"/>
        <w:numPr>
          <w:ilvl w:val="4"/>
          <w:numId w:val="1"/>
        </w:numPr>
        <w:rPr/>
      </w:pPr>
      <w:bookmarkStart w:id="628" w:name="__RefHeading___Toc2354867_3650668749"/>
      <w:bookmarkStart w:id="629" w:name="_Toc230"/>
      <w:bookmarkEnd w:id="628"/>
      <w:r>
        <w:rPr>
          <w:rtl w:val="true"/>
        </w:rPr>
        <w:t>الرابعة</w:t>
      </w:r>
      <w:r>
        <w:rPr>
          <w:rtl w:val="true"/>
        </w:rPr>
        <w:t xml:space="preserve">: </w:t>
      </w:r>
      <w:r>
        <w:rPr>
          <w:rtl w:val="true"/>
        </w:rPr>
        <w:t>أنّ قاعدة اليد هل تجري في المنافع أم تختصّ بالأعيان‌</w:t>
      </w:r>
      <w:bookmarkEnd w:id="629"/>
    </w:p>
    <w:p>
      <w:pPr>
        <w:pStyle w:val="Heading6"/>
        <w:numPr>
          <w:ilvl w:val="5"/>
          <w:numId w:val="1"/>
        </w:numPr>
        <w:rPr/>
      </w:pPr>
      <w:bookmarkStart w:id="630" w:name="__RefHeading___Toc2354869_3650668749"/>
      <w:bookmarkStart w:id="631" w:name="_Toc231"/>
      <w:bookmarkEnd w:id="630"/>
      <w:r>
        <w:rPr>
          <w:rtl w:val="true"/>
        </w:rPr>
        <w:t>اشارة</w:t>
      </w:r>
      <w:bookmarkEnd w:id="631"/>
    </w:p>
    <w:p>
      <w:pPr>
        <w:pStyle w:val="BookText"/>
        <w:rPr/>
      </w:pPr>
      <w:r>
        <w:rPr>
          <w:rFonts w:ascii="Amiri" w:hAnsi="Amiri" w:eastAsia="Amiri" w:cs="Amiri"/>
          <w:color w:val="111111"/>
          <w:sz w:val="28"/>
          <w:sz w:val="28"/>
          <w:szCs w:val="28"/>
          <w:rtl w:val="true"/>
          <w:lang w:bidi="ar-SA"/>
        </w:rPr>
        <w:t>في موارد جريان القاعدة ومقدار حجّيتها فقد اختلف في جملة من الموارد، بعد الاتّفاق على جريانها في الأعيان فإنّها القدر المتيقّن من الأخبار وبناء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الحكم بكاشفية اليد عن الملكية وأماريتها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كان تحت استيلاء شخص وفي يده بنحو من الأنحاء، فهو محكوم بملكيّته وأنّه له؛ سواء كان من الأعيان أو المنافع أو الحقوق أو غيرها</w:t>
      </w:r>
      <w:r>
        <w:rPr>
          <w:rFonts w:eastAsia="Amiri" w:cs="Amiri" w:ascii="Amiri" w:hAnsi="Amiri"/>
          <w:color w:val="111111"/>
          <w:sz w:val="28"/>
          <w:szCs w:val="28"/>
          <w:rtl w:val="true"/>
          <w:lang w:bidi="ar-SA"/>
        </w:rPr>
        <w:t>»</w:t>
      </w:r>
      <w:r>
        <w:rPr>
          <w:rStyle w:val="FootnoteAnchor"/>
          <w:rtl w:val="true"/>
        </w:rPr>
        <w:footnoteReference w:id="1149"/>
      </w:r>
      <w:r>
        <w:rPr>
          <w:rFonts w:ascii="Amiri" w:hAnsi="Amiri" w:eastAsia="Amiri" w:cs="Amiri"/>
          <w:color w:val="111111"/>
          <w:sz w:val="28"/>
          <w:sz w:val="28"/>
          <w:szCs w:val="28"/>
          <w:rtl w:val="true"/>
          <w:lang w:bidi="ar-SA"/>
        </w:rPr>
        <w:t>فمن جملة موارد الاختلاف جريان القاعدة في المنافع وأنّ الاستيلاء على المنافع هل يقتضي الملكية لذي اليد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إذا كان الدار تحت يد شخص مدّعياً استيجاره سنة مثلًا</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المحقّق النراقي</w:t>
      </w:r>
      <w:r>
        <w:rPr>
          <w:rStyle w:val="FootnoteAnchor"/>
          <w:rtl w:val="true"/>
        </w:rPr>
        <w:footnoteReference w:id="1150"/>
      </w:r>
      <w:r>
        <w:rPr>
          <w:rFonts w:ascii="Amiri" w:hAnsi="Amiri" w:eastAsia="Amiri" w:cs="Amiri"/>
          <w:color w:val="111111"/>
          <w:sz w:val="28"/>
          <w:sz w:val="28"/>
          <w:szCs w:val="28"/>
          <w:rtl w:val="true"/>
          <w:lang w:bidi="ar-SA"/>
        </w:rPr>
        <w:t>باختصاص القاعدة في الأعيان ولا تجري في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على ذلك بالأصل، وعدم ثبوت الإجماع في غير الأعيان، واختصاص الأخبار بالأعيان؛ فإنّ مورد بعضها الأعيان وبعضها الآخر وإن كان فيه لفظ الشي‌ء وهو عامّ يشمل المنافع أيضاً، ولكن في كلّ واحد منها قرينة مانعة عن حملها على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في رواية حفص بن غياث</w:t>
      </w:r>
      <w:r>
        <w:rPr>
          <w:rStyle w:val="FootnoteAnchor"/>
          <w:rtl w:val="true"/>
        </w:rPr>
        <w:footnoteReference w:id="1151"/>
      </w:r>
      <w:r>
        <w:rPr>
          <w:rFonts w:ascii="Amiri" w:hAnsi="Amiri" w:eastAsia="Amiri" w:cs="Amiri"/>
          <w:color w:val="111111"/>
          <w:sz w:val="28"/>
          <w:sz w:val="28"/>
          <w:szCs w:val="28"/>
          <w:rtl w:val="true"/>
          <w:lang w:bidi="ar-SA"/>
        </w:rPr>
        <w:t xml:space="preserve">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أوّلها وإن كان نكرة في سياق الشرط المفيدة للعموم، إلا أنّ رجوع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يشتريه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إمّا تخصيصه بالأعيان، أو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موثّقة يونس بن يعقوب</w:t>
      </w:r>
      <w:r>
        <w:rPr>
          <w:rStyle w:val="FootnoteAnchor"/>
          <w:rtl w:val="true"/>
        </w:rPr>
        <w:footnoteReference w:id="1152"/>
      </w:r>
      <w:r>
        <w:rPr>
          <w:rFonts w:ascii="Amiri" w:hAnsi="Amiri" w:eastAsia="Amiri" w:cs="Amiri"/>
          <w:color w:val="111111"/>
          <w:sz w:val="28"/>
          <w:sz w:val="28"/>
          <w:szCs w:val="28"/>
          <w:rtl w:val="true"/>
          <w:lang w:bidi="ar-SA"/>
        </w:rPr>
        <w:t>فلرجوع الضمير المجرور فيها إلى المتاع الذي هو من 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المحقّق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ظاهر حديث الفدك العموم، إلا أنّه يمكن دعوى اختصاص صدق اليد حقيقة بالأعيان فإنّها المتبادر عرفاً من لفظ ما في اليد، بل المتبادر من الاستيلاء أيضاً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وصدقهما على المنافع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هنا كلام آخر وهو أنّ اليد والاستيلاء إنّما هو في الأشياء الموجودة في الخارج القارّة، وأمّا الامور التدريجية الوجود الغير القارّة كالمنافع فلو سلّم صدق اليد والاستيلاء عليها؛ فإنّما هو فيما تحقّق ومضى لا في المنافع المستقبلة التي هي المراد هاهنا</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المحقّق البجنوردي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Style w:val="FootnoteAnchor"/>
          <w:rtl w:val="true"/>
        </w:rPr>
        <w:footnoteReference w:id="1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التحقيق في هذا المقام هو التفصيل بين ما</w:t>
      </w:r>
    </w:p>
    <w:p>
      <w:pPr>
        <w:pStyle w:val="BookText"/>
        <w:rPr/>
      </w:pPr>
      <w:r>
        <w:rPr>
          <w:rFonts w:ascii="Amiri" w:hAnsi="Amiri" w:eastAsia="Amiri" w:cs="Amiri"/>
          <w:color w:val="111111"/>
          <w:sz w:val="28"/>
          <w:sz w:val="28"/>
          <w:szCs w:val="28"/>
          <w:rtl w:val="true"/>
          <w:lang w:bidi="ar-SA"/>
        </w:rPr>
        <w:t>كان المدّعي في قبال ذي اليد هو المالك، يعني كان رجل يسكن داراً، ومثلًا يعترف أنّه ليس بمالك للدار، بل هو مستأجر والمالك يدّعي عدم الإجارة وأنّ الدار والمنفعة كانت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ما إذا كان المدّعي أجنبيّاًأي ليس بمالك ويدّعي أنّ الدار كانت في إجارته لا في إجارة ذي اليد، فاليد حجّة في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البجنوردي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والسرّ في ذلك أنّ المنفعة أمر معدوم، فإنّها غالباً يكون أمراً غير قارّ لا يوجد جزء منه إلا بعد انعدام الجزء الآخر، فلا يمكن وقوعها استقلالًا تحت اليد التي عرفت أنّها سيطرة واستيلاء خارجي، سواء كان معتبراً في العالم أو لا يكون؛ إذ اليد بالمعنى المذكور من الامور التكوينية الخارجية، وليست من الامور الاعتبارية، فمعنى كون المنفعة تحت اليد ليس أنّها استقلالًا وبنفسها تحت اليد، بل معناه أنّها تحت اليد بتبع العين لأنّ المنفعة من شؤون العين ونسبتها إلى العين كنسبة العرض إلى موضوعه، فالاستيلاء والسيطرة على العين استيلاء على منافعها، لا بمعنى أنّه هناك استيلاءان وسيطرتان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على العين والاخرى على المنفعة، بل ليس في الخارج إلا الاستيلاء على العين، وهذا الاستيلاء الموجود في الخارج استيلاء على المنفعة بالتبع، فليس في حال النزاع شي‌ء موجود حتّى نقول بأنّه تحت اليد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أنّها تحت اليد بتبع العين بمعنى أنّ اليد على العين يد أيضاً عليها</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ما ظهر ما قلنا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لوكان المدّعي هو المالك فحيث إنّ ذا اليد معترف بأنّ يده أماني ومن قبل المالك، فقد أسقط يده عن الاعتبار، فإنّ يده في الحقيقة يد المالك فلا يبقى مجال للمخاصمة مع المالك بمثل هذه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w:t>
      </w:r>
    </w:p>
    <w:p>
      <w:pPr>
        <w:pStyle w:val="BookText"/>
        <w:rPr/>
      </w:pPr>
      <w:r>
        <w:rPr>
          <w:rFonts w:ascii="Amiri" w:hAnsi="Amiri" w:eastAsia="Amiri" w:cs="Amiri"/>
          <w:color w:val="111111"/>
          <w:sz w:val="28"/>
          <w:sz w:val="28"/>
          <w:szCs w:val="28"/>
          <w:rtl w:val="true"/>
          <w:lang w:bidi="ar-SA"/>
        </w:rPr>
        <w:t>بالنسبة إلى الأجنبيّ فلا يسقط يده عن الاعتبار، بل اليد موجود على العين وبالتبع على المنفعة ولم يصدر عن ذي اليد اعتراف يضرّ بأماريتها بالنسبة إلى الأجنبيّ</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الدليل على اعتبار مثل هذه اليد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مدرك هذه القاعدة أحد الأشياء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المدرك لهذه القاعدة الأخبار، فالإنصاف أنّ إثبات حجّيتها مشكل، لأنّ أغلب الأخبار موردها الأعيان والخروج عنها إلى المنفعة 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وموثّقة يونس بن يعقوب، وإن كان فيه عموم بالنسبة إلى المنفعة والعين باعتبار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الراجع إلى متاع البيت يقيّد هذا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كان المدرك هو الإجماع فمعلوم أنّه لا حجّية له في محلّ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كان المدرك هو بناء العقلاء فالحقّ شموله للمنافع فيما قلنا بالتفصيل، لأنّه من الواضح أنّ العقلاء يفرّقون بين أن يكون المدّعي هو المالك أو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ما استدلا به على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استدلّ به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للاستدلال به مع وجود الدليل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دليل حيث 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تعرّض له المحقّق البجنوردي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الاستدلال به كما تقدّم، كيف ولا يكون موجوداً فيما نحن فيه</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الأخبار فكما أنّ مورد بعضها الأعيان ولا يمكن التعدّي عنها إلى</w:t>
      </w:r>
    </w:p>
    <w:p>
      <w:pPr>
        <w:pStyle w:val="BookText"/>
        <w:rPr/>
      </w:pPr>
      <w:r>
        <w:rPr>
          <w:rFonts w:ascii="Amiri" w:hAnsi="Amiri" w:eastAsia="Amiri" w:cs="Amiri"/>
          <w:color w:val="111111"/>
          <w:sz w:val="28"/>
          <w:sz w:val="28"/>
          <w:szCs w:val="28"/>
          <w:rtl w:val="true"/>
          <w:lang w:bidi="ar-SA"/>
        </w:rPr>
        <w:t>المنافع، كذلك كان مورد بعضها الآخر المنافع، وهو كما يلي مع بعض من المناقشات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كانت له رحى على نهر قرية والقرية لرجل</w:t>
      </w:r>
      <w:r>
        <w:rPr>
          <w:rFonts w:eastAsia="Amiri" w:cs="Amiri" w:ascii="Amiri" w:hAnsi="Amiri"/>
          <w:color w:val="111111"/>
          <w:sz w:val="28"/>
          <w:szCs w:val="28"/>
          <w:rtl w:val="true"/>
          <w:lang w:bidi="ar-SA"/>
        </w:rPr>
        <w:t>»</w:t>
      </w:r>
      <w:r>
        <w:rPr>
          <w:rStyle w:val="FootnoteAnchor"/>
          <w:rtl w:val="true"/>
        </w:rPr>
        <w:footnoteReference w:id="1156"/>
      </w:r>
      <w:r>
        <w:rPr>
          <w:rFonts w:ascii="Amiri" w:hAnsi="Amiri" w:eastAsia="Amiri" w:cs="Amiri"/>
          <w:color w:val="111111"/>
          <w:sz w:val="28"/>
          <w:sz w:val="28"/>
          <w:szCs w:val="28"/>
          <w:rtl w:val="true"/>
          <w:lang w:bidi="ar-SA"/>
        </w:rPr>
        <w:t>، فإنّ الظاهر منها أنّ يده كانت كاشفة عن ملكيته لمنفعة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وتغيير مسير الماء يوجب تعطيل الرحي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يتّق الله ويعمل بالمعروف ولا يضرّ أخاه المؤمن فتدلّ على أنّ اليد على المنافع أيضاً لها 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يونس بن يعقوب</w:t>
      </w:r>
      <w:r>
        <w:rPr>
          <w:rStyle w:val="FootnoteAnchor"/>
          <w:rtl w:val="true"/>
        </w:rPr>
        <w:footnoteReference w:id="1157"/>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استولى على شي‌ء منه فهو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أنّ الموجب للحكم بالملكية هو الاستيلاء، والاستيلاء على شي‌ء كاشف عن ملكيته له ولا خصوصية لمتاع البيت في ذلك،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الراجع إلى متاع البيت كان بملاحظة أنّ الكلام هو في مورد المتاع لا لذكر الخصوصية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والشي‌ء في الرواية مطلق يشمل العين والمنفعة؛ يعني من استولى على شي‌ء من العين أو المنفعة فنفس استيلائه عليه يكشف عن كونه مالكاً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 في حديث الفدك</w:t>
      </w:r>
      <w:r>
        <w:rPr>
          <w:rStyle w:val="FootnoteAnchor"/>
          <w:rtl w:val="true"/>
        </w:rPr>
        <w:footnoteReference w:id="1158"/>
      </w:r>
      <w:r>
        <w:rPr>
          <w:rFonts w:ascii="Amiri" w:hAnsi="Amiri" w:eastAsia="Amiri" w:cs="Amiri"/>
          <w:color w:val="111111"/>
          <w:sz w:val="28"/>
          <w:sz w:val="28"/>
          <w:szCs w:val="28"/>
          <w:rtl w:val="true"/>
          <w:lang w:bidi="ar-SA"/>
        </w:rPr>
        <w:t xml:space="preserve">من أنّ المتبادر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في يد المسلمين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ويختصّ صدق اليد والاستيلاء حقيقة بالأعيان واستعماله في المنافع يحتاج إلى قرينة</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فيناقش عليه أنّ دعوى التبادر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وإطلاقها على الأعيان والمنافع سواء</w:t>
      </w:r>
    </w:p>
    <w:p>
      <w:pPr>
        <w:pStyle w:val="BookText"/>
        <w:rPr/>
      </w:pPr>
      <w:r>
        <w:rPr>
          <w:rFonts w:ascii="Amiri" w:hAnsi="Amiri" w:eastAsia="Amiri" w:cs="Amiri"/>
          <w:color w:val="111111"/>
          <w:sz w:val="28"/>
          <w:sz w:val="28"/>
          <w:szCs w:val="28"/>
          <w:rtl w:val="true"/>
          <w:lang w:bidi="ar-SA"/>
        </w:rPr>
        <w:t>عند العرف وإن كان موارد الأعيان أكثر،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في يد المسلمين شي‌ء يملكونه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الأعيان والمنافع بلا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قال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والبجنوردي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المنفعة أمر تدريجي الوجود وغير قارّ، بل أمر معدوم في الخارج فلا يصدق اليد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 أنّ العرف يراها أمراً موجوداً اعتباراً ومستمرّاً ويعتبرها ملكاً لزيد مثلًا؛ ويصحّ له تمليكها بالغير بأن يوجر الدار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والإجارة تمليك المنفعة ويقدّر في قبالها القيمة وهي مال الإجارة، فلو كان معدوماً فكيف يتعلّق بها الملكية وكيف يملكها للغير ويأخذ في قبالها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ويصير المستأجر مالكاً للمنفعة كما أنّ الموجر يصير مالكاً لمال الإجارة، فليس هذا إلا بأن يعتبرها العرف موجوداً مستمرّاً، فكما يتعلّق به الملكية يقع عليها اليد والاستيلاء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إذا كان العين في يد المالك لم يكن له استيلائان مستقلان، بل استيلاء واحد على العين واستيلاء على المنفعة بالتبع، أمّا لو آجر العين فيكون يد المستأجر على العين يد المالك بالنسبة إلى ملكية العين، أمّا بالنسبة إلى المنفعة فكانت يده عليها مستقلًا وكان مالكاً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صدق للمستأجر الاستيلاء على المنفعة واليد عليها مستقلًا، فلا فرق بين أن يكون المدّعي في قباله هو المالك أو الأجنبيّ، فإنّ يده على المنفعة كانت كاشفة عن الملكية فالمدّعي في قباله لا بدّ له من إثبات ادّعائه، سواء كان هو المالك أو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فالتفصيل الذي ذهب إليه المحقّق البجنوردي لا وجه له كما لا يخفى</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قاله البجنوردي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اليد والاستيلاء أمر خارجي واعتباره لا</w:t>
      </w:r>
    </w:p>
    <w:p>
      <w:pPr>
        <w:pStyle w:val="BookText"/>
        <w:rPr/>
      </w:pPr>
      <w:r>
        <w:rPr>
          <w:rFonts w:ascii="Amiri" w:hAnsi="Amiri" w:eastAsia="Amiri" w:cs="Amiri"/>
          <w:color w:val="111111"/>
          <w:sz w:val="28"/>
          <w:sz w:val="28"/>
          <w:szCs w:val="28"/>
          <w:rtl w:val="true"/>
          <w:lang w:bidi="ar-SA"/>
        </w:rPr>
        <w:t>يحتاج إلى معتبر خاصّ، إذ اليد بالمعنى المذكور من الامور التكوينية الخارجية وليست من الامور الاعتبارية، ولذلك يتحقّق اليد من الغاصب مع أنّه لا اعتبار ليده لا من طرف الشارع ولا من طرف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أنّ الاستيلاء أمر اعتباري يعتبره العقلاء، ولذا يختلف في أنظارهم على حسب ما استولى عليه فإنّ الاستيلاء على الثوب أمر والاستيلاء على الدار أو على المزرعة أمر آخر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الاعتبار في الغصب أيضاً موجود، واعتبر المال تحت يده واستيلائه بعد أخذه، ولذا يكون ضامناً لما أخذه واستولى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مفقود هو اعتبار الملكية فلا يكون يد الغاصب أمارة للملكية لا عند الشارع ولا عند العقلاء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دليل اعتبار اليد على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طرف الدعوى الأجنبيّ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بناء العقلاء، فإنّ الإجماع والأخبار لا يشملان المنافع، ولكن بناء العقلاء على اعتبار اليد فيما إذا كان المدّعي في قبال ذو اليد الأجنبيّ دون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بناء العقلاء مستقرّ على اعتبار اليد على مطلق المنافع، سواء كان المدّعي هو المالك أو الأجنبيّ، فإذا كان رجل يسكن داراً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بمالك لها، بل هو مستأجر فيعامل العقلاء معه معاملة المستأجر المالك للمنفعة ويده على المنافع معتبرة عندهم إلا أن يثبت خلافه، سواء كان المدّعي في قباله المالك أو الأجنبيّ الذي يدّعي كونه مستأجراً</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الحقّ هو ما قاله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اليد على المنافع أيضاً معتبرة نظير اليد على الأعيان بلا 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عليه الأخبار كما تقدّم وبناء العقلاء على ما استظهرناه</w:t>
      </w:r>
      <w:r>
        <w:rPr>
          <w:rFonts w:eastAsia="Amiri" w:cs="Amiri" w:ascii="Amiri" w:hAnsi="Amiri"/>
          <w:color w:val="111111"/>
          <w:sz w:val="28"/>
          <w:szCs w:val="28"/>
          <w:rtl w:val="true"/>
          <w:lang w:bidi="ar-SA"/>
        </w:rPr>
        <w:t>.</w:t>
      </w:r>
      <w:bookmarkStart w:id="632" w:name="pg1791_16225"/>
    </w:p>
    <w:p>
      <w:pPr>
        <w:pStyle w:val="Heading6"/>
        <w:numPr>
          <w:ilvl w:val="5"/>
          <w:numId w:val="1"/>
        </w:numPr>
        <w:rPr/>
      </w:pPr>
      <w:bookmarkStart w:id="633" w:name="__RefHeading___Toc2354871_3650668749"/>
      <w:bookmarkStart w:id="634" w:name="_Toc232"/>
      <w:bookmarkEnd w:id="632"/>
      <w:bookmarkEnd w:id="633"/>
      <w:r>
        <w:rPr>
          <w:rtl w:val="true"/>
        </w:rPr>
        <w:t>جريان قاعدة اليد في الحقوق‌</w:t>
      </w:r>
      <w:bookmarkEnd w:id="634"/>
    </w:p>
    <w:p>
      <w:pPr>
        <w:pStyle w:val="BookText"/>
        <w:rPr/>
      </w:pPr>
      <w:r>
        <w:rPr>
          <w:rFonts w:ascii="Amiri" w:hAnsi="Amiri" w:eastAsia="Amiri" w:cs="Amiri"/>
          <w:color w:val="111111"/>
          <w:sz w:val="28"/>
          <w:sz w:val="28"/>
          <w:szCs w:val="28"/>
          <w:rtl w:val="true"/>
          <w:lang w:bidi="ar-SA"/>
        </w:rPr>
        <w:t>ومن جملة موارد الاختلاف في جريان قاعدة اليد وعدمه فيه، هي الحقوق المتعلّقة بالأعيان، سواء كانت الأعيان متموّلة مثل حقّ الرهانة أو حقّ التوليه، أو لم يكن متموّلة كحقّ الاختصاص في الخمر والميتة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عيناً تحت يد رجل و يعترف أنّه ليس مالكاً له، بل هو لزيد ولكنّه جعله عنده رهناً لدينه فله فيه حقّ الرهانة، أو كان دكّاناً تحت يده يكتب فيه ويعترف أنّه موقوفة وهو متولّي لها، فهل كانت اليد أمارة على كونه ذا حقّ فيه أو كونه متولّياً للموقوفة أم لا؟</w:t>
      </w:r>
    </w:p>
    <w:p>
      <w:pPr>
        <w:pStyle w:val="BookText"/>
        <w:rPr/>
      </w:pPr>
      <w:r>
        <w:rPr>
          <w:rFonts w:ascii="Amiri" w:hAnsi="Amiri" w:eastAsia="Amiri" w:cs="Amiri"/>
          <w:color w:val="111111"/>
          <w:sz w:val="28"/>
          <w:sz w:val="28"/>
          <w:szCs w:val="28"/>
          <w:rtl w:val="true"/>
          <w:lang w:bidi="ar-SA"/>
        </w:rPr>
        <w:t xml:space="preserve">اختار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 جريان القاعدة فيها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في يده مزرعة موقوفة ويدّعي أنّه المتولّي يحكم بكونه كذلك</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المحقّق البجنوردي</w:t>
      </w:r>
      <w:r>
        <w:rPr>
          <w:rStyle w:val="FootnoteAnchor"/>
          <w:rtl w:val="true"/>
        </w:rPr>
        <w:footnoteReference w:id="1159"/>
      </w:r>
      <w:r>
        <w:rPr>
          <w:rFonts w:ascii="Amiri" w:hAnsi="Amiri" w:eastAsia="Amiri" w:cs="Amiri"/>
          <w:color w:val="111111"/>
          <w:sz w:val="28"/>
          <w:sz w:val="28"/>
          <w:szCs w:val="28"/>
          <w:rtl w:val="true"/>
          <w:lang w:bidi="ar-SA"/>
        </w:rPr>
        <w:t>فيه بالتفصيل المتقدّم منه في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الحقوق لا يمكن وقوعها تحت اليد ابتداءً، بل تقع تحت اليد بتبع العين، وحالها من هذه الجهة حال المنافع بل أنزل؛ لأنّ الحقّ أمر اعتباري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هو إلاسلطنة اعتبارية مجعولة في عالم الاعتبار من طرف العقلاء أو الشارع على‌شي‌ء أو على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آثاره أنّه يسقط بإسقاطه بخلاف المنفعة، فإنّهامن الامور الواقعية المحمولة بالضميمة فالتفصيل الذي بيّنّاه في باب المنافع آت هنا بطريق أولى فاليد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حجّيتها، مخصوصةبالنسبة إلى الأجنبيّ لا بالنسبة إلى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اعتبارها</w:t>
      </w:r>
    </w:p>
    <w:p>
      <w:pPr>
        <w:pStyle w:val="BookText"/>
        <w:rPr/>
      </w:pPr>
      <w:r>
        <w:rPr>
          <w:rFonts w:ascii="Amiri" w:hAnsi="Amiri" w:eastAsia="Amiri" w:cs="Amiri"/>
          <w:color w:val="111111"/>
          <w:sz w:val="28"/>
          <w:sz w:val="28"/>
          <w:szCs w:val="28"/>
          <w:rtl w:val="true"/>
          <w:lang w:bidi="ar-SA"/>
        </w:rPr>
        <w:t>بناءالعقلاء، فإنّ‌الظاهر استقرار بنائهم بثبوت هذه الحقوق إذا كان المدّعي غير مالك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وإن كان أمراً اعتبارياً يعتبره العقلاء أو الشارع على شي‌ء أو شخص، لكن يعتبر العقلاء الاستيلاء واليد عليه فيما إذا كان متعلّق الحقّ تحت يد أحد كما يعتبرون اليد على المنافع في يد المستأجر، فإنّ الاستيلاء أيضاً أمر اعتباري يعتبره العقلاء على شي‌ء لا أنّه أمر تكويني خارجي، فإذا كان في يد شخص مزرعة موقوفة ويدّعي كونه متولّياً عليها فلا إشكال في تحقّق الاستيلاء بنظر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واليد على هذا الحقّ للمستولي فيكون يده عليه كاشفاً عن كونه ذا حقّ التولية، فلو ادّعى أحد أنّه المتولّي على العين الموقوفة يكون عندهم مدّعيان لا بدّ له من الإثبات، ولو لم يكن له البيّنة فالقول قول ذي اليد 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حقّ الرهانة مثلًا، ولا فرق في ذلك بين أن يكون طرف الدعوى هو المالك أو الأجنبيّ كما تقدّم في المنافع، ودعوى تحقّق البناء منهم في الأوّل دون الثاني بلا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فالأقوى ما قاله السيّد الماتن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جريان القاعدة في الحقوق كما قال به الفاضل النراقي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مقتضى اليد أصالة الملكية فيما يملك؛ فكذلك مقتضاها أصالة الاختصاص بذي اليد فيما ليس ملكاً كالوقف، فلو كان شي‌ء في يد أحد مدّعياً وقفيته عليه فادّعاه غيره ولا بيّنة له، يقدم قول ذي اليد</w:t>
      </w:r>
      <w:r>
        <w:rPr>
          <w:rFonts w:eastAsia="Amiri" w:cs="Amiri" w:ascii="Amiri" w:hAnsi="Amiri"/>
          <w:color w:val="111111"/>
          <w:sz w:val="28"/>
          <w:szCs w:val="28"/>
          <w:rtl w:val="true"/>
          <w:lang w:bidi="ar-SA"/>
        </w:rPr>
        <w:t>»</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بعض الروايات وبناء العقلاء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فلموثّقة يونس بن يعقوب</w:t>
      </w:r>
      <w:r>
        <w:rPr>
          <w:rStyle w:val="FootnoteAnchor"/>
          <w:rtl w:val="true"/>
        </w:rPr>
        <w:footnoteReference w:id="1161"/>
      </w: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من متاع النساء فهو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المرأة حيّة وتدّعي أنّ المتاع ملك لها،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ملك لها وإن تدّعي أنّه في إجارته ولها منفعة، فيقال إنّها ملك لها وإن تدّعي أنّ لها حقّ الانتفاع منه فيقال أيضاً أنّه لها، فالجامع بينهما كون اللام للاختصاص الذي يشمل الجميع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استولى على شي‌ء منه فهو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أنّ اللام للاختصاص ويعمّ الملكية والاختصاص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مكاتبة 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قوله في السؤال رجل كانت له رحى على نهر قرية والقرية لرجل؛ يحتمل أن يكون صاحب الرحى مالك سهم من‌الماء أو استيجارها من المالك، وهو مالك للمنفعة، أو كان له حقّ الانتفاع من‌الماء بإذن المالك ولو بإعطاء مال فنهى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تغيير مسير الماء الموجب لتعطيل الرحى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يتّق الله ويعمل في ذلك بالمعروف ولا يضرّ أخاه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عن اعتبار اليد لصاحب الرحي على الإطلاق وترك الاستفصال يفيد العموم، فتدلّ الرواية على اعتبار اليد وإن كان على حقّ الانتفاع بعمومها</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شبهة في تحقّق بناء العقلاء على اعتبار اليد في الحقوق، ولا يعتنون باحتمال الخلاف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 كون المدّعي في قبال صاحب اليد، المالك أو غيره</w:t>
      </w:r>
      <w:r>
        <w:rPr>
          <w:rFonts w:eastAsia="Amiri" w:cs="Amiri" w:ascii="Amiri" w:hAnsi="Amiri"/>
          <w:color w:val="111111"/>
          <w:sz w:val="28"/>
          <w:szCs w:val="28"/>
          <w:rtl w:val="true"/>
          <w:lang w:bidi="ar-SA"/>
        </w:rPr>
        <w:t>.</w:t>
      </w:r>
      <w:bookmarkStart w:id="635" w:name="pg1791_16231"/>
    </w:p>
    <w:p>
      <w:pPr>
        <w:pStyle w:val="Heading6"/>
        <w:numPr>
          <w:ilvl w:val="5"/>
          <w:numId w:val="1"/>
        </w:numPr>
        <w:rPr/>
      </w:pPr>
      <w:bookmarkStart w:id="636" w:name="__RefHeading___Toc2354873_3650668749"/>
      <w:bookmarkStart w:id="637" w:name="_Toc233"/>
      <w:bookmarkEnd w:id="635"/>
      <w:bookmarkEnd w:id="636"/>
      <w:r>
        <w:rPr>
          <w:rtl w:val="true"/>
        </w:rPr>
        <w:t>جريان قاعدة اليد في الأنساب والأعراض‌</w:t>
      </w:r>
      <w:bookmarkEnd w:id="637"/>
    </w:p>
    <w:p>
      <w:pPr>
        <w:pStyle w:val="BookText"/>
        <w:rPr/>
      </w:pPr>
      <w:r>
        <w:rPr>
          <w:rFonts w:ascii="Amiri" w:hAnsi="Amiri" w:eastAsia="Amiri" w:cs="Amiri"/>
          <w:color w:val="111111"/>
          <w:sz w:val="28"/>
          <w:sz w:val="28"/>
          <w:szCs w:val="28"/>
          <w:rtl w:val="true"/>
          <w:lang w:bidi="ar-SA"/>
        </w:rPr>
        <w:t xml:space="preserve">ومن جملة موارد الاختلاف في جريان القاعدة فيه وعدمه الأنساب والأعراض ولعلّ مراد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غيرها</w:t>
      </w:r>
      <w:r>
        <w:rPr>
          <w:rFonts w:eastAsia="Amiri" w:cs="Amiri" w:ascii="Amiri" w:hAnsi="Amiri"/>
          <w:color w:val="111111"/>
          <w:sz w:val="28"/>
          <w:szCs w:val="28"/>
          <w:rtl w:val="true"/>
          <w:lang w:bidi="ar-SA"/>
        </w:rPr>
        <w:t>»</w:t>
      </w:r>
      <w:r>
        <w:rPr>
          <w:rStyle w:val="FootnoteAnchor"/>
          <w:rtl w:val="true"/>
        </w:rPr>
        <w:footnoteReference w:id="1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تعميم جريان القاعدة بالأعيان والمنافع والحقوق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إذا تنازع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زوجة تحت يد أحدهما، بمعنى أنّها تكون في بيته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معها معاملة الزوج مع زوجته فيدّعي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زوجته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أغفلها أو أكرهها أو سرقها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صبيّ تحت يد أحدها والآخر يدّعي أنّه صبيّة فهل تجري قاعدة اليد هنا أم لا؟</w:t>
      </w:r>
    </w:p>
    <w:p>
      <w:pPr>
        <w:pStyle w:val="BookText"/>
        <w:rPr/>
      </w:pPr>
      <w:r>
        <w:rPr>
          <w:rFonts w:ascii="Amiri" w:hAnsi="Amiri" w:eastAsia="Amiri" w:cs="Amiri"/>
          <w:color w:val="111111"/>
          <w:sz w:val="28"/>
          <w:sz w:val="28"/>
          <w:szCs w:val="28"/>
          <w:rtl w:val="true"/>
          <w:lang w:bidi="ar-SA"/>
        </w:rPr>
        <w:t xml:space="preserve">قال المحقّق البجنوردي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Style w:val="FootnoteAnchor"/>
          <w:rtl w:val="true"/>
        </w:rPr>
        <w:footnoteReference w:id="1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والأقوال في المسألة مضطربة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جريان القاعدة فيها، بناءً على كون مدركها هو بناء العقلاء لاستقرار سيرتهم وبنائهم على أمارية اليد في هذه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الظنّ الحاصل من الغلبة ها هنا أقوى بمراتب من الظنّ الحاصل في باب الأملاك، لأنّ الغصب في باب الأملاك كثير بخلافه هنا، فإنّ غصب أحدهم زوجة الآخر أو ولده في غاية القلّة، بل الندرة</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بناء على كون مدرك القاعدة الإجماع أو الأخبار فلا، أي فلا يجري القاعدة فيها، لاختصاص الأخبار حسب ظهورها العرفي بأعيان الأملاك وعدم شمول الإجماع لمورد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جريان القاعدة في هذه المواضع واعتبار اليد فيها كما يظهر من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والمحقّق البجنوردي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ذلك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يونس بن يعقوب</w:t>
      </w:r>
      <w:r>
        <w:rPr>
          <w:rStyle w:val="FootnoteAnchor"/>
          <w:rtl w:val="true"/>
        </w:rPr>
        <w:footnoteReference w:id="1164"/>
      </w:r>
      <w:r>
        <w:rPr>
          <w:rFonts w:ascii="Amiri" w:hAnsi="Amiri" w:eastAsia="Amiri" w:cs="Amiri"/>
          <w:color w:val="111111"/>
          <w:sz w:val="28"/>
          <w:sz w:val="28"/>
          <w:szCs w:val="28"/>
          <w:rtl w:val="true"/>
          <w:lang w:bidi="ar-SA"/>
        </w:rPr>
        <w:t xml:space="preserve">بناءً على ما استظهرنا منه بكون اللام للاختصاص،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استولى على شي‌ء منه فهو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استيلاء الزوج على زوجته أو الأب للصبيّ، فإذا وقعت علقة الزوجية بين الرجل والمرأة فيقال أنّ هذه المرأة زوجة لزيد أو هذا الصبيّ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أنّ اللام للاختصاص فيكون مشمولًا للرواية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العقلاء فهو مستقرّ في المورد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به البجنوردي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الاستيلاء المذكور أمارة عندهم على الزوجية أو الأبنية حتّى يثبت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يشترط في أمارية اليد هنا أمر لا يشترط في غيره من الأعيان والمنافع والحقوق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عدم إنكار الزوجة الزوجية له، فإنّها إذا أنكرتها وقالت لا أكون زوجة له ولا أعرفه فلا يكون الاستيلاء واليد أمارة للزوجية، إذ لم يثبت في هذه الحالة بناء العقلاء على ترتيب الأثر على اليد والأصل يقتضي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الجهات الأربعة من البحث في بيان قاعدة اليد المناسب لما قاله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المسألة فروعاً نبحث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اشتراط التصرّف الموقوف على الملك في أمارية اليد</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يشترط في دلالة اليد على الملكية ونحوها وقوع التصرّفات الموقوفة على</w:t>
      </w:r>
    </w:p>
    <w:p>
      <w:pPr>
        <w:pStyle w:val="BookText"/>
        <w:rPr/>
      </w:pPr>
      <w:r>
        <w:rPr>
          <w:rFonts w:ascii="Amiri" w:hAnsi="Amiri" w:eastAsia="Amiri" w:cs="Amiri"/>
          <w:color w:val="111111"/>
          <w:sz w:val="28"/>
          <w:sz w:val="28"/>
          <w:szCs w:val="28"/>
          <w:rtl w:val="true"/>
          <w:lang w:bidi="ar-SA"/>
        </w:rPr>
        <w:t>الملك من ذي اليد بحيث لو كان تحت يده واستيلائه ولكنّه لم يتصرّف فيه، فلا أمارية لليد على الملك أم لا؟ الظاهر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في دلالة اليد على الملكية ونحوها التصرّفات الموقوفة على الملك، فلو كان شي‌ء في يده يحكم بأنّه ملكه ولو لم يتصرّف فيه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المستفاد من الأخبار و من بناء العقلاء أنّ المناط في أمارية اليد ودلالتها على الملكية هو كون الشي‌ء تحت سلطنته واستيلائه وإن لم يتصرّف فيه فعلًا، فالتصرف الفعلي ليس دخيلًا في ترتيب الأثر على اليد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استولى على شي‌ء منه فهو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ما لو لم يتصرّف فيما استولى عليه بلا إشكال، وكذا السيرة قائمة على اعتبار اليد بمحض السلطنة على الشي‌ء بلا توقّف على التصرّف الفعلي من ذي اليد فيه، فلو كانت داراً مقفولة ومفتاحها في يده ولا يدخلها أحد بغير إذنه، وكذا سيّارة في بيته مقفولة لا يركبها هو ولا يركبها غيره أيضاً بغير إذنه، فالعرف حاكم بأنّهما له ويشملهما الموثّقة بإطلاقها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اشتراط دعوى الملكية من ذي اليد في أمارية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يشترط في أمارية اليد ودلالتها على الملكية ونحوها ادّعاء ذي اليد الملكية، بحيث لو كان تحت يده واستيلائه ولكنّه لا يدّعي أنّه ملكه ولا يسمع منه دعوى الملكية، فلا يحكم بملكيته له أم لا؟ الظاهر الثاني أيضاً</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دعوى ذي اليد الملكية ولو كان في يده شي‌ء فمات ولم</w:t>
      </w:r>
    </w:p>
    <w:p>
      <w:pPr>
        <w:pStyle w:val="BookText"/>
        <w:rPr/>
      </w:pPr>
      <w:r>
        <w:rPr>
          <w:rFonts w:ascii="Amiri" w:hAnsi="Amiri" w:eastAsia="Amiri" w:cs="Amiri"/>
          <w:color w:val="111111"/>
          <w:sz w:val="28"/>
          <w:sz w:val="28"/>
          <w:szCs w:val="28"/>
          <w:rtl w:val="true"/>
          <w:lang w:bidi="ar-SA"/>
        </w:rPr>
        <w:t>يعلم أنّه له ولم يسمع منه دعوى الملكيّة، يحكم بأنّه له وهو لوارثه</w:t>
      </w:r>
      <w:r>
        <w:rPr>
          <w:rFonts w:eastAsia="Amiri" w:cs="Amiri" w:ascii="Amiri" w:hAnsi="Amiri"/>
          <w:color w:val="111111"/>
          <w:sz w:val="28"/>
          <w:szCs w:val="28"/>
          <w:rtl w:val="true"/>
          <w:lang w:bidi="ar-SA"/>
        </w:rPr>
        <w:t>»</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الفاضل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Style w:val="FootnoteAnchor"/>
          <w:rtl w:val="true"/>
        </w:rPr>
        <w:footnoteReference w:id="1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يشترط انضمام ادّعائه الملكية أم لا؟ الظاهر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استدلّ بصدر رواية حفص بن غياث</w:t>
      </w:r>
      <w:r>
        <w:rPr>
          <w:rStyle w:val="FootnoteAnchor"/>
          <w:rtl w:val="true"/>
        </w:rPr>
        <w:footnoteReference w:id="1167"/>
      </w:r>
      <w:r>
        <w:rPr>
          <w:rFonts w:ascii="Amiri" w:hAnsi="Amiri" w:eastAsia="Amiri" w:cs="Amiri"/>
          <w:color w:val="111111"/>
          <w:sz w:val="28"/>
          <w:sz w:val="28"/>
          <w:szCs w:val="28"/>
          <w:rtl w:val="true"/>
          <w:lang w:bidi="ar-SA"/>
        </w:rPr>
        <w:t xml:space="preserve">المتقدّمة، فإنّ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بجواز الشهادة على ملكية ما رآه في يد رجل وجواز الشراء منه مع عدم ادّعاء الرجل على ملكية ما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الاستفصال يدلّ على العموم، يعني يكون اليد أمارة ومعتبرة، سواء ادّعى ذو اليد ملكية ما في يده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استدلّ بموثّقة يونس بن يعقوب</w:t>
      </w:r>
      <w:r>
        <w:rPr>
          <w:rStyle w:val="FootnoteAnchor"/>
          <w:rtl w:val="true"/>
        </w:rPr>
        <w:footnoteReference w:id="1168"/>
      </w:r>
      <w:r>
        <w:rPr>
          <w:rFonts w:ascii="Amiri" w:hAnsi="Amiri" w:eastAsia="Amiri" w:cs="Amiri"/>
          <w:color w:val="111111"/>
          <w:sz w:val="28"/>
          <w:sz w:val="28"/>
          <w:szCs w:val="28"/>
          <w:rtl w:val="true"/>
          <w:lang w:bidi="ar-SA"/>
        </w:rPr>
        <w:t>المتقدّمة؛ فإنّ إطلاقها شامل للمورد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يحكم بملكية ما كان في يد المتوفّى له وإن لم يسمع منه دعوى الملكية ويحكم بكونه لوارثه وكذا يحكم بملكية ما في يد الغائب ولو لم يسمع منه أنّه‌له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بناء العقلاء أيضاً على ذلك، فإنّهم يترتّبون آثار الملكية على شي‌ء في يد الرجل وإن لم يسمع منه دعوى ملكية له</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يشترط عدم اعترافه بعدم كونه ملكاً له، فإنّ إقراره نافذ عليه ومعه لا مجال لأمارية اليد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تجري قاعدة أمارية اليد بالنسبة إلى من لا يعلم بمالكية ما في يده؟</w:t>
      </w:r>
    </w:p>
    <w:p>
      <w:pPr>
        <w:pStyle w:val="BookText"/>
        <w:rPr/>
      </w:pPr>
      <w:r>
        <w:rPr>
          <w:rFonts w:ascii="Amiri" w:hAnsi="Amiri" w:eastAsia="Amiri" w:cs="Amiri"/>
          <w:color w:val="111111"/>
          <w:sz w:val="28"/>
          <w:sz w:val="28"/>
          <w:szCs w:val="28"/>
          <w:rtl w:val="true"/>
          <w:lang w:bidi="ar-SA"/>
        </w:rPr>
        <w:t>إذا اعترف ذو اليد بعدم علمه بكون ما في يده ملكاً له، ويشكّ في ذلك، تجري القاعدة بالنسبة إلى نفسه، بأن يترتّب آثار الملك عليه باعتبار يده عليه وكذا بالنسبة إلى غيره فيترتّبون على ما في يده آثار الملكية له، ولو لم يعلم أنّه له، فان اعترف بأنّي لا أعلم أنّ ما في يدي لي أم لا، يحكم بكونه له بالنسبة إلى نفسه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ذلك إطلاق موثّقة يونس بن يعقوب</w:t>
      </w:r>
      <w:r>
        <w:rPr>
          <w:rStyle w:val="FootnoteAnchor"/>
          <w:rtl w:val="true"/>
        </w:rPr>
        <w:footnoteReference w:id="1169"/>
      </w:r>
      <w:r>
        <w:rPr>
          <w:rFonts w:ascii="Amiri" w:hAnsi="Amiri" w:eastAsia="Amiri" w:cs="Amiri"/>
          <w:color w:val="111111"/>
          <w:sz w:val="28"/>
          <w:sz w:val="28"/>
          <w:szCs w:val="28"/>
          <w:rtl w:val="true"/>
          <w:lang w:bidi="ar-SA"/>
        </w:rPr>
        <w:t xml:space="preserve">المتقدّمة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استولى على شي‌ء منه فهو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ضابطة كلّية وميزان عام تشمل صاحب اليد أيضاً إذا لم يكن عالماً بملكية ما فيه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يمكن الاستدلال عليه بصحيحة جميل بن صالح</w:t>
      </w:r>
      <w:r>
        <w:rPr>
          <w:rStyle w:val="FootnoteAnchor"/>
          <w:rtl w:val="true"/>
        </w:rPr>
        <w:footnoteReference w:id="1170"/>
      </w:r>
      <w:r>
        <w:rPr>
          <w:rFonts w:ascii="Amiri" w:hAnsi="Amiri" w:eastAsia="Amiri" w:cs="Amiri"/>
          <w:color w:val="111111"/>
          <w:sz w:val="28"/>
          <w:sz w:val="28"/>
          <w:szCs w:val="28"/>
          <w:rtl w:val="true"/>
          <w:lang w:bidi="ar-SA"/>
        </w:rPr>
        <w:t xml:space="preserve">بتقريب أنّ استفصال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الصدر من دخول غيره في المنزل وعدمه يكشف عن اختلاف حكمهما، فإذا أجاب بقوله نعم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فيه سقوط أمارية يد صاحب المنزل لغلبة الداخلين، فيستظهر منه أنّه لو لم يدخل فيه غيره، فأمارية يده باقية ودالّة على كونه له</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يستظهر من ذيل الرواية أمارية يد صاحب الصندوق لما يوجد فيه إذا لم يكن عالماً بكونه ملكاً له، فإنّه إذا أجاب بعدم إدخال أحد يده في الصندوق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إشكال في أنّ مفروض الكلام هو الشكّ في أنّ الدينار له أو لغيره، مع عدم دخول يد غيره فيه وإلا لا وجه للسؤال، فالوجه لحكم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الدينار له، ليس إلا أمارية اليد واعتبارها لذي اليد أيضاً عند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شي‌ء تحت يد وكيله أو أمينه أو مستأجره فهو محكوم بملكيته، فيدهم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كان شي‌ء بيد غاصب معترف بغصبيته من زيد، فهل هو محكوم بكونه تحت يد زيد أو لا؟ فلو ادّعى أحد ملكيته وأكذب الغاصب في اعترافه، يحكم بأنّه لمن يعترف الغاصب أنّه له، أم يحكم بعدم يده عليه، فتكون الدعوى من الموارد التي لا يد لأحدهما عليه؟ فيه إشكال وتأمّل وإن لا يخلو الأوّل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فيما إذا لم يعترف بالغصبية أو لم تكن يده غصباً واعترف بأنّه لزيد يصير بحكم ثبوت يده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وخالف في ذلك الفاضل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إلى عدم جريان القاعدة بالنسبة إلى ذي اليد،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الظاهر اشتراط عدم انضمام ادّعاء عدم العلم بملكيته أيضاً، فلو قال ذو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اعلم أنّه ملكي أم لا؛ لا يحكم بملكيته لأنّ الثابت من اقتضاء اليد الملكية غير ذلك المورد</w:t>
      </w:r>
      <w:r>
        <w:rPr>
          <w:rFonts w:eastAsia="Amiri" w:cs="Amiri" w:ascii="Amiri" w:hAnsi="Amiri"/>
          <w:color w:val="111111"/>
          <w:sz w:val="28"/>
          <w:szCs w:val="28"/>
          <w:rtl w:val="true"/>
          <w:lang w:bidi="ar-SA"/>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موضع آخر من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كان متاع في دكّة أحد ولم يعلم أنّه ممّا ورثه أو اشتراه أو وضعه غيره؛ لا يجوز له التصرّف فيه</w:t>
      </w:r>
      <w:r>
        <w:rPr>
          <w:rFonts w:eastAsia="Amiri" w:cs="Amiri" w:ascii="Amiri" w:hAnsi="Amiri"/>
          <w:color w:val="111111"/>
          <w:sz w:val="28"/>
          <w:szCs w:val="28"/>
          <w:rtl w:val="true"/>
          <w:lang w:bidi="ar-SA"/>
        </w:rPr>
        <w:t>»</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لا يجوز شراء شي‌ء عن شخص كان في يده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 أعلم أنّه من أموالي أو من الغير، بل يلزم على ذي اليد الفحص، فإن لم يتعيّن مالكه يكون مجهول المالك</w:t>
      </w:r>
      <w:r>
        <w:rPr>
          <w:rFonts w:eastAsia="Amiri" w:cs="Amiri" w:ascii="Amiri" w:hAnsi="Amiri"/>
          <w:color w:val="111111"/>
          <w:sz w:val="28"/>
          <w:szCs w:val="28"/>
          <w:rtl w:val="true"/>
          <w:lang w:bidi="ar-SA"/>
        </w:rPr>
        <w:t>»</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bookmarkStart w:id="638" w:name="pg1791_16243"/>
    </w:p>
    <w:p>
      <w:pPr>
        <w:pStyle w:val="BookText"/>
        <w:rPr/>
      </w:pPr>
      <w:bookmarkEnd w:id="638"/>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شي‌ء تحت يد اثنين فيد كلّ منهما على نصفه، فهو محكوم بمملوكيته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تكون يد كلّ منهما على تمامه، بل يمكن أن يكون شي‌ء واحد لمالكين على نحو الاستقلال، وهو ضعيف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639" w:name="__RefHeading___Toc2354875_3650668749"/>
      <w:bookmarkStart w:id="640" w:name="_Toc234"/>
      <w:bookmarkEnd w:id="639"/>
      <w:r>
        <w:rPr>
          <w:rtl w:val="true"/>
        </w:rPr>
        <w:t>في أمارية اليد المشتركة على الملك‌</w:t>
      </w:r>
      <w:bookmarkEnd w:id="6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قلنا في المسائل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اليد على شي‌ء أمارة الملكية على الشي‌ء بمعنى أنّ الاستيلاء على الشي‌ء دليل على مالكية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نبحث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الاشتراك في اليد على الشي‌ء،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اشترك يدان أو أكثر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وكمثال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سكنا في دار ويتصرّفان متساوياً فيها وكلاهما يدّعيان مالكية الدار، فهل يد كلّ واحد منهما أمارة مالكية الدار؟ مقتضى القاعدة هي الأمارية بمعنى أنّ لكلّ واحد منهما مالكية تمام الدار وربما يقال</w:t>
      </w:r>
      <w:r>
        <w:rPr>
          <w:rStyle w:val="FootnoteAnchor"/>
          <w:rtl w:val="true"/>
        </w:rPr>
        <w:footnoteReference w:id="1174"/>
      </w:r>
      <w:r>
        <w:rPr>
          <w:rFonts w:ascii="Amiri" w:hAnsi="Amiri" w:eastAsia="Amiri" w:cs="Amiri"/>
          <w:color w:val="111111"/>
          <w:sz w:val="28"/>
          <w:sz w:val="28"/>
          <w:szCs w:val="28"/>
          <w:rtl w:val="true"/>
          <w:lang w:bidi="ar-SA"/>
        </w:rPr>
        <w:t>أنّ الأمارتين يتعارضان ويتساقطان ويبقى المال كأنّه بلا صاحب ولا يد عليه</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بالأمارية مشاعاً أي كلّ يد أمارة على مالكية نصف الدار مشاعاً وقال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قبول 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بإمكان اجتماع يدين مستقلّتين على تمام المال، والمراد من القيل هو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العروة</w:t>
      </w:r>
      <w:r>
        <w:rPr>
          <w:rFonts w:eastAsia="Amiri" w:cs="Amiri" w:ascii="Amiri" w:hAnsi="Amiri"/>
          <w:color w:val="111111"/>
          <w:sz w:val="28"/>
          <w:szCs w:val="28"/>
          <w:rtl w:val="true"/>
          <w:lang w:bidi="ar-SA"/>
        </w:rPr>
        <w:t>»</w:t>
      </w:r>
      <w:r>
        <w:rPr>
          <w:rStyle w:val="FootnoteAnchor"/>
          <w:rtl w:val="true"/>
        </w:rPr>
        <w:footnoteReference w:id="1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اجتماع يدين مستقلّتين على مال واحد، أي</w:t>
      </w:r>
    </w:p>
    <w:p>
      <w:pPr>
        <w:pStyle w:val="BookText"/>
        <w:rPr/>
      </w:pPr>
      <w:r>
        <w:rPr>
          <w:rFonts w:ascii="Amiri" w:hAnsi="Amiri" w:eastAsia="Amiri" w:cs="Amiri"/>
          <w:color w:val="111111"/>
          <w:sz w:val="28"/>
          <w:sz w:val="28"/>
          <w:szCs w:val="28"/>
          <w:rtl w:val="true"/>
          <w:lang w:bidi="ar-SA"/>
        </w:rPr>
        <w:t>لا مانع أن يكون لكلّ واحد من الشريكين الاستيلاء التامّ المستقلّ على تمام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الأقوى جواز اجتماع المالكين المستقلّين لمال واحد كالزكاة والخمس والوقف، الذين يملكونهم الفقراء كلّهم مستقلّتين، بل لا مانع من اجتماع مالكين الشخصيين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كالوقف على زيد وعمرو أو الوصيّة لهما، فدعوى عدم المعقولية لا وجه له كما لا مانع من جواز كون حقّ واحد لكلّ من الشخصين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كخيار الفسخ والولاية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الأب والجدّ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من الشخصين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استفاد أحدهما من حقّ الولاية أو الخيار وغيره يسقط عن الآخر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الملكية المستقلّة جواز منع الغير وإلا لا يكون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 هذا أيضاً نحو من الملكية، ونظيره الوجوب الكفائي والتخييري مع أنّه واجب جاز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هنا خلاصة كلام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يقال في الجواب عمّا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الملكية عند العقلاء هي إضافة خاصّة بين المالك والمملوك التي يستلزم الاختصاص، ولا يمكن تحقّق الملكية بدون الاختصاص، مع أنّ الاختصاص والاشتراك ضدّان مغايران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جاء واحد منهما يذهب الاخرى، أي يستحيل تحقّق الجمع بينهما</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في فرض اجتماع المالكين مستقلّين على 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به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وجود أحد عدم الآخر، لأنّه لا يمكن فرض الاختصاص وعدم</w:t>
      </w:r>
    </w:p>
    <w:p>
      <w:pPr>
        <w:pStyle w:val="BookText"/>
        <w:rPr/>
      </w:pPr>
      <w:r>
        <w:rPr>
          <w:rFonts w:ascii="Amiri" w:hAnsi="Amiri" w:eastAsia="Amiri" w:cs="Amiri"/>
          <w:color w:val="111111"/>
          <w:sz w:val="28"/>
          <w:sz w:val="28"/>
          <w:szCs w:val="28"/>
          <w:rtl w:val="true"/>
          <w:lang w:bidi="ar-SA"/>
        </w:rPr>
        <w:t>الاختصاص معاً في زمان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فرض استيلائين مستقلّين على مال واحد، لأنّ معنى الاستيلاء مستقلًا هو جواز المنع عن تصرّف الغير، أي يتصرّف الشخص هو بنفسه بالعقد الإيجابي، ويمنع عن تصرّف الغير بالعقد السلبي، فلا يمكن استيلائين مستقلّين في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الأمثلة المذكورة التي تمسّك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مدار الملكية هي الملكية النوعية، أي أنّ عنوان الفقير أو ذوى القربى أو العلماء هم الذين يملكون الزكاة والخمس والوقف وغيره وإلا أفراد الفقراء بما هم أفراد، وكذلك غيرهم ليسوا بمالكين للزكاة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الوقف على خصوص الشخصين أو الوصيّة لهما إن كان المراد صرف المورد في كلّ واحد منهما فالموقوف عليه أحدهما خاصّة على البدلية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من الوقف صرف المورد في كلا الشخصين فالموقوف عليه يجعل تنصيفاً بينهما، أي أنّهما مشتركان في العين وينتفعان منها بالتساوي نصفاً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كلّية لحاظ الاختصاص في معنى الحقّ عرفاً، بل العرف يرى الاختصاص في بعض من الحقوق كحقّ التحجير وغيره وفي بعض آخر لا يرى الاختصاص، بل لا يمنع من الاجتماع كحقّ الفسخ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بالقول بأنّ ولاية الأب والجدّ على مال الصغير هي الولاية في التصرّف ولا نمنع من اجتماع 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تصرّف أحدهما يسقط حقّ تصرّف الآخر، أي لا يبقى موضوع لحقّ التصرّف للآخر بعد تصرّف أحدهما</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ملكية خاصّة على البدلية حتّى تكون واجباً لأحدهما من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تنازعا في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تحت يد أحدهما فالقول قوله بيمينه، وعلى غير ذي اليد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تحت يدهما فكلّ بالنسبة إلى النصف مدّع ومنكر؛ حيث إنّ يد كلّ منهما على النصف، فإن ادّعى كلّ منهما تمامها يطالب بالبيّنة بالنسبة إلى نصفها، والقول قوله بيمينه بالنسبة إلى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ناحية، وجائز الترك بعد إتيان البدل من ناحية الاخرى، لأنّ العرف لا يرى المالكية الكذائية ليكون شخصين مالكين بالاستقلال، ولا يكون تصرّف أحدهما مانعاً عن تصرّف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هناك احتمالات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نفرض الاستيلاء التامّ واليد الكاملة المستقلّة لشخصين مستقلّين وكانت اليد أمارة مستقلّة لكلا الشخصين في شي‌ء واحد، وهذا غير معقول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نفرض أنّ اليد أمارة على الاستيلاء على جميع المال لشخصين بنحو ناقص، ولا معنى للملكية الناقصة</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محيص إلا أن نقول أنّ اليد أمارة على الاستيلاء لكلا الشخصين على النصف المشاع من المال الكاشف عن مالكية كلّ واحد للنصف المشاع، بحيث يجوز له التصرّف في نصفه الخاصّ بالبيع والصلح وغيره، غاية الأمر أنّه يثبت لشريكه حقّ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يجوز لكلّ منهما التصرّف في العين بدون رضا الآخر، لا لأجل النقص في الملكية أو في الاستيلاء، بل لاستلزامه التصرّف في مال الغير</w:t>
      </w:r>
      <w:r>
        <w:rPr>
          <w:rFonts w:eastAsia="Amiri" w:cs="Amiri" w:ascii="Amiri" w:hAnsi="Amiri"/>
          <w:color w:val="111111"/>
          <w:sz w:val="28"/>
          <w:szCs w:val="28"/>
          <w:rtl w:val="true"/>
          <w:lang w:bidi="ar-SA"/>
        </w:rPr>
        <w:t>.</w:t>
      </w:r>
      <w:bookmarkStart w:id="641" w:name="pg1791_16252"/>
    </w:p>
    <w:p>
      <w:pPr>
        <w:pStyle w:val="BookText"/>
        <w:rPr/>
      </w:pPr>
      <w:bookmarkEnd w:id="641"/>
      <w:r>
        <w:rPr>
          <w:rFonts w:ascii="Amiri" w:hAnsi="Amiri" w:eastAsia="Amiri" w:cs="Amiri"/>
          <w:color w:val="111111"/>
          <w:sz w:val="28"/>
          <w:sz w:val="28"/>
          <w:szCs w:val="28"/>
          <w:rtl w:val="true"/>
          <w:lang w:bidi="ar-SA"/>
        </w:rPr>
        <w:t>وإن كانت بيد ثالث فإن صدّق أحدهما المعيّن يصير بمنزلة ذي اليد، فيكون مُنكراً والآخر مدّعياً، ولو صدّقهما ورجع تصديقه بأنّ تمام العين لكلّ منهما، يلغى تصديقه ويكون المورد ممّا لا يد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رجع إلى أنّها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اشتراكهما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بمنزلة ما تكون في يدهما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صدّق أحدهما لا بعينه لا تبعد القرعة، فمن خرجت له 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كذّبهما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لي تبقى في يده ولكلّ منهما عليه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تكن في يدهما ولا يد غيرهما ولم تكن بيّنة فالأقرب الاقتراع بينهما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642" w:name="__RefHeading___Toc2354877_3650668749"/>
      <w:bookmarkStart w:id="643" w:name="_Toc235"/>
      <w:bookmarkEnd w:id="642"/>
      <w:r>
        <w:rPr>
          <w:rtl w:val="true"/>
        </w:rPr>
        <w:t>الفروض في تنازع اليدين في العين‌</w:t>
      </w:r>
      <w:bookmarkEnd w:id="6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تنازعا في عين فباعتبار اختلاف اليد عليها يتصوّر أربعة فروض وفي بعض الفروض صور وأقسام، فإنّه قد تكون العين تارة في يد أحدهما، واخرى في يدهما، وثالثة في يد ثالث، وفي الرابعة لا يد عليها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الفرض الأوّل</w:t>
      </w:r>
    </w:p>
    <w:p>
      <w:pPr>
        <w:pStyle w:val="BookText"/>
        <w:rPr/>
      </w:pPr>
      <w:r>
        <w:rPr>
          <w:rFonts w:ascii="Amiri" w:hAnsi="Amiri" w:eastAsia="Amiri" w:cs="Amiri"/>
          <w:color w:val="111111"/>
          <w:sz w:val="28"/>
          <w:sz w:val="28"/>
          <w:szCs w:val="28"/>
          <w:rtl w:val="true"/>
          <w:lang w:bidi="ar-SA"/>
        </w:rPr>
        <w:t>وهو ما إذا تنازعا في عين وكانت العين تحت يد أحدهما، فهو من أوضح مصاديق قاعدة المدّعي والمنكر؛ فإنّ الذي يدّعي على ذي اليد فهو مدّع، فإنّه الذي لو تَرَكَ تُرِكَ، لأنّ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مخالفاً للأصل، فهو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كانت العين تحت يده، فهو منكر، لكون قوله موافقاً للأصل، فحينئذٍ لو كان للمدّعي بيّنة فهو، وإلا فيحلف المنكر</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عليه ما عن ابن أبي عمير، عن عثمان بن عيسى وحمّاد بن عثمان</w:t>
      </w:r>
    </w:p>
    <w:p>
      <w:pPr>
        <w:pStyle w:val="BookText"/>
        <w:rPr/>
      </w:pPr>
      <w:r>
        <w:rPr>
          <w:rFonts w:ascii="Amiri" w:hAnsi="Amiri" w:eastAsia="Amiri" w:cs="Amiri"/>
          <w:color w:val="111111"/>
          <w:sz w:val="28"/>
          <w:sz w:val="28"/>
          <w:szCs w:val="28"/>
          <w:rtl w:val="true"/>
          <w:lang w:bidi="ar-SA"/>
        </w:rPr>
        <w:t>جميعاً، عن أبي عبدالله في حديث فدك</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قول علي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 يد المسلمين شي‌ء يملكونه ادّعيت أنا فيه من تسأل البيّنة قال إيّاك كنت أسأل البيّنة على ما لا تدّعيه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استشهاده في ذيله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من ادّعي واليمين على من أنكر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يستفاد منه أنّ المورد من مصاديق قاعدة المدّعي والمنكر، فإنّ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في يد المسلمين شي‌ء يملكونه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أنّهم يتصرّفون فيه كتصرّف الملاك، ويعاملون معه معامله الملكية، لا أنّه يعلم أنّهم مالك له، فإنّه لا وجه للدعوى عليه عند العلم بالملكية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فبالنتيجة لو تنازعا في عين كانت تحت يد أحدهما فهو من موارد هذه القاعدة، فإن كان للمدّعي البيّنة فيحكم له، وإلا فلو طالب الحلف من المدّعى‌عليه وحلف سقطت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ردّ الحلف على المدّعي فحلف على الإثبات يثبت حقّه، وإلا يسقط حقّه ولو نكل المدّعى عليه فيقضي عليه بالنكول أو يرد الحاكم الحلف على القولين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الثاني</w:t>
      </w:r>
    </w:p>
    <w:p>
      <w:pPr>
        <w:pStyle w:val="BookText"/>
        <w:rPr/>
      </w:pPr>
      <w:r>
        <w:rPr>
          <w:rFonts w:ascii="Amiri" w:hAnsi="Amiri" w:eastAsia="Amiri" w:cs="Amiri"/>
          <w:color w:val="111111"/>
          <w:sz w:val="28"/>
          <w:sz w:val="28"/>
          <w:szCs w:val="28"/>
          <w:rtl w:val="true"/>
          <w:lang w:bidi="ar-SA"/>
        </w:rPr>
        <w:t>وهو أن يكون العين تحت يدهما، ففيه ثلاثة أقوال</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المشهور، بل الأكثر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177"/>
      </w:r>
      <w:r>
        <w:rPr>
          <w:rFonts w:ascii="Amiri" w:hAnsi="Amiri" w:eastAsia="Amiri" w:cs="Amiri"/>
          <w:color w:val="111111"/>
          <w:sz w:val="28"/>
          <w:sz w:val="28"/>
          <w:szCs w:val="28"/>
          <w:rtl w:val="true"/>
          <w:lang w:bidi="ar-SA"/>
        </w:rPr>
        <w:t>ولم ينقل</w:t>
      </w:r>
    </w:p>
    <w:p>
      <w:pPr>
        <w:pStyle w:val="BookText"/>
        <w:rPr/>
      </w:pPr>
      <w:r>
        <w:rPr>
          <w:rFonts w:ascii="Amiri" w:hAnsi="Amiri" w:eastAsia="Amiri" w:cs="Amiri"/>
          <w:color w:val="111111"/>
          <w:sz w:val="28"/>
          <w:sz w:val="28"/>
          <w:szCs w:val="28"/>
          <w:rtl w:val="true"/>
          <w:lang w:bidi="ar-SA"/>
        </w:rPr>
        <w:t xml:space="preserve">الأكثر فيه خلافاً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178"/>
      </w:r>
      <w:r>
        <w:rPr>
          <w:rFonts w:ascii="Amiri" w:hAnsi="Amiri" w:eastAsia="Amiri" w:cs="Amiri"/>
          <w:color w:val="111111"/>
          <w:sz w:val="28"/>
          <w:sz w:val="28"/>
          <w:szCs w:val="28"/>
          <w:rtl w:val="true"/>
          <w:lang w:bidi="ar-SA"/>
        </w:rPr>
        <w:t xml:space="preserve">وتبعهم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 وهو أنّ المورد أيضاً من مصاديق المدّعي والمنكر، فإنّ اقتضاء يد كلّ واحد منهما على الجميع هو مالكية كلّ واحد منهما على النصف المشاع على ما تقدّم في المسألة الثالثة</w:t>
      </w:r>
      <w:r>
        <w:rPr>
          <w:rStyle w:val="FootnoteAnchor"/>
          <w:rtl w:val="true"/>
        </w:rPr>
        <w:footnoteReference w:id="1179"/>
      </w:r>
      <w:r>
        <w:rPr>
          <w:rFonts w:ascii="Amiri" w:hAnsi="Amiri" w:eastAsia="Amiri" w:cs="Amiri"/>
          <w:color w:val="111111"/>
          <w:sz w:val="28"/>
          <w:sz w:val="28"/>
          <w:szCs w:val="28"/>
          <w:rtl w:val="true"/>
          <w:lang w:bidi="ar-SA"/>
        </w:rPr>
        <w:t>، فكلّ واحد منهما هو المدّعى عليه بالنسبة إلى النصف المشاع التي هو مالكه باقتضاء اليد وبالنسبة إلى النصف الآخر، الذي تحت يد الآخر فهو مدّع، فكلّ واحد منهما مدّعى عليه ومدّع فيحلف كلّ واحد منهما للآخر على عدم استحقاقه للنصف الذي هو مالكه فيحكم عليهما بالتنصيف، فكانت العين بينهما نصفين بعد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هذا القول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 كلّ منهما لصاحبه</w:t>
      </w:r>
      <w:r>
        <w:rPr>
          <w:rFonts w:eastAsia="Amiri" w:cs="Amiri" w:ascii="Amiri" w:hAnsi="Amiri"/>
          <w:color w:val="111111"/>
          <w:sz w:val="28"/>
          <w:szCs w:val="28"/>
          <w:rtl w:val="true"/>
          <w:lang w:bidi="ar-SA"/>
        </w:rPr>
        <w:t>»</w:t>
      </w:r>
      <w:r>
        <w:rPr>
          <w:rStyle w:val="FootnoteAnchor"/>
          <w:rtl w:val="true"/>
        </w:rPr>
        <w:footnoteReference w:id="1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181"/>
      </w:r>
      <w:r>
        <w:rPr>
          <w:rFonts w:ascii="Amiri" w:hAnsi="Amiri" w:eastAsia="Amiri" w:cs="Amiri"/>
          <w:color w:val="111111"/>
          <w:sz w:val="28"/>
          <w:sz w:val="28"/>
          <w:szCs w:val="28"/>
          <w:rtl w:val="true"/>
          <w:lang w:bidi="ar-SA"/>
        </w:rPr>
        <w:t>ونقله الحلف قولًا يشعر بردّه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والمذهب ثبوته عملًا بالعموم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أيضاً ذهب إلى هذا القول، وتمسّك بعموم ما دلّ على أنّ البيّنة على المدّعي واليمين على المدّعى عليه</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واستدلّ لهذا القول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183"/>
      </w:r>
      <w:r>
        <w:rPr>
          <w:rFonts w:ascii="Amiri" w:hAnsi="Amiri" w:eastAsia="Amiri" w:cs="Amiri"/>
          <w:color w:val="111111"/>
          <w:sz w:val="28"/>
          <w:sz w:val="28"/>
          <w:szCs w:val="28"/>
          <w:rtl w:val="true"/>
          <w:lang w:bidi="ar-SA"/>
        </w:rPr>
        <w:t>بفحوى ما دلّ على تحليفهما مع البيّنة، فمع عدم البيّنة بطريق أولى ومراده من النصوص هو بعض الروايات</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إسحاق بن عمّار</w:t>
      </w:r>
      <w:r>
        <w:rPr>
          <w:rStyle w:val="FootnoteAnchor"/>
          <w:rtl w:val="true"/>
        </w:rPr>
        <w:footnoteReference w:id="1185"/>
      </w:r>
      <w:r>
        <w:rPr>
          <w:rFonts w:ascii="Amiri" w:hAnsi="Amiri" w:eastAsia="Amiri" w:cs="Amiri"/>
          <w:color w:val="111111"/>
          <w:sz w:val="28"/>
          <w:sz w:val="28"/>
          <w:szCs w:val="28"/>
          <w:rtl w:val="true"/>
          <w:lang w:bidi="ar-SA"/>
        </w:rPr>
        <w:t>، عن أبي عبدالله فإنّ أمير المؤمنين أحلف كلّ واحد من المتخاصمين في دابّة تكون في يدهما بعد إقامتهما البيّنة، فإذا حلف الواحد وأبي الآخر قضى للحالف وفي مورد التخاصم فيما لا يكون تحت يدهما وإقامتهما البيّنة أيضاً أحلفهما، فإذا حلفا جعل بينهما 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فيستفاد منها أنّه إذا أحلفهما مع إقامتهما البيّنة ففي مورد عدم إقامتها البيّنة يكون مورداً للإحلاف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تنازعا عيناً في يدهما ولا بيّنة قضى بها بينهما نصفين من غير احتياج إلى الحلف</w:t>
      </w:r>
      <w:r>
        <w:rPr>
          <w:rFonts w:eastAsia="Amiri" w:cs="Amiri" w:ascii="Amiri" w:hAnsi="Amiri"/>
          <w:color w:val="111111"/>
          <w:sz w:val="28"/>
          <w:szCs w:val="28"/>
          <w:rtl w:val="true"/>
          <w:lang w:bidi="ar-SA"/>
        </w:rPr>
        <w:t>»</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187"/>
      </w:r>
      <w:r>
        <w:rPr>
          <w:rFonts w:ascii="IRNazanin" w:hAnsi="IRNazanin" w:eastAsia="IRNazanin"/>
          <w:color w:val="111111"/>
          <w:sz w:val="28"/>
          <w:sz w:val="28"/>
          <w:szCs w:val="28"/>
          <w:rtl w:val="true"/>
          <w:lang w:bidi="fa-IR"/>
        </w:rPr>
        <w:t xml:space="preserve">هذا القول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18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18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119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عن الأوّلين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لذلك بأنّ المورد من مصاديق قاعدة التداعي على العين، لا من مصاديق قاعدة المدّعي والمنكر</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الفرض أنّ يد كلّ واحد منهما على العين لا نصفها، ضرورة عدم تعقّل كونها على النصف المشاع إلا بكونها على العين أجمع في كلّ منهما، وحينئذٍ فلا مدّعي ولا مدّعى عليه منهما، ضرورة تساويهما في ذلك</w:t>
      </w:r>
    </w:p>
    <w:p>
      <w:pPr>
        <w:pStyle w:val="BookText"/>
        <w:rPr/>
      </w:pPr>
      <w:r>
        <w:rPr>
          <w:rFonts w:ascii="Amiri" w:hAnsi="Amiri" w:eastAsia="Amiri" w:cs="Amiri"/>
          <w:color w:val="111111"/>
          <w:sz w:val="28"/>
          <w:sz w:val="28"/>
          <w:szCs w:val="28"/>
          <w:rtl w:val="true"/>
          <w:lang w:bidi="ar-SA"/>
        </w:rPr>
        <w:t>إلا أنّ الشارع قد جعل القضاء في ذلك بأنّ العين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كما لو تداعيا عيناً لا يد لأحد عليها ولا بيّنة لكلّ منهما، فإنّ القضاء حينئذٍ بالحكم بكونها بينهما، لكون الدعوى كاليد في السبب المزبور المحمول على التنصيف بعد تعذّر إعماله في الجميع للمعارض الذي هو استحالة اجتماع السببين على مسبّب واحد</w:t>
      </w:r>
      <w:r>
        <w:rPr>
          <w:rFonts w:eastAsia="Amiri" w:cs="Amiri" w:ascii="Amiri" w:hAnsi="Amiri"/>
          <w:color w:val="111111"/>
          <w:sz w:val="28"/>
          <w:szCs w:val="28"/>
          <w:rtl w:val="true"/>
          <w:lang w:bidi="ar-SA"/>
        </w:rPr>
        <w:t>»</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استدلّوا بمرسلة المنقولة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رجلين تنازعا دابّة ليس لأحدهما بيّنة فجعلها بينهما نصفين</w:t>
      </w:r>
      <w:r>
        <w:rPr>
          <w:rFonts w:eastAsia="Amiri" w:cs="Amiri" w:ascii="Amiri" w:hAnsi="Amiri"/>
          <w:color w:val="111111"/>
          <w:sz w:val="28"/>
          <w:szCs w:val="28"/>
          <w:rtl w:val="true"/>
          <w:lang w:bidi="ar-SA"/>
        </w:rPr>
        <w:t>»</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على الأوّل أنّ يد كلّ واحد منهما وإن كان على الجميع كما قال ولكنّها كاشفة عن الملكية للنصف المشاع لا للجميع، وذلك لوجود المعارض كما تقدّم في المسألة الثالثة، فإذا كانت مقتضى يد كلّ واحد منهما ملكية النصف وادّعى الجميع، فيكون كلّ واحد منهما مدّعى عليه بالنسبة إلى ما تحت يده، ومدّع بالنسبة إلى النصف الآخر فلا بدّ لهما من الحلف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المنقولة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خارجة عن صحّة الاستدلال بها لإرسالها وكانت من طرق العامّة</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إذا كانت يد كلّ منهما على النصف وبين ما إذا كانت على الكلّ مستقلًا، إذ قد عرفت اختلاف الموارد في ذلك، ففي الصورة الاولى تجري قاعدة المدّعي والمنكر إذ يصدق على كلّ منهما أنّه مدّع في النصف ومنكر في النصف الآخر،</w:t>
      </w:r>
    </w:p>
    <w:p>
      <w:pPr>
        <w:pStyle w:val="BookText"/>
        <w:rPr/>
      </w:pPr>
      <w:r>
        <w:rPr>
          <w:rFonts w:ascii="Amiri" w:hAnsi="Amiri" w:eastAsia="Amiri" w:cs="Amiri"/>
          <w:color w:val="111111"/>
          <w:sz w:val="28"/>
          <w:sz w:val="28"/>
          <w:szCs w:val="28"/>
          <w:rtl w:val="true"/>
          <w:lang w:bidi="ar-SA"/>
        </w:rPr>
        <w:t>ولا ينفع كون كلّ جزء يفرض يد كلّ منهما عليه لأنّها ليست يداً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صورة الثانية التنصيف لما ذكر من كونه من التداعي لا المدّعي والمنكر</w:t>
      </w:r>
      <w:r>
        <w:rPr>
          <w:rFonts w:eastAsia="Amiri" w:cs="Amiri" w:ascii="Amiri" w:hAnsi="Amiri"/>
          <w:color w:val="111111"/>
          <w:sz w:val="28"/>
          <w:szCs w:val="28"/>
          <w:rtl w:val="true"/>
          <w:lang w:bidi="ar-SA"/>
        </w:rPr>
        <w:t>»</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الصورة الاولى هو أن يتصرّف كلّ واحد منهما في النصف، مثل أن يسكنان في الدار معاً مثلًا ففي تلك الصورة وإن كانت يد كلّ واحد منهما على الجميع إلا أنّه ليست مستقلّة، بل بالإشاعة على النصف، والمراد بالصورة الثانية هو أن يقسمان بينهما التصرّف في الزمان، مثل أن يسكن أحدهما الدار ستّة أشهر والآخر في ستّة أشهر اخرى، فحينئذٍ تكون يد كلّ واحد منهما على الجميع مستقلًا، فلذا فصل في ذلك وجعل الصورة الاولى من باب المدّعي والمنكر والصورة الثانية من باب التداعي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أنّه في الصورة الثالثة التي فرضها السيّد للتفصيل أيضاً تكون اليدعلى الجميع بالإشاعة وإن كان يتصرّف في الجميع مستقلًا، فإنّ الفرض أنّ لكلّ واحد منهما اليد على العين وأنّ كلّ واحد مالك للعين بالإشاعة، ولا فرق بين أن يكون متصرّفاً في العين أم لا، فإنّ في صدق اليد لا يشترط التصرّف في العين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الفرض الثالث</w:t>
      </w:r>
    </w:p>
    <w:p>
      <w:pPr>
        <w:pStyle w:val="BookText"/>
        <w:rPr/>
      </w:pPr>
      <w:r>
        <w:rPr>
          <w:rFonts w:ascii="Amiri" w:hAnsi="Amiri" w:eastAsia="Amiri" w:cs="Amiri"/>
          <w:color w:val="111111"/>
          <w:sz w:val="28"/>
          <w:sz w:val="28"/>
          <w:szCs w:val="28"/>
          <w:rtl w:val="true"/>
          <w:lang w:bidi="ar-SA"/>
        </w:rPr>
        <w:t>ما إذا كانت العين المتنازع فيهما في يد ثالث ففيه أربعة صور على ما في المتن</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قد يصدّق أحدهما المعين، أو يصدق كليهما، أو يصدق أحدهما لا</w:t>
      </w:r>
    </w:p>
    <w:p>
      <w:pPr>
        <w:pStyle w:val="BookText"/>
        <w:rPr/>
      </w:pPr>
      <w:r>
        <w:rPr>
          <w:rFonts w:ascii="Amiri" w:hAnsi="Amiri" w:eastAsia="Amiri" w:cs="Amiri"/>
          <w:color w:val="111111"/>
          <w:sz w:val="28"/>
          <w:sz w:val="28"/>
          <w:szCs w:val="28"/>
          <w:rtl w:val="true"/>
          <w:lang w:bidi="ar-SA"/>
        </w:rPr>
        <w:t>بعينه، أو يكذبهما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يفرض فيها صورة خامسة وهو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أنّها لهما أو لا؟ فلنبحث الآن في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صدّق أحدهما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إذا صدّق الثالث الذي بيده المال واحداً منهما بخصوصه،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الدار مثلًا لزيد فيصير زيد مثلًا في حكم ذي اليد باعتبار هذا التصديق والإقرار ومدّعى عليه ويكون الآخر مدّعياً، فيكون نظير الفرض الأوّل وهو أن تنازعا في عين في يد أحدهما وحكمه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ادّعى الآخر على المصدِّق أنّه كان عالماً أنّ الدار كانت لي وبتصديقه لزيد ضاعت عنّي وطلب منه الغرامة، فله الحلف على عدم العلم لدفع الغرامة عن نفسه، ولو نكل ولم يحلف فيلزم بأداء قيمة تمام العين للآخر غرامة لتضييعه المال عنه بادّعائه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اتّفاق الأصحاب على اعتبار تصديق الثالث، بأن يجعله ذا اليد ومدّعياً عليه ولم يظهر منهم خلاف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صرح جماعة منهم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Style w:val="FootnoteAnchor"/>
          <w:rtl w:val="true"/>
        </w:rPr>
        <w:footnoteReference w:id="1194"/>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ذا اليد من صدقه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بشي‌ء في يده لأحد فهو له</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الوجه فيه عموم إقرار العقلاء على أنفسهم جائز، فإنّه يستفاد منه أنّ نفوذ الإقرار متوقّف على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كونه على الضرر بقرينة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كون الضرر على نفسه لا على الغير، فالإقرار إذا كان بنفع الغير أو نفسه لا يكون نافذاً، وكذا إذا كان على ضرر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يقرّ على كون المال لزيد مثلًا، فلا</w:t>
      </w:r>
    </w:p>
    <w:p>
      <w:pPr>
        <w:pStyle w:val="BookText"/>
        <w:rPr/>
      </w:pPr>
      <w:r>
        <w:rPr>
          <w:rFonts w:ascii="Amiri" w:hAnsi="Amiri" w:eastAsia="Amiri" w:cs="Amiri"/>
          <w:color w:val="111111"/>
          <w:sz w:val="28"/>
          <w:sz w:val="28"/>
          <w:szCs w:val="28"/>
          <w:rtl w:val="true"/>
          <w:lang w:bidi="ar-SA"/>
        </w:rPr>
        <w:t>يكون نافذاً بهذا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الإقرار يستلزم الإقرار بعدم كون المال لنفسه وهو نافذ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الوجه فيه روايات مستفيضة دالّة على أنّ من أقرّ بعين لأحد فهو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جميل وهي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سعيد، عن ابن أبي عمير، عن جميل عن بعض أصحابنا عن أحدهما في رجل أقرّ أنّه غصب رجلًا على جاريته وقد ولدت الجارية من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تردّ الجارية وولدها على المغصوب إذا أقرّ بذلك أو كانت له بيّنة</w:t>
      </w:r>
      <w:r>
        <w:rPr>
          <w:rFonts w:eastAsia="Amiri" w:cs="Amiri" w:ascii="Amiri" w:hAnsi="Amiri"/>
          <w:color w:val="111111"/>
          <w:sz w:val="28"/>
          <w:szCs w:val="28"/>
          <w:rtl w:val="true"/>
          <w:lang w:bidi="ar-SA"/>
        </w:rPr>
        <w:t>»</w:t>
      </w:r>
      <w:r>
        <w:rPr>
          <w:rStyle w:val="FootnoteAnchor"/>
          <w:rtl w:val="true"/>
        </w:rPr>
        <w:footnoteReference w:id="1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Style w:val="FootnoteAnchor"/>
          <w:rtl w:val="true"/>
        </w:rPr>
        <w:footnoteReference w:id="1196"/>
      </w:r>
      <w:r>
        <w:rPr>
          <w:rFonts w:ascii="Amiri" w:hAnsi="Amiri" w:eastAsia="Amiri" w:cs="Amiri"/>
          <w:color w:val="111111"/>
          <w:sz w:val="28"/>
          <w:sz w:val="28"/>
          <w:szCs w:val="28"/>
          <w:rtl w:val="true"/>
          <w:lang w:bidi="ar-SA"/>
        </w:rPr>
        <w:t xml:space="preserve">في شرحه عليه أنّها مرسلة، كالصحيح من جهة ابن أبي عمير وجميل،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1197"/>
      </w:r>
      <w:r>
        <w:rPr>
          <w:rFonts w:ascii="Amiri" w:hAnsi="Amiri" w:eastAsia="Amiri" w:cs="Amiri"/>
          <w:color w:val="111111"/>
          <w:sz w:val="28"/>
          <w:sz w:val="28"/>
          <w:szCs w:val="28"/>
          <w:rtl w:val="true"/>
          <w:lang w:bidi="ar-SA"/>
        </w:rPr>
        <w:t>في رجل أقرّ على نفسه بأنّه غصب جارية رجل فولدت الجارية من الغاصب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تردّ الجارية والولد على المغصوب منه إذا أقرّ بذلك الغاصب</w:t>
      </w:r>
      <w:r>
        <w:rPr>
          <w:rFonts w:eastAsia="Amiri" w:cs="Amiri" w:ascii="Amiri" w:hAnsi="Amiri"/>
          <w:color w:val="111111"/>
          <w:sz w:val="28"/>
          <w:szCs w:val="28"/>
          <w:rtl w:val="true"/>
          <w:lang w:bidi="ar-SA"/>
        </w:rPr>
        <w:t>»</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وترك الاستفصال من أنّ مالك الجارية ادّعى على الغاصب أم لا؟ يفيد العموم فتدلّ على أنّ من أقرّ بعين لأحد فلا بدّ عليه أن يردّه إليه وهو له</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سعد بن سعد،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مسافر حضره الموت، فدفع مالًا إلى رجل من التجّار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المال لفلان بن فلان، ليس لي فيه قليل ولا كثير فادفعه إليه يصرفه حيث يشاء فمات ولم يأمر</w:t>
      </w:r>
    </w:p>
    <w:p>
      <w:pPr>
        <w:pStyle w:val="BookText"/>
        <w:rPr/>
      </w:pPr>
      <w:r>
        <w:rPr>
          <w:rFonts w:ascii="Amiri" w:hAnsi="Amiri" w:eastAsia="Amiri" w:cs="Amiri"/>
          <w:color w:val="111111"/>
          <w:sz w:val="28"/>
          <w:sz w:val="28"/>
          <w:szCs w:val="28"/>
          <w:rtl w:val="true"/>
          <w:lang w:bidi="ar-SA"/>
        </w:rPr>
        <w:t>فيه صاحبه الذي جعله له بأمر ولا يدري صاحبه ما الّذي حمله على ذلك كيف يصنع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يضعه حيث شاء</w:t>
      </w:r>
      <w:r>
        <w:rPr>
          <w:rFonts w:eastAsia="Amiri" w:cs="Amiri" w:ascii="Amiri" w:hAnsi="Amiri"/>
          <w:color w:val="111111"/>
          <w:sz w:val="28"/>
          <w:szCs w:val="28"/>
          <w:rtl w:val="true"/>
          <w:lang w:bidi="ar-SA"/>
        </w:rPr>
        <w:t>»</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ومثلها صحيحة سعد بن إسماعيل الأحوص عن أبيه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Style w:val="FootnoteAnchor"/>
          <w:rtl w:val="true"/>
        </w:rPr>
        <w:footnoteReference w:id="1200"/>
      </w:r>
      <w:r>
        <w:rPr>
          <w:rFonts w:ascii="Amiri" w:hAnsi="Amiri" w:eastAsia="Amiri" w:cs="Amiri"/>
          <w:color w:val="111111"/>
          <w:sz w:val="28"/>
          <w:sz w:val="28"/>
          <w:szCs w:val="28"/>
          <w:rtl w:val="true"/>
          <w:lang w:bidi="ar-SA"/>
        </w:rPr>
        <w:t>ذيل صحيحة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يحتمل فيه أنّ المراد أنّ الرجل المسافر كان غرضه الوصيّة بماله للصرف في وجوه الخير وأرسله إلى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منها ما قلنا فإنّ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المال لفلان بن فلان ليس لي فيه قليل ولا كثير يدفع هذا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فتدلّ على ثبوت المال لصاحبه بمجرّد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يضعه حيث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أنّه ماله يصرفه حيث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معه مال مضاربة فمات وعليه دين وأوصي أنّ هذا الذي ترك لأهل المضاربة أيجوز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كان مصدّقاً</w:t>
      </w:r>
      <w:r>
        <w:rPr>
          <w:rFonts w:eastAsia="Amiri" w:cs="Amiri" w:ascii="Amiri" w:hAnsi="Amiri"/>
          <w:color w:val="111111"/>
          <w:sz w:val="28"/>
          <w:szCs w:val="28"/>
          <w:rtl w:val="true"/>
          <w:lang w:bidi="ar-SA"/>
        </w:rPr>
        <w:t>»</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مصدّقاً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لم يكن متّهماً في تضييع حقّ الديّان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صدّق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ما إذا أصدقهما الثالث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 لهما فيصيران بمنزلة ذي اليد، فيكون نظير ما إذا تنازعا في عين كانت في يدهما، فيجري فيه حكمه كما تقدّم</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وللمتنازعين المصدَّق لهما طرح الدعوى على الثالث بتضييعه نصف المال</w:t>
      </w:r>
    </w:p>
    <w:p>
      <w:pPr>
        <w:pStyle w:val="BookText"/>
        <w:rPr/>
      </w:pPr>
      <w:r>
        <w:rPr>
          <w:rFonts w:ascii="Amiri" w:hAnsi="Amiri" w:eastAsia="Amiri" w:cs="Amiri"/>
          <w:color w:val="111111"/>
          <w:sz w:val="28"/>
          <w:sz w:val="28"/>
          <w:szCs w:val="28"/>
          <w:rtl w:val="true"/>
          <w:lang w:bidi="ar-SA"/>
        </w:rPr>
        <w:t>لكلّ واحد منهما وأخذ الغرامة إذا ادّعيا عليه العلم بكون المال لهما، فلو حلف على عدم علمه بكون كلّ المال لكلّ واحد منهما فهو، وإلا فلو ردّ اليمين عليهما وحلفا على علمه وتضييعه المال عنهما بتصديقه لهما فلا بدّ من أداء تمام قيمة المال غرامة فينصفان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فرض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الصورة أمراً آخر، وهو ما لو رجع تصديقه لهما بأنّ تمام المال لكلّ واحد منهما وقال بأنّه يلغى تصديقه، وذلك لأنّ مالكية شخصين لمال واحد بتمامه غير ممكن ومحال، فيكون التصديق لغواً ويصير المورد ممّا لا يد للمتنازعين عليه وبتصديقه لهما ألغى اعتبار يد نفسه أيضاً، فيكون المورد ممّا لا 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صدّق أحدهما لا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ما إذا صدق أحدهما لا بعينه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كانت لأحدهما ولا أعرفه بعينه، ففيه أقوال</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القرعة والحلف، قد يقال بأنّه يقرع بينهما فمن خرجت له أحلف ويقضي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القرعة فلأنّها لكلّ أمر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كان المقرّ له هو أحدهما لا بعينه وتشخيصه من بينهما مشكل فيعيّن بالقرعة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الحلف فلأنّه بعد تعيينه بالقرعة يصير كمن أقرّ له معيّناً وصدقه بشخصه، فيكون بعد القرعة كالمدّعى عليه وفي حكمه الآخر مدّعياً فعليه الحلف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 البعد عن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الأوّل من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تبعد القرعة فمن خرجت له 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قويّاً القرعة فيحلف من خرجت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القرعة بلا حلف، قال به العلامه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الثالث صدّق أحدهما لا بعينه، يعني أنّ المال كان له فإذا استخرج المالك بالقرعة فيدفع إليه المال بلا احتياج إلى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 كان عليه ادّعاء، فإذا تعيّن المالك لا بدّ له من الحلف لدفع الدعوى عن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حلفان بلا قرعة، أي أنّهما يحلفان ويقضي بينهما نصفين من غير احتياج إلى القرعة كما لو كان المال بيدهما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Style w:val="FootnoteAnchor"/>
          <w:rtl w:val="true"/>
        </w:rPr>
        <w:footnoteReference w:id="1205"/>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التنصيف بينهما بعد حلفهما أو نكولهما من دون 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الحلف لا بدّ له من دليل شرعي وإذا كان المال تحت يدهما فإمّا أن يكون من مصاديق المدّعي والمنكر أو التداعي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ليس كذلك ولا دليل على الحلف</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التنصيف من دون القرعة والحلف، 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206"/>
      </w:r>
      <w:r>
        <w:rPr>
          <w:rFonts w:ascii="Amiri" w:hAnsi="Amiri" w:eastAsia="Amiri" w:cs="Amiri"/>
          <w:color w:val="111111"/>
          <w:sz w:val="28"/>
          <w:sz w:val="28"/>
          <w:szCs w:val="28"/>
          <w:rtl w:val="true"/>
          <w:lang w:bidi="ar-SA"/>
        </w:rPr>
        <w:t xml:space="preserve">وكذا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وذلك لرواية السكوني،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أقرّ عند موته لفلان وفلان لأحدهما عندي ألف درهم ثمّ مات على تلك الحال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أيّهما أقام البيّنة فله المال وإن لم يقم واحد منهما البيّنة فالمال بينهما نصفان</w:t>
      </w:r>
      <w:r>
        <w:rPr>
          <w:rFonts w:eastAsia="Amiri" w:cs="Amiri" w:ascii="Amiri" w:hAnsi="Amiri"/>
          <w:color w:val="111111"/>
          <w:sz w:val="28"/>
          <w:szCs w:val="28"/>
          <w:rtl w:val="true"/>
          <w:lang w:bidi="ar-SA"/>
        </w:rPr>
        <w:t>»</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الفاضل النراقي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احتمال القضاء بينهما نصفين بعد حلفهما أو نكولها بدليل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من الرواية التنصيف بدون الإحلاف، بل هو مقتضى إطلاقها فالقول به كما فيما إذا كان في يديهما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أوجه</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الرواية ضعيفة سنداً لا يعتمد عليها وتشبيهه بما إذا كان في يديهما بلا وجه،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كذبهما مع اعترافه بأنّ المال لنفسه أو الاعتراف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ما إذا كذّبهما الثالث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لي فيكون بنفسه منكراً ومدّعى عليه والمتنازعان مدّعيين فلهما الحلف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لو لم ينتسبه لنفسه، بل نفي المال عنهما فقط وذلك لكونه ذا اليد فيصير منكراً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الخامسة</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يفرض صورة خامسة للفرض الثالث، وهي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أنّ المال لهما أو لغيرهما مع اعترافه بأنّ المال ليس له أيضاً فيكون كما لا يد لأحد عليه كما في الفرض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تنازعا على عين لا يد عليها</w:t>
      </w:r>
    </w:p>
    <w:p>
      <w:pPr>
        <w:pStyle w:val="BookText"/>
        <w:rPr/>
      </w:pPr>
      <w:r>
        <w:rPr>
          <w:rFonts w:ascii="Amiri" w:hAnsi="Amiri" w:eastAsia="Amiri" w:cs="Amiri"/>
          <w:color w:val="111111"/>
          <w:sz w:val="28"/>
          <w:sz w:val="28"/>
          <w:szCs w:val="28"/>
          <w:rtl w:val="true"/>
          <w:lang w:bidi="ar-SA"/>
        </w:rPr>
        <w:t>إذا تنازعا في عين لا يد لأحدهما عليها ولا لغيرهما، ففيه أيضاً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التنصيف مع الحلف، أي التنصيف بينهما بإجراء ميزان القضاء فيه لكون كلّ واحد منهما مدّعياً ومنكراً، فلو حلفا أو نكلا يقسمان المال بالتنصيف ولو حلف واحد منهما فالمال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واليمين على المدّعى عليه</w:t>
      </w:r>
      <w:r>
        <w:rPr>
          <w:rFonts w:eastAsia="Amiri" w:cs="Amiri" w:ascii="Amiri" w:hAnsi="Amiri"/>
          <w:color w:val="111111"/>
          <w:sz w:val="28"/>
          <w:szCs w:val="28"/>
          <w:rtl w:val="true"/>
          <w:lang w:bidi="ar-SA"/>
        </w:rPr>
        <w:t>»</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ولرواية إسحاق بن عمّار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لم تكن في يد واحد منهما وأقاما البيّنة فقال احلفهما فأيّهما حلف ونكل الآخر جعلتها للحالف، فإن حلفا جميعاً، جعلتها بينهما نصفين</w:t>
      </w:r>
      <w:r>
        <w:rPr>
          <w:rFonts w:eastAsia="Amiri" w:cs="Amiri" w:ascii="Amiri" w:hAnsi="Amiri"/>
          <w:color w:val="111111"/>
          <w:sz w:val="28"/>
          <w:szCs w:val="28"/>
          <w:rtl w:val="true"/>
          <w:lang w:bidi="ar-SA"/>
        </w:rPr>
        <w:t>»</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القائل بهذا القول هو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حكي عنه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Style w:val="FootnoteAnchor"/>
          <w:rtl w:val="true"/>
        </w:rPr>
        <w:footnoteReference w:id="1212"/>
      </w:r>
      <w:r>
        <w:rPr>
          <w:rFonts w:ascii="Amiri" w:hAnsi="Amiri" w:eastAsia="Amiri" w:cs="Amiri"/>
          <w:color w:val="111111"/>
          <w:sz w:val="28"/>
          <w:sz w:val="28"/>
          <w:szCs w:val="28"/>
          <w:rtl w:val="true"/>
          <w:lang w:bidi="ar-SA"/>
        </w:rPr>
        <w:t xml:space="preserve">مع اختلاف يسير في العبارة والاستدلال عن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الفائدة</w:t>
      </w:r>
      <w:r>
        <w:rPr>
          <w:rFonts w:eastAsia="Amiri" w:cs="Amiri" w:ascii="Amiri" w:hAnsi="Amiri"/>
          <w:color w:val="111111"/>
          <w:sz w:val="28"/>
          <w:szCs w:val="28"/>
          <w:rtl w:val="true"/>
          <w:lang w:bidi="ar-SA"/>
        </w:rPr>
        <w:t>»</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صدق المدّعى عليه أو المنكر على كلّ واحد منهما ممنوع، فإنّ الظاهر من المدّعى والمنكر ادّعاء كلّ واحد على الآخر،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ادّعي عليه بكذا أو هو منكر لما ادّعي عليه، وهنا لا يدّعي كلّ واحد منهما على الآخر بشي‌ء، بل يتعلّق الادّعاء بذات المال فكلّ واحد منهما يدّعي أنّه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لازمه عدم كونه للآخر، وعلى هذا اللزوم لا يصدق عليه المنكر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سلّمنا جريان موازين القضاء هنا، وصدّق المدّعي والمنكر عليهما، لكن‌نقول لا يستلزم ذلك التنصيف بعد الحلف لكلّ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النتيجة عدم استحقاقهما للمال، فإنّ مقتضى حلف كلّ واحد عدم استحقاق الآخر للمال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فموردها إقامة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وتسري حكمه إلى مورد عدم البيّنة غير جائز، فلا تشمل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التنصيف بلا حلف، وهو من حيث إنّ الأخذ بكلّ واحد من الدعويين ولو في الجملة أولى من طرحهما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ورد في الدرهم والدينار الودعيين بالتنصيف بينهما بلا حلف، وهو مرسلة عبدالله بن المغيرة عن غير واحد من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رجلين كان معهما درهمان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الدرهمان لي، 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بيني وبينك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الذي قال هما بيني وبينك فقد أقرّ بأنّ أحد الدرهمين ليس له وإنّه لصاحبه ويقسم الآخر بينهما</w:t>
      </w:r>
      <w:r>
        <w:rPr>
          <w:rFonts w:eastAsia="Amiri" w:cs="Amiri" w:ascii="Amiri" w:hAnsi="Amiri"/>
          <w:color w:val="111111"/>
          <w:sz w:val="28"/>
          <w:szCs w:val="28"/>
          <w:rtl w:val="true"/>
          <w:lang w:bidi="ar-SA"/>
        </w:rPr>
        <w:t>»</w:t>
      </w:r>
      <w:r>
        <w:rPr>
          <w:rStyle w:val="FootnoteAnchor"/>
          <w:rtl w:val="true"/>
        </w:rPr>
        <w:footnoteReference w:id="1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ويقسم الدرهم الثاني بينهما 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عن السكوني عن الصادق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استودع رجلًا دينارين فاستودعه آخر ديناراً فضاع دينار 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يعطي صاحب الدينارين ديناراً ويقسم الآخر بينهما نصفين</w:t>
      </w:r>
      <w:r>
        <w:rPr>
          <w:rFonts w:eastAsia="Amiri" w:cs="Amiri" w:ascii="Amiri" w:hAnsi="Amiri"/>
          <w:color w:val="111111"/>
          <w:sz w:val="28"/>
          <w:szCs w:val="28"/>
          <w:rtl w:val="true"/>
          <w:lang w:bidi="ar-SA"/>
        </w:rPr>
        <w:t>»</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بالتنصيف لا دليل عليه بالكلّية وما ذكر لا يصلح وجهاً</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 مقتضى تعارض الأسباب والمعرّفات الشرعية هو التساقط، فإنّ كلّ واحد من الدعويين موجب للحكم بمقتضاه لو لا الآخر وإذا تعارضا تساقطا لا أن يؤثّر كلّ واحد في النصف، مع أنّ الراويان ضعيفان سنداً وموردهما الودعي ولا دليل على إلغاء الخصوصية عن موردها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القرعة، واختاره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فالأقرب الاقتراع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والقرعة لكلّ أمر مجهول فالرجوع إليها أظهر</w:t>
      </w:r>
      <w:r>
        <w:rPr>
          <w:rFonts w:eastAsia="Amiri" w:cs="Amiri" w:ascii="Amiri" w:hAnsi="Amiri"/>
          <w:color w:val="111111"/>
          <w:sz w:val="28"/>
          <w:szCs w:val="28"/>
          <w:rtl w:val="true"/>
          <w:lang w:bidi="ar-SA"/>
        </w:rPr>
        <w:t>»</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من أنّ القرعة لكلّ أمر مجهول أو لكلّ أمر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رواية أبي بصير</w:t>
      </w:r>
      <w:r>
        <w:rPr>
          <w:rStyle w:val="FootnoteAnchor"/>
          <w:rtl w:val="true"/>
        </w:rPr>
        <w:footnoteReference w:id="1217"/>
      </w:r>
      <w:r>
        <w:rPr>
          <w:rFonts w:ascii="Amiri" w:hAnsi="Amiri" w:eastAsia="Amiri" w:cs="Amiri"/>
          <w:color w:val="111111"/>
          <w:sz w:val="28"/>
          <w:sz w:val="28"/>
          <w:szCs w:val="28"/>
          <w:rtl w:val="true"/>
          <w:lang w:bidi="ar-SA"/>
        </w:rPr>
        <w:t>وابن عمّار</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على الاستدلال بها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أنّه لا واقع مجهول في المقام حتّى يعيّن بالقرعة لعدم كون العين في يدهما واحتمل كونها لثالث غيرهما، والروايتان مخصوصتان بموردها</w:t>
      </w:r>
      <w:r>
        <w:rPr>
          <w:rFonts w:eastAsia="Amiri" w:cs="Amiri" w:ascii="Amiri" w:hAnsi="Amiri"/>
          <w:color w:val="111111"/>
          <w:sz w:val="28"/>
          <w:szCs w:val="28"/>
          <w:rtl w:val="true"/>
          <w:lang w:bidi="ar-SA"/>
        </w:rPr>
        <w:t>»</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إيراد الخدشة في كلام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يشترط في القرعة وجود الواقع المعيّن كما ورد أيضاً في ذيل الرواية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أمير المؤمنين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قوم تنازعوا ثمّ فوّضوا أمرهم إلى الله إلا خرج سهم المحقّ</w:t>
      </w:r>
      <w:r>
        <w:rPr>
          <w:rFonts w:eastAsia="Amiri" w:cs="Amiri" w:ascii="Amiri" w:hAnsi="Amiri"/>
          <w:color w:val="111111"/>
          <w:sz w:val="28"/>
          <w:szCs w:val="28"/>
          <w:rtl w:val="true"/>
          <w:lang w:bidi="ar-SA"/>
        </w:rPr>
        <w:t>»</w:t>
      </w:r>
      <w:r>
        <w:rPr>
          <w:rStyle w:val="FootnoteAnchor"/>
          <w:rtl w:val="true"/>
        </w:rPr>
        <w:footnoteReference w:id="1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مطلق يشمل ما إذا كان مورد</w:t>
      </w:r>
    </w:p>
    <w:p>
      <w:pPr>
        <w:pStyle w:val="BookText"/>
        <w:rPr/>
      </w:pPr>
      <w:r>
        <w:rPr>
          <w:rFonts w:ascii="Amiri" w:hAnsi="Amiri" w:eastAsia="Amiri" w:cs="Amiri"/>
          <w:color w:val="111111"/>
          <w:sz w:val="28"/>
          <w:sz w:val="28"/>
          <w:szCs w:val="28"/>
          <w:rtl w:val="true"/>
          <w:lang w:bidi="ar-SA"/>
        </w:rPr>
        <w:t>النزاع امراً فيه واقع مجهول يستخرج بالقرعة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ما ورد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سوهم عليه مريم بنت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لَدَيْهِمْ إِذْ يُلْقُونَ أقْلامَهُمْ أيُّهُمْ يَكْفُلُ مَرْيَمَ</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22"/>
      </w:r>
      <w:r>
        <w:rPr>
          <w:rFonts w:ascii="Amiri" w:hAnsi="Amiri" w:eastAsia="Amiri" w:cs="Amiri"/>
          <w:color w:val="111111"/>
          <w:sz w:val="28"/>
          <w:sz w:val="28"/>
          <w:szCs w:val="28"/>
          <w:rtl w:val="true"/>
          <w:lang w:bidi="ar-SA"/>
        </w:rPr>
        <w:t>ثمّ في يونس لما ركب السفينة فوقعت في اللجّة فاستهوا فوقع على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قضية نذر عبدالمطّلب وليس في تلك الموارد واقع معيّن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الاختصاص بموردها، خلاف ما في ذيل رواية أبي بصير كما قلنا فظهر أنّ الأقرب ما قرّبه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الرجوع إلى القرعة في الفرض وهو القول الثالث من الفرض الرابع</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تضمين سهام البقية على من خرج الولد له بالقرعة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أبي بصير</w:t>
      </w:r>
      <w:r>
        <w:rPr>
          <w:rStyle w:val="FootnoteAnchor"/>
          <w:rtl w:val="true"/>
        </w:rPr>
        <w:footnoteReference w:id="1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جهة أنّ الجارية كانت مشتركة بينهم، فإذا جعل الولد لواحد منهم بالقرعة وعين أنّه الوالد وأنّ الولد خلق من مائه ودفع إليه فقد استوفي جميع منفعة الجارية وفوّت نصيب البقية، فلذا ضمّنه الإمام سهم كلّ واحد من الشركاء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الحكم بردّ قيمة الولد لصاحب الجارية بعد خروج واحد منهم بالقرعة، وتعيينه بكون الولد له كان من جهة استيفائه منفعة الجارية التي كانت للغير وهو لا يستحقّها، فكان الولد له بالقرعة وله بدله من أداء غرامة منفعة الجارية التي استوفاها من غير استحقاق</w:t>
      </w:r>
      <w:r>
        <w:rPr>
          <w:rFonts w:eastAsia="Amiri" w:cs="Amiri" w:ascii="Amiri" w:hAnsi="Amiri"/>
          <w:color w:val="111111"/>
          <w:sz w:val="28"/>
          <w:szCs w:val="28"/>
          <w:rtl w:val="true"/>
          <w:lang w:bidi="ar-SA"/>
        </w:rPr>
        <w:t>.</w:t>
      </w:r>
      <w:bookmarkStart w:id="644" w:name="pg1791_16285"/>
    </w:p>
    <w:p>
      <w:pPr>
        <w:pStyle w:val="BookText"/>
        <w:rPr/>
      </w:pPr>
      <w:bookmarkEnd w:id="644"/>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شخص عيناً في يد آخر وأقام بيّنة وانتزعها منه بحكم الحاكم، ثمّ أقام المدّعى عليه بيّنة على أنّها له، فإن ادّعى أنّها فعلًا له وأقام البيّنة عليه، تنتزع العين وتردّ إلى المدّعي الثاني، وإن ادّعى أنّها له حين الدعوى وأقام البيّنة على ذلك، فهل ينتقض الحكم وتردّ العين إليه أو لا؟ قولان، ولا يبعد عدم النقض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645" w:name="__RefHeading___Toc2354879_3650668749"/>
      <w:bookmarkStart w:id="646" w:name="_Toc236"/>
      <w:bookmarkEnd w:id="645"/>
      <w:r>
        <w:rPr>
          <w:rtl w:val="true"/>
        </w:rPr>
        <w:t>إقامة البيّنة من المدّعى عليه بعد حكم الحاكم عليه‌</w:t>
      </w:r>
      <w:bookmarkEnd w:id="6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زيد على عمرو داراً كانت في يده ويسكنه مثلًا وأقام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وحكم الحاكم له باستناد البيّنة وانتزعها من عمرو ودفعها إلى زيد وتمّت الخصومة، ثمّ أقام عمرو البيّنة على كون الدار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ذلك ثلاث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يقيم البيّنة على الملكيّة فعلًا، لا إشكال في سماع دعواه وقبول بيّنته لعدم التنافي بين دعواه الملكية للدار فعلًا مع دعوى زيد الملكية في السابق لاحتمال حدوثها بعداً وتقبل بيّنة عمرو أيضاً؛ لعدم التعارض بينها وبين بيّنة زيد التي تشهد بكون الدار لزيد في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الترافع تصير هكذا كما 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الحاكم لعمرو باستناد بيّنته، وينزع الدار من يد زيد ويدفعها إلى عمرو بلا إشكال ولا خلاف</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يقيم البيّنة على ملكيته للدار سابقاً حين دعوى زيد ملكية الدار قبل حكم الحاكم، فهل تقبل البيّنة وتوجب نقض الحكم واسترداد الدار</w:t>
      </w:r>
    </w:p>
    <w:p>
      <w:pPr>
        <w:pStyle w:val="BookText"/>
        <w:rPr/>
      </w:pPr>
      <w:r>
        <w:rPr>
          <w:rFonts w:ascii="Amiri" w:hAnsi="Amiri" w:eastAsia="Amiri" w:cs="Amiri"/>
          <w:color w:val="111111"/>
          <w:sz w:val="28"/>
          <w:sz w:val="28"/>
          <w:szCs w:val="28"/>
          <w:rtl w:val="true"/>
          <w:lang w:bidi="ar-SA"/>
        </w:rPr>
        <w:t>لعمرو، أو لا ينقص الحكم وتبقي الدار في يد زيد؟ ففيه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طرح 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ينقض الحكم وتعاد وهو بناء على القضاء لصاحب اليد مع التعارض، والأولى أنّه لا ينقض</w:t>
      </w:r>
      <w:r>
        <w:rPr>
          <w:rFonts w:eastAsia="Amiri" w:cs="Amiri" w:ascii="Amiri" w:hAnsi="Amiri"/>
          <w:color w:val="111111"/>
          <w:sz w:val="28"/>
          <w:szCs w:val="28"/>
          <w:rtl w:val="true"/>
          <w:lang w:bidi="ar-SA"/>
        </w:rPr>
        <w:t>»</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وجه 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لتعارض البيّنتين وتقديم بيّنة عمرو على مبناه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تقديم بيّنة الداخل، كما وجّه المحقّق كلام الشيخ بذلك،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بناءً على القضاء لصاحب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المدّعي وكذا المدّعى عليه إذا أقام كلّ واحد البيّنة مستقلّة فهنا تعارض البيّنتان،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لبيّنة المدّعى عليه بيّنة الداخل، لكونه ذا اليد ويقال لبيّنة المدّعي بيّنة الخارج، لكون المال خارجاً عن يده واختلف الأصحاب في تقديم بيّنة الداخل لتأثيرها باليد، أو تقديم بيّنة الخارج لكون البيّنة وظيفته، فتقلب وليست وظيفة المدّعى عليه البيّنة حتّى تقبل، وفيما نحن فيه يعني إقامة البيّنة بعد حكم الحاكم وبعد انتزاع العين من يد المدّعى عليه ودفعها إلى المدّعي يأتي اختلاف آخر، وهو أنّ ميزان تشخيص الداخل من الخارج حينئذٍ هل هو عند التعارض يعني عند إقامة البيّنة، أو عند ادّعاء الملك ويختلف الداخل والخارج فيه أيضاً، وكان نظر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بيّنة الداخل عند دعوى الملك وهي بيّنة عمرو ولذا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ينقض الحكم وتعاد العين إلى عمرو</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واعتقد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225"/>
      </w:r>
      <w:r>
        <w:rPr>
          <w:rFonts w:ascii="Amiri" w:hAnsi="Amiri" w:eastAsia="Amiri" w:cs="Amiri"/>
          <w:color w:val="111111"/>
          <w:sz w:val="28"/>
          <w:sz w:val="28"/>
          <w:szCs w:val="28"/>
          <w:rtl w:val="true"/>
          <w:lang w:bidi="ar-SA"/>
        </w:rPr>
        <w:t>بانتقاض الحكم أيضاً، وبني المسألة في تقديم</w:t>
      </w:r>
    </w:p>
    <w:p>
      <w:pPr>
        <w:pStyle w:val="BookText"/>
        <w:rPr/>
      </w:pPr>
      <w:r>
        <w:rPr>
          <w:rFonts w:ascii="Amiri" w:hAnsi="Amiri" w:eastAsia="Amiri" w:cs="Amiri"/>
          <w:color w:val="111111"/>
          <w:sz w:val="28"/>
          <w:sz w:val="28"/>
          <w:szCs w:val="28"/>
          <w:rtl w:val="true"/>
          <w:lang w:bidi="ar-SA"/>
        </w:rPr>
        <w:t xml:space="preserve">الداخل أو الخارج على أنّ المدار في الدخول والخروج على حال الملك أو على حال التعارض، واختار نفسه تقديم بيّنة الخارج كما عليه المشهور، وأنّ الميزان حال التعارض فيقدّم بيّنة عمرو لأنّها بيّنة الخارج لكون العين في يد زيد بعد حكم الحاكم، ودفع العين إلى زيد فبالنتيجة ينقض الحكم وترد العين إلى عمرو كما قاله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اختاره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والاولى أنّه لاينقض</w:t>
      </w:r>
      <w:r>
        <w:rPr>
          <w:rFonts w:eastAsia="Amiri" w:cs="Amiri" w:ascii="Amiri" w:hAnsi="Amiri"/>
          <w:color w:val="111111"/>
          <w:sz w:val="28"/>
          <w:szCs w:val="28"/>
          <w:rtl w:val="true"/>
          <w:lang w:bidi="ar-SA"/>
        </w:rPr>
        <w:t>»</w:t>
      </w:r>
      <w:r>
        <w:rPr>
          <w:rStyle w:val="FootnoteAnchor"/>
          <w:rtl w:val="true"/>
        </w:rPr>
        <w:footnoteReference w:id="1226"/>
      </w:r>
      <w:r>
        <w:rPr>
          <w:rFonts w:ascii="Amiri" w:hAnsi="Amiri" w:eastAsia="Amiri" w:cs="Amiri"/>
          <w:color w:val="111111"/>
          <w:sz w:val="28"/>
          <w:sz w:val="28"/>
          <w:szCs w:val="28"/>
          <w:rtl w:val="true"/>
          <w:lang w:bidi="ar-SA"/>
        </w:rPr>
        <w:t xml:space="preserve">ولم يبيّن الوجه له و لعلّ وجهه ما قاله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أيضاً قائل بعدم نقض الحكم، وقال في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والأقرب بناء المسألة على تقديم بيّنة الخارج أو الداخل والمدار في الدخول والخروج على حال الملك لا حال المعارضة، وهي وإن كانت حادثة ومتأخّرة عن بيّنة المدّعي إلا أنّها متعلّقة بالسابق وفي السابق كان المدّعي خارجاً لكون العين في يد المدّعى عليه</w:t>
      </w:r>
      <w:r>
        <w:rPr>
          <w:rFonts w:eastAsia="Amiri" w:cs="Amiri" w:ascii="Amiri" w:hAnsi="Amiri"/>
          <w:color w:val="111111"/>
          <w:sz w:val="28"/>
          <w:szCs w:val="28"/>
          <w:rtl w:val="true"/>
          <w:lang w:bidi="ar-SA"/>
        </w:rPr>
        <w:t>»</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228"/>
      </w:r>
      <w:r>
        <w:rPr>
          <w:rFonts w:ascii="Amiri" w:hAnsi="Amiri" w:eastAsia="Amiri" w:cs="Amiri"/>
          <w:color w:val="111111"/>
          <w:sz w:val="28"/>
          <w:sz w:val="28"/>
          <w:szCs w:val="28"/>
          <w:rtl w:val="true"/>
          <w:lang w:bidi="ar-SA"/>
        </w:rPr>
        <w:t xml:space="preserve">علّل لقول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 آخر أسدّ وأدقّ ومطابق لمقتضى القواعد وظواهر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بناء المسألة ليس على تقديم الداخل أو الخارج أصلًا، فإنّ ذلك فيما إذا وقع التنازع بين شخصين وأقام المدّعي البيّنة على مدّعاه وأقام المدّعى عليه أيضاً البيّنة على خلافه، فحينئذٍ يقع الكلام في تقديم بيّنة الداخل أو الخارج على ما سيجي‌ء في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ادّعى المدّعي مالًا في يد آخر وأقام البيّنة على مدّعاه وحكم الحاكم</w:t>
      </w:r>
    </w:p>
    <w:p>
      <w:pPr>
        <w:pStyle w:val="BookText"/>
        <w:rPr/>
      </w:pPr>
      <w:r>
        <w:rPr>
          <w:rFonts w:ascii="Amiri" w:hAnsi="Amiri" w:eastAsia="Amiri" w:cs="Amiri"/>
          <w:color w:val="111111"/>
          <w:sz w:val="28"/>
          <w:sz w:val="28"/>
          <w:szCs w:val="28"/>
          <w:rtl w:val="true"/>
          <w:lang w:bidi="ar-SA"/>
        </w:rPr>
        <w:t>على طبقه ودفع المال إلى المدّعي وانقطع النزاع وفصلت الخصومة فلا وجه لسماع دعواه وقبول بيّنته، فإنّ الحكومة مبنيّة على الدوام، للأصل المؤيّد بالحكمة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الأدلّة وبعد انقطاع الخصومة ورفع النزاع فلا تسمع أي دعوى تتعلّق بها، حتّى بناءً على القول بتقديم بيّنة الخارج وكون بيّنته خارجاً، لفرض كون المال تحت يد زيد لعدم كون المقام من مصاديق هذا البحث، فليس القول بعدم انتقاض الحكم وبقاء المال في يد زيد من جهة تقديم بيّنة الخارج و كون المدار حين الملك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بيّنة زيد تكون خارجاً حين الدعوى لفرض كون المال تحت يد عمرو، بل من جهة عدم سماع الدعوى وعدم قبول البيّنة بعد انقطاع الخصومة ورفع النزاع بحكم الحاكم بنفع زيد ودفع المال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الحكم مبنيّاً على الدوام و نقضه غير صحيح أمر معلوم لا نخالفه، ولكن قد يحصل بعد الحكم أمر يكشف عن عدم تمامية مبنى الحكم، ومستنده كما لو أثبت المدّعى عليه فسق الشهود، أو كان الحكم على الغائب وحضر وأقام الحجّة على خلاف مبنى الحكم، فحينئذٍ يبطل الحكم لبطلان مستنده، وهذا لا يكون نقضاً للحكم وما نحن فيه من هذا القبيل، فإنّ المدّعى عليه إذا أقام البيّنة على أنّ العين كانت له تكون حينئذٍ له بيّنة معارضة لبيّنة المدّعي فلا بدّ للحاكم من العمل على قاعدة المعارضة، والحال أنّه حكم باستناد بيّنة المدّعي فقط</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ما نحن فيه بالموردين مع الفارق، فإنّه ورد الدليل على جواز جرح الشهود من جانب المدّعى عليه، وكذا قامت الحجّة على أنّ الغائب على حجّيته ففي الحقيقة يكون الحكم متزلزلًا من هذه الجهة بخلاف المقام، فإنّ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تنازع الزوجان في متاع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حال زوجيتهما أو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أقوال، أرجحها أنّ ما يكون من المتاع للرجال فهو للرجل، كالسيف والسلاح وألبسة الرجال، وما يكون للنساء فللمرأة كألبسة النساء ومكينة الخياطة التي تستعملها النساء ونحو ذلك، وما يكون للرجال والنساء فهو بينهما، فإن ادّعى الرجل ما يكون للنساء كانت المرأة مدّعىً عليها، وعليها الحلف لو لم يكن للرجل بيّنة،</w:t>
      </w:r>
    </w:p>
    <w:p>
      <w:pPr>
        <w:pStyle w:val="BookText"/>
        <w:rPr/>
      </w:pPr>
      <w:r>
        <w:rPr>
          <w:rFonts w:ascii="Amiri" w:hAnsi="Amiri" w:eastAsia="Amiri" w:cs="Amiri"/>
          <w:color w:val="111111"/>
          <w:sz w:val="28"/>
          <w:sz w:val="28"/>
          <w:szCs w:val="28"/>
          <w:rtl w:val="true"/>
          <w:lang w:bidi="ar-SA"/>
        </w:rPr>
        <w:t>إقامة البيّنة من جانب المدّعى عليه، ودعواه الملكية أمر مرتبط بالمخاصمة والنزاع وقد فصّلت الخصومة وارتفع النزاع ولا تبقى مخاصمة حتّى تسمع الدعوى بالنسبة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على استماع دعويه وقبول بيّنته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أقامها حين الدعوى كانت مقبولة، ولعلّه كان نافعاً بحاله دون إقامتها بعد ختم النزاع وحكم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نظر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يبعد عدم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يطلق الدعوى ويقيم البيّنة من غير تصريح بادّعاء الملكية فعلًا أو سابقاً، والظاهر أنّ هذه الدعوى يرجع إلى إحدى الصورتين المتقدّمتين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ما قالوا من بناء المسألة على البيّنة الداخل والخارج؛ يحمل الإطلاق على الصورة الاولى؛ يعني إرادة الملكية فعلًا دفعاً لحصول التعارض بين البيّنتين</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ما قلنا يحمل أيضاً عليها حفظاً للبيّنة والدعوى عن عدم السماع واللغوية</w:t>
      </w:r>
      <w:r>
        <w:rPr>
          <w:rFonts w:eastAsia="Amiri" w:cs="Amiri" w:ascii="Amiri" w:hAnsi="Amiri"/>
          <w:color w:val="111111"/>
          <w:sz w:val="28"/>
          <w:szCs w:val="28"/>
          <w:rtl w:val="true"/>
          <w:lang w:bidi="ar-SA"/>
        </w:rPr>
        <w:t>.</w:t>
      </w:r>
      <w:bookmarkStart w:id="647" w:name="pg1791_16294"/>
    </w:p>
    <w:p>
      <w:pPr>
        <w:pStyle w:val="BookText"/>
        <w:rPr/>
      </w:pPr>
      <w:bookmarkEnd w:id="647"/>
      <w:r>
        <w:rPr>
          <w:rFonts w:ascii="Amiri" w:hAnsi="Amiri" w:eastAsia="Amiri" w:cs="Amiri"/>
          <w:color w:val="111111"/>
          <w:sz w:val="28"/>
          <w:sz w:val="28"/>
          <w:szCs w:val="28"/>
          <w:rtl w:val="true"/>
          <w:lang w:bidi="ar-SA"/>
        </w:rPr>
        <w:t>وإن ادّعت المرأة ما للرجال فهي مدّعية، عليها البيّنة وعلى الرجل الحلف، وما بينهما فمع عدم البيّنة وحلفهما يقسّم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يتبيّن كون الأمتعة تحت يد أحدهما، وإلا فلو فرض أنّ المتاع الخاصّ بالنساء كان في صندوق الرجل وتحت يده أو العكس، يحكم بملكية ذي اليد، وعلى غيره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فيما للرجال أو ما للنساء العلم بأنّ كلًا منهما استعمل ماله أو انتفع به، ولا إحراز أن يكون لكلّ منهما يد مختصّة بالنسبة إلى مختصّات الطائفتين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يجري الحكم بالنسبة إلى شريكين في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من أهل العلم والفقه، والثاني من أهل التجارة والكسب، فيحكم بأنّ ما للعلماء للعالم وما للتجّار للتاجر، فيستكشف المدّعي من المدّعى عليه؟ وجهان، لا يبعد الإلحاق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648" w:name="__RefHeading___Toc2354881_3650668749"/>
      <w:bookmarkStart w:id="649" w:name="_Toc237"/>
      <w:bookmarkEnd w:id="648"/>
      <w:r>
        <w:rPr>
          <w:rtl w:val="true"/>
        </w:rPr>
        <w:t>في تنازع الزوج والزوجة في متاع البيت‌</w:t>
      </w:r>
      <w:bookmarkEnd w:id="649"/>
    </w:p>
    <w:p>
      <w:pPr>
        <w:pStyle w:val="Heading5"/>
        <w:numPr>
          <w:ilvl w:val="4"/>
          <w:numId w:val="1"/>
        </w:numPr>
        <w:rPr/>
      </w:pPr>
      <w:bookmarkStart w:id="650" w:name="__RefHeading___Toc2354883_3650668749"/>
      <w:bookmarkStart w:id="651" w:name="_Toc238"/>
      <w:bookmarkEnd w:id="650"/>
      <w:r>
        <w:rPr>
          <w:rtl w:val="true"/>
        </w:rPr>
        <w:t>اشارة</w:t>
      </w:r>
      <w:bookmarkEnd w:id="65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جهتان للبحث</w:t>
      </w:r>
      <w:r>
        <w:rPr>
          <w:rFonts w:eastAsia="IRNazanin" w:cs="IRNazanin"/>
          <w:color w:val="111111"/>
          <w:sz w:val="28"/>
          <w:szCs w:val="28"/>
          <w:rtl w:val="true"/>
          <w:lang w:bidi="fa-IR"/>
        </w:rPr>
        <w:t>:</w:t>
      </w:r>
    </w:p>
    <w:p>
      <w:pPr>
        <w:pStyle w:val="Heading5"/>
        <w:numPr>
          <w:ilvl w:val="4"/>
          <w:numId w:val="1"/>
        </w:numPr>
        <w:rPr/>
      </w:pPr>
      <w:bookmarkStart w:id="652" w:name="__RefHeading___Toc2354885_3650668749"/>
      <w:bookmarkStart w:id="653" w:name="_Toc239"/>
      <w:bookmarkEnd w:id="652"/>
      <w:r>
        <w:rPr>
          <w:rtl w:val="true"/>
        </w:rPr>
        <w:t>الجهة الاولى‌</w:t>
      </w:r>
      <w:bookmarkEnd w:id="653"/>
    </w:p>
    <w:p>
      <w:pPr>
        <w:pStyle w:val="BookText"/>
        <w:rPr/>
      </w:pPr>
      <w:r>
        <w:rPr>
          <w:rFonts w:ascii="Amiri" w:hAnsi="Amiri" w:eastAsia="Amiri" w:cs="Amiri"/>
          <w:color w:val="111111"/>
          <w:sz w:val="28"/>
          <w:sz w:val="28"/>
          <w:szCs w:val="28"/>
          <w:rtl w:val="true"/>
          <w:lang w:bidi="ar-SA"/>
        </w:rPr>
        <w:t>لو تنازع الزوجان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بقاء الزوجية، أو تفارقهما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متاع البيت، ففي المسألة أقوال</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للرجال للزوج وما للنساء للزوجة والمشترك بينهما يقسم بينهما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قول المشهور ورجّهها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بل ادّعي الإجماع عليه</w:t>
      </w:r>
    </w:p>
    <w:p>
      <w:pPr>
        <w:pStyle w:val="BookText"/>
        <w:rPr/>
      </w:pPr>
      <w:r>
        <w:rPr>
          <w:rFonts w:ascii="Amiri" w:hAnsi="Amiri" w:eastAsia="Amiri" w:cs="Amiri"/>
          <w:color w:val="111111"/>
          <w:sz w:val="28"/>
          <w:sz w:val="28"/>
          <w:szCs w:val="28"/>
          <w:rtl w:val="true"/>
          <w:lang w:bidi="ar-SA"/>
        </w:rPr>
        <w:t xml:space="preserve">كما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229"/>
      </w:r>
      <w:r>
        <w:rPr>
          <w:rFonts w:ascii="Amiri" w:hAnsi="Amiri" w:eastAsia="Amiri" w:cs="Amiri"/>
          <w:color w:val="111111"/>
          <w:sz w:val="28"/>
          <w:sz w:val="28"/>
          <w:szCs w:val="28"/>
          <w:rtl w:val="true"/>
          <w:lang w:bidi="ar-SA"/>
        </w:rPr>
        <w:t xml:space="preserve">وابن حمزة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1230"/>
      </w:r>
      <w:r>
        <w:rPr>
          <w:rFonts w:ascii="Amiri" w:hAnsi="Amiri" w:eastAsia="Amiri" w:cs="Amiri"/>
          <w:color w:val="111111"/>
          <w:sz w:val="28"/>
          <w:sz w:val="28"/>
          <w:szCs w:val="28"/>
          <w:rtl w:val="true"/>
          <w:lang w:bidi="ar-SA"/>
        </w:rPr>
        <w:t xml:space="preserve">وابن إدريس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1231"/>
      </w:r>
      <w:r>
        <w:rPr>
          <w:rFonts w:ascii="Amiri" w:hAnsi="Amiri" w:eastAsia="Amiri" w:cs="Amiri"/>
          <w:color w:val="111111"/>
          <w:sz w:val="28"/>
          <w:sz w:val="28"/>
          <w:szCs w:val="28"/>
          <w:rtl w:val="true"/>
          <w:lang w:bidi="ar-SA"/>
        </w:rPr>
        <w:t>وعليه 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متفرّعة على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نذكرها قبل بيان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الزوج ما يكون معمولًا للزوجة ولم يكن المال تحت يد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للزوج بيّنة يأتي بها ويأخذ ما 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فالزوجة بما أنّها هي المدّعى عليها تحلف ويكون المال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له البيّنة وهي لم تحلف يقسّم المال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ادّعت الزوجة ما يكون معمولًا للرجال ولم يكن المال تحت يد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لها بيّنة تأتي بها وتأخذ المال وإلا فالزوج بما أنّه المدّعى عليه يحلف ويكون المال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تكن لها البيّنة وهو لم يحلف يقسّم المال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الزوج على الزوجة مالًا كان في صندوق الزوجة وتحت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المال خاصّة بالنساء أو بالرجال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بملكية ذي اليد، أي الزوجة وعلى الزوج البيّنة</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ادّعت الزوجة مالًا كان في صندوق الرجل وتحت يده، سواء كان المال خاصّة بالرجال أو بالنساء يحكم بملكية ذي اليد أي الزوج، وعلى الزوجة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المال المختصّ بالزوج أو الزوجة العلم بالاستعمال أو الانتفاع من المال، بل يكفي وجود اليد على المال ولو لم يحرز أنّ للزوج مثلًا يد مختصّة على مختصّات الزوج وللزوجة يد مختصّة على مختصّات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الإجماعات المنقولة</w:t>
      </w:r>
      <w:r>
        <w:rPr>
          <w:rStyle w:val="FootnoteAnchor"/>
          <w:rtl w:val="true"/>
        </w:rPr>
        <w:footnoteReference w:id="1232"/>
      </w:r>
      <w:r>
        <w:rPr>
          <w:rFonts w:ascii="Amiri" w:hAnsi="Amiri" w:eastAsia="Amiri" w:cs="Amiri"/>
          <w:color w:val="111111"/>
          <w:sz w:val="28"/>
          <w:sz w:val="28"/>
          <w:szCs w:val="28"/>
          <w:rtl w:val="true"/>
          <w:lang w:bidi="ar-SA"/>
        </w:rPr>
        <w:t>هناك روايات كثيرة نذكر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رفاعة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الرجل امرأته وفي بيتها متاع فلها ما يكون للنساء، وما يكون للرجال والنساء قسم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طلّق الرجل المرأة فادّعت أنّ المتاع لها وادّعى الرجل أنّ المتاع له كان له ما للرجال ولها ما يكون للنساء، وما يكون للرجال والنساء قسم بينهما</w:t>
      </w:r>
      <w:r>
        <w:rPr>
          <w:rFonts w:eastAsia="Amiri" w:cs="Amiri" w:ascii="Amiri" w:hAnsi="Amiri"/>
          <w:color w:val="111111"/>
          <w:sz w:val="28"/>
          <w:szCs w:val="28"/>
          <w:rtl w:val="true"/>
          <w:lang w:bidi="ar-SA"/>
        </w:rPr>
        <w:t>»</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تلاحظ أنّ الظاهر من الرواية مطلق المفارقة، وذكر عنوان الطلاق لبيان المثال، ولذا نرى أنّ الرواية تشمل مطلق المفارقة والادّعاء في الأموال المشتركة والمختصّة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التعرّض لحكم ما يختصّ للرجال لا يقدح في دلالة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يونس بن يعقوب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تموت قبل الرجل، أو رجل قبل المرأة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من متاع النساء فهو للمرأة، وما كان من متاع الرجال والنساء فهو بينهما، ومن استولى على شي‌ء منه فهو له</w:t>
      </w:r>
      <w:r>
        <w:rPr>
          <w:rFonts w:eastAsia="Amiri" w:cs="Amiri" w:ascii="Amiri" w:hAnsi="Amiri"/>
          <w:color w:val="111111"/>
          <w:sz w:val="28"/>
          <w:szCs w:val="28"/>
          <w:rtl w:val="true"/>
          <w:lang w:bidi="ar-SA"/>
        </w:rPr>
        <w:t>»</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كيفية الاستدلال بالرواية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يستفاد من أنّه يلي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استولى على شي‌ء منه فهو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كالتعليل للحكم، أنّ حكم ذا اليد واضح والمشتركات لكلاهما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مضمرة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يموت ما له من متاع البيت؟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السيف والسلاح والرحل وثياب جلده</w:t>
      </w:r>
      <w:r>
        <w:rPr>
          <w:rFonts w:eastAsia="Amiri" w:cs="Amiri" w:ascii="Amiri" w:hAnsi="Amiri"/>
          <w:color w:val="111111"/>
          <w:sz w:val="28"/>
          <w:szCs w:val="28"/>
          <w:rtl w:val="true"/>
          <w:lang w:bidi="ar-SA"/>
        </w:rPr>
        <w:t>»</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كيفية الاستدلال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الرواية واضح كما اعترف به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بأنّ متاع البيت للمرأة، 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Style w:val="FootnoteAnchor"/>
          <w:rtl w:val="true"/>
        </w:rPr>
        <w:footnoteReference w:id="1237"/>
      </w:r>
      <w:r>
        <w:rPr>
          <w:rFonts w:ascii="Amiri" w:hAnsi="Amiri" w:eastAsia="Amiri" w:cs="Amiri"/>
          <w:color w:val="111111"/>
          <w:sz w:val="28"/>
          <w:sz w:val="28"/>
          <w:szCs w:val="28"/>
          <w:rtl w:val="true"/>
          <w:lang w:bidi="ar-SA"/>
        </w:rPr>
        <w:t>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تأتي بالمتاع من بيت أهلها إلى بيت الزوج، فالمتاع لها في موارد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روايات دالّة على أنّ المتاع للزوجة</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عبدالرحمن بن حجّاج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سألني هل يقضي ابن أبي ليلى بالقضاء ثمّ يرجع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قضى في متاع الرجل والمرأة إذا مات أحدهما فادّعاه ورثة الحيّ وورثة الميّت أو طلّقها فادّعاه الرجل وادّعته المرأة بأربع قضايا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فقضى فيه بقول إبراهيم النخعي، كان يجعل متاع المرأة الذي لا يصلح للرجل للمرأة، ومتاع الرجل الذي لا يكون للمرأة للرجل، وما كان للرجال والنساء بينهما نصفان، ثمّ بلغني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مدّعيان جميعاً فالذي بأيديهما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يدّعيان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نصفان،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صاحب البيت والمرأة الداخلة عليه وهي المدّعية فالمتاع كلّه للرجل إلا متاع النساء الذي لا يكون للرجال فهو للمرأة، ثمّ</w:t>
      </w:r>
    </w:p>
    <w:p>
      <w:pPr>
        <w:pStyle w:val="BookText"/>
        <w:rPr/>
      </w:pPr>
      <w:r>
        <w:rPr>
          <w:rFonts w:ascii="Amiri" w:hAnsi="Amiri" w:eastAsia="Amiri" w:cs="Amiri"/>
          <w:color w:val="111111"/>
          <w:sz w:val="28"/>
          <w:sz w:val="28"/>
          <w:szCs w:val="28"/>
          <w:rtl w:val="true"/>
          <w:lang w:bidi="ar-SA"/>
        </w:rPr>
        <w:t>قضى بقضاء بعد ذلك لولا أنّى شهدته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أروه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امرأة منّا ولها زوج وتركت متاعاً فرفعته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اكتبوا المتاع، فلمّا قرأه قال للزوج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يكون للرجال والمرأة فقد جعلناه للمرأة إلا الميزان، فإنّه من متاع الرجل فهو 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فعلى أيّ شي‌ء هو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بقول إبراهيم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 البيت للرجل، ثمّ 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أنت 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الذي أخبرتني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شهدته وإن كان قد رجع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المتاع للمرأة؟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إن أقامت بيّنة إلى كم كانت تحتاج؟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سألت من بين لابتيها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الجبلين ونحن يومئذٍ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لأخبروك أنّ الجهاز والمتاع يهدى علانية من بيت المرأة إلى بيت زوجها فهي التي جاءت به وهذا المدّعى فإن زعم أنّه أحدث فيه شيئاً فليأت عليه البيّنة</w:t>
      </w:r>
      <w:r>
        <w:rPr>
          <w:rFonts w:eastAsia="Amiri" w:cs="Amiri" w:ascii="Amiri" w:hAnsi="Amiri"/>
          <w:color w:val="111111"/>
          <w:sz w:val="28"/>
          <w:szCs w:val="28"/>
          <w:rtl w:val="true"/>
          <w:lang w:bidi="ar-SA"/>
        </w:rPr>
        <w:t>»</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الرواية نقلت من طرق متعدّدة وفي بعض الطرق تصير الرواية صحيحة وفي بعض الطرق تصير موثّقة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ذهب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239"/>
      </w:r>
      <w:r>
        <w:rPr>
          <w:rFonts w:ascii="Amiri" w:hAnsi="Amiri" w:eastAsia="Amiri" w:cs="Amiri"/>
          <w:color w:val="111111"/>
          <w:sz w:val="28"/>
          <w:sz w:val="28"/>
          <w:szCs w:val="28"/>
          <w:rtl w:val="true"/>
          <w:lang w:bidi="ar-SA"/>
        </w:rPr>
        <w:t>إلى القول بالتعدّد في رواية عبدالرحمن، كما قال السيّد</w:t>
      </w:r>
      <w:r>
        <w:rPr>
          <w:rStyle w:val="FootnoteAnchor"/>
          <w:rtl w:val="true"/>
        </w:rPr>
        <w:footnoteReference w:id="1240"/>
      </w:r>
      <w:r>
        <w:rPr>
          <w:rFonts w:ascii="Amiri" w:hAnsi="Amiri" w:eastAsia="Amiri" w:cs="Amiri"/>
          <w:color w:val="111111"/>
          <w:sz w:val="28"/>
          <w:sz w:val="28"/>
          <w:szCs w:val="28"/>
          <w:rtl w:val="true"/>
          <w:lang w:bidi="ar-SA"/>
        </w:rPr>
        <w:t>أيضاً له ثلاث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عدم تعدّد الرواية ولو كانت العبارات مختلفة</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 السيّد أنّ المراد منه مطلق مختصّات الرجال ولكن ربما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رواية الصدوق</w:t>
      </w:r>
      <w:r>
        <w:rPr>
          <w:rStyle w:val="FootnoteAnchor"/>
          <w:rtl w:val="true"/>
        </w:rPr>
        <w:footnoteReference w:id="1241"/>
      </w:r>
      <w:r>
        <w:rPr>
          <w:rFonts w:ascii="Amiri" w:hAnsi="Amiri" w:eastAsia="Amiri" w:cs="Amiri"/>
          <w:color w:val="111111"/>
          <w:sz w:val="28"/>
          <w:sz w:val="28"/>
          <w:szCs w:val="28"/>
          <w:rtl w:val="true"/>
          <w:lang w:bidi="ar-SA"/>
        </w:rPr>
        <w:t>أنّ المرأة تنقل من بيتها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تنقل إلى بيت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وحملها الصدوق على متاع النساء، إذا لا تنطبق هذه الرواية دليلًا على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تكن لهما بيّنة فلكلّ واحد النصف مطلقاً، سواء كانت الزوجية باقية أم لا، وسواء في المتاع المختصّة أم مشتركة، وسواء فيما عليه اليد أم لا، وذلك للعمومات الدالّة على أن البيّنة للمدّعي واليمين لمن أنكر</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لهذا القول بعد وجود روايات خاصّة في المسألة وفي التعارض نتوجّه إلى العلاج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للمدّعي بيّنة يحكم بعد اليمين وإلا كان الحكم كما في غيره من الدعاوي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اختاره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243"/>
      </w:r>
      <w:r>
        <w:rPr>
          <w:rFonts w:ascii="Amiri" w:hAnsi="Amiri" w:eastAsia="Amiri" w:cs="Amiri"/>
          <w:color w:val="111111"/>
          <w:sz w:val="28"/>
          <w:sz w:val="28"/>
          <w:szCs w:val="28"/>
          <w:rtl w:val="true"/>
          <w:lang w:bidi="ar-SA"/>
        </w:rPr>
        <w:t>ونسبه إلى العلامة</w:t>
      </w:r>
      <w:r>
        <w:rPr>
          <w:rStyle w:val="FootnoteAnchor"/>
          <w:rtl w:val="true"/>
        </w:rPr>
        <w:footnoteReference w:id="1244"/>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هناك قضاء عرفي يرجع إليه وحكم به بعد اليمين وإلا كان الحكم كما في سائر الدعاوي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للقول الثالث والرابع مدرك روائي</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الجمع بين الروايات الدالّة على القول الثاني والقول الأوّل وحملها على القول الأوّل</w:t>
      </w:r>
      <w:r>
        <w:rPr>
          <w:rFonts w:eastAsia="Amiri" w:cs="Amiri" w:ascii="Amiri" w:hAnsi="Amiri"/>
          <w:color w:val="111111"/>
          <w:sz w:val="28"/>
          <w:szCs w:val="28"/>
          <w:rtl w:val="true"/>
          <w:lang w:bidi="ar-SA"/>
        </w:rPr>
        <w:t>.</w:t>
      </w:r>
      <w:bookmarkStart w:id="654" w:name="pg1791_16306"/>
    </w:p>
    <w:p>
      <w:pPr>
        <w:pStyle w:val="BookText"/>
        <w:rPr/>
      </w:pPr>
      <w:bookmarkEnd w:id="654"/>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التعليل الذي جاء في الرواية، بأنّ النساء تأتون الأساس من أهلهنّ إلى بيت الزوج ليس مرسوماً عادياً في كلّ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المستدلّة بها على القول الثاني ليست معمول بها عند المشهور، فالترجيح عندنا للروايات الدالّة على القول الأوّل الذي اختاره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المشهور أيضاً</w:t>
      </w:r>
      <w:r>
        <w:rPr>
          <w:rFonts w:eastAsia="Amiri" w:cs="Amiri" w:ascii="Amiri" w:hAnsi="Amiri"/>
          <w:color w:val="111111"/>
          <w:sz w:val="28"/>
          <w:szCs w:val="28"/>
          <w:rtl w:val="true"/>
          <w:lang w:bidi="ar-SA"/>
        </w:rPr>
        <w:t>.</w:t>
      </w:r>
    </w:p>
    <w:p>
      <w:pPr>
        <w:pStyle w:val="Heading5"/>
        <w:numPr>
          <w:ilvl w:val="4"/>
          <w:numId w:val="1"/>
        </w:numPr>
        <w:rPr/>
      </w:pPr>
      <w:bookmarkStart w:id="655" w:name="__RefHeading___Toc2354887_3650668749"/>
      <w:bookmarkStart w:id="656" w:name="_Toc240"/>
      <w:bookmarkEnd w:id="655"/>
      <w:r>
        <w:rPr>
          <w:rtl w:val="true"/>
        </w:rPr>
        <w:t>الجهة الثانية</w:t>
      </w:r>
      <w:bookmarkEnd w:id="656"/>
    </w:p>
    <w:p>
      <w:pPr>
        <w:pStyle w:val="BookText"/>
        <w:rPr/>
      </w:pPr>
      <w:r>
        <w:rPr>
          <w:rFonts w:ascii="Amiri" w:hAnsi="Amiri" w:eastAsia="Amiri" w:cs="Amiri"/>
          <w:color w:val="111111"/>
          <w:sz w:val="28"/>
          <w:sz w:val="28"/>
          <w:szCs w:val="28"/>
          <w:rtl w:val="true"/>
          <w:lang w:bidi="ar-SA"/>
        </w:rPr>
        <w:t>سراية حكم الزوج والزوجة إلى غيرهما من الشريكين في متاع أو دار أو غيره، 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إلحاق الشريكين من الطلاب والنجّار والأب والأخ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لاختصاص الروايات بالزوجين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الإلحاق، لعدم الخصوصية بين زوجين، بل الميزان الاختصاص الكاشف عن اليد، فيجري في الأب والبنت أو الابن والأخ والامّ وغيرها من القرابات من العطّار والنجّار وغيرهم</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كما قال به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الإلحاق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 المتفاهم العرفي من الروايات ذلك، ولذا 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هنا يمكن أنّ يدّعي جواز التعدّي عن مورد الأخبار إلى مثل الأخ والاخت والامّ والابن، إذا كانا في بيت واحد وتنازعا في الأمتعة التي فيه، بل جواز، التعدّي إلى مثل النجّار والعطّار إذا كانا في بيت واحد وتنازعا فيما فيه</w:t>
      </w:r>
      <w:r>
        <w:rPr>
          <w:rFonts w:eastAsia="Amiri" w:cs="Amiri" w:ascii="Amiri" w:hAnsi="Amiri"/>
          <w:color w:val="111111"/>
          <w:sz w:val="28"/>
          <w:szCs w:val="28"/>
          <w:rtl w:val="true"/>
          <w:lang w:bidi="ar-SA"/>
        </w:rPr>
        <w:t>»</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bookmarkStart w:id="657" w:name="pg1791_16308"/>
    </w:p>
    <w:p>
      <w:pPr>
        <w:pStyle w:val="BookText"/>
        <w:rPr/>
      </w:pPr>
      <w:bookmarkEnd w:id="657"/>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تعارضت اليد الحالية مع اليد السابقة أو الملكية السابقة تقدّم اليد الحالية، فلو كان شي‌ء في يد زيد فعلًا، وكان هذا الشي‌ء تحت يد عمرو سابقاً أو كان ملكاً له، يحكم بأنّه لزيد، وعلى عمرو إقامة البيّنة، ومع عدمها فله الحلف على زيد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658" w:name="__RefHeading___Toc2354889_3650668749"/>
      <w:bookmarkStart w:id="659" w:name="_Toc241"/>
      <w:bookmarkEnd w:id="658"/>
      <w:r>
        <w:rPr>
          <w:rtl w:val="true"/>
        </w:rPr>
        <w:t>تعارض اليد الحالية واليد السابقه أو الملكية السابقه‌</w:t>
      </w:r>
      <w:bookmarkEnd w:id="6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فروض لا بدّ أن نبحث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الفرض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تنازع زيد وعمرو في ملكية دار تحت يد زيد ويسكنها فعلًا، وكانت تحت يد عمرو في الشهر الماضي، أو يعلم القاضي أنّها كانت ملكاً له في الشهر الماضي أو أقام البيّنة على ذلك، فهل يقدم اليد الحالية لكونها أمارة على الملكية فعلًا، أو يقدّم اليد السابقة أو الملكية السابقة المعلومة أو التي قامت عليها البيّنة،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يد الحالية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الأكثرون على الأوّل كما عليه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والأقوى هو الأوّل؛ لأنّ اليد الحالية أمارة وكاشفة عن الملكية الفعلية لزيد، فهو مالك فعلًا واليد السابقة لعمرو، كانت كاشفة عن ملكيته في الشهرالماضي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العلم تعلّق بملكية السابقة وكذا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واستمرار حكم اليد والملكية إلى الآن يحتاج إلى الاستصحاب وهو أصل لا يعارض الأمارة، ففي‌الحقيقة ليست التعارض بين اليد الحالية واليد السابقة، بل التعارض</w:t>
      </w:r>
    </w:p>
    <w:p>
      <w:pPr>
        <w:pStyle w:val="BookText"/>
        <w:rPr/>
      </w:pPr>
      <w:r>
        <w:rPr>
          <w:rFonts w:ascii="Amiri" w:hAnsi="Amiri" w:eastAsia="Amiri" w:cs="Amiri"/>
          <w:color w:val="111111"/>
          <w:sz w:val="28"/>
          <w:sz w:val="28"/>
          <w:szCs w:val="28"/>
          <w:rtl w:val="true"/>
          <w:lang w:bidi="ar-SA"/>
        </w:rPr>
        <w:t>بين‌الاستصحاب واليد الحالية واليد مقدّم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ودعوى أنّ اعتبارها مشروطة بعدم كون الاستصحاب على خلافها ممنوعة؛ بعموم أدلّتها مع أنّها في غالب الموارد مخالفة للأصل، وأمّا 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إذا ثبتت الملكية السابقة للسابق فلا بدّ لذي اليد الحالية من إثبات الانتقال إليه والأصل عدم مدفوع؛ بأنّ حال هذا الأصل أيضاً حال الاستصحاب في عدم صلاحيته للمعارضة مع اليد، ودعوى أنّه يعد حينئذٍ مدّعياً وصاحب اليد السابقة منكراً كما ترى</w:t>
      </w:r>
      <w:r>
        <w:rPr>
          <w:rFonts w:eastAsia="Amiri" w:cs="Amiri" w:ascii="Amiri" w:hAnsi="Amiri"/>
          <w:color w:val="111111"/>
          <w:sz w:val="28"/>
          <w:szCs w:val="28"/>
          <w:rtl w:val="true"/>
          <w:lang w:bidi="ar-SA"/>
        </w:rPr>
        <w:t>»</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ومراده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صيرورته مدّعياً يحتاج إلى دعوى انتقال اليد صريحاً وهو منتفية، ويرد على الشهادة مضافاً إلى ما تقدّم بعدم تطابق الشهادة، والدعوى لأنّ الدعوى هي الملكية الآن والشهادة على الملكية في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فبالنتيجة يعلم أنّ دعوى عمرو الملكية فعلًا بلا دليل، فلو أقام المدّعي البيّنة على الملكية الفعلية، فهو وإلا فالقول قول ذي اليد الحالية، مع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يد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اليد الحالية تدلّ على الملكية فعلًا فقط، ولكن اليد السابقة أو الملكية السابقة المعلومة أو التي قامت عليها البيّنة تدلّ على الملكية الحالية والسابقة، فيكون أولى وأرجح لمشاركتها لها في الدلالة على الملك الآن وانفرادها على الدلالة على الملكية السابقة</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أنّ دلالتها على الملك الحالي لا تكون إلا بضميمة الاستصحاب كما</w:t>
      </w:r>
    </w:p>
    <w:p>
      <w:pPr>
        <w:pStyle w:val="BookText"/>
        <w:rPr/>
      </w:pPr>
      <w:r>
        <w:rPr>
          <w:rFonts w:ascii="Amiri" w:hAnsi="Amiri" w:eastAsia="Amiri" w:cs="Amiri"/>
          <w:color w:val="111111"/>
          <w:sz w:val="28"/>
          <w:sz w:val="28"/>
          <w:szCs w:val="28"/>
          <w:rtl w:val="true"/>
          <w:lang w:bidi="ar-SA"/>
        </w:rPr>
        <w:t xml:space="preserve">نعم لو أقرّ زيد بأنّ ما في يده كان لعمرو وانتقل إليه بناقل، انقلبت الدعوى وصار زيد مدّعياً، والقول قول عمرو بيمينه،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أقرّ بأنّه كان لعمرو أو في يده وسكت عن الانتقال إليه، فإنّ لازم ذلك دعوى الانتقال، وفي مثله يشكل جعله منكراً لأجل يده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وإذا سقط الاستصحاب في قبال اليد فلا يبقى وجه للترجيح، بل تقع الدعوى للملكية الحالية بلا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هو القول الأوّل لما تقدّم كما عليه الأكثر من تقديم اليد الحالية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وكما في الفرض السابق لو أقرّ زيد بأنّ الدار كانت في يد عمرو في الشهر الماضي، لكنّها انتقلت إليه بناقل شرعي يسقط يده عن الاعتبار، فإنّ اليد يصير مستنداً إلى انتقال الدار إليه وهو مشكوك فانقلبت الدعوى ويصير زيد مدّعياً للانتقال وعمرو منكراً فلا بدّ له من الإثبات وإلا فيقدّم قول عمرو مع الحلف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الفرض الثالث</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إقراره بأنّ الدار كانت في يد عمرو في الماضي، وادّعائه أنّها كانت له فعلًا يستلزم انتقال الدار إليه وهو مشكوك فاعتبار يده حينئذٍ مورد الشبهة، فكونه منكراً باستناد كونه ذا اليد أيضاً مشكل فلا بدّ له من إثبات الانتقال</w:t>
      </w:r>
    </w:p>
    <w:p>
      <w:pPr>
        <w:pStyle w:val="BookText"/>
        <w:rPr/>
      </w:pPr>
      <w:r>
        <w:rPr>
          <w:rFonts w:ascii="Amiri" w:hAnsi="Amiri" w:eastAsia="Amiri" w:cs="Amiri"/>
          <w:color w:val="111111"/>
          <w:sz w:val="28"/>
          <w:sz w:val="28"/>
          <w:szCs w:val="28"/>
          <w:rtl w:val="true"/>
          <w:lang w:bidi="ar-SA"/>
        </w:rPr>
        <w:t>وأمّا لو قامت البيّنة على أنّه كان لعمرو سابقاً، أو علم الحاكم بذلك، فاليد محكّمة، ويكون ذو اليد منكراً والقول قوله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قال في المتن وفي مثله يشكل جعله منكراً لأجل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السيّد اختار في هذا الفرض أيضاً تقدّم اليد الحالية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إذا قال هذا كان سابقاً له والآن هو لي ولم يذكر أنّي اشتريته، أو انتقل إليّ بأن كان مصبّ الدعوى له أو ليس له؛ فلا يكون مدّعياً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يكون مدّعياً للملكية وحجّته على ذلك يده الفعلية</w:t>
      </w:r>
      <w:r>
        <w:rPr>
          <w:rFonts w:eastAsia="Amiri" w:cs="Amiri" w:ascii="Amiri" w:hAnsi="Amiri"/>
          <w:color w:val="111111"/>
          <w:sz w:val="28"/>
          <w:szCs w:val="28"/>
          <w:rtl w:val="true"/>
          <w:lang w:bidi="ar-SA"/>
        </w:rPr>
        <w:t>»</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الأظهر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ذا اليد الحالية لم يصرح بالانتقال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لازم‌إقراره بكونه ملكاً للسابق لا ينافي ذلك بعد عدم كونه مصبّاً للنفي والإثبات، ولا تنافي بين إقراره وادّعائه الملكية فعلًا، فيكون يده معتبراً وكاشفاً فيكون منكراً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الفرض الرابع</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رابع الفروض وهو نفس الفرض الأوّل، فإنّه قال في 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اليد الحالية مع اليد السابقة أو الملكية السابقة، وقلنا أنّ الملكية السابقة قد يحرز بالعلم أو بالبيّنة، فالحكم فيه مثل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قامت البيّنة بأنّ يد زيد على هذا الشي‌ء؛ كان غصباً من عمرو أو عارية أو أمانة ونحوها، فالظاهر سقوط يده، والقول قول ذي البيّنة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الفرض الخامس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فرض خامس في كلام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المسألة، وهي أنّه لو أقام المدّعي البيّنة على أنّ الدار كانت له في الشهر الماضي أو في يده وأنّ ذا اليد أخذها منه غصباً أو عارية أو أمانة أو إجارة ونحوها؛ فيسقط اعتبار يد ذي اليد الحالية ويقدّم قول ذي البيّنة؛ لأنّ استصحاب كون يده على المال غصباً أو عارية أو أمانة يقدّم 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 اليد حينئذٍ كاشفة وأمارة على الملكية، لأنّ هذا الاستصحاب موضوعي ويبيّن حال اليد وكيفيتها من كونها غصباً أو أمانة فتسقط عن الاعتبار فتقدّم البيّنة على الملكية أو اليد السابقتين بضميمة استصحابها إلى حال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يتوهّم في كلام بعض شراح المتن أنّ المراد قيام البيّنة على غصبية يد زيد على الدار والمورد من باب تعارض الأمارتين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واليد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والبيّنة مقدّمة على اليد</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عليه أنّ هذا خلاف الفرض كما هو ظاهر كلام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فرض أنّ البيّنة قامت على أنّ يد زيد على الدار كان غصباً من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كانت ملكاً لعمرو وغصبه زيد بعد أن كان الدعوى أنّها كانت له في الشهر الماضي</w:t>
      </w:r>
      <w:r>
        <w:rPr>
          <w:rFonts w:eastAsia="Amiri" w:cs="Amiri" w:ascii="Amiri" w:hAnsi="Amiri"/>
          <w:color w:val="111111"/>
          <w:sz w:val="28"/>
          <w:szCs w:val="28"/>
          <w:rtl w:val="true"/>
          <w:lang w:bidi="ar-SA"/>
        </w:rPr>
        <w:t>.</w:t>
      </w:r>
      <w:bookmarkStart w:id="660" w:name="pg1791_16318"/>
    </w:p>
    <w:p>
      <w:pPr>
        <w:pStyle w:val="BookText"/>
        <w:rPr/>
      </w:pPr>
      <w:bookmarkEnd w:id="660"/>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تعارضت البيّنات في شي‌ء، فإن كان في يد أحد الطرفين، فمقتضى القاعدة تقديم بيّنة الخارج ورفض بيّنة الداخل؛ وإن كانت أكثر أو أعدل وأرجح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يدهما فيحكم بالتنصيف بمقتضى بيّنة الخارج وعدم اعتبار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يد ثالث أو لا يد لأحد عليه، فالظاهر سقوط البيّنتين والرجوع إلى الحلف أو إلى التنصيف أو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المسألة بشقوقها في غاية الإشكال من حيث الأخبار والأقوال، وترجيح أحد الأقوال مشكل وإن لا يبعد في الصورة الاولى ما ذكرناه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661" w:name="__RefHeading___Toc2354891_3650668749"/>
      <w:bookmarkStart w:id="662" w:name="_Toc242"/>
      <w:bookmarkEnd w:id="661"/>
      <w:r>
        <w:rPr>
          <w:rtl w:val="true"/>
        </w:rPr>
        <w:t>تعارض البيّنات‌</w:t>
      </w:r>
      <w:bookmarkEnd w:id="662"/>
    </w:p>
    <w:p>
      <w:pPr>
        <w:pStyle w:val="Heading5"/>
        <w:numPr>
          <w:ilvl w:val="4"/>
          <w:numId w:val="1"/>
        </w:numPr>
        <w:rPr/>
      </w:pPr>
      <w:bookmarkStart w:id="663" w:name="__RefHeading___Toc2354893_3650668749"/>
      <w:bookmarkStart w:id="664" w:name="_Toc243"/>
      <w:bookmarkEnd w:id="663"/>
      <w:r>
        <w:rPr>
          <w:rtl w:val="true"/>
        </w:rPr>
        <w:t>اشارة</w:t>
      </w:r>
      <w:bookmarkEnd w:id="6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تعارض البيّنات من المسائل المهمّة وكانت مورداً للاختلاف بين الأعاظم من القدماء والمتأخّرين وكثرت فيها الروايات المختلفة</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وللعلماء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مختلفة وآراء متشتّة، جملة منها غيرمنطبقة على أخبار المقام، ولا على القواعد العامّة، بل قد يختلف فتوى‌واحد منهم فيفتي في مقام، ويفتي بخلاف في مقام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يدّعي‌الإجماع في مورد ويدّعي على خلافه الإجماع في مقام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يحكم‌بضعف خبر، ويعمل به في مورد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الغرض الازراء</w:t>
      </w:r>
      <w:r>
        <w:rPr>
          <w:rStyle w:val="FootnoteAnchor"/>
          <w:rtl w:val="true"/>
        </w:rPr>
        <w:footnoteReference w:id="1249"/>
      </w:r>
      <w:r>
        <w:rPr>
          <w:rFonts w:ascii="Amiri" w:hAnsi="Amiri" w:eastAsia="Amiri" w:cs="Amiri"/>
          <w:color w:val="111111"/>
          <w:sz w:val="28"/>
          <w:sz w:val="28"/>
          <w:szCs w:val="28"/>
          <w:rtl w:val="true"/>
          <w:lang w:bidi="ar-SA"/>
        </w:rPr>
        <w:t>عليهم، بل بيان الحال مقدّمة لتوضيح الحقّ من الأقوال، فإنّ المسألة في</w:t>
      </w:r>
      <w:bookmarkStart w:id="665" w:name="pg1791_16321"/>
    </w:p>
    <w:p>
      <w:pPr>
        <w:pStyle w:val="BookText"/>
        <w:rPr/>
      </w:pPr>
      <w:bookmarkEnd w:id="665"/>
      <w:r>
        <w:rPr>
          <w:rFonts w:ascii="Amiri" w:hAnsi="Amiri" w:eastAsia="Amiri" w:cs="Amiri"/>
          <w:color w:val="111111"/>
          <w:sz w:val="28"/>
          <w:sz w:val="28"/>
          <w:szCs w:val="28"/>
          <w:rtl w:val="true"/>
          <w:lang w:bidi="ar-SA"/>
        </w:rPr>
        <w:t>غاية الإشكال وليست محرّرة</w:t>
      </w:r>
      <w:r>
        <w:rPr>
          <w:rFonts w:eastAsia="Amiri" w:cs="Amiri" w:ascii="Amiri" w:hAnsi="Amiri"/>
          <w:color w:val="111111"/>
          <w:sz w:val="28"/>
          <w:szCs w:val="28"/>
          <w:rtl w:val="true"/>
          <w:lang w:bidi="ar-SA"/>
        </w:rPr>
        <w:t>»</w:t>
      </w:r>
      <w:r>
        <w:rPr>
          <w:rStyle w:val="FootnoteAnchor"/>
          <w:rtl w:val="true"/>
        </w:rPr>
        <w:footnoteReference w:id="1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المسألة ولكن المسألة بشقوقها في غاية الإشكال من حيث الأخبار والأقوال، وترجيح أحد الأقوال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 ذلك للاهتمام بها والتوجّه بالدقّة والتأمّل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الورود في المسألة نذكر معنى التعارض في البيّنات ومتى تتحقّق التعارض بينها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Style w:val="FootnoteAnchor"/>
          <w:rtl w:val="true"/>
        </w:rPr>
        <w:footnoteReference w:id="1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التعارض في الشهادة مع تحقّق التضادّ؛ يعني كان على وجه يقتضي تصديق كلّ منهما تكذيب الاخرى، مثل أن يشهد شاهدان بعين أنّها لزيد ويشهد آخران أنّها لعمرو، أو يشهد شاهدان أنّه باع عيناً مخصوصة لزيد اليوم، ويشهد شاهدان آخران أنّه باع هذه العين بخصوصها لعمرو في هذا اليوم</w:t>
      </w:r>
      <w:r>
        <w:rPr>
          <w:rFonts w:eastAsia="Amiri" w:cs="Amiri" w:ascii="Amiri" w:hAnsi="Amiri"/>
          <w:color w:val="111111"/>
          <w:sz w:val="28"/>
          <w:szCs w:val="28"/>
          <w:rtl w:val="true"/>
          <w:lang w:bidi="ar-SA"/>
        </w:rPr>
        <w:t>.</w:t>
      </w:r>
    </w:p>
    <w:p>
      <w:pPr>
        <w:pStyle w:val="Heading5"/>
        <w:numPr>
          <w:ilvl w:val="4"/>
          <w:numId w:val="1"/>
        </w:numPr>
        <w:rPr/>
      </w:pPr>
      <w:bookmarkStart w:id="666" w:name="__RefHeading___Toc2354895_3650668749"/>
      <w:bookmarkStart w:id="667" w:name="_Toc244"/>
      <w:bookmarkEnd w:id="666"/>
      <w:r>
        <w:rPr>
          <w:rtl w:val="true"/>
        </w:rPr>
        <w:t>الصور الموجودة في تعارض البينات‌</w:t>
      </w:r>
      <w:bookmarkEnd w:id="667"/>
    </w:p>
    <w:p>
      <w:pPr>
        <w:pStyle w:val="BookText"/>
        <w:rPr/>
      </w:pPr>
      <w:r>
        <w:rPr>
          <w:rFonts w:ascii="Amiri" w:hAnsi="Amiri" w:eastAsia="Amiri" w:cs="Amiri"/>
          <w:color w:val="111111"/>
          <w:sz w:val="28"/>
          <w:sz w:val="28"/>
          <w:szCs w:val="28"/>
          <w:rtl w:val="true"/>
          <w:lang w:bidi="ar-SA"/>
        </w:rPr>
        <w:t>ثمّ إنّه لو تنازع رجلان في عين وأقاما البيّنة فقد تكون العين في يد أحدهما، أو تكون في يديهما، أو تكون في يد ثالث، أو لا يد عليها لأحدهما كما تقدّم في المسألة الرابعة، ولكن كان الفرض فيها عدم البيّنة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يفرض لكلّ واحد منهما البيّنة بحيث يتعارضان في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تعارض البينتان وكانت العين في يد أحدهما</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أن تكون العين في يد أحدهما وأقاما البيّنة على مال، فللأصحاب فيها</w:t>
      </w:r>
    </w:p>
    <w:p>
      <w:pPr>
        <w:pStyle w:val="BookText"/>
        <w:rPr/>
      </w:pPr>
      <w:r>
        <w:rPr>
          <w:rFonts w:ascii="Amiri" w:hAnsi="Amiri" w:eastAsia="Amiri" w:cs="Amiri"/>
          <w:color w:val="111111"/>
          <w:sz w:val="28"/>
          <w:sz w:val="28"/>
          <w:szCs w:val="28"/>
          <w:rtl w:val="true"/>
          <w:lang w:bidi="ar-SA"/>
        </w:rPr>
        <w:t xml:space="preserve">أقوال وقد أنهاها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252"/>
      </w:r>
      <w:r>
        <w:rPr>
          <w:rFonts w:ascii="Amiri" w:hAnsi="Amiri" w:eastAsia="Amiri" w:cs="Amiri"/>
          <w:color w:val="111111"/>
          <w:sz w:val="28"/>
          <w:sz w:val="28"/>
          <w:szCs w:val="28"/>
          <w:rtl w:val="true"/>
          <w:lang w:bidi="ar-SA"/>
        </w:rPr>
        <w:t>إلى تسعة أقوال وقال في ذيلها وربما توجد أقوال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بيّنة الخارج مطلقاً سواء شهدتا بالملك المطلق أو المقيّد بالسبب أو بالتفريق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253"/>
      </w:r>
      <w:r>
        <w:rPr>
          <w:rFonts w:ascii="Amiri" w:hAnsi="Amiri" w:eastAsia="Amiri" w:cs="Amiri"/>
          <w:color w:val="111111"/>
          <w:sz w:val="28"/>
          <w:sz w:val="28"/>
          <w:szCs w:val="28"/>
          <w:rtl w:val="true"/>
          <w:lang w:bidi="ar-SA"/>
        </w:rPr>
        <w:t xml:space="preserve">وهو المشهور بين الأصحاب شهرة عظيمة،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25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25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1256"/>
      </w:r>
      <w:r>
        <w:rPr>
          <w:rFonts w:ascii="Amiri" w:hAnsi="Amiri" w:eastAsia="Amiri" w:cs="Amiri"/>
          <w:color w:val="111111"/>
          <w:sz w:val="28"/>
          <w:sz w:val="28"/>
          <w:szCs w:val="28"/>
          <w:rtl w:val="true"/>
          <w:lang w:bidi="ar-SA"/>
        </w:rPr>
        <w:t>الإجماع عليه، بل عن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أخبار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الصورة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فمقتضى القاعدة تقديم بيّنة الخارج ورفض بيّنة الداخل؛ وإن كانت أكثر أو أعدل وأرجح</w:t>
      </w:r>
      <w:r>
        <w:rPr>
          <w:rFonts w:eastAsia="Amiri" w:cs="Amiri" w:ascii="Amiri" w:hAnsi="Amiri"/>
          <w:color w:val="111111"/>
          <w:sz w:val="28"/>
          <w:szCs w:val="28"/>
          <w:rtl w:val="true"/>
          <w:lang w:bidi="ar-SA"/>
        </w:rPr>
        <w:t>»</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وظيفة ذي اليد اليمين دون البيّنة فوجودها في حقّه كعدمها بلا شبهة</w:t>
      </w:r>
      <w:r>
        <w:rPr>
          <w:rFonts w:eastAsia="Amiri" w:cs="Amiri" w:ascii="Amiri" w:hAnsi="Amiri"/>
          <w:color w:val="111111"/>
          <w:sz w:val="28"/>
          <w:szCs w:val="28"/>
          <w:rtl w:val="true"/>
          <w:lang w:bidi="ar-SA"/>
        </w:rPr>
        <w:t>»</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ولذا لو أقامها بدلًا عن يمينه لم تقبل منه إجماعاًإن لم يقمها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المستفيضة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من ادّعى واليمين على من ادّعي عليه</w:t>
      </w:r>
      <w:r>
        <w:rPr>
          <w:rFonts w:eastAsia="Amiri" w:cs="Amiri" w:ascii="Amiri" w:hAnsi="Amiri"/>
          <w:color w:val="111111"/>
          <w:sz w:val="28"/>
          <w:szCs w:val="28"/>
          <w:rtl w:val="true"/>
          <w:lang w:bidi="ar-SA"/>
        </w:rPr>
        <w:t>»</w:t>
      </w:r>
      <w:r>
        <w:rPr>
          <w:rStyle w:val="FootnoteAnchor"/>
          <w:rtl w:val="true"/>
        </w:rPr>
        <w:footnoteReference w:id="1259"/>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أنكر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 الاستدلال أنّه جعل لكلّ واحد منهما حجّة، فكما لا يمين على المدّعي لا بيّنة على المدّعى عليه، والتفصيل قاطع للشركة ففي المحكمة يلاحظأوّلًا بيّنة المدّعي لإثبات حقّه، وتقدّم على المدّعى عليه سواء كانت له البيّنة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محمّد بن فحص عن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في يده شاة فجاء رجل فادّعاها، فأقام البيّنة العدول أنّها ولدت عنده، ولم يهب، ولم يبع، وجاء الذي في يده بالبيّنة مثلهم عدول أنّها ولدت عنده، لم يبع ولم يهب،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حقّها للمدّعي ولا أقبل من الذي في يده بيّنة،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 أن تطلب البيّنة من المدّعي، فإن كانت له بيّنة، وإلا فيمين الذي هو في يده، هكذا أمر الله عزّ وجلّ</w:t>
      </w:r>
      <w:r>
        <w:rPr>
          <w:rFonts w:eastAsia="Amiri" w:cs="Amiri" w:ascii="Amiri" w:hAnsi="Amiri"/>
          <w:color w:val="111111"/>
          <w:sz w:val="28"/>
          <w:szCs w:val="28"/>
          <w:rtl w:val="true"/>
          <w:lang w:bidi="ar-SA"/>
        </w:rPr>
        <w:t>»</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وإن كانت ضعيفة بمنصور، لكونه مشتركاً بين الثقة وغير الثقة، ولكنّها منجبرة بما تقدّم من الشهرة العظيمة، وكونها على مقتضى القاعدة و دلالتها على المطلوب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ادّعى رجل على رجل عقاراً أو حيواناً أو غيره وأقام بذلك بيّنة وأقام الذي في يده شاهدين فإنّ الحكم فيه أن يخرج الشي‌ء من يد مالكه إلى المدّعي لأنّ البيّنة عليه</w:t>
      </w:r>
      <w:r>
        <w:rPr>
          <w:rFonts w:eastAsia="Amiri" w:cs="Amiri" w:ascii="Amiri" w:hAnsi="Amiri"/>
          <w:color w:val="111111"/>
          <w:sz w:val="28"/>
          <w:szCs w:val="28"/>
          <w:rtl w:val="true"/>
          <w:lang w:bidi="ar-SA"/>
        </w:rPr>
        <w:t>»</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Style w:val="FootnoteAnchor"/>
          <w:rtl w:val="true"/>
        </w:rPr>
        <w:footnoteReference w:id="1262"/>
      </w:r>
      <w:r>
        <w:rPr>
          <w:rFonts w:ascii="Amiri" w:hAnsi="Amiri" w:eastAsia="Amiri" w:cs="Amiri"/>
          <w:color w:val="111111"/>
          <w:sz w:val="28"/>
          <w:sz w:val="28"/>
          <w:szCs w:val="28"/>
          <w:rtl w:val="true"/>
          <w:lang w:bidi="ar-SA"/>
        </w:rPr>
        <w:t>عن هذه الأدلّة واستشكل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 النبوي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قوله البيّنة للمدّعي إلى آخره بيان الوظيفة الأوّلية للمدّعي والمنكر وإلا فلا مانع من سماع البيّنة للمنكر أيضاً؛ كما أنّ للمدّعي أيضاً اليمين المردودة، واليمين الذي هي جزء البيّنة، واليمين الاستظهاري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المعلوم من الخبر أنّه لا يلزم المنكر بالبيّنة وإنّما يلزم باليمين لا أنّه لا تقبل منه 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عن خبر المنصور بضعف السند وموافقته لما يحكي عن أحمد الحنبل من العامّة وعدم مقاومته للأخبار الدالّة على حجّية بيّنة المنكر وتقديمها على بيّنة المدّعي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عن الرضوي بعدم معلومية كونه خبراً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الإجماع الذي ادّعاه السيّد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263"/>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من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فرض ثبوته يحتمل اختصاصه بصورة عدم التعارض،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النبوي هو بيان الحكم الوضعي التوقيفي المجعول من الله عزّ وجلّ للمدّعي والمنكر، بحيث يكون المطلوب من المدّعي والثابت عليه شرعاً البيّنة، والمطلوب من المدّعى عليه والثابت عليه شرعاً هو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أنّ التفصيل قاطع للشركة فلا يصحّ للمدّعي غير البيّنة كما لا يصحّ للمدّعى عليه غير اليمين فلا يكون النبيّ في مقام بيان الحكم التكليفي من الوجوب والجواز، أو بيان وظيفة الأوّلية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دلّ الدليل على إتيان المدّعي باليمين كما في اليمين المردودة، أو اليمين الاستظهاري، أو اليمين مع</w:t>
      </w:r>
    </w:p>
    <w:p>
      <w:pPr>
        <w:pStyle w:val="BookText"/>
        <w:rPr/>
      </w:pPr>
      <w:r>
        <w:rPr>
          <w:rFonts w:ascii="Amiri" w:hAnsi="Amiri" w:eastAsia="Amiri" w:cs="Amiri"/>
          <w:color w:val="111111"/>
          <w:sz w:val="28"/>
          <w:sz w:val="28"/>
          <w:szCs w:val="28"/>
          <w:rtl w:val="true"/>
          <w:lang w:bidi="ar-SA"/>
        </w:rPr>
        <w:t>الشاهد الواحد، فهو استثناء ومورد للقبول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نتبع لو دلّ الدليل على إقامة المنكر البيّنة في بعض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جوابه عن الخبر المنصور بأنّا نقبل ضعفه بمنصور، فإنّه مشترك بين الثقة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بمحمّد بن حفص، فإنّه قال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مباني التكملة</w:t>
      </w:r>
      <w:r>
        <w:rPr>
          <w:rFonts w:eastAsia="Amiri" w:cs="Amiri" w:ascii="Amiri" w:hAnsi="Amiri"/>
          <w:color w:val="111111"/>
          <w:sz w:val="28"/>
          <w:szCs w:val="28"/>
          <w:rtl w:val="true"/>
          <w:lang w:bidi="ar-SA"/>
        </w:rPr>
        <w:t>»</w:t>
      </w:r>
      <w:r>
        <w:rPr>
          <w:rStyle w:val="FootnoteAnchor"/>
          <w:rtl w:val="true"/>
        </w:rPr>
        <w:footnoteReference w:id="1264"/>
      </w:r>
      <w:r>
        <w:rPr>
          <w:rFonts w:ascii="Amiri" w:hAnsi="Amiri" w:eastAsia="Amiri" w:cs="Amiri"/>
          <w:color w:val="111111"/>
          <w:sz w:val="28"/>
          <w:sz w:val="28"/>
          <w:szCs w:val="28"/>
          <w:rtl w:val="true"/>
          <w:lang w:bidi="ar-SA"/>
        </w:rPr>
        <w:t xml:space="preserve">ليس هو محمّد بن فحص العمري وكيل الناحية كما توهّمه محقّق الأردبيلي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الفائدة</w:t>
      </w:r>
      <w:r>
        <w:rPr>
          <w:rFonts w:eastAsia="Amiri" w:cs="Amiri" w:ascii="Amiri" w:hAnsi="Amiri"/>
          <w:color w:val="111111"/>
          <w:sz w:val="28"/>
          <w:szCs w:val="28"/>
          <w:rtl w:val="true"/>
          <w:lang w:bidi="ar-SA"/>
        </w:rPr>
        <w:t>»</w:t>
      </w:r>
      <w:r>
        <w:rPr>
          <w:rStyle w:val="FootnoteAnchor"/>
          <w:rtl w:val="true"/>
        </w:rPr>
        <w:footnoteReference w:id="1265"/>
      </w:r>
      <w:r>
        <w:rPr>
          <w:rFonts w:ascii="Amiri" w:hAnsi="Amiri" w:eastAsia="Amiri" w:cs="Amiri"/>
          <w:color w:val="111111"/>
          <w:sz w:val="28"/>
          <w:sz w:val="28"/>
          <w:szCs w:val="28"/>
          <w:rtl w:val="true"/>
          <w:lang w:bidi="ar-SA"/>
        </w:rPr>
        <w:t xml:space="preserve">، فإنّه من أصحاب العسكري كيف يروي هو عن منصور الذي هو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وأدرك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فمحمّد بن حفص الذي في سند الرواية رجل آخر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ولكنّا نقول بجبر السند بالشهرة العظيمة على طبقها ودلالتها صريحة في المطلوب وفيها مبالغة حيث ذكر فيها العلّة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على جوابه عن الرضوي بأنّه وإن لم يذكر فيه الإمام المرويّ عنه ولكنّه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الرواية، يعلم أنّه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منجبر بالشهرة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ظهر ممّا قلنا إنّ الصورة الاولى مشهور بين الأصحاب ومطابق للقواعد، وما استدلّ عليه خال عن الإشكال</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البيّنة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266"/>
      </w:r>
      <w:r>
        <w:rPr>
          <w:rFonts w:ascii="Amiri" w:hAnsi="Amiri" w:eastAsia="Amiri" w:cs="Amiri"/>
          <w:color w:val="111111"/>
          <w:sz w:val="28"/>
          <w:sz w:val="28"/>
          <w:szCs w:val="28"/>
          <w:rtl w:val="true"/>
          <w:lang w:bidi="ar-SA"/>
        </w:rPr>
        <w:t xml:space="preserve">في كتاب الدعاوي، واختاره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الأقوى سماع البيّنة من المنكر في صورة التعارض، بل مطلقاً ولو مع عدمه، فيجوز للمنكر مع عدم البيّنة</w:t>
      </w:r>
    </w:p>
    <w:p>
      <w:pPr>
        <w:pStyle w:val="BookText"/>
        <w:rPr/>
      </w:pPr>
      <w:r>
        <w:rPr>
          <w:rFonts w:ascii="Amiri" w:hAnsi="Amiri" w:eastAsia="Amiri" w:cs="Amiri"/>
          <w:color w:val="111111"/>
          <w:sz w:val="28"/>
          <w:sz w:val="28"/>
          <w:szCs w:val="28"/>
          <w:rtl w:val="true"/>
          <w:lang w:bidi="ar-SA"/>
        </w:rPr>
        <w:t>للمدّعي أن يقيم البيّنة فراراً من اليمين</w:t>
      </w:r>
      <w:r>
        <w:rPr>
          <w:rFonts w:eastAsia="Amiri" w:cs="Amiri" w:ascii="Amiri" w:hAnsi="Amiri"/>
          <w:color w:val="111111"/>
          <w:sz w:val="28"/>
          <w:szCs w:val="28"/>
          <w:rtl w:val="true"/>
          <w:lang w:bidi="ar-SA"/>
        </w:rPr>
        <w:t>»</w:t>
      </w:r>
      <w:r>
        <w:rPr>
          <w:rStyle w:val="FootnoteAnchor"/>
          <w:rtl w:val="true"/>
        </w:rPr>
        <w:footnoteReference w:id="1267"/>
      </w:r>
      <w:r>
        <w:rPr>
          <w:rFonts w:ascii="Amiri" w:hAnsi="Amiri" w:eastAsia="Amiri" w:cs="Amiri"/>
          <w:color w:val="111111"/>
          <w:sz w:val="28"/>
          <w:sz w:val="28"/>
          <w:szCs w:val="28"/>
          <w:rtl w:val="true"/>
          <w:lang w:bidi="ar-SA"/>
        </w:rPr>
        <w:t xml:space="preserve">، فهو قائل بتقديم بيّنة المنكر عند التعارض مع بيّنة المدّعي، وكذا جواز إقامة البيّنة للمنكر عند عدم إقامة البيّنة من المدّعي بدلًا عن الحلف، خلافاً للإجماع الذي 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على ذلك بعد منع الإجماع وعدم ثبوته بامور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ما دلّ على حجّية الشهادة من الكتاب</w:t>
      </w:r>
      <w:r>
        <w:rPr>
          <w:rStyle w:val="FootnoteAnchor"/>
          <w:rtl w:val="true"/>
        </w:rPr>
        <w:footnoteReference w:id="1269"/>
      </w:r>
      <w:r>
        <w:rPr>
          <w:rFonts w:ascii="Amiri" w:hAnsi="Amiri" w:eastAsia="Amiri" w:cs="Amiri"/>
          <w:color w:val="111111"/>
          <w:sz w:val="28"/>
          <w:sz w:val="28"/>
          <w:szCs w:val="28"/>
          <w:rtl w:val="true"/>
          <w:lang w:bidi="ar-SA"/>
        </w:rPr>
        <w:t>والروايات</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أقضي بينكم بالبيّنات والأيمان</w:t>
      </w:r>
      <w:r>
        <w:rPr>
          <w:rFonts w:eastAsia="Amiri" w:cs="Amiri" w:ascii="Amiri" w:hAnsi="Amiri"/>
          <w:color w:val="111111"/>
          <w:sz w:val="28"/>
          <w:szCs w:val="28"/>
          <w:rtl w:val="true"/>
          <w:lang w:bidi="ar-SA"/>
        </w:rPr>
        <w:t>»</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إسحاق بن عمّار عن أبي عبدالله في ذيل الرواية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كانت في يد أحدهما وأقاما جميعاً البيّنة قال أقضي بها للحالف الذي هي في يده</w:t>
      </w:r>
      <w:r>
        <w:rPr>
          <w:rFonts w:eastAsia="Amiri" w:cs="Amiri" w:ascii="Amiri" w:hAnsi="Amiri"/>
          <w:color w:val="111111"/>
          <w:sz w:val="28"/>
          <w:szCs w:val="28"/>
          <w:rtl w:val="true"/>
          <w:lang w:bidi="ar-SA"/>
        </w:rPr>
        <w:t>»</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غياث بن إبراهيم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اختصم إليه رجلان في دابّة وكلاهما أقام البيّنة أنّه أنتجها فقضى بها للذي في 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تكن في يده جعلتها بينهما نصفين</w:t>
      </w:r>
      <w:r>
        <w:rPr>
          <w:rFonts w:eastAsia="Amiri" w:cs="Amiri" w:ascii="Amiri" w:hAnsi="Amiri"/>
          <w:color w:val="111111"/>
          <w:sz w:val="28"/>
          <w:szCs w:val="28"/>
          <w:rtl w:val="true"/>
          <w:lang w:bidi="ar-SA"/>
        </w:rPr>
        <w:t>»</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طريق العامّة عن جابر أنّ رجلين تداعيا دابّة فأقام كلّ منهما البيّنة أنّها دابّته أنتجها، فقضى رسول الله للذي في يده</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مقتضى إطلاق جملة منها</w:t>
      </w:r>
      <w:r>
        <w:rPr>
          <w:rFonts w:eastAsia="Amiri" w:cs="Amiri" w:ascii="Amiri" w:hAnsi="Amiri"/>
          <w:color w:val="111111"/>
          <w:sz w:val="28"/>
          <w:szCs w:val="28"/>
          <w:rtl w:val="true"/>
          <w:lang w:bidi="ar-SA"/>
        </w:rPr>
        <w:t>»</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مراده عموم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أحكام المسلمين على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عادلة، أو يمين قاطعة، أو سنّة ماضية من أئمّة الهدى</w:t>
      </w:r>
      <w:r>
        <w:rPr>
          <w:rFonts w:eastAsia="Amiri" w:cs="Amiri" w:ascii="Amiri" w:hAnsi="Amiri"/>
          <w:color w:val="111111"/>
          <w:sz w:val="28"/>
          <w:szCs w:val="28"/>
          <w:rtl w:val="true"/>
          <w:lang w:bidi="ar-SA"/>
        </w:rPr>
        <w:t>»</w:t>
      </w:r>
      <w:r>
        <w:rPr>
          <w:rStyle w:val="FootnoteAnchor"/>
          <w:rtl w:val="true"/>
        </w:rPr>
        <w:footnoteReference w:id="1276"/>
      </w: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لنبيّ من 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اقض بينهم بالبيّنات وأضفهم إلى اسمي</w:t>
      </w:r>
      <w:r>
        <w:rPr>
          <w:rFonts w:eastAsia="Amiri" w:cs="Amiri" w:ascii="Amiri" w:hAnsi="Amiri"/>
          <w:color w:val="111111"/>
          <w:sz w:val="28"/>
          <w:szCs w:val="28"/>
          <w:rtl w:val="true"/>
          <w:lang w:bidi="ar-SA"/>
        </w:rPr>
        <w:t>»</w:t>
      </w:r>
      <w:r>
        <w:rPr>
          <w:rStyle w:val="FootnoteAnchor"/>
          <w:rtl w:val="true"/>
        </w:rPr>
        <w:footnoteReference w:id="1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السيّد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بجواز إقامة البيّنة للمنكر عند عدم إقامة المدّعي للبيّنة فراراً من الحلف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استظهاره من هذه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إدامة الاستدلالات</w:t>
      </w:r>
      <w:r>
        <w:rPr>
          <w:rFonts w:eastAsia="Amiri" w:cs="Amiri" w:ascii="Amiri" w:hAnsi="Amiri"/>
          <w:color w:val="111111"/>
          <w:sz w:val="28"/>
          <w:szCs w:val="28"/>
          <w:rtl w:val="true"/>
          <w:lang w:bidi="ar-SA"/>
        </w:rPr>
        <w:t>-</w:t>
      </w:r>
      <w:r>
        <w:rPr>
          <w:rStyle w:val="FootnoteAnchor"/>
          <w:rtl w:val="true"/>
        </w:rPr>
        <w:footnoteReference w:id="12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وأيضاً خصوص خبر حفص بن غياث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شيئاً في يد رجل أيجوز أن أشهد أنّه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279"/>
      </w:r>
      <w:r>
        <w:rPr>
          <w:rFonts w:ascii="Amiri" w:hAnsi="Amiri" w:eastAsia="Amiri" w:cs="Amiri"/>
          <w:color w:val="111111"/>
          <w:sz w:val="28"/>
          <w:sz w:val="28"/>
          <w:szCs w:val="28"/>
          <w:rtl w:val="true"/>
          <w:lang w:bidi="ar-SA"/>
        </w:rPr>
        <w:t>فإنّه يدلّ على جواز الشهادة لذي اليد وصحّتها</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وخصوص صحيحة حمّاد الحاكية لأمر عيسى بن موسى المسعى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رأى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مقبلًا من المروة على بغلة فأمر ابن هيّاج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همدان منقطعاً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يتعلّق بلجامه ويدّعي البغلة فأتاه فتعلّق باللجام وادّعى البغلة فثنى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رجله ونزل عنها وقال لغلمانه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سرجها وادفعوها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والسرج أيضاً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أبوالحسن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عندنا البيّنة بأنّه سرج محمّد بن علي وأمّا البغلة فإنّا اشتريناها منذ قريب وأنت أعلم وما قلت</w:t>
      </w:r>
      <w:r>
        <w:rPr>
          <w:rFonts w:eastAsia="Amiri" w:cs="Amiri" w:ascii="Amiri" w:hAnsi="Amiri"/>
          <w:color w:val="111111"/>
          <w:sz w:val="28"/>
          <w:szCs w:val="28"/>
          <w:rtl w:val="true"/>
          <w:lang w:bidi="ar-SA"/>
        </w:rPr>
        <w:t>»</w:t>
      </w:r>
      <w:r>
        <w:rPr>
          <w:rStyle w:val="FootnoteAnchor"/>
          <w:rtl w:val="true"/>
        </w:rPr>
        <w:footnoteReference w:id="128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 السرج كان بيده ومع ذلك قال عندنا البيّنة بأنّه سرج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وإشعار خبر فدك فإنّ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 على أبي بكر في طلبه البيّنة منه‌في الدعوى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يطلب من غيره إذا ادّعى هو على ذلك الغيرفحاصل إنكاره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يفرق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غيره من الناس في طلب البيّنة، ولو كان لا يقبل من المدّعى عليه البيّنة لكان أولى بالإنكار عليه في مقام المجادلة</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وأضاف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قاله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الاستدلالات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ذكروا في مقام التعارض بين البيّنات بأنّهما تعارضتا فتساقطا والتساقط لا يكون إلا مع حجّيتهما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أيضاً في مقام الترجيح بأنّ لذي اليد 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والبيّنة وبتقديم الأعدل والأكثر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إيراد الخدشة في جميع ما استدلّ بها لترجيح بيّنة الداخل، فإنّ ما استدلّ به على 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والمطلقات الدالّة على حجّية الشهادة والبيّنة من الآيات والروايات وقول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عادلة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عليها أنّها قابلة للتخصيص أو التقييد، فلو دلّ دليل على عدم صحّة البيّنة لذي اليد فيقدّم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قضاء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نبيّ من أنبياء السابق بالبيّنات</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 أنّه ليس المراد منها القضاء بالبيّنات والأيمان مطلقاً، فإنّه يلزم جواز اليمين للمدّعي ابتداءً أو الجمع بين البيّنة واليمين في مورد واحد، بل المراد</w:t>
      </w:r>
    </w:p>
    <w:p>
      <w:pPr>
        <w:pStyle w:val="BookText"/>
        <w:rPr/>
      </w:pPr>
      <w:r>
        <w:rPr>
          <w:rFonts w:ascii="Amiri" w:hAnsi="Amiri" w:eastAsia="Amiri" w:cs="Amiri"/>
          <w:color w:val="111111"/>
          <w:sz w:val="28"/>
          <w:sz w:val="28"/>
          <w:szCs w:val="28"/>
          <w:rtl w:val="true"/>
          <w:lang w:bidi="ar-SA"/>
        </w:rPr>
        <w:t>القضاء بالبيّنات واليمين على طبق ما قرّره في الشرع من أنّ البيّنة وظيفة من؟ واليمين وظيفة من؟</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ما دلّ على حجّية بيّنة المنكر وصحّتها مثل خبر حفص بن غياث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أيجوز لي أن أشهد أنّه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المراد الشهادة بأنّ ما في يده كان ملكاً من باب حجّية اليد وأماريته للملكية ولا يكون في مقام المنازعة والمرافعة وإقامة البيّنة عندها ولا يلازم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قبولها في المحكمة بلا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يدلّ عليه هو حجّية بيّنة ذي اليد وصحّتها وليس الكلام فيه، بل مورد الكلام الاستدلال على ترجيح بيّنة الداخل على بيّنة الخارج عند التعارض، وهذا لا تدلّ على ذلك بلا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خصوص صحيحة حمّاد</w:t>
      </w:r>
      <w:r>
        <w:rPr>
          <w:rStyle w:val="FootnoteAnchor"/>
          <w:rtl w:val="true"/>
        </w:rPr>
        <w:footnoteReference w:id="1282"/>
      </w:r>
      <w:r>
        <w:rPr>
          <w:rFonts w:ascii="Amiri" w:hAnsi="Amiri" w:eastAsia="Amiri" w:cs="Amiri"/>
          <w:color w:val="111111"/>
          <w:sz w:val="28"/>
          <w:sz w:val="28"/>
          <w:szCs w:val="28"/>
          <w:rtl w:val="true"/>
          <w:lang w:bidi="ar-SA"/>
        </w:rPr>
        <w:t xml:space="preserve">فإنّه قال إنّ عندنا البيّنة بأنّه سرج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ذا اليد ومنكراً</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عليه أنّ الإمام لم يكن في المحكمة أو عند القاضي، بل لعلّه لا يريد أن يحلف لهم أصلًا، ولعلّه لم يقبل منه اليمين لعدم اعتقادهم بإمامته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إقناعهم برفع اليد عن الدعوى بأنّ عنده البيّنة للسرج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تسليم دلالتها على صحّة البيّنة لذي اليد فخارج عن محلّ النزاع أيضاً، لعدم كون البحث في صحّتها كما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خصوص ما يشعر به خبر فدك من إنكار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بكر بالفرق بينه وبين غيره من المسلمين لا عدم قبول البيّنة من المدّعى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 اعتقادهم صحّة البيّنة من المدّعي‌عليه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الإشعار بذلك، فغاية ما يفيد هي صحّة بيّنة المدّعي‌عليه، أمّا ترجيحها على بيّنة المدّعي عند التعارض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ممّا استدلّ به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الثاني ثلاثة روايات الدالّة على تقديم بيّنة الداخل وهي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إسحاق بن عمّار،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وموثّقة غياث بن إبراهيم،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جابر المتقدّمات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أن يكون اختصام رجلين إلى أمير المؤمنين في دابّة كان مورداً واحداً نقل بطريقين لا أن يكون متعدّداً، فلا تكون موثّقة غياث بن إبراهيم رواية اخرى وإن جعلها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وفي غياث بن إبراهيم، قيل إنّه بتري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وفاسد العقيدة وقيل إنّه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جابر أيضاً عامّي غير معتمد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فانحصر الدليل للقول الثاني من الصورة الاولى رواية إسحاق بن عمّار ويعارض مع رواية منصور الدالّة على تقديم بيّنةالخارج</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رواية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واضحة الدلالة على اختصاص الحجّية ببيّنة المدّعي ولا أثر لبيّنة المنكر أصلًا إلا أنّه ضعيفة سنداً وغير قابلة لمعارضة معتبرة إسحاق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مبنى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Style w:val="FootnoteAnchor"/>
          <w:rtl w:val="true"/>
        </w:rPr>
        <w:footnoteReference w:id="1283"/>
      </w:r>
      <w:r>
        <w:rPr>
          <w:rFonts w:ascii="Amiri" w:hAnsi="Amiri" w:eastAsia="Amiri" w:cs="Amiri"/>
          <w:color w:val="111111"/>
          <w:sz w:val="28"/>
          <w:sz w:val="28"/>
          <w:szCs w:val="28"/>
          <w:rtl w:val="true"/>
          <w:lang w:bidi="ar-SA"/>
        </w:rPr>
        <w:t>من عدم اعتقاده بجبر ضعف سند الرواية بالشهرة، فإن يعتقد بحجّية خبر الثقه لا الخبر الموثوق الصدور، فلا يصحّ الاعتماد على خبر الضعيف وإن كان عمل المشهور على طبقه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المختار كما عليه المشهور من كون الشهرة جابرة لضعف السند، فيكون خبر المنصور معتبراً و قابلًا للاستناد للشهرة العظيمة عليه، بل ادّعي الإجماع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وسند رواية إسحاق أيضاً فيه إشكال كما قال به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وفي سنده ما فيه</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اعتبار سند خبر المنصور فالترجيح له ويقدّم على خبر إسحاق بن عمّار بلا شبهة</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الأردبيلي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خبر منصور على خبر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صريحة في المطلوب، وهو تقديم بيّنة الخارج وفيها مبالغة حيث ذكر العلّة مرّتين فهي معلّلة مقدّمة على تقدير التعارض، فهي إشارة إلى خبر المستفيض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واليمين على من أنكر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أيضاً دليل هذا الحكم، فهذا وحده دليل مقدّم على ذاك، فكيف إذا فهم منه دليل آخر وهو الخبر المستفيض وكأنّه لذلك اختار جماعة كثيرة تقديم بيّنة الخارج</w:t>
      </w:r>
      <w:r>
        <w:rPr>
          <w:rFonts w:eastAsia="Amiri" w:cs="Amiri" w:ascii="Amiri" w:hAnsi="Amiri"/>
          <w:color w:val="111111"/>
          <w:sz w:val="28"/>
          <w:szCs w:val="28"/>
          <w:rtl w:val="true"/>
          <w:lang w:bidi="ar-SA"/>
        </w:rPr>
        <w:t>»</w:t>
      </w:r>
      <w:r>
        <w:rPr>
          <w:rStyle w:val="FootnoteAnchor"/>
          <w:rtl w:val="true"/>
        </w:rPr>
        <w:footnoteReference w:id="1285"/>
      </w:r>
      <w:r>
        <w:rPr>
          <w:rFonts w:ascii="Amiri" w:hAnsi="Amiri" w:eastAsia="Amiri" w:cs="Amiri"/>
          <w:color w:val="111111"/>
          <w:sz w:val="28"/>
          <w:sz w:val="28"/>
          <w:szCs w:val="28"/>
          <w:rtl w:val="true"/>
          <w:lang w:bidi="ar-SA"/>
        </w:rPr>
        <w:t xml:space="preserve">وكلامه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على ترجيح رواية المنصور من حيث الدلالة على رواية إسحاق</w:t>
      </w:r>
    </w:p>
    <w:p>
      <w:pPr>
        <w:pStyle w:val="BookText"/>
        <w:rPr/>
      </w:pPr>
      <w:r>
        <w:rPr>
          <w:rFonts w:ascii="Amiri" w:hAnsi="Amiri" w:eastAsia="Amiri" w:cs="Amiri"/>
          <w:color w:val="111111"/>
          <w:sz w:val="28"/>
          <w:sz w:val="28"/>
          <w:szCs w:val="28"/>
          <w:rtl w:val="true"/>
          <w:lang w:bidi="ar-SA"/>
        </w:rPr>
        <w:t>بن عمّار وإن استشكل عليه من حيث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قلنا إنّ ضعف السند منجبر بالشهرة والدلالة صريحة وكانت على مقتضى القاعدة والشهرة على طبقه وهي من أوّل المرجّحات في المتعارضين</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تعارض البينتان وكان العين في يدهما</w:t>
      </w:r>
    </w:p>
    <w:p>
      <w:pPr>
        <w:pStyle w:val="BookText"/>
        <w:rPr/>
      </w:pPr>
      <w:r>
        <w:rPr>
          <w:rFonts w:ascii="Amiri" w:hAnsi="Amiri" w:eastAsia="Amiri" w:cs="Amiri"/>
          <w:color w:val="111111"/>
          <w:sz w:val="28"/>
          <w:sz w:val="28"/>
          <w:szCs w:val="28"/>
          <w:rtl w:val="true"/>
          <w:lang w:bidi="ar-SA"/>
        </w:rPr>
        <w:t>وهي أن تكون العين في يدهما معاً وأقام كلّ واحد منهما البيّنة على الجميع ففيه أقوال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والأشهر أن يقضي بهما بينهما نصفين تساوت البيّنتان عدداً وعدالة وإطلاقاً وتقييداً أم اختلفا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بلاخلاف أجده،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288"/>
      </w:r>
      <w:r>
        <w:rPr>
          <w:rFonts w:ascii="Amiri" w:hAnsi="Amiri" w:eastAsia="Amiri" w:cs="Amiri"/>
          <w:color w:val="111111"/>
          <w:sz w:val="28"/>
          <w:sz w:val="28"/>
          <w:szCs w:val="28"/>
          <w:rtl w:val="true"/>
          <w:lang w:bidi="ar-SA"/>
        </w:rPr>
        <w:t xml:space="preserve">بلا إشكال في أصل الحكم،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1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المعروف بينهم،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290"/>
      </w:r>
      <w:r>
        <w:rPr>
          <w:rFonts w:ascii="Amiri" w:hAnsi="Amiri" w:eastAsia="Amiri" w:cs="Amiri"/>
          <w:color w:val="111111"/>
          <w:sz w:val="28"/>
          <w:sz w:val="28"/>
          <w:szCs w:val="28"/>
          <w:rtl w:val="true"/>
          <w:lang w:bidi="ar-SA"/>
        </w:rPr>
        <w:t>على الأشهر، بل عليه عامّة من تأخّر إلا من ندر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اختلفوا في وجه التنصيف</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يد كلّ واحد على النصف وقد أقام الآخر البيّنة فيقضي له بما في يد غريمة</w:t>
      </w:r>
      <w:r>
        <w:rPr>
          <w:rFonts w:eastAsia="Amiri" w:cs="Amiri" w:ascii="Amiri" w:hAnsi="Amiri"/>
          <w:color w:val="111111"/>
          <w:sz w:val="28"/>
          <w:szCs w:val="28"/>
          <w:rtl w:val="true"/>
          <w:lang w:bidi="ar-SA"/>
        </w:rPr>
        <w:t>»</w:t>
      </w:r>
      <w:r>
        <w:rPr>
          <w:rStyle w:val="FootnoteAnchor"/>
          <w:rtl w:val="true"/>
        </w:rPr>
        <w:footnoteReference w:id="1291"/>
      </w:r>
      <w:r>
        <w:rPr>
          <w:rFonts w:ascii="Amiri" w:hAnsi="Amiri" w:eastAsia="Amiri" w:cs="Amiri"/>
          <w:color w:val="111111"/>
          <w:sz w:val="28"/>
          <w:sz w:val="28"/>
          <w:szCs w:val="28"/>
          <w:rtl w:val="true"/>
          <w:lang w:bidi="ar-SA"/>
        </w:rPr>
        <w:t xml:space="preserve">، وتبعه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في يدهما فيحكم بالتنصيف بمقتضى بيّنة الخارج وعدم اعتبار الداخل</w:t>
      </w:r>
      <w:r>
        <w:rPr>
          <w:rFonts w:eastAsia="Amiri" w:cs="Amiri" w:ascii="Amiri" w:hAnsi="Amiri"/>
          <w:color w:val="111111"/>
          <w:sz w:val="28"/>
          <w:szCs w:val="28"/>
          <w:rtl w:val="true"/>
          <w:lang w:bidi="ar-SA"/>
        </w:rPr>
        <w:t>»</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ذلك أنّ مقتضى يد كلّ واحد منهما على العين مالكيته لنصف المشاع، فكلّ واحد منهما مدّع لما في يد الآخر ويصير مدّعى عليه بالنسبة إلى ما في يده، فإذا أقاما البيّنة على الجميع فبيّنة كلّ واحد بالنسبة إلى ما في يده بيّنة الداخل وبالنسبة إلى ما في يد الآخر بيّنة الخارج، فبمقتضى تقديم بيّنة الخارج يحكم لكلّ واحد منهما بما في غريمه وبالنتيجة ينتصف المال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إنّ الوجه للتنصيف أنّ لكلّ منهما مرجّحاً باليد على نصفها، فقدّمت بيّنته على ما في يده ترجيحاً للبيّنة الداخل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الوجه فيه تساقط البيّنتين بسبب التساوي وبقي الحكم كما لو لم يكن هناك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وتظهر الثمرة بين الوجوه عدم الاحتياج إلى الحلف في الوجه الأوّل، الرقم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والثاني الرقم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لاستناد التنصيف إلى البيّنة، فمع الاستناد بالبيّنة لا وجه للحلف بخلاف الوجه الثالث، الرقم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فإنّه بعد التساقط يحتاج القضاء لكلّ واحد باليمين على نفي استحقاق الآخر على نصفه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المختار من الوجوه</w:t>
      </w:r>
    </w:p>
    <w:p>
      <w:pPr>
        <w:pStyle w:val="BookText"/>
        <w:rPr/>
      </w:pPr>
      <w:r>
        <w:rPr>
          <w:rFonts w:ascii="Amiri" w:hAnsi="Amiri" w:eastAsia="Amiri" w:cs="Amiri"/>
          <w:color w:val="111111"/>
          <w:sz w:val="28"/>
          <w:sz w:val="28"/>
          <w:szCs w:val="28"/>
          <w:rtl w:val="true"/>
          <w:lang w:bidi="ar-SA"/>
        </w:rPr>
        <w:t>والأقوى هو الوجه الأوّل لما قلنا من أنّ يد كلّ واحد منهما كاشف على الملكية للنصف المشاع، وبمقتضى تقديم بيّنة الخارج يحكم لكلّ واحد منهما بما في يد غريمه، وهذا على مقتضى القواعد كما تقدّم</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يستدلّ لذلك بروايات منها المرسل كالصحيح عن عبدالله بن المغيرة، عن غير واحد من أصحابنا،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رجلين كان معهما درهمان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الدرهمان لي، 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بيني وبينك،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الذي قال</w:t>
      </w:r>
    </w:p>
    <w:p>
      <w:pPr>
        <w:pStyle w:val="BookText"/>
        <w:rPr/>
      </w:pPr>
      <w:r>
        <w:rPr>
          <w:rFonts w:ascii="Amiri" w:hAnsi="Amiri" w:eastAsia="Amiri" w:cs="Amiri"/>
          <w:color w:val="111111"/>
          <w:sz w:val="28"/>
          <w:sz w:val="28"/>
          <w:szCs w:val="28"/>
          <w:rtl w:val="true"/>
          <w:lang w:bidi="ar-SA"/>
        </w:rPr>
        <w:t>هما بيني وبينك فقد أقرّ بأنّ أحد الدرهمين ليس له، وأنّه لصاحبه ويقسم الآخر بينهما</w:t>
      </w:r>
      <w:r>
        <w:rPr>
          <w:rFonts w:eastAsia="Amiri" w:cs="Amiri" w:ascii="Amiri" w:hAnsi="Amiri"/>
          <w:color w:val="111111"/>
          <w:sz w:val="28"/>
          <w:szCs w:val="28"/>
          <w:rtl w:val="true"/>
          <w:lang w:bidi="ar-SA"/>
        </w:rPr>
        <w:t>»</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السكوني عن الصادق عن أبيه في رجل استودع رجلًا دينارين فاستودعه آخر ديناراً فضاع دينار 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يعطى صاحب الدينارين ديناراً، ويقسم الآخر بينهما نصفين</w:t>
      </w:r>
      <w:r>
        <w:rPr>
          <w:rFonts w:eastAsia="Amiri" w:cs="Amiri" w:ascii="Amiri" w:hAnsi="Amiri"/>
          <w:color w:val="111111"/>
          <w:sz w:val="28"/>
          <w:szCs w:val="28"/>
          <w:rtl w:val="true"/>
          <w:lang w:bidi="ar-SA"/>
        </w:rPr>
        <w:t>»</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يذكر فيهما إقامة البيّنة من المتنازعين ولكن ترك الاستفصال عن إقامة البيّنة وعدمها يفيد التعميم لمحلّ البحث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تميم بن طرفة</w:t>
      </w:r>
      <w:r>
        <w:rPr>
          <w:rStyle w:val="FootnoteAnchor"/>
          <w:rtl w:val="true"/>
        </w:rPr>
        <w:footnoteReference w:id="12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رجلين عرفا بعيراً فأقام كلّ واحد منهما بيّنة فجعله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غياث بن إبراهيم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اختصم إليه رجلان في دابّة وكلاهما أقام البيّنة أنّه انتجها فقضى بها للذي في 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تكن في يده جعلتها بينهما نصفين</w:t>
      </w:r>
      <w:r>
        <w:rPr>
          <w:rFonts w:eastAsia="Amiri" w:cs="Amiri" w:ascii="Amiri" w:hAnsi="Amiri"/>
          <w:color w:val="111111"/>
          <w:sz w:val="28"/>
          <w:szCs w:val="28"/>
          <w:rtl w:val="true"/>
          <w:lang w:bidi="ar-SA"/>
        </w:rPr>
        <w:t>»</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تكن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كونه في يدهما أو لم يكن في يدهما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صرّح بعضهم بأنّ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تكن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لم تكن في يده فقط، بل تكون في يديهما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القول أي التنصيف بلا حلف هو الموافق للمشهور والمعروف بين الفقهاء قديماً وحديثاً، والموافق لمقتضى القاعدة ويؤيّده ما استدلّ به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المسألة أقوال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ابن أبي عقيل من الرجوع إلى القرعة لأنّها لكلّ أمر مشكل وفيما نحن فيه التنصيف تكذيب للبيّنتين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اجتهاد في مقابل‌النصّ، فإنّ التنصيف كما قلنا على مقتضى القاعدة ويؤيّد بما تقدّم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298"/>
      </w:r>
      <w:r>
        <w:rPr>
          <w:rFonts w:ascii="Amiri" w:hAnsi="Amiri" w:eastAsia="Amiri" w:cs="Amiri"/>
          <w:color w:val="111111"/>
          <w:sz w:val="28"/>
          <w:sz w:val="28"/>
          <w:szCs w:val="28"/>
          <w:rtl w:val="true"/>
          <w:lang w:bidi="ar-SA"/>
        </w:rPr>
        <w:t>بعد نسبة القول المختار إلى الأشهر، بل عامّة المتأخرّين إلا نادراً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للمهذّب</w:t>
      </w:r>
      <w:r>
        <w:rPr>
          <w:rFonts w:eastAsia="Amiri" w:cs="Amiri" w:ascii="Amiri" w:hAnsi="Amiri"/>
          <w:color w:val="111111"/>
          <w:sz w:val="28"/>
          <w:szCs w:val="28"/>
          <w:rtl w:val="true"/>
          <w:lang w:bidi="ar-SA"/>
        </w:rPr>
        <w:t>»</w:t>
      </w:r>
      <w:r>
        <w:rPr>
          <w:rStyle w:val="FootnoteAnchor"/>
          <w:rtl w:val="true"/>
        </w:rPr>
        <w:footnoteReference w:id="1299"/>
      </w:r>
      <w:r>
        <w:rPr>
          <w:rFonts w:ascii="Amiri" w:hAnsi="Amiri" w:eastAsia="Amiri" w:cs="Amiri"/>
          <w:color w:val="111111"/>
          <w:sz w:val="28"/>
          <w:sz w:val="28"/>
          <w:szCs w:val="28"/>
          <w:rtl w:val="true"/>
          <w:lang w:bidi="ar-SA"/>
        </w:rPr>
        <w:t>وبه قال جماعة من القدماء فخصّوا ذلك بما إذا تساويا في الامور المتقدّمة كلّها وحكموا مع الاختلاف فيها لأرجحها واختلفوا في بيان المرجّح، فعن المفيد</w:t>
      </w:r>
      <w:r>
        <w:rPr>
          <w:rStyle w:val="FootnoteAnchor"/>
          <w:rtl w:val="true"/>
        </w:rPr>
        <w:footnoteReference w:id="1300"/>
      </w:r>
      <w:r>
        <w:rPr>
          <w:rFonts w:ascii="Amiri" w:hAnsi="Amiri" w:eastAsia="Amiri" w:cs="Amiri"/>
          <w:color w:val="111111"/>
          <w:sz w:val="28"/>
          <w:sz w:val="28"/>
          <w:szCs w:val="28"/>
          <w:rtl w:val="true"/>
          <w:lang w:bidi="ar-SA"/>
        </w:rPr>
        <w:t>اعتبار الأعدلية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الإسكافي اعتبار الأكثرية خاصّة،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1301"/>
      </w:r>
      <w:r>
        <w:rPr>
          <w:rFonts w:ascii="Amiri" w:hAnsi="Amiri" w:eastAsia="Amiri" w:cs="Amiri"/>
          <w:color w:val="111111"/>
          <w:sz w:val="28"/>
          <w:sz w:val="28"/>
          <w:szCs w:val="28"/>
          <w:rtl w:val="true"/>
          <w:lang w:bidi="ar-SA"/>
        </w:rPr>
        <w:t>اعتبارهما مرتّباً بين الأعدلية فالأكثرية وعن ابن حمزة</w:t>
      </w:r>
      <w:r>
        <w:rPr>
          <w:rStyle w:val="FootnoteAnchor"/>
          <w:rtl w:val="true"/>
        </w:rPr>
        <w:footnoteReference w:id="1302"/>
      </w:r>
      <w:r>
        <w:rPr>
          <w:rFonts w:ascii="Amiri" w:hAnsi="Amiri" w:eastAsia="Amiri" w:cs="Amiri"/>
          <w:color w:val="111111"/>
          <w:sz w:val="28"/>
          <w:sz w:val="28"/>
          <w:szCs w:val="28"/>
          <w:rtl w:val="true"/>
          <w:lang w:bidi="ar-SA"/>
        </w:rPr>
        <w:t>اعتباره التقييد أيضاً مردّداً بين الثلاثة</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بعض الاستدلالات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كلّ حال</w:t>
      </w:r>
    </w:p>
    <w:p>
      <w:pPr>
        <w:pStyle w:val="BookText"/>
        <w:rPr/>
      </w:pPr>
      <w:r>
        <w:rPr>
          <w:rFonts w:ascii="Amiri" w:hAnsi="Amiri" w:eastAsia="Amiri" w:cs="Amiri"/>
          <w:color w:val="111111"/>
          <w:sz w:val="28"/>
          <w:sz w:val="28"/>
          <w:szCs w:val="28"/>
          <w:rtl w:val="true"/>
          <w:lang w:bidi="ar-SA"/>
        </w:rPr>
        <w:t>لا أعرف دليلًا يعتدّ به على شي‌ء منها، على وجه يصلح لمعارضة ما عرفت</w:t>
      </w:r>
      <w:r>
        <w:rPr>
          <w:rFonts w:eastAsia="Amiri" w:cs="Amiri" w:ascii="Amiri" w:hAnsi="Amiri"/>
          <w:color w:val="111111"/>
          <w:sz w:val="28"/>
          <w:szCs w:val="28"/>
          <w:rtl w:val="true"/>
          <w:lang w:bidi="ar-SA"/>
        </w:rPr>
        <w:t>»</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تعارض البيّنتين وكان المال في يد ثالث</w:t>
      </w:r>
    </w:p>
    <w:p>
      <w:pPr>
        <w:pStyle w:val="BookText"/>
        <w:rPr/>
      </w:pPr>
      <w:r>
        <w:rPr>
          <w:rFonts w:ascii="Amiri" w:hAnsi="Amiri" w:eastAsia="Amiri" w:cs="Amiri"/>
          <w:color w:val="111111"/>
          <w:sz w:val="28"/>
          <w:sz w:val="28"/>
          <w:szCs w:val="28"/>
          <w:rtl w:val="true"/>
          <w:lang w:bidi="ar-SA"/>
        </w:rPr>
        <w:t>وهي ما إذا كانت العين في يد ثالث، ومثلها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إذا لم تكن في يد أحدهما أصلًا</w:t>
      </w:r>
    </w:p>
    <w:p>
      <w:pPr>
        <w:pStyle w:val="BookText"/>
        <w:rPr/>
      </w:pPr>
      <w:r>
        <w:rPr>
          <w:rFonts w:ascii="Amiri" w:hAnsi="Amiri" w:eastAsia="Amiri" w:cs="Amiri"/>
          <w:color w:val="111111"/>
          <w:sz w:val="28"/>
          <w:sz w:val="28"/>
          <w:szCs w:val="28"/>
          <w:rtl w:val="true"/>
          <w:lang w:bidi="ar-SA"/>
        </w:rPr>
        <w:t xml:space="preserve">قال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305"/>
      </w:r>
      <w:r>
        <w:rPr>
          <w:rFonts w:ascii="Amiri" w:hAnsi="Amiri" w:eastAsia="Amiri" w:cs="Amiri"/>
          <w:color w:val="111111"/>
          <w:sz w:val="28"/>
          <w:sz w:val="28"/>
          <w:szCs w:val="28"/>
          <w:rtl w:val="true"/>
          <w:lang w:bidi="ar-SA"/>
        </w:rPr>
        <w:t>ولو كانت في يد ثالث قضى بأرجح البيّنتين عدالة، فإن تساويا قضى لأكثرهما شهوداً ومع التساوي عدداً وعدالة يقرع بينهما فمن خرج اسمه أحلف وقضى له، ولو امتنع أحلف الأخير وقضى له وإن نكلا قضى بينهما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307"/>
      </w:r>
      <w:r>
        <w:rPr>
          <w:rFonts w:ascii="Amiri" w:hAnsi="Amiri" w:eastAsia="Amiri" w:cs="Amiri"/>
          <w:color w:val="111111"/>
          <w:sz w:val="28"/>
          <w:sz w:val="28"/>
          <w:szCs w:val="28"/>
          <w:rtl w:val="true"/>
          <w:lang w:bidi="ar-SA"/>
        </w:rPr>
        <w:t xml:space="preserve">وغيرها نسبته إلى الشهرة،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308"/>
      </w:r>
      <w:r>
        <w:rPr>
          <w:rFonts w:ascii="Amiri" w:hAnsi="Amiri" w:eastAsia="Amiri" w:cs="Amiri"/>
          <w:color w:val="111111"/>
          <w:sz w:val="28"/>
          <w:sz w:val="28"/>
          <w:szCs w:val="28"/>
          <w:rtl w:val="true"/>
          <w:lang w:bidi="ar-SA"/>
        </w:rPr>
        <w:t>نسبته إلى الأشهر، بل عامّة المتأخّرين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هذا القسم بالترجيح بهذين المرجّحين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العدالة والعدد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باقي أقسام التعارض هو المشهور بين الأصحاب خصوصاً المتأخّرين منهم تبعاً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Style w:val="FootnoteAnchor"/>
          <w:rtl w:val="true"/>
        </w:rPr>
        <w:footnoteReference w:id="1310"/>
      </w:r>
      <w:r>
        <w:rPr>
          <w:rFonts w:ascii="Amiri" w:hAnsi="Amiri" w:eastAsia="Amiri" w:cs="Amiri"/>
          <w:color w:val="111111"/>
          <w:sz w:val="28"/>
          <w:sz w:val="28"/>
          <w:szCs w:val="28"/>
          <w:rtl w:val="true"/>
          <w:lang w:bidi="ar-SA"/>
        </w:rPr>
        <w:t>فإنّه جعل ذلك جامعاً بين الأخبار</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نذكر بعض ما يدلّ على الترجيح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عبدالرحمن بن أبي عبدالله عن أبي عبدالله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أتاه رجلان بشهود عدلهم سواء وعددهم أقرع بينهم على أيّهما تصير اليمين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السماوات السبع أيّهم كان له الحقّ فأدّاه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يجعل الحقّ للذي يصير عليه اليمين إذا حلف</w:t>
      </w:r>
      <w:r>
        <w:rPr>
          <w:rFonts w:eastAsia="Amiri" w:cs="Amiri" w:ascii="Amiri" w:hAnsi="Amiri"/>
          <w:color w:val="111111"/>
          <w:sz w:val="28"/>
          <w:szCs w:val="28"/>
          <w:rtl w:val="true"/>
          <w:lang w:bidi="ar-SA"/>
        </w:rPr>
        <w:t>»</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فيها إشعار بالترجيح بالأعدلية لو كانت وبالأكثر عدداً لو كان، وتدلّ على أنّ القرعة لإخراج من عليه اليمين لا الواقع، وما قاله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Style w:val="FootnoteAnchor"/>
          <w:rtl w:val="true"/>
        </w:rPr>
        <w:footnoteReference w:id="1312"/>
      </w:r>
      <w:r>
        <w:rPr>
          <w:rFonts w:ascii="Amiri" w:hAnsi="Amiri" w:eastAsia="Amiri" w:cs="Amiri"/>
          <w:color w:val="111111"/>
          <w:sz w:val="28"/>
          <w:sz w:val="28"/>
          <w:szCs w:val="28"/>
          <w:rtl w:val="true"/>
          <w:lang w:bidi="ar-SA"/>
        </w:rPr>
        <w:t>مطابق مع هذه الرواية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بصير قال 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يأتي القوم فيدّعي داراً في أيديهم ويقيم البيّنة ويقيم الذي في يده الدار البيّنة أنّه ورثها عن أبيه ولا يدري كيف كان أمرها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أكثرهم بيّنة يستحلف وتدفع إليه</w:t>
      </w:r>
      <w:r>
        <w:rPr>
          <w:rFonts w:eastAsia="Amiri" w:cs="Amiri" w:ascii="Amiri" w:hAnsi="Amiri"/>
          <w:color w:val="111111"/>
          <w:sz w:val="28"/>
          <w:szCs w:val="28"/>
          <w:rtl w:val="true"/>
          <w:lang w:bidi="ar-SA"/>
        </w:rPr>
        <w:t>»</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رجلين اختصما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دابّة فزعم كلّ واحد منهما أنّها نتجت على مذوده وأقام كلّ واحد منهما بيّنة سواء في العدد فأقرع بينهما سهمين، فعلم السهمين كلّ واحد منهما بعلامة،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السماوات السبع، وربّ الأرضين السبع، وربّ العرش العظيم، عالم الغيب والشهادة، الرحمن الرحيم، أيّهما كان صاحب الدابّة، وهو أولى بها فأسألك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يقرع،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سهمه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سهم أحدهما فقضى له بها</w:t>
      </w:r>
      <w:r>
        <w:rPr>
          <w:rFonts w:eastAsia="Amiri" w:cs="Amiri" w:ascii="Amiri" w:hAnsi="Amiri"/>
          <w:color w:val="111111"/>
          <w:sz w:val="28"/>
          <w:szCs w:val="28"/>
          <w:rtl w:val="true"/>
          <w:lang w:bidi="ar-SA"/>
        </w:rPr>
        <w:t>»</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تدلّ على الترجيح بالعدد لو كان أحدهما أكثر عدداً، وكذا تأخير القرعة عنه</w:t>
      </w:r>
    </w:p>
    <w:p>
      <w:pPr>
        <w:pStyle w:val="BookText"/>
        <w:rPr/>
      </w:pPr>
      <w:r>
        <w:rPr>
          <w:rFonts w:ascii="Amiri" w:hAnsi="Amiri" w:eastAsia="Amiri" w:cs="Amiri"/>
          <w:color w:val="111111"/>
          <w:sz w:val="28"/>
          <w:sz w:val="28"/>
          <w:szCs w:val="28"/>
          <w:rtl w:val="true"/>
          <w:lang w:bidi="ar-SA"/>
        </w:rPr>
        <w:t>وترتّبها عليه وتدلّ على القضاء لمن خرج سهمه بل 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الحلبي</w:t>
      </w:r>
      <w:r>
        <w:rPr>
          <w:rStyle w:val="FootnoteAnchor"/>
          <w:rtl w:val="true"/>
        </w:rPr>
        <w:footnoteReference w:id="1315"/>
      </w:r>
      <w:r>
        <w:rPr>
          <w:rFonts w:ascii="Amiri" w:hAnsi="Amiri" w:eastAsia="Amiri" w:cs="Amiri"/>
          <w:color w:val="111111"/>
          <w:sz w:val="28"/>
          <w:sz w:val="28"/>
          <w:szCs w:val="28"/>
          <w:rtl w:val="true"/>
          <w:lang w:bidi="ar-SA"/>
        </w:rPr>
        <w:t xml:space="preserve">و رواية داود بن سرحان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رجلين شهدا على أمر وجاء آخران فشهدا على غير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واختلفوا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يقرع بينهم فأيّهم قرع عليه اليمين وهو أولى بالقضاء</w:t>
      </w:r>
      <w:r>
        <w:rPr>
          <w:rFonts w:eastAsia="Amiri" w:cs="Amiri" w:ascii="Amiri" w:hAnsi="Amiri"/>
          <w:color w:val="111111"/>
          <w:sz w:val="28"/>
          <w:szCs w:val="28"/>
          <w:rtl w:val="true"/>
          <w:lang w:bidi="ar-SA"/>
        </w:rPr>
        <w:t>»</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ترى كثرة الاختلاف والاضطراب في هذه الروايات، بحيث تدلّ كلّ واحدة أو طائفة على أمر لا يمكن الجمع بينها بوجه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خلاصة دلالات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الإشعار بالترجيح بالأعدلية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بعضها مثل رواية عبدالرحمن البصري إشعار بالترجيح بالأعدلية وكذا غيرها أيضاً مع أنّه لم يتعرّض لها في بقيّة ما ذكرنا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الترجيح بالعدد على الترجيح بالأعدلية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منها أيضاً ترتيب الترجيح بالعدد على الترجيح بالأعدلية، مع أنّه في رواية أبي بصير اكتفى بالأكثر عدداً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التعرّض للترجيح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أبي بصير أيضاً شهدت البيّنة أنّ ذي اليد ورثها من أبيه فأتي بالقيد مع أنّه لم يتعرّض للترجيح به فيهما</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 بعد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في بعض الروايات ذكر الترجيح بالقيد، وكذا في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بعد الترجيح بالأكثر عدداً يستحلف ويدفع إليه مع أنّه ليس في بعضها الاستحلاف بعد إقامة 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القرعة بعد مساوات البينتين في العدالة والعدد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بعضها جعل القرعة بعد مساوات البيّنتين في العدالة والعدد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القرعة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 لم يتعرّض لذلك أصلًا، مثل رواية داود بن سرحان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فاختلفوا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يقرع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يستفاد من بعضها أنّ القرعة لاستخراج من عليه اليمين 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لاستخراج من له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تشتّت الأخبار واضطراب الأقوال لا يمكن الاعتماد بما قاله المحقّق</w:t>
      </w:r>
      <w:r>
        <w:rPr>
          <w:rStyle w:val="FootnoteAnchor"/>
          <w:rtl w:val="true"/>
        </w:rPr>
        <w:footnoteReference w:id="1317"/>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القول المشهور الذي اختاروا ذلك تبعاً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كونه جامعاً بين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وبالجملة فالحكم في هذين القسمين لا يخلو من إشكال، لاختلاف الأخبار على وجه يعسر الجمع بينها، وضعف ما ذكروه من طريق الجمع، وضعف سند أكثرها، وعدم عمل الأصحاب بما اعتبر أسناده مقتصرين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ما ذكرنا اقتصر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مجرّد نقل الأقوال من غير ترجيح لأحدها</w:t>
      </w:r>
      <w:r>
        <w:rPr>
          <w:rFonts w:eastAsia="Amiri" w:cs="Amiri" w:ascii="Amiri" w:hAnsi="Amiri"/>
          <w:color w:val="111111"/>
          <w:sz w:val="28"/>
          <w:szCs w:val="28"/>
          <w:rtl w:val="true"/>
          <w:lang w:bidi="ar-SA"/>
        </w:rPr>
        <w:t>»</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الأقوى ما قاله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سقوط البيّنتين من غير المراجعة إلى المرجّحات كما في الصورتين الاوليين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في يد ثالث أو لا يد لأحد عليه، فالظاهر سقوط البيّنتين والرجوع إلى الحلف أو إلى التنصيف أو القرعة لكن المسألة بشقوقها في غاية الإشكال من حيث الأخبار والأقوال، وترجيح أحد الأقوال مشكل</w:t>
      </w:r>
      <w:r>
        <w:rPr>
          <w:rFonts w:eastAsia="Amiri" w:cs="Amiri" w:ascii="Amiri" w:hAnsi="Amiri"/>
          <w:color w:val="111111"/>
          <w:sz w:val="28"/>
          <w:szCs w:val="28"/>
          <w:rtl w:val="true"/>
          <w:lang w:bidi="ar-SA"/>
        </w:rPr>
        <w:t>»</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وجه سقوط البيّنتين أنّ كلّ واحد منهما حجّة شرعية ومشمولة للعمومات وإن كان في أحدهما أعدل أو كان أكثر عدداً أو ذكر فيه السبب مثلًا؛ فإنّ الترجيح بها بلا ملاك ولا دليل فيتعارضان ويتساقطان، فحينئذٍ يكون القاضي مخيّراً بين الرجوع إلى الحلف أو التنصيف ابتداءً أو القرعة، فإنّ لكلّ منها وجه ولا ترجيح لأحدها على الآخر</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القول وإن كان مخالفاً لقول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المشهور والمعروف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الشهرة مع كثرة الاختلاف غير واضحة، كما 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وحيث إنّ المسألة في غاية الاختلاف والتشويش، فلا عبرة فيها بالشهرة والشذوذ ومخالفة الإجماعات المنقوله خصوصاً مع اختلافها ومخالفة جماعة بالنسبة إلى كلّ واحد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بأس بمخالفتنا لهم في المسألة</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bookmarkStart w:id="668" w:name="pg1791_16360"/>
    </w:p>
    <w:p>
      <w:pPr>
        <w:pStyle w:val="Heading3"/>
        <w:numPr>
          <w:ilvl w:val="2"/>
          <w:numId w:val="1"/>
        </w:numPr>
        <w:rPr/>
      </w:pPr>
      <w:bookmarkStart w:id="669" w:name="__RefHeading___Toc2354897_3650668749"/>
      <w:bookmarkStart w:id="670" w:name="_Toc245"/>
      <w:bookmarkEnd w:id="668"/>
      <w:bookmarkEnd w:id="669"/>
      <w:r>
        <w:rPr>
          <w:rtl w:val="true"/>
        </w:rPr>
        <w:t>خاتمة فيها فصلان</w:t>
      </w:r>
      <w:r>
        <w:rPr>
          <w:rtl w:val="true"/>
        </w:rPr>
        <w:t>:</w:t>
      </w:r>
      <w:bookmarkEnd w:id="670"/>
    </w:p>
    <w:p>
      <w:pPr>
        <w:pStyle w:val="Heading4"/>
        <w:numPr>
          <w:ilvl w:val="3"/>
          <w:numId w:val="1"/>
        </w:numPr>
        <w:rPr/>
      </w:pPr>
      <w:bookmarkStart w:id="671" w:name="__RefHeading___Toc2354899_3650668749"/>
      <w:bookmarkStart w:id="672" w:name="_Toc246"/>
      <w:bookmarkEnd w:id="671"/>
      <w:r>
        <w:rPr>
          <w:rtl w:val="true"/>
        </w:rPr>
        <w:t>اشارة</w:t>
      </w:r>
      <w:bookmarkEnd w:id="672"/>
    </w:p>
    <w:p>
      <w:pPr>
        <w:pStyle w:val="Heading4"/>
        <w:numPr>
          <w:ilvl w:val="3"/>
          <w:numId w:val="1"/>
        </w:numPr>
        <w:rPr/>
      </w:pPr>
      <w:bookmarkStart w:id="673" w:name="__RefHeading___Toc2354901_3650668749"/>
      <w:bookmarkStart w:id="674" w:name="_Toc247"/>
      <w:bookmarkEnd w:id="673"/>
      <w:r>
        <w:rPr>
          <w:rtl w:val="true"/>
        </w:rPr>
        <w:t>الأوّل</w:t>
      </w:r>
      <w:r>
        <w:rPr>
          <w:rtl w:val="true"/>
        </w:rPr>
        <w:t xml:space="preserve">: </w:t>
      </w:r>
      <w:r>
        <w:rPr>
          <w:rtl w:val="true"/>
        </w:rPr>
        <w:t>في كتاب قاضٍ إلى قاضٍ‌</w:t>
      </w:r>
      <w:bookmarkEnd w:id="674"/>
    </w:p>
    <w:p>
      <w:pPr>
        <w:pStyle w:val="Heading5"/>
        <w:numPr>
          <w:ilvl w:val="4"/>
          <w:numId w:val="1"/>
        </w:numPr>
        <w:rPr/>
      </w:pPr>
      <w:bookmarkStart w:id="675" w:name="__RefHeading___Toc2354903_3650668749"/>
      <w:bookmarkStart w:id="676" w:name="_Toc248"/>
      <w:bookmarkEnd w:id="675"/>
      <w:r>
        <w:rPr>
          <w:rtl w:val="true"/>
        </w:rPr>
        <w:t>اشارة</w:t>
      </w:r>
      <w:bookmarkEnd w:id="67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ينفذ الحكم ولا تفصل الخصومة إلا بالإنشاء لفظاً، ولا عبرة بالإنشاء كتباً، فلو كتب قاضٍ إلى قاضٍ آخر بالحكم وأراد الإنشاء بالكتابة، لا يجوز للثاني إنفاذه وإن علم بأنّ الكتابة له وعلم بقصده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677" w:name="__RefHeading___Toc2354905_3650668749"/>
      <w:bookmarkStart w:id="678" w:name="_Toc249"/>
      <w:bookmarkEnd w:id="677"/>
      <w:r>
        <w:rPr>
          <w:rtl w:val="true"/>
        </w:rPr>
        <w:t>وجوب إنشاء الحكم للقاضي وكونه باللفظ فقط</w:t>
      </w:r>
      <w:bookmarkEnd w:id="6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البحث في الفصل الأوّل في كتاب قاض إلى قاض</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وكمثال نقول يكتب أحد من القضاة إلى قاض آخر أنّ زيداً جاء في المحكمة وادّعى على عمرو بمال وأقام على ذلك بيّنة وثبت لي أنّ عمرواً كان مديوناً له فحكمت بذلك وأرسلت الحكم إلى قاض آخر، فهل جاز للآخر إنفاذه والحكم بصحّته مع عدم علمه بالشهود وكيفية ثبوت الدعوى وهل له الأمر بإجرائه أم لا؟</w:t>
      </w:r>
    </w:p>
    <w:p>
      <w:pPr>
        <w:pStyle w:val="BookText"/>
        <w:rPr/>
      </w:pPr>
      <w:r>
        <w:rPr>
          <w:rFonts w:ascii="Amiri" w:hAnsi="Amiri" w:eastAsia="Amiri" w:cs="Amiri"/>
          <w:color w:val="111111"/>
          <w:sz w:val="28"/>
          <w:sz w:val="28"/>
          <w:szCs w:val="28"/>
          <w:rtl w:val="true"/>
          <w:lang w:bidi="ar-SA"/>
        </w:rPr>
        <w:t>فقبل الشروع في البحث عن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مسألة ذكرها في المسألة الثالثة من القول في الجواب بالإقرار، وهي معنى إنشاء الحكم وأنّه لا بدّ للإنشاء كونه باللفظ، ولكن أعادها هنا تأكيداً لعدم العبرة بالكتابة في إنشاء الحكم، وأنّ المكتوب لا يكون حكماً إنشائياً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علم القاضي الآخر أنّ الكتابة كانت له وعلم أنّه كتبه لإنشاء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اصول البحث في القضاء فلم جعله في الخاتمة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الحقيقة المسألة الاولى كانت مقدّمة للبحث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ينفذ الحكم ولا تفصل الخصومة إلا بالإنشاء</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مقصوده أنّ القاضي إذا طرح الدعوى عنده في المحكمة وأحضر المدّعى عليه وأنكر الدعوى ثمّ أقام المدّعي البيّنة المقبولة عند الحاكم، بحيث ثبت عند القاضي كونه مديوناً مثلًا وثبت الحقّ عنده لا يصدق على ثبوت الحقّ ووضوحه عنده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نافذاً، ولا تفصل به 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إذا علم قاضي إجراء الأحكام ذلك من القاضي لا يجوز له إجرائه وترتيب الأثر عليه فإنّه ليس بحكم، بل لا بدّ للقاضي من إبراز الحكم وإنشائه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والإنشاء مقابل الأخبار، والمراد من الأخبار حكاية أمر تحقّق في السابق أو يأتي، ويتحقّق في اللاحق مثل الأخبار بمجي‌ء زيد أمس أو مجيئه غداً، والإنشاء إيجاد أمر لا يكون موجوداً ومتحقّقاً قبلًا؛ مثل إيجاد البيع وإنشائه بقوله بعت فمبادلة المال بالمال لا يكون موجوداً، بل أوجده بهذا اللفظ، فصار المبيع للمشتري والثمن للبايع في وعاء الاعتبار، فقوله بعت إخباراً؛ أو أنكحت بقصد الإخبار؛ معناه تحقّق البيع منه أو النكاح قبلًا في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 بعت أو أنكحت إنشاءً يراد به إيجاد البيع والنكاح في وعاء</w:t>
      </w:r>
    </w:p>
    <w:p>
      <w:pPr>
        <w:pStyle w:val="BookText"/>
        <w:rPr/>
      </w:pPr>
      <w:r>
        <w:rPr>
          <w:rFonts w:ascii="Amiri" w:hAnsi="Amiri" w:eastAsia="Amiri" w:cs="Amiri"/>
          <w:color w:val="111111"/>
          <w:sz w:val="28"/>
          <w:sz w:val="28"/>
          <w:szCs w:val="28"/>
          <w:rtl w:val="true"/>
          <w:lang w:bidi="ar-SA"/>
        </w:rPr>
        <w:t>الاعتبار أمراً لا يكون متحقّقاً قبلًا، فإنشاء الحكم من القاضي يعني إنشاء ما ثبت عنده من الحقّ في المحكمة وإيجاده في عالم الاعتبار مثل الحكم بتحقّق بيع أو عقد أو إيقاع أو الإلزام بأداء دين وثبوت حقّ على عهدة شخص وأمثال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حاصله أنّه يعتبر في الإنشاء أن يكون باللفظ؛ يعني يعتبر الإنشاء القولي ولا عبرة بالإنشاء الكتبي أو الإنشاء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فلعلّ الوجه فيه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حكم بحكمنا فلم يقبل منه إنّما بحكم الله استخفّ وعلينا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 إلى الإنشاء باللفظ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حكمت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ألزمت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ممّا يفيد إنشاء ما ثبت عنده من الحقّ، ولو شككنا شموله للكتابة أو الفعل فالأصل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قال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كتب قاضٍ إلى قاضٍ آخر بالحكم وأراد الإنشاء بالكتابة، لا يجوز للثاني إنفاذه وإن علم بأنّ الكتابة له وعلم بقصده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مقصوده أنّ عدم العبرة بالكتابة ليس من جهة احتمال الجعل والتزوير فيها، أو من جهة احتمال عدم قصد القاضي للإنشاء، بل لا عبرة لها وإن علم أنّ المكتوب بخطّ القاضي الأوّل ولا تزوير فيه وعلم أنّه كتب بقصد إنشاء الحكم، بل الوجه فيه أنّ الإنشاء الكتبي ليس بإنشاء وليس بحكم فلا يترتّب عليها الأثر</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الخدشة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إنشاء الكتبي أيضاً إنشاء وحكم عرفاً ويصدق عليه أنّه حكم بذلك عند العرف وكذلك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إذا كان جمع حاضراً في مجلس القضاء وكان المتنازعين جالساً في مقابله وتمّت القضاء وأقام الشهادة أو اليمين واستدعيا منه الحكم فأخذ القاضي ورقة وكتب عليه أنّه ثبت عندي الحقّ بكذا وحكمت بكذا وأعطاه الطرفين، فهل يصدق عليه أنّه حكم في القضيّة</w:t>
      </w:r>
    </w:p>
    <w:p>
      <w:pPr>
        <w:pStyle w:val="BookText"/>
        <w:rPr/>
      </w:pPr>
      <w:r>
        <w:rPr>
          <w:rFonts w:ascii="Amiri" w:hAnsi="Amiri" w:eastAsia="Amiri" w:cs="Amiri"/>
          <w:color w:val="111111"/>
          <w:sz w:val="28"/>
          <w:sz w:val="28"/>
          <w:szCs w:val="28"/>
          <w:rtl w:val="true"/>
          <w:lang w:bidi="ar-SA"/>
        </w:rPr>
        <w:t>وتمّت المحاكمة أو لا؟ وهل الجالسين المنتظرين لأن يقول القاضي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يرضون بذلك؛ أو يكتفون بالكتابة ويتلقونه حكماً ويترتّبون عليه الأثر؟</w:t>
      </w:r>
    </w:p>
    <w:p>
      <w:pPr>
        <w:pStyle w:val="BookText"/>
        <w:rPr/>
      </w:pPr>
      <w:r>
        <w:rPr>
          <w:rFonts w:ascii="Amiri" w:hAnsi="Amiri" w:eastAsia="Amiri" w:cs="Amiri"/>
          <w:color w:val="111111"/>
          <w:sz w:val="28"/>
          <w:sz w:val="28"/>
          <w:szCs w:val="28"/>
          <w:rtl w:val="true"/>
          <w:lang w:bidi="ar-SA"/>
        </w:rPr>
        <w:t>وكذا لو كان النزاع على عين بين يدي الحاكم فبعد ثبوت الحقّ عنده إذا أخذ الحاكم العين وأعطاها المدّعي فهل يصدق أنّه حكم بكون العين للمدّعي أم لا؟</w:t>
      </w:r>
    </w:p>
    <w:p>
      <w:pPr>
        <w:pStyle w:val="BookText"/>
        <w:rPr/>
      </w:pPr>
      <w:r>
        <w:rPr>
          <w:rFonts w:ascii="Amiri" w:hAnsi="Amiri" w:eastAsia="Amiri" w:cs="Amiri"/>
          <w:color w:val="111111"/>
          <w:sz w:val="28"/>
          <w:sz w:val="28"/>
          <w:szCs w:val="28"/>
          <w:rtl w:val="true"/>
          <w:lang w:bidi="ar-SA"/>
        </w:rPr>
        <w:t>الظاهر الصدق العرفي ويصدق على هذا الفعل من الحاكم أنّه حكم بكون المال لزيد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اختلف في آخر شهر رمضان وجمع حاضرون عند الفقيه وهو سيعلم منهم الشهادة على رؤية الهلال، ويتحقّق له ذلك فبعد شهادة جمع منهم بالرؤية إن أخذ الفقيه تمرة ووضعه في فمه عندهم وأكل، فهل ترى أنّهم يكبّرون ويصلّون ويفرحون ويبارك بعضهم ببعض بحضور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ويكتفون من القضيّة بإنشاء الحكم بثبوت العيد عنده بالفعل أم ينتظرون الإنشاء القولي؟</w:t>
      </w:r>
    </w:p>
    <w:p>
      <w:p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يكفي فيه الفعل الدالّ إذا قصد به الإنشاء كما إذا أمر ببيع مال المحكوم عليه أو أخذ ماله ودفعه إلى المحكوم له</w:t>
      </w:r>
      <w:r>
        <w:rPr>
          <w:rFonts w:eastAsia="Amiri" w:cs="Amiri" w:ascii="Amiri" w:hAnsi="Amiri"/>
          <w:color w:val="111111"/>
          <w:sz w:val="28"/>
          <w:szCs w:val="28"/>
          <w:rtl w:val="true"/>
          <w:lang w:bidi="ar-SA"/>
        </w:rPr>
        <w:t>»</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المتعارف في المحاكم القانوني الآن هو أن يكتب القاضي ما ثبت عنده ووصل إليه من الحقّ من ثبوت دين أو خسارة على شخص أو ثبوت الحدّ أو القصاص على أحد أو البراءة من الاتّهام مثلًا؛ وأبلغه إلى طرفي النزاع أو المحكوم عليه، أو أرسله إلى قاضي إجراء الأحكام، وهو أجراه بلا تفحّص وتحقيق ولم يسئل أنّه حكم أم لا ولا يعترّض أحد بذلك بأن يستشكل عليه أنّه ليس بحكم مثلًا، فيعلم من ذلك أنّه متعارف وصدق الحكم على الكتاب متعارف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إنهاء حكم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الإنشاء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حاكم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بالكتابة أو القول أو الشهادة، فإن كان بالكتابة؛ بأن يكتب إلى حاكم آخر بحكمه، فلا عبرة بها حتّى مع العلم بأنّها له وأراد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القول مشافهة؛ فإن كان شهادة على إنشائه السابق فلا يقبل إلا مع شهادة عادل آخر، وأولى بذلك 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ثبت عندي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الإنشاء بحضور الثاني؛ بأن كان الثاني حاضراً في مجلس الحكم فقضى الأوّل، فهو خارج عن محطّ البحث، لكن يجب إنفاذه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شهادة البيّنة على حكمه فمقبولة يجب الإنفاذ على حاكم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علم حكم الحاكم بالتواتر أو قرائن قطعية أو إقرار المتخاصمين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إنفاذ حكم الحاكم أجنبيّ عن حكم الحاكم الثاني في الواقعة؛ لأنّ قطع الخصومة حصل بحكم الأوّل، وإنّما أنفذه وأمضاه الحاكم الآخر ليجريه الولاة والامراء، ولا أثر له بحسب الواقعة، فإنّ إنفاذه وعدم إنفاذه بعد تمامية موازين القضاء في الأوّل سواء، وليس له الحكم في الواقعة لعدم علمه وعدم تحقّق موازين القضاء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فيما ذكرناه بين حقوق الله تعالى وحقوق الناس، إلا في الثبوت بالبيّنة، فإنّ الإنفاذ بها فيها محلّ إشكال والأشبه عدمه</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جواز شهادة البيّنة ولا في قبولها هنا، غير ما يعتبر فيهما في سائر المقامات، فلا يعتبر إشهادهما على حكمه وقضائه في التحمّل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يعتبر في قبول شهادتهما إشهادهما على الحكم، ولا حضورهما في مجلس الخصومة وسماعهما شهادة الشهود، بل المعتبر</w:t>
      </w:r>
    </w:p>
    <w:p>
      <w:pPr>
        <w:pStyle w:val="BookText"/>
        <w:rPr/>
      </w:pPr>
      <w:r>
        <w:rPr>
          <w:rFonts w:ascii="Amiri" w:hAnsi="Amiri" w:eastAsia="Amiri" w:cs="Amiri"/>
          <w:color w:val="111111"/>
          <w:sz w:val="28"/>
          <w:sz w:val="28"/>
          <w:szCs w:val="28"/>
          <w:rtl w:val="true"/>
          <w:lang w:bidi="ar-SA"/>
        </w:rPr>
        <w:t>شهودهما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الحاكم حكم بذلك، بل يكفي علمهما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يحضر الشاهدان الخصومة، فحكى الحاكم لهما الواقعة وصورة الحكم، وسمّى المتحاكمين بأسمائهما وآبائهما وصفاتهما، وأشهدهما على الحكم، فالأولى القبول؛ لأنّ إخباره كحكمه ماضٍ، والأشبه عدم القبول إلا بضمّ عادل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أنشأ الحكم بعد الإنشاء في مجلس الخصومة، فجواز الشهادة بالحكم بنحو الإطلاق مشكل بل ممنوع، والشهادة بنحو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يكن إنشاء مجلس الخصومة ولا إنشاء الرافع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جائزة، لكن إنفاذه للحاكم الآخر مشكل بل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يكون حكم الحاكم بين المتخاصمين مع حضورهما، وبين حكمه على الغائب بعد إقامة المدّعي البيّنة، فالتحمّل فيهما والشهادة وشرائط القبول واحد، ولا بدّ للشاهدين من حفظ جميع خصوصيات المدّعي والمدّعى عليه بما يخرجهما عن الإبهام، وحفظ المدّعى به بخصوصياته المخرجة عن الإبهام، وحفظ الشاهدين وخصوصياتهما كذلك فيما يحتاج إليه، كالحكم على الغائب وأنّه على 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اشتبه الأمر على الحاكم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ضبط الشهود له ما يرفع به الإبهام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أوقف الحكم حتّى يتّضح الأمر بتذكّرهما أو بشهادة غيرهما</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تغيّرت حال الحاكم الأوّل بعد حكمه بموت أو جنون، لم</w:t>
      </w:r>
      <w:bookmarkStart w:id="679" w:name="pg1791_16375"/>
    </w:p>
    <w:p>
      <w:pPr>
        <w:pStyle w:val="BookText"/>
        <w:rPr/>
      </w:pPr>
      <w:bookmarkEnd w:id="679"/>
      <w:r>
        <w:rPr>
          <w:rFonts w:ascii="Amiri" w:hAnsi="Amiri" w:eastAsia="Amiri" w:cs="Amiri"/>
          <w:color w:val="111111"/>
          <w:sz w:val="28"/>
          <w:sz w:val="28"/>
          <w:szCs w:val="28"/>
          <w:rtl w:val="true"/>
          <w:lang w:bidi="ar-SA"/>
        </w:rPr>
        <w:t>يقدح ذلك في العمل بحكمه وفي لزوم إنفاذه على حاكم آخر؛ لو توقّف استيفاء الحقّ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تغيّرت بفسق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يعمل بحكمه، أو يفصّل بين ظهور الفسق قبل إنفاذه فلم يعمل أو بعده فيعمل، والأشبه العمل مطلقاً كسائر العوارض وجواز إنفاذه أو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 المدّعى‌عليه عند الحاكم الثاني بأنّه المحكوم عليه وهو المشهود عليه، ألزمه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أنكر، فإن كانت شهادة الشهود على عينه لم يسمع منه والزم، وكذا لو كانت على وصف لا ينطبق إلا عليه، وكذا فيما ينطبق عليه إلا نادراً؛ بحيث لا يعتني باحتماله العقلاء، وكان الانطباق عليه ممّا يطمأنّ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الوصف على وجه قابل للانطباق على غيره وعليه فالقول قوله بيمينه، وعلى المدّعي إقامة البيّنة بأنّه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في هذه الصورة عدم صحّة الحكم؛ لكونه من قبيل القضاء بالمبهم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680" w:name="__RefHeading___Toc2354907_3650668749"/>
      <w:bookmarkStart w:id="681" w:name="_Toc250"/>
      <w:bookmarkEnd w:id="680"/>
      <w:r>
        <w:rPr>
          <w:rtl w:val="true"/>
        </w:rPr>
        <w:t>في كتاب قاضٍ إلى قاضٍ وبيان الوجه فيه‌</w:t>
      </w:r>
      <w:bookmarkEnd w:id="681"/>
    </w:p>
    <w:p>
      <w:pPr>
        <w:pStyle w:val="Heading6"/>
        <w:numPr>
          <w:ilvl w:val="5"/>
          <w:numId w:val="1"/>
        </w:numPr>
        <w:rPr/>
      </w:pPr>
      <w:bookmarkStart w:id="682" w:name="__RefHeading___Toc2354909_3650668749"/>
      <w:bookmarkStart w:id="683" w:name="_Toc251"/>
      <w:bookmarkEnd w:id="682"/>
      <w:r>
        <w:rPr>
          <w:rtl w:val="true"/>
        </w:rPr>
        <w:t>اشارة</w:t>
      </w:r>
      <w:bookmarkEnd w:id="6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 إنهاء حكم الحاكم بعد صدوره منه لفظاً بناءً على اختصاصه بالقولي أو بغيره من الكتبي أو الفعلي بناءً على ما قلنا من صحّتهما إلى حاكم آخر، بأحد طرق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بالكتابة، وإمّا بالقول، وإمّا بالشهادة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الورود في بيان الطرق الثلاث ولتوضيحها لا بدّ لنا من بيان أمرين</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وجه الحاجة إلى إنهاء حكم الحاكم إلى حاكم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Style w:val="FootnoteAnchor"/>
          <w:rtl w:val="true"/>
        </w:rPr>
        <w:footnoteReference w:id="1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ممّا تمسّ الحاجة إليه، إذ احتياج أرباب الحقوق إلى إثباتها في البلاد المتباعدة غالباً، وتكليف شهود الأصل التنقّل إلى تلك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حاكم فيها وأمكن تزكية الشهود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متعذّر أو متعسّر، فلا بدّ من وسيلة إلى استيفائها مع تباعد الغرماء، ولا وسيلة إلى رفع الأحكام إلى الحكّام، ولأنّه لو لم يشرع إنهاء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الحكّام لينفذوها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الحجج مع تطاول المدد التي يموت فيها الحاكم وشهود الأصل وفروعهم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المنع من ذلك يؤدّي إلى استمرار الخصومة في الواقعة الواحدة بأن يرافعه المحكوم عليه إلى آخر، فإن لم ينفذ الثاني ما حكم به الأوّل اتّصلت المنازعة، انتهى</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الحاجة قد تمسّ إلى ذلك وبدونه لا يمكن استيفاء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وكمثال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زيد على عمرو في المحكمة بدين وأقام بذلك البيّنة وثبت عند الحاكم الدين فحكم على عمرو بذلك ولكن عمرو سافر إلى بلد آخر وأقام فيه وله في تلك البلد مال كثير</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فحينئذٍ لا طريق لزيد إلى الوصول إلى حقّه إلا أن يكتب القاضي ما وقع في المحكمة وحكمه على عمرو بدين، وإرساله إلى القاضي في ذلك البلد لينفذه، ويأمر بإجرائه واستيفائه حقّ زيد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لو ثبت في المحكمة أنّ زيداً قاتل عمرو مثلًا وحكم بالقصاص، ثمّ فرّ زيد إلى بلد آخر وأقام فيه، فلا بدّ أيضاً من إنهاء القاضي كتابة إلى قاضي ذاك البلد ببيان الحكم حتّى ينفذه ويجريه في</w:t>
      </w:r>
    </w:p>
    <w:p>
      <w:pPr>
        <w:pStyle w:val="BookText"/>
        <w:rPr/>
      </w:pPr>
      <w:r>
        <w:rPr>
          <w:rFonts w:ascii="Amiri" w:hAnsi="Amiri" w:eastAsia="Amiri" w:cs="Amiri"/>
          <w:color w:val="111111"/>
          <w:sz w:val="28"/>
          <w:sz w:val="28"/>
          <w:szCs w:val="28"/>
          <w:rtl w:val="true"/>
          <w:lang w:bidi="ar-SA"/>
        </w:rPr>
        <w:t>ذاك البلد، وكذا في الحكم على الغائب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التنفيذي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أنّ الهدف والغرض من الإنهاء هل هو إنفاذ الحاكم الثاني حكم الحاكم الأوّل والأمر بإجرائه، أو إنشاء الحكم من الحاكم الثاني مستقلًا طبق حكم الحاكم الأوّل وهذا يسمّي بالقضاء التنفيذي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يظهر من كلمات الأعلام والمشهور من التعبير بالإنفاذ هو الأوّل يعني يكون الهدف إنفاذ الحاكم الثاني حكم الحاكم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وجه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القاضي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حكمه 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بكذا يجب إنفاده وإجراؤه من غير توقّف</w:t>
      </w:r>
      <w:r>
        <w:rPr>
          <w:rFonts w:eastAsia="Amiri" w:cs="Amiri" w:ascii="Amiri" w:hAnsi="Amiri"/>
          <w:color w:val="111111"/>
          <w:sz w:val="28"/>
          <w:szCs w:val="28"/>
          <w:rtl w:val="true"/>
          <w:lang w:bidi="ar-SA"/>
        </w:rPr>
        <w:t>»</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الإنفاذ ليس الإرشاد إلى العمل بحكم حاكم الأوّل، كما هو شأن نقلة فتاوى الفقهاء إلى العوامّ فإنّهم يرشدون المقلّدين إلى العمل بفتاوى مقلّديهم، بل المراد من الإنفاذ الحكم ثانياً بوجوب إطاعة حكم الأوّل ولزوم تطبيقه حتّى ينقطع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غضّ النظر عن صحّته وسقمه، فله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امتثال الحكم بكون المال لزيد ويأمر بأخذ المال من عمرو ودفعه إلى زيد وإن كان لا علم له بصحّة هذا الحكم، بل لعلّه كان مخالفاً لنظره الاجتهادي مثلًا</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والدليل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حكم بحكمنا فلم يقبل منه، فإنّما استخفّ بحكم الله، وعلينا ردّ، والرادّ علينا الرادّ على الله، وهو على حدّ الشرك بالله</w:t>
      </w:r>
      <w:r>
        <w:rPr>
          <w:rFonts w:eastAsia="Amiri" w:cs="Amiri" w:ascii="Amiri" w:hAnsi="Amiri"/>
          <w:color w:val="111111"/>
          <w:sz w:val="28"/>
          <w:szCs w:val="28"/>
          <w:rtl w:val="true"/>
          <w:lang w:bidi="ar-SA"/>
        </w:rPr>
        <w:t>»</w:t>
      </w:r>
      <w:r>
        <w:rPr>
          <w:rStyle w:val="FootnoteAnchor"/>
          <w:rtl w:val="true"/>
        </w:rPr>
        <w:footnoteReference w:id="1325"/>
      </w:r>
      <w:r>
        <w:rPr>
          <w:rFonts w:ascii="Amiri" w:hAnsi="Amiri" w:eastAsia="Amiri" w:cs="Amiri"/>
          <w:color w:val="111111"/>
          <w:sz w:val="28"/>
          <w:sz w:val="28"/>
          <w:szCs w:val="28"/>
          <w:rtl w:val="true"/>
          <w:lang w:bidi="ar-SA"/>
        </w:rPr>
        <w:t xml:space="preserve">فإنّ مفاده أنّ حكمه حكمهم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اطاعته ولا يجوز ردّه</w:t>
      </w:r>
      <w:r>
        <w:rPr>
          <w:rFonts w:eastAsia="Amiri" w:cs="Amiri" w:ascii="Amiri" w:hAnsi="Amiri"/>
          <w:color w:val="111111"/>
          <w:sz w:val="28"/>
          <w:szCs w:val="28"/>
          <w:rtl w:val="true"/>
          <w:lang w:bidi="ar-SA"/>
        </w:rPr>
        <w:t>.</w:t>
      </w:r>
      <w:bookmarkStart w:id="684" w:name="pg1791_16385"/>
    </w:p>
    <w:p>
      <w:pPr>
        <w:pStyle w:val="Heading6"/>
        <w:numPr>
          <w:ilvl w:val="5"/>
          <w:numId w:val="1"/>
        </w:numPr>
        <w:rPr/>
      </w:pPr>
      <w:bookmarkStart w:id="685" w:name="__RefHeading___Toc2354911_3650668749"/>
      <w:bookmarkStart w:id="686" w:name="_Toc252"/>
      <w:bookmarkEnd w:id="684"/>
      <w:bookmarkEnd w:id="685"/>
      <w:r>
        <w:rPr>
          <w:rtl w:val="true"/>
        </w:rPr>
        <w:t>في عدم جواز الحكم من الثاني باستناد حكم الأوّل‌</w:t>
      </w:r>
      <w:bookmarkEnd w:id="686"/>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الحاكم الثاني يحكم في أصل القضيّة حكماً مستقلًا من عنده بكون المال لزيد مثلًا وكان مستنده حكم الحاكم الأوّل ونظره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له أن يستند إلى البيّنة مثلًا ولا ينافي ظاهر الحصر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أقضي بينكم بالبيّنات والأيمان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حمله على الحصر الإضافي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مستدلّين بأنّ هذا الحكم قول بغير علم، إذ المفروض عدم علمه بكون المال لزيد مثلًا وبأنّ المفروض جهله بملاك حكم الأوّل، فمن الجائز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علم به لخالفه، وعلى هذا فليس له الحكم به كما لا يجوز له الحكم بصحّته أو موافقته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الفاضل النراقي بأنّ حكم الحاكم الثاني ليس قولًا بغير علم، بل حكم مستند إلى حجّة وهي حكم الحاكم الأوّل في الواقعة، فإنّه بمنزلة حكم الله وحكم الأئمّة فهو حجّة، فحينئذٍ فكما يجوز للحاكم الثاني أن يستند إلى البيّنة أو اليمين ونحوهما من الحجج، كذلك له أن يستند إلى هذه الحجّة فيحكم على طبق حكم حاكم الأوّل حكماً مستقلًا له</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 في توجيه هذا المبنى والافتقار إلى حكم الحاكم الثاني بأنّه ربّما تمسّ الحاجة إلى حكمه لأجل شدّة اقتداره وقوّته على إجراء حكمه دون القاضي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لأجل أنّ المتخاصمين لهما أو لأحدهما مناقشة في الحكم الأوّل من جهة عدالة القاضي أو علمه مثلًا مع ثبوت كلاهما عند القاضي</w:t>
      </w:r>
    </w:p>
    <w:p>
      <w:pPr>
        <w:pStyle w:val="BookText"/>
        <w:rPr/>
      </w:pPr>
      <w:r>
        <w:rPr>
          <w:rFonts w:ascii="Amiri" w:hAnsi="Amiri" w:eastAsia="Amiri" w:cs="Amiri"/>
          <w:color w:val="111111"/>
          <w:sz w:val="28"/>
          <w:sz w:val="28"/>
          <w:szCs w:val="28"/>
          <w:rtl w:val="true"/>
          <w:lang w:bidi="ar-SA"/>
        </w:rPr>
        <w:t>التنفيذي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لأجل ضعف القاضي الأوّل وعدم بناء الثاني الأعلى إجراء حكم نفسه أو لغير ذلك</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على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حكم بحكمنا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حكمه بمنزلة حكمهم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إطاعته وعدم جواز نقضه وردّه لتحقّق الفصل ورفع النزاع، أمّا كونه حجّة يصحّ الاستناد به في القضاء والحكم غير معلوم، مع عدم علم القاضي الثاني بكونه مطابقاً للواقع وعدم علمه بصحّته وكونه مطابقاً لنظره الاجتهادي، فيشمله النهي عن القول بغير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فتوى المجتهد التي تكون حجّة له ولمقلّديه، ويجب امتثاله واطاعته ولكن لا يصحّ للمجتهد الآخر الفتوى باستناده بلا إشكال</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لغواً لعدم الاحتياج إليه، فإنّه إذا ثبت عند القاضي الثاني حكم القاضي الأوّل وأنفذه وأمر بإجرائه فيتمّ المقصود ولا حاجة إلى تشكيل المحكمة، والحكم في القضية بمحكومية زيد مثلًا بكذا أو ببرائته عن كذا باستناد حكم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الذي اختاره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الثالثة التي أردفها بعد هذه المسألة الثانية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 إنفاذ حكم الحاكم أجنبيّ عن حكم الحاكم الثاني في الواقعة</w:t>
      </w:r>
      <w:r>
        <w:rPr>
          <w:rFonts w:eastAsia="Amiri" w:cs="Amiri" w:ascii="Amiri" w:hAnsi="Amiri"/>
          <w:color w:val="111111"/>
          <w:sz w:val="28"/>
          <w:szCs w:val="28"/>
          <w:rtl w:val="true"/>
          <w:lang w:bidi="ar-SA"/>
        </w:rPr>
        <w:t>»</w:t>
      </w:r>
      <w:r>
        <w:rPr>
          <w:rStyle w:val="FootnoteAnchor"/>
          <w:rtl w:val="true"/>
        </w:rPr>
        <w:footnoteReference w:id="1328"/>
      </w:r>
      <w:r>
        <w:rPr>
          <w:rFonts w:ascii="Amiri" w:hAnsi="Amiri" w:eastAsia="Amiri" w:cs="Amiri"/>
          <w:color w:val="111111"/>
          <w:sz w:val="28"/>
          <w:sz w:val="28"/>
          <w:szCs w:val="28"/>
          <w:rtl w:val="true"/>
          <w:lang w:bidi="ar-SA"/>
        </w:rPr>
        <w:t>، يعني أنّ إنفاذ الحكم غير الحكم في الواقعة والشأن للحاكم الثاني هو إنفاذ حكم الأوّل دون أن يحكم حكماً مستقلًا في الواقعة، ولو كان مطابقاً لحكم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قطع الخصومة حصل</w:t>
      </w:r>
      <w:bookmarkStart w:id="687" w:name="pg1791_16392"/>
    </w:p>
    <w:p>
      <w:pPr>
        <w:pStyle w:val="BookText"/>
        <w:rPr/>
      </w:pPr>
      <w:bookmarkEnd w:id="687"/>
      <w:r>
        <w:rPr>
          <w:rFonts w:ascii="Amiri" w:hAnsi="Amiri" w:eastAsia="Amiri" w:cs="Amiri"/>
          <w:color w:val="111111"/>
          <w:sz w:val="28"/>
          <w:sz w:val="28"/>
          <w:szCs w:val="28"/>
          <w:rtl w:val="true"/>
          <w:lang w:bidi="ar-SA"/>
        </w:rPr>
        <w:t>بحكم الأوّل، و إنّما أنفذه وأمضاه الحاكم الآخر ليجريه الولاة والامراء، ولا أثر له بحسب الواقعة، فإنّ إنفاذه وعدم إنفاذه بعد تماميّة موازين القضاء في الأوّل سواء، وليس له الحكم في الواقعة لعدم علمه وعدم تحقّق موازين القضاء عنده</w:t>
      </w:r>
      <w:r>
        <w:rPr>
          <w:rFonts w:eastAsia="Amiri" w:cs="Amiri" w:ascii="Amiri" w:hAnsi="Amiri"/>
          <w:color w:val="111111"/>
          <w:sz w:val="28"/>
          <w:szCs w:val="28"/>
          <w:rtl w:val="true"/>
          <w:lang w:bidi="ar-SA"/>
        </w:rPr>
        <w:t>»</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88" w:name="__RefHeading___Toc2354913_3650668749"/>
      <w:bookmarkStart w:id="689" w:name="_Toc253"/>
      <w:bookmarkEnd w:id="688"/>
      <w:r>
        <w:rPr>
          <w:rtl w:val="true"/>
        </w:rPr>
        <w:t>عدم الثمرة في البحث عن طرق إنهاء حكم الحاكم إلى حاكم آخر</w:t>
      </w:r>
      <w:bookmarkEnd w:id="689"/>
    </w:p>
    <w:p>
      <w:pPr>
        <w:pStyle w:val="BookText"/>
        <w:rPr/>
      </w:pPr>
      <w:r>
        <w:rPr>
          <w:rFonts w:ascii="Amiri" w:hAnsi="Amiri" w:eastAsia="Amiri" w:cs="Amiri"/>
          <w:color w:val="111111"/>
          <w:sz w:val="28"/>
          <w:sz w:val="28"/>
          <w:szCs w:val="28"/>
          <w:rtl w:val="true"/>
          <w:lang w:bidi="ar-SA"/>
        </w:rPr>
        <w:t xml:space="preserve">ثمّ بعد وضوح الأمرين في المسألة الثانية شرع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أنّ إنهاء حكم الحاكم إلى حاكم آخر إمّا بالكتاب أو بالقول أو بالشهادة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إنهاء حكم حاكم إلى حاكم آخر بأحد الطرق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بالكتاب، أو بالقول، أو بالشهادة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مربوط بعصر ينصب القضاة في كلّ بلد من جانب الوالي في هذا البلد، ويحكم كلّ واحد منهم باجتهاده ونظره، ولا يرتبط قاضي هذا البلد مع القاضي في البلد الآخر، فإذا مسّت الحاجة إلى استيفاء حقّ أو إجراء حكم في بلد آخر، لا بدّ للقاضي في المحكمة أن أنهى حكمه إلى حاكم تلك البلد بأحد الطرق الثلاثة، لينفذه ويجريه استيفاءً للحقوق، فيبحث في كلّ واحد من الطرق في أصل حجّيته وشرائطها أو عدم حجّيته، وكذا سائر المباحث المربوط بذلك</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عصر استقرار النظام القضائي المنسجم والمدوّن والمرتبط في البلاد المربوطة فلا حاجة إلى ذلك، فإنّ القوانين الجارية في هذا النظام واحد والقضاة كانوا في أحكامهم مستندين إلى هذا القانون المدوّن الجاري والحكم بعد</w:t>
      </w:r>
    </w:p>
    <w:p>
      <w:pPr>
        <w:pStyle w:val="BookText"/>
        <w:rPr/>
      </w:pPr>
      <w:r>
        <w:rPr>
          <w:rFonts w:ascii="Amiri" w:hAnsi="Amiri" w:eastAsia="Amiri" w:cs="Amiri"/>
          <w:color w:val="111111"/>
          <w:sz w:val="28"/>
          <w:sz w:val="28"/>
          <w:szCs w:val="28"/>
          <w:rtl w:val="true"/>
          <w:lang w:bidi="ar-SA"/>
        </w:rPr>
        <w:t>صدوره في المحكمة يرسل إلى متولّي الإجراء فلو احتاج استيفاء حقّ إلى إجرائه في بلد آخر يرسل هذا الحكم إلى متولّي الإجراء في ذلك، فهو يجريه كما يجري أحكامه الصادرة من قضاة بلده بلاحاجة إلى إنفاذ الحاكم في ذاك البلد والمرسلات محفوظة مختومة مكتومة لا يصل إليها يد الجعل والتشبيه فتكون مثل الخبر المحفوف بالقرائن</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وكذا لو كان المحكوم عليه في البلد الأجنبيّ فمن أجل ارتباط النظام القضائي الحاكم في البلد مع البلاد الأجنبيّ يرسلون الأحكام إلى الشرطة العالمية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اينترپل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فيرون الحساب البنكي من المتّهم أو المحكوم عليه ويأخذون من حسابه بمقدار المدّعى به، بل يأخذونه ويسجنونه عند الحاجة ويرسلونه إلى بلد الحكم، فمع هذا النظام القضائي المدوّن المعلوم لكلّ البلاد حتّى البلاد الأجانب والمرتبط معها لا يبقى مورد لأنهاء حكم قاض إلى قاض بأحد طرق المذكورة فلا فائدة للبحث عنها بلا شبهة، فالأولى الانصراف من طرحه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ما طرحه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 مسألة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بل أثبتنا نفس المسائل للاطّلاع على ما تفضل به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bookmarkStart w:id="690" w:name="pg1791_16400"/>
    </w:p>
    <w:p>
      <w:pPr>
        <w:pStyle w:val="Heading4"/>
        <w:numPr>
          <w:ilvl w:val="3"/>
          <w:numId w:val="1"/>
        </w:numPr>
        <w:rPr/>
      </w:pPr>
      <w:bookmarkStart w:id="691" w:name="__RefHeading___Toc2354915_3650668749"/>
      <w:bookmarkStart w:id="692" w:name="_Toc254"/>
      <w:bookmarkEnd w:id="690"/>
      <w:bookmarkEnd w:id="691"/>
      <w:r>
        <w:rPr>
          <w:rtl w:val="true"/>
        </w:rPr>
        <w:t>الفصل الثاني</w:t>
      </w:r>
      <w:r>
        <w:rPr>
          <w:rtl w:val="true"/>
        </w:rPr>
        <w:t xml:space="preserve">: </w:t>
      </w:r>
      <w:r>
        <w:rPr>
          <w:rtl w:val="true"/>
        </w:rPr>
        <w:t>في المقاصّة</w:t>
      </w:r>
      <w:bookmarkEnd w:id="692"/>
    </w:p>
    <w:p>
      <w:pPr>
        <w:pStyle w:val="Heading5"/>
        <w:numPr>
          <w:ilvl w:val="4"/>
          <w:numId w:val="1"/>
        </w:numPr>
        <w:rPr/>
      </w:pPr>
      <w:bookmarkStart w:id="693" w:name="__RefHeading___Toc2354917_3650668749"/>
      <w:bookmarkStart w:id="694" w:name="_Toc255"/>
      <w:bookmarkEnd w:id="693"/>
      <w:r>
        <w:rPr>
          <w:rtl w:val="true"/>
        </w:rPr>
        <w:t>اشارة</w:t>
      </w:r>
      <w:bookmarkEnd w:id="694"/>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المقاصّة</w:t>
      </w:r>
      <w:r>
        <w:rPr>
          <w:rStyle w:val="FootnoteAnchor"/>
          <w:rtl w:val="true"/>
        </w:rPr>
        <w:footnoteReference w:id="1330"/>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عدم جواز المقاصّة مع عدم جحود الطرف ولا مماطلته وأدائه عند مطالبته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إشكال في جوازها إذا كان له حقّ على غيره من عين أو دين أو منفعة أو حقّ، وكان جاحداً أو مماطلًا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منكراً لاعتقاد المحقّية، أو كان لا يدري محقّية المدّعي، ففي جواز المقاصّة إشكال، بل الأشبه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غاصباً وأنكر لنسيانه فالظاهر جواز المقاصّة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عنون البحث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331"/>
      </w:r>
      <w:r>
        <w:rPr>
          <w:rFonts w:ascii="Amiri" w:hAnsi="Amiri" w:eastAsia="Amiri" w:cs="Amiri"/>
          <w:color w:val="111111"/>
          <w:sz w:val="28"/>
          <w:sz w:val="28"/>
          <w:szCs w:val="28"/>
          <w:rtl w:val="true"/>
          <w:lang w:bidi="ar-SA"/>
        </w:rPr>
        <w:t>وبعض الكتب</w:t>
      </w:r>
      <w:r>
        <w:rPr>
          <w:rStyle w:val="FootnoteAnchor"/>
          <w:rtl w:val="true"/>
        </w:rPr>
        <w:footnoteReference w:id="1332"/>
      </w:r>
      <w:r>
        <w:rPr>
          <w:rFonts w:ascii="Amiri" w:hAnsi="Amiri" w:eastAsia="Amiri" w:cs="Amiri"/>
          <w:color w:val="111111"/>
          <w:sz w:val="28"/>
          <w:sz w:val="28"/>
          <w:szCs w:val="28"/>
          <w:rtl w:val="true"/>
          <w:lang w:bidi="ar-SA"/>
        </w:rPr>
        <w:t xml:space="preserve">الاخرى الفقهية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التواصل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عنوان عام بالنسبة إلى عنوان المقاصّة ويبحث فيه عن التمييز بين الموارد التي لا بدّ للمستحقّ والمدّعي لاستيفاء حقّه</w:t>
      </w:r>
      <w:bookmarkStart w:id="695" w:name="pg1791_16403"/>
    </w:p>
    <w:p>
      <w:pPr>
        <w:pStyle w:val="BookText"/>
        <w:rPr/>
      </w:pPr>
      <w:bookmarkEnd w:id="695"/>
      <w:r>
        <w:rPr>
          <w:rFonts w:ascii="Amiri" w:hAnsi="Amiri" w:eastAsia="Amiri" w:cs="Amiri"/>
          <w:color w:val="111111"/>
          <w:sz w:val="28"/>
          <w:sz w:val="28"/>
          <w:szCs w:val="28"/>
          <w:rtl w:val="true"/>
          <w:lang w:bidi="ar-SA"/>
        </w:rPr>
        <w:t>بالمراجعة إلى الحاكم عن الموارد التي جاز له الاستيفاء مستقلًا من غير المراجعة إلى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وتفصيله أنّ الحقّ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قسمان إمّا دين، أو عين</w:t>
      </w:r>
      <w:r>
        <w:rPr>
          <w:rFonts w:eastAsia="Amiri" w:cs="Amiri" w:ascii="Amiri" w:hAnsi="Amiri"/>
          <w:color w:val="111111"/>
          <w:sz w:val="28"/>
          <w:szCs w:val="28"/>
          <w:rtl w:val="true"/>
          <w:lang w:bidi="ar-SA"/>
        </w:rPr>
        <w:t>.</w:t>
      </w:r>
    </w:p>
    <w:p>
      <w:pPr>
        <w:pStyle w:val="Heading5"/>
        <w:numPr>
          <w:ilvl w:val="4"/>
          <w:numId w:val="1"/>
        </w:numPr>
        <w:rPr/>
      </w:pPr>
      <w:bookmarkStart w:id="696" w:name="__RefHeading___Toc2354919_3650668749"/>
      <w:bookmarkStart w:id="697" w:name="_Toc256"/>
      <w:bookmarkEnd w:id="696"/>
      <w:r>
        <w:rPr>
          <w:rtl w:val="true"/>
        </w:rPr>
        <w:t>القسم الأوّل</w:t>
      </w:r>
      <w:r>
        <w:rPr>
          <w:rtl w:val="true"/>
        </w:rPr>
        <w:t xml:space="preserve">: </w:t>
      </w:r>
      <w:r>
        <w:rPr>
          <w:rtl w:val="true"/>
        </w:rPr>
        <w:t>فيما إذا كان الحقّ عقوبة</w:t>
      </w:r>
      <w:bookmarkEnd w:id="697"/>
    </w:p>
    <w:p>
      <w:pPr>
        <w:pStyle w:val="Heading6"/>
        <w:numPr>
          <w:ilvl w:val="5"/>
          <w:numId w:val="1"/>
        </w:numPr>
        <w:rPr/>
      </w:pPr>
      <w:bookmarkStart w:id="698" w:name="__RefHeading___Toc2354921_3650668749"/>
      <w:bookmarkStart w:id="699" w:name="_Toc257"/>
      <w:bookmarkEnd w:id="698"/>
      <w:r>
        <w:rPr>
          <w:rtl w:val="true"/>
        </w:rPr>
        <w:t>اشارة</w:t>
      </w:r>
      <w:bookmarkEnd w:id="699"/>
    </w:p>
    <w:p>
      <w:pPr>
        <w:pStyle w:val="BookText"/>
        <w:rPr/>
      </w:pPr>
      <w:r>
        <w:rPr>
          <w:rFonts w:ascii="Amiri" w:hAnsi="Amiri" w:eastAsia="Amiri" w:cs="Amiri"/>
          <w:color w:val="111111"/>
          <w:sz w:val="28"/>
          <w:sz w:val="28"/>
          <w:szCs w:val="28"/>
          <w:rtl w:val="true"/>
          <w:lang w:bidi="ar-SA"/>
        </w:rPr>
        <w:t>أمّا إذا كان الحقّ عقوبة؛ مثل ما إذا كان لرجل على آخر حقّ القصاص والقذف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اتّفق الفقهاء على أنّ المدّعي لا بدّ له من رفع الأمر إلى الحاكم ولا يجوز له الاستقلال في الاستيفاء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333"/>
      </w:r>
      <w:r>
        <w:rPr>
          <w:rFonts w:ascii="Amiri" w:hAnsi="Amiri" w:eastAsia="Amiri" w:cs="Amiri"/>
          <w:color w:val="111111"/>
          <w:sz w:val="28"/>
          <w:sz w:val="28"/>
          <w:szCs w:val="28"/>
          <w:rtl w:val="true"/>
          <w:lang w:bidi="ar-SA"/>
        </w:rPr>
        <w:t>لعظم خطره والاحتياط في إثباته، ولأنّ استيفائه وظيفة الحاكم على ما تقتضيه السياسة وزجر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أنّه لو حوّل ذلك إلى الناس ينتهي الأمر إلى فساد عظيم والهرج والمرج في الاجتماع وربما تراق الدماء من الابرياء باتّهام القصاص وغيره أو وقوع المقاتلة بين طائفتين من المسلمين وينجر إلى إراقة الدماء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334"/>
      </w:r>
      <w:r>
        <w:rPr>
          <w:rFonts w:ascii="Amiri" w:hAnsi="Amiri" w:eastAsia="Amiri" w:cs="Amiri"/>
          <w:color w:val="111111"/>
          <w:sz w:val="28"/>
          <w:sz w:val="28"/>
          <w:szCs w:val="28"/>
          <w:rtl w:val="true"/>
          <w:lang w:bidi="ar-SA"/>
        </w:rPr>
        <w:t>الميل إلى خلاف ذلك، فقد جوّز لوليّ الدم الاستقلال في إجراء القصاص من دون المراجعة إلى الحاكم، بشرط أن يكون الحال معلوماً وكان الخصم مقرّاً بالقتل</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قُتِلَ مَظْلُوماً فَقَدْ جَعَلْنَا لِوَلِيِّهِ سُلْطَاناً فَلا يُسْرِفْ فِي الْقَتْلِ إِنَّهُ كَانَ مَنصُوراً</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bookmarkStart w:id="700" w:name="pg1791_16406"/>
    </w:p>
    <w:p>
      <w:pPr>
        <w:pStyle w:val="BookText"/>
        <w:rPr/>
      </w:pPr>
      <w:bookmarkEnd w:id="700"/>
      <w:r>
        <w:rPr>
          <w:rFonts w:ascii="Amiri" w:hAnsi="Amiri" w:eastAsia="Amiri" w:cs="Amiri"/>
          <w:color w:val="111111"/>
          <w:sz w:val="28"/>
          <w:sz w:val="28"/>
          <w:szCs w:val="28"/>
          <w:rtl w:val="true"/>
          <w:lang w:bidi="ar-SA"/>
        </w:rPr>
        <w:t>بتقريب أنّ جعل السلطان لوليّ الدم شامل لقيامه بالمباشرة أو بالتسبيب، وكذا مقتضى إطلاق تسلّط الناس على استيفاء حقوقهم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المباركة في مقام جعل السلطان للوليّ، وبيان أنّ له حقّ القصاص أمّا الدلالة على الكيفية بأن يعمل الولاية والسلطان بالمباشرة أو بالتسبيب فلا، فلو دلّ دليل على جعل إقامة الحدود والقصاص من وظائف الحاكم فلا ينافي الآية أصلًا، وكذلك قاعدة السلطنة فإنّ سلطنة الناس على استيفاء حقوقهم ليس فيها إطلاق من حيث المباشرة والتسبيب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هو المعروف والمتّفق عليه بين الفقهاء من عدم جواز استيفاء القصاص أو حدّ القذف له من دون المراجعة إلى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بدر ذو الحقّ إلى استيفاء القصاص من القاتل وقتله فلا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القتل كان عدواناً وظلماً، وعليه القصاص؛ لأنّه قد استوفى حقّه لكنّه فعل حراماً من جهة إجرائه من دون المراجعة إلى الحاكم والإذن منه، فيعزّر من هذه الجهة</w:t>
      </w:r>
      <w:r>
        <w:rPr>
          <w:rFonts w:eastAsia="Amiri" w:cs="Amiri" w:ascii="Amiri" w:hAnsi="Amiri"/>
          <w:color w:val="111111"/>
          <w:sz w:val="28"/>
          <w:szCs w:val="28"/>
          <w:rtl w:val="true"/>
          <w:lang w:bidi="ar-SA"/>
        </w:rPr>
        <w:t>.</w:t>
      </w:r>
    </w:p>
    <w:p>
      <w:pPr>
        <w:pStyle w:val="Heading6"/>
        <w:numPr>
          <w:ilvl w:val="5"/>
          <w:numId w:val="1"/>
        </w:numPr>
        <w:rPr/>
      </w:pPr>
      <w:bookmarkStart w:id="701" w:name="__RefHeading___Toc2354923_3650668749"/>
      <w:bookmarkStart w:id="702" w:name="_Toc258"/>
      <w:bookmarkEnd w:id="701"/>
      <w:r>
        <w:rPr>
          <w:rtl w:val="true"/>
        </w:rPr>
        <w:t>في موارد الاستثناء عن الضابطة</w:t>
      </w:r>
      <w:bookmarkEnd w:id="702"/>
    </w:p>
    <w:p>
      <w:pPr>
        <w:pStyle w:val="BookText"/>
        <w:rPr/>
      </w:pPr>
      <w:r>
        <w:rPr>
          <w:rFonts w:ascii="Amiri" w:hAnsi="Amiri" w:eastAsia="Amiri" w:cs="Amiri"/>
          <w:color w:val="111111"/>
          <w:sz w:val="28"/>
          <w:sz w:val="28"/>
          <w:szCs w:val="28"/>
          <w:rtl w:val="true"/>
          <w:lang w:bidi="ar-SA"/>
        </w:rPr>
        <w:t>وقد خرجت من هذا الحكم الكلّي المتّفق عليه موارد جزئية تحت شرائط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رأى شخص رجلًا يزني بزوجته فله قتلهما</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Style w:val="FootnoteAnchor"/>
          <w:rtl w:val="true"/>
        </w:rPr>
        <w:footnoteReference w:id="1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من رأى زوجته تزني فله قتلهما</w:t>
      </w:r>
      <w:r>
        <w:rPr>
          <w:rFonts w:eastAsia="Amiri" w:cs="Amiri" w:ascii="Amiri" w:hAnsi="Amiri"/>
          <w:color w:val="111111"/>
          <w:sz w:val="28"/>
          <w:szCs w:val="28"/>
          <w:rtl w:val="true"/>
          <w:lang w:bidi="ar-SA"/>
        </w:rPr>
        <w:t>»</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في رواية عبدالله بن القاسم الجعفري،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يا رسول الله إن رأيت مع أهلي رجلًا فاقتله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فأين الشهود الأربعة</w:t>
      </w:r>
      <w:r>
        <w:rPr>
          <w:rFonts w:eastAsia="Amiri" w:cs="Amiri" w:ascii="Amiri" w:hAnsi="Amiri"/>
          <w:color w:val="111111"/>
          <w:sz w:val="28"/>
          <w:szCs w:val="28"/>
          <w:rtl w:val="true"/>
          <w:lang w:bidi="ar-SA"/>
        </w:rPr>
        <w:t>»</w:t>
      </w:r>
      <w:r>
        <w:rPr>
          <w:rStyle w:val="FootnoteAnchor"/>
          <w:rtl w:val="true"/>
        </w:rPr>
        <w:footnoteReference w:id="1338"/>
      </w:r>
      <w:r>
        <w:rPr>
          <w:rFonts w:ascii="Amiri" w:hAnsi="Amiri" w:eastAsia="Amiri" w:cs="Amiri"/>
          <w:color w:val="111111"/>
          <w:sz w:val="28"/>
          <w:sz w:val="28"/>
          <w:szCs w:val="28"/>
          <w:rtl w:val="true"/>
          <w:lang w:bidi="ar-SA"/>
        </w:rPr>
        <w:t>، فيظهر منها أنّه لم ينهه عن القتل ولكن قال أين الشهود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حمله الأصحاب على أنّه لا يثبت ذلك في الظاهر ولا تقبل دعوى الزوج إلا ببيّنة أو باللعان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جاز ذلك فيما بينه وبين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يستطع أن يثبت دعواه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من سبّ النبيّ فقد وردت في بعض الروايات أنّه جاز قتله لمن سمعه مطلقاً وفي بعضها إذا لم يخف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يلي نموذجان من الكثير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رواية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رجلًا من هذيل كان يسبّ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لهذا؟ فقام رجلان من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يا رسول الله، فانطلقا حتّى أتيا عربة فسألا عنه فإذا هو يتلقّى غنمه،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أنتما وما اسمكما؟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فنزلا فضربا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لو أنّ رجلًا الآن سبّ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أيقتل؟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تخف على نفسك فاقتله</w:t>
      </w:r>
      <w:r>
        <w:rPr>
          <w:rFonts w:eastAsia="Amiri" w:cs="Amiri" w:ascii="Amiri" w:hAnsi="Amiri"/>
          <w:color w:val="111111"/>
          <w:sz w:val="28"/>
          <w:szCs w:val="28"/>
          <w:rtl w:val="true"/>
          <w:lang w:bidi="ar-SA"/>
        </w:rPr>
        <w:t>»</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ذيل رواية علي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أبي أنّ</w:t>
      </w:r>
      <w:bookmarkStart w:id="703" w:name="pg1791_16412"/>
    </w:p>
    <w:p>
      <w:pPr>
        <w:pStyle w:val="BookText"/>
        <w:rPr/>
      </w:pPr>
      <w:bookmarkEnd w:id="703"/>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 اسوة سواء من سمع أحداً يذكرني فالواجب عليه أن يقتل من شتمني ولا يرفع إلى السلطان والواجب على السلطان إذا رفع إليه أن يقتل من نال منّي</w:t>
      </w:r>
      <w:r>
        <w:rPr>
          <w:rFonts w:eastAsia="Amiri" w:cs="Amiri" w:ascii="Amiri" w:hAnsi="Amiri"/>
          <w:color w:val="111111"/>
          <w:sz w:val="28"/>
          <w:szCs w:val="28"/>
          <w:rtl w:val="true"/>
          <w:lang w:bidi="ar-SA"/>
        </w:rPr>
        <w:t>»</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 خروج هذين الموردين لا يضرّ بالضابطة، والحكم الكلّي وهو أنّ إجراء الحدود من وظائف 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من هذين الموردين يلزم المراجعة إلى الحاكم ليقدم مع إذنه وحكمه على القتل، وإلا فلو لم يستطع على إثبات الزنا في المورد الأوّل، يقتل قصاصاً وفي الثاني الخوف على النفس في زماننا هذا قطعي بلا إشكال، فلا بدّ له لحفظ نفسه أن يرجع إلى الحاكم</w:t>
      </w:r>
      <w:r>
        <w:rPr>
          <w:rFonts w:eastAsia="Amiri" w:cs="Amiri" w:ascii="Amiri" w:hAnsi="Amiri"/>
          <w:color w:val="111111"/>
          <w:sz w:val="28"/>
          <w:szCs w:val="28"/>
          <w:rtl w:val="true"/>
          <w:lang w:bidi="ar-SA"/>
        </w:rPr>
        <w:t>.</w:t>
      </w:r>
    </w:p>
    <w:p>
      <w:pPr>
        <w:pStyle w:val="Heading5"/>
        <w:numPr>
          <w:ilvl w:val="4"/>
          <w:numId w:val="1"/>
        </w:numPr>
        <w:rPr/>
      </w:pPr>
      <w:bookmarkStart w:id="704" w:name="__RefHeading___Toc2354925_3650668749"/>
      <w:bookmarkStart w:id="705" w:name="_Toc259"/>
      <w:bookmarkEnd w:id="704"/>
      <w:r>
        <w:rPr>
          <w:rtl w:val="true"/>
        </w:rPr>
        <w:t>القسم الثاني</w:t>
      </w:r>
      <w:r>
        <w:rPr>
          <w:rtl w:val="true"/>
        </w:rPr>
        <w:t xml:space="preserve">: </w:t>
      </w:r>
      <w:r>
        <w:rPr>
          <w:rtl w:val="true"/>
        </w:rPr>
        <w:t>فيما إذا كان الحقّ ديناً</w:t>
      </w:r>
      <w:bookmarkEnd w:id="705"/>
    </w:p>
    <w:p>
      <w:pPr>
        <w:pStyle w:val="Heading6"/>
        <w:numPr>
          <w:ilvl w:val="5"/>
          <w:numId w:val="1"/>
        </w:numPr>
        <w:rPr/>
      </w:pPr>
      <w:bookmarkStart w:id="706" w:name="__RefHeading___Toc2354927_3650668749"/>
      <w:bookmarkStart w:id="707" w:name="_Toc260"/>
      <w:bookmarkEnd w:id="706"/>
      <w:r>
        <w:rPr>
          <w:rtl w:val="true"/>
        </w:rPr>
        <w:t>اشارة</w:t>
      </w:r>
      <w:bookmarkEnd w:id="707"/>
    </w:p>
    <w:p>
      <w:pPr>
        <w:pStyle w:val="BookText"/>
        <w:rPr/>
      </w:pPr>
      <w:r>
        <w:rPr>
          <w:rFonts w:ascii="Amiri" w:hAnsi="Amiri" w:eastAsia="Amiri" w:cs="Amiri"/>
          <w:color w:val="111111"/>
          <w:sz w:val="28"/>
          <w:sz w:val="28"/>
          <w:szCs w:val="28"/>
          <w:rtl w:val="true"/>
          <w:lang w:bidi="ar-SA"/>
        </w:rPr>
        <w:t>أمّا إذا كان الحقّ مالًا وكان ديناً على عهدة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المديون معترفاً بالدين و كان باذلًا متي أراد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معترفاً غير باذل، بل كان مماطلًا أو كان جاحداً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منكراً لاعتقاد المحقّية للمدّعي أو كان لايدري محقّيته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غاصباً وأنكر لنسيانه</w:t>
      </w:r>
      <w:r>
        <w:rPr>
          <w:rFonts w:eastAsia="Amiri" w:cs="Amiri" w:ascii="Amiri" w:hAnsi="Amiri"/>
          <w:color w:val="111111"/>
          <w:sz w:val="28"/>
          <w:szCs w:val="28"/>
          <w:rtl w:val="true"/>
          <w:lang w:bidi="ar-SA"/>
        </w:rPr>
        <w:t>.</w:t>
      </w:r>
    </w:p>
    <w:p>
      <w:pPr>
        <w:pStyle w:val="Heading6"/>
        <w:numPr>
          <w:ilvl w:val="5"/>
          <w:numId w:val="1"/>
        </w:numPr>
        <w:rPr/>
      </w:pPr>
      <w:bookmarkStart w:id="708" w:name="__RefHeading___Toc2354929_3650668749"/>
      <w:bookmarkStart w:id="709" w:name="_Toc261"/>
      <w:bookmarkEnd w:id="708"/>
      <w:r>
        <w:rPr>
          <w:rtl w:val="true"/>
        </w:rPr>
        <w:t>في بيان الأدلّة الدالّة على مشروعية المقاصّة</w:t>
      </w:r>
      <w:bookmarkEnd w:id="709"/>
    </w:p>
    <w:p>
      <w:pPr>
        <w:pStyle w:val="BookText"/>
        <w:rPr/>
      </w:pPr>
      <w:r>
        <w:rPr>
          <w:rFonts w:ascii="Amiri" w:hAnsi="Amiri" w:eastAsia="Amiri" w:cs="Amiri"/>
          <w:color w:val="111111"/>
          <w:sz w:val="28"/>
          <w:sz w:val="28"/>
          <w:szCs w:val="28"/>
          <w:rtl w:val="true"/>
          <w:lang w:bidi="ar-SA"/>
        </w:rPr>
        <w:t>ولا بدّ لنا قبل الورود في بيان الصور لذكر ما يستدلّ به لأصل مشروعية المقاصّة من الآيات والروايات فنقول</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إشكال في أنّ مقتضى القاعدة عدم جواز المقاصّة، لأنّها تصرّف في مال</w:t>
      </w:r>
    </w:p>
    <w:p>
      <w:pPr>
        <w:pStyle w:val="BookText"/>
        <w:rPr/>
      </w:pPr>
      <w:r>
        <w:rPr>
          <w:rFonts w:ascii="Amiri" w:hAnsi="Amiri" w:eastAsia="Amiri" w:cs="Amiri"/>
          <w:color w:val="111111"/>
          <w:sz w:val="28"/>
          <w:sz w:val="28"/>
          <w:szCs w:val="28"/>
          <w:rtl w:val="true"/>
          <w:lang w:bidi="ar-SA"/>
        </w:rPr>
        <w:t>الغير بغير إذنه إلا أن يثبت بالدليل جوازها، فكلّ مورد أثبتها الدليل فهو وإلا يبقى تحت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استدلّ لمشروعية المقاصّة من الكتاب بآيات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اعْتَدَى عَلَيْكُمْ فَاعْتَدُوا عَلَيْهِ بِمِثْلِ مَا اعْتَدَى عَلَيْكُمْ</w:t>
      </w:r>
      <w:r>
        <w:rPr>
          <w:rStyle w:val="FootnoteAnchor"/>
          <w:rtl w:val="true"/>
        </w:rPr>
        <w:footnoteReference w:id="1341"/>
      </w:r>
      <w:r>
        <w:rPr>
          <w:rFonts w:ascii="Amiri" w:hAnsi="Amiri" w:eastAsia="Amiri" w:cs="Amiri"/>
          <w:color w:val="111111"/>
          <w:sz w:val="28"/>
          <w:sz w:val="28"/>
          <w:szCs w:val="28"/>
          <w:rtl w:val="true"/>
          <w:lang w:bidi="ar-SA"/>
        </w:rPr>
        <w:t>اعتدى عليه وعدّى عليه بمعنى واحد وهو التجاوز والظلم، فمن اعتدى عليكم، أي ظلمكم فاعتدوا عليه بمثل ما اعتدى عليكم؛ أي فجاوزوه باعتدائه وقابلوه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Style w:val="FootnoteAnchor"/>
          <w:rtl w:val="true"/>
        </w:rPr>
        <w:footnoteReference w:id="1342"/>
      </w:r>
      <w:r>
        <w:rPr>
          <w:rFonts w:ascii="Amiri" w:hAnsi="Amiri" w:eastAsia="Amiri" w:cs="Amiri"/>
          <w:color w:val="111111"/>
          <w:sz w:val="28"/>
          <w:sz w:val="28"/>
          <w:szCs w:val="28"/>
          <w:rtl w:val="true"/>
          <w:lang w:bidi="ar-SA"/>
        </w:rPr>
        <w:t>والثاني ليس باعتداء على الحقيقة ولكن سمّاه اعتداءً لأنّه مجازاة اعتداء وجعله مثله وإن كان ذلك جوراً وهذا عدلًا؛ لأنّه مثله في الجنس وفي مقدار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ضرر كما أنّ ذاك ضرر؛ فهو مثله في الجنس والمقدار والصفة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والْحُرُمَاتُ قِصَاصٌ</w:t>
      </w:r>
      <w:r>
        <w:rPr>
          <w:rStyle w:val="FootnoteAnchor"/>
          <w:rtl w:val="true"/>
        </w:rPr>
        <w:footnoteReference w:id="1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الآية الماضية أي كلّ حرمة وهي أنّ ما يجب أن يحترم ويحافظ عليها فيه 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لمّا هتكوا حرمة شهركم الحرام فافعلوا بهم مثله</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عَاقَبْتُمْ فَعَاقِبُوا بِمِثْلِ مَا عُوقِبْتُمْ بِهِ وَلَئِنْ صَبَرْتُمْ لَهُوَ خَيْرٌ لِلصَّابِرِينَ</w:t>
      </w:r>
      <w:r>
        <w:rPr>
          <w:rStyle w:val="FootnoteAnchor"/>
          <w:rtl w:val="true"/>
        </w:rPr>
        <w:footnoteReference w:id="1344"/>
      </w:r>
      <w:r>
        <w:rPr>
          <w:rFonts w:ascii="Amiri" w:hAnsi="Amiri" w:eastAsia="Amiri" w:cs="Amiri"/>
          <w:color w:val="111111"/>
          <w:sz w:val="28"/>
          <w:sz w:val="28"/>
          <w:szCs w:val="28"/>
          <w:rtl w:val="true"/>
          <w:lang w:bidi="ar-SA"/>
        </w:rPr>
        <w:t>أي إن أردتم معاقبة غيركم على وجه المجازاة والمكافاة، فعاقبوا بقدر ما عوقبتم به، ولا تزيدوا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w:t>
      </w:r>
      <w:r>
        <w:rPr>
          <w:rStyle w:val="FootnoteAnchor"/>
          <w:rtl w:val="true"/>
        </w:rPr>
        <w:footnoteReference w:id="1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المشركين لمّا مثّلوا بقتلي احد وبحمزة بن عبدالمطّلب فشقّوا بطنه، وأخذت هند كبده، فجعلت تلوكه وجدعوا</w:t>
      </w:r>
      <w:r>
        <w:rPr>
          <w:rStyle w:val="FootnoteAnchor"/>
          <w:rtl w:val="true"/>
        </w:rPr>
        <w:footnoteReference w:id="1346"/>
      </w:r>
      <w:r>
        <w:rPr>
          <w:rFonts w:ascii="Amiri" w:hAnsi="Amiri" w:eastAsia="Amiri" w:cs="Amiri"/>
          <w:color w:val="111111"/>
          <w:sz w:val="28"/>
          <w:sz w:val="28"/>
          <w:szCs w:val="28"/>
          <w:rtl w:val="true"/>
          <w:lang w:bidi="ar-SA"/>
        </w:rPr>
        <w:t>أنفه واذنه وقطعوا مذاكيره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أمكننا الله منهم لنمثّلنّ بالأحياء فضلًا عن الأموات فنزلت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أيضاً بروايات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جعفر عن أبيه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المجاشعي عن الرضا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الواجد بالدين يحلّ عرضه وعقوبته</w:t>
      </w:r>
      <w:r>
        <w:rPr>
          <w:rFonts w:eastAsia="Amiri" w:cs="Amiri" w:ascii="Amiri" w:hAnsi="Amiri"/>
          <w:color w:val="111111"/>
          <w:sz w:val="28"/>
          <w:szCs w:val="28"/>
          <w:rtl w:val="true"/>
          <w:lang w:bidi="ar-SA"/>
        </w:rPr>
        <w:t>»</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بناءً على شمول العقوبة للتقاصّ، فمن كان معترفاً بالدين ولكنّه يماطل في الأداء فيحلّ التقاصّ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شمول الرواية للجاحد أيضاً بالفحوى، بمعنى أنّه إذا كان عنوان الليّ والمماطلة يُحِلُّ العقوبةَ فَيَحِلُّ عقوبة الجاحد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فتشمل الرواية المعترف بالدين الممتنع وكذا يشمل الجاحد أيضاً</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طريق العامّة عن النبيّ لمّا قالت له هند يا رسول الله أنّ أبا سفيان رجل شحيح وأنّه لا يعطيني ما يكفيني و ولدي إلا ما أخذت منه سرّاً وهو لا يعلم فهل على في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خذي ما يكفيك و ولدك بالمعروف</w:t>
      </w:r>
      <w:r>
        <w:rPr>
          <w:rFonts w:eastAsia="Amiri" w:cs="Amiri" w:ascii="Amiri" w:hAnsi="Amiri"/>
          <w:color w:val="111111"/>
          <w:sz w:val="28"/>
          <w:szCs w:val="28"/>
          <w:rtl w:val="true"/>
          <w:lang w:bidi="ar-SA"/>
        </w:rPr>
        <w:t>»</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أنّ قوله في مقام بيان الحكم لا الإذن بالأخذ بمقدار ما يكفيها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الرجل يكون له على الرجل الدين فيجحده فيظفر من ماله بقدر الذي جحده أيأخذه وإن لم يعلم الجاحد بذلك؟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داود بن رزين</w:t>
      </w:r>
      <w:r>
        <w:rPr>
          <w:rStyle w:val="FootnoteAnchor"/>
          <w:rtl w:val="true"/>
        </w:rPr>
        <w:footnoteReference w:id="13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اخالط السلطان فتكون عندي الجارية فيأخذونها، والدابّة الفارهة فيبعثون فيأخذونها، ثمّ يقع لهم عندي المال فلي أن آخذه؟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مثل ذلك ولا تزد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لي عليه دراهم فجحدني وحلف عليها، أيجوز لي إن وقع له قبلي دراهم أن آخذ منه بقدر حقّي؟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ولكن لهذا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لا آخذه ظلماً ولا خيانة وإنّما أخذته مكان مالي الذي أخذ منّي لم أزدد عليه شيئاً</w:t>
      </w:r>
      <w:r>
        <w:rPr>
          <w:rFonts w:eastAsia="Amiri" w:cs="Amiri" w:ascii="Amiri" w:hAnsi="Amiri"/>
          <w:color w:val="111111"/>
          <w:sz w:val="28"/>
          <w:szCs w:val="28"/>
          <w:rtl w:val="true"/>
          <w:lang w:bidi="ar-SA"/>
        </w:rPr>
        <w:t>»</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فجحدني وحلف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منه الحلف عند هذا الرجل من غير استحلاف حتّى لا ينافي ما إذا حلف بعد استحلاف الحاكم؛ فإنّه ذهبت اليمين بحقّه فلا يصحّ له المقاصّة ظاهراً وإن كان مستحقّاً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الحضرمي روايتين اخريين</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بكر حضرمي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 له على</w:t>
      </w:r>
    </w:p>
    <w:p>
      <w:pPr>
        <w:pStyle w:val="BookText"/>
        <w:rPr/>
      </w:pPr>
      <w:r>
        <w:rPr>
          <w:rFonts w:ascii="Amiri" w:hAnsi="Amiri" w:eastAsia="Amiri" w:cs="Amiri"/>
          <w:color w:val="111111"/>
          <w:sz w:val="28"/>
          <w:sz w:val="28"/>
          <w:szCs w:val="28"/>
          <w:rtl w:val="true"/>
          <w:lang w:bidi="ar-SA"/>
        </w:rPr>
        <w:t>رجل مال فجحده إيّاه وذهب به، ثمّ صار بعد ذلك للرجل الّذي ذهب بماله مال قبله، أيأخذه مكان ماله الّذي ذهب به منه ذلك الرجل؟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ولكن لهذا كلام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آخذ هذا المال مكان مالي الذي أخذه منّي وإنّي لم آخذ الّذي أخذته خيانة ولا ظلماً</w:t>
      </w:r>
      <w:r>
        <w:rPr>
          <w:rFonts w:eastAsia="Amiri" w:cs="Amiri" w:ascii="Amiri" w:hAnsi="Amiri"/>
          <w:color w:val="111111"/>
          <w:sz w:val="28"/>
          <w:szCs w:val="28"/>
          <w:rtl w:val="true"/>
          <w:lang w:bidi="ar-SA"/>
        </w:rPr>
        <w:t>»</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استحلفه على ما أخذ منه فجائز أن يحلف إذا قال هذه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قبال هذه الروايات الدالّة على مشروعية المقاصّة رواية ظاهرة في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كموثّقة سليمان بن خالد</w:t>
      </w:r>
      <w:r>
        <w:rPr>
          <w:rStyle w:val="FootnoteAnchor"/>
          <w:rtl w:val="true"/>
        </w:rPr>
        <w:footnoteReference w:id="13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وقع لي عنده مال فكابرني عليه وحلف ثمّ وقع له عندي مال آخذه لمكان مالي الذي أخذه وأجحده وأحلف عليه كما 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خانك فلا تخنه ولا تدخل فيما عبته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ولكنّها تحمل على الكراهة، فإنّ الروايات المتقدّمة صريحة في الجواز، وهذه ظاهرة في الحرمة لأجل النهي فلا بدّ من حمل الظاهر على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 الإمام بيان نوع من المرجوحيّة بسبب كونها صورة الخيانة التي قد تأكدّ النهي عنها</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ذكر الأدلّة الدالّة على مشروعية المقاصّة نحاول في بيان الصور الذي ذكر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جواز المقاصّة لو كان المديون معترفاً باذلًا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المديون معترفاً باذلًا، فلا إشكال في عدم جواز التقاصّ من ماله إذا وقع ماله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لما قلنا من أنّ مقتضى القاعدة عدم جواز التقاصّ لأنّه تصرّف في مال الغير بغير إذنه وهو حرام وما تقدّم من الأدلّة موردها ما إذا كان المدين مماطلًا أو جاحداً، ولا يشمل الفرض مضافاً إلى أنّ الدين كان كلّياً في ذمّة المدين، ولا يتشخّص في مصداق في الخارج إلا بتعيينه أو تعيين الحاكم أو امتنع المديون من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خلاف الفرض فيما نحن فيه، فإنّه معترف وباذل إذا أراد منه فإذا وقع مال من المديون في يد الدائن وأراد أخذه تقاصّاً فلا يتعيّن في الدين بتعيينه فهو مال الغير عنده لا يجوز له التصرّف فيه ولو قصد كونه عوضاً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المقاصة مطلقاً لو كان المديون مماطلًا أو جاحداً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المدين مماطلًا أو جاحداً، اختار الإمام جواز المقاصّة بلا إشكال، حيث تعرّض لهذه الصورة في المسألة الخامسة التي ستأتي</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Style w:val="FootnoteAnchor"/>
          <w:rtl w:val="true"/>
        </w:rPr>
        <w:footnoteReference w:id="1355"/>
      </w:r>
      <w:r>
        <w:rPr>
          <w:rFonts w:ascii="Amiri" w:hAnsi="Amiri" w:eastAsia="Amiri" w:cs="Amiri"/>
          <w:color w:val="111111"/>
          <w:sz w:val="28"/>
          <w:sz w:val="28"/>
          <w:szCs w:val="28"/>
          <w:rtl w:val="true"/>
          <w:lang w:bidi="ar-SA"/>
        </w:rPr>
        <w:t>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المدين جاحداً وللغريم بيّنة تثبت عند الحاكم والوصول إليه ممكن، ففي جواز الأخذ تردّد أشبهه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ذكره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35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357"/>
      </w:r>
      <w:r>
        <w:rPr>
          <w:rFonts w:ascii="Amiri" w:hAnsi="Amiri" w:eastAsia="Amiri" w:cs="Amiri"/>
          <w:color w:val="111111"/>
          <w:sz w:val="28"/>
          <w:sz w:val="28"/>
          <w:szCs w:val="28"/>
          <w:rtl w:val="true"/>
          <w:lang w:bidi="ar-SA"/>
        </w:rPr>
        <w:t>وعليه دلّ عموم الإذن في</w:t>
      </w:r>
    </w:p>
    <w:p>
      <w:pPr>
        <w:pStyle w:val="BookText"/>
        <w:rPr/>
      </w:pPr>
      <w:r>
        <w:rPr>
          <w:rFonts w:ascii="Amiri" w:hAnsi="Amiri" w:eastAsia="Amiri" w:cs="Amiri"/>
          <w:color w:val="111111"/>
          <w:sz w:val="28"/>
          <w:sz w:val="28"/>
          <w:szCs w:val="28"/>
          <w:rtl w:val="true"/>
          <w:lang w:bidi="ar-SA"/>
        </w:rPr>
        <w:t>الاقتصاص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تكن له بيّنة أو تعذّر الوصول إلى الحاكم ووجد الغريم من جنس ماله اقتصّ مستقلًا بالاستيفاء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الآخر للمحقّق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1358"/>
      </w:r>
      <w:r>
        <w:rPr>
          <w:rFonts w:ascii="Amiri" w:hAnsi="Amiri" w:eastAsia="Amiri" w:cs="Amiri"/>
          <w:color w:val="111111"/>
          <w:sz w:val="28"/>
          <w:sz w:val="28"/>
          <w:szCs w:val="28"/>
          <w:rtl w:val="true"/>
          <w:lang w:bidi="ar-SA"/>
        </w:rPr>
        <w:t xml:space="preserve">وتلميذه الآبي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الرموز</w:t>
      </w:r>
      <w:r>
        <w:rPr>
          <w:rFonts w:eastAsia="Amiri" w:cs="Amiri" w:ascii="Amiri" w:hAnsi="Amiri"/>
          <w:color w:val="111111"/>
          <w:sz w:val="28"/>
          <w:szCs w:val="28"/>
          <w:rtl w:val="true"/>
          <w:lang w:bidi="ar-SA"/>
        </w:rPr>
        <w:t>»</w:t>
      </w:r>
      <w:r>
        <w:rPr>
          <w:rStyle w:val="FootnoteAnchor"/>
          <w:rtl w:val="true"/>
        </w:rPr>
        <w:footnoteReference w:id="1359"/>
      </w:r>
      <w:r>
        <w:rPr>
          <w:rFonts w:ascii="Amiri" w:hAnsi="Amiri" w:eastAsia="Amiri" w:cs="Amiri"/>
          <w:color w:val="111111"/>
          <w:sz w:val="28"/>
          <w:sz w:val="28"/>
          <w:szCs w:val="28"/>
          <w:rtl w:val="true"/>
          <w:lang w:bidi="ar-SA"/>
        </w:rPr>
        <w:t xml:space="preserve">وفخر المحقّقين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بأنّ المنصرف من الروايات، بل الظاهر من بعضها خصوص ما إذا لم يتمكّن من الرجوع إلى الحاكم، أو لم يكن له بيّنة بحيث يكون الطريق إلى وصول حقّه بالمقاصّة فقط، فبعد عدم شمول الروايات للمورد فمقتضى القاعدة عدم جواز التصرّف في مال الغير وعدم جواز المقاصّة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الانصراف ممنوع؛ فإنّ الظاهر من الآيات والروايات الدالّة على مشروعية المقاصّة مطلقة من هذه الجهة؛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الواجد يحلّ عقوبته وعرضه</w:t>
      </w:r>
      <w:r>
        <w:rPr>
          <w:rFonts w:eastAsia="Amiri" w:cs="Amiri" w:ascii="Amiri" w:hAnsi="Amiri"/>
          <w:color w:val="111111"/>
          <w:sz w:val="28"/>
          <w:szCs w:val="28"/>
          <w:rtl w:val="true"/>
          <w:lang w:bidi="ar-SA"/>
        </w:rPr>
        <w:t>»</w:t>
      </w:r>
      <w:r>
        <w:rPr>
          <w:rStyle w:val="FootnoteAnchor"/>
          <w:rtl w:val="true"/>
        </w:rPr>
        <w:footnoteReference w:id="1360"/>
      </w:r>
      <w:r>
        <w:rPr>
          <w:rFonts w:ascii="Amiri" w:hAnsi="Amiri" w:eastAsia="Amiri" w:cs="Amiri"/>
          <w:color w:val="111111"/>
          <w:sz w:val="28"/>
          <w:sz w:val="28"/>
          <w:szCs w:val="28"/>
          <w:rtl w:val="true"/>
          <w:lang w:bidi="ar-SA"/>
        </w:rPr>
        <w:t>بناء على شمول العقوبة للمقاصّة من ماله ظاهر في أنّ المماطلة يحلّ للدائن التعرّض للتقاصّ من ماله وللتعرّض بعرضه، سواء كان له التمكّن من الوصول إلى الحاكم وكانت له البيّنة أم لا</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في رواية جميل بن درّاج فقوله في جواب السؤال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أن يكون له البيّنة وأمكن له التواصل إلى حقّه بالرجوع إلى الحاكم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ترك الاستفصال من الإمام؛ فإنّه لو كان بين وجود البيّنة وإمكان الرجوع وبين عدمه فرق لا بدّ للإمام من الاستفصال عنهما، وترك الاستفصال دليل على</w:t>
      </w:r>
    </w:p>
    <w:p>
      <w:pPr>
        <w:pStyle w:val="BookText"/>
        <w:rPr/>
      </w:pPr>
      <w:r>
        <w:rPr>
          <w:rFonts w:ascii="Amiri" w:hAnsi="Amiri" w:eastAsia="Amiri" w:cs="Amiri"/>
          <w:color w:val="111111"/>
          <w:sz w:val="28"/>
          <w:sz w:val="28"/>
          <w:szCs w:val="28"/>
          <w:rtl w:val="true"/>
          <w:lang w:bidi="ar-SA"/>
        </w:rPr>
        <w:t>عدم الفرق بينهما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جاز له التقاصّ، سواء أمكن له الترافع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غيرها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مع الأكثر من جواز التقاصّ عند مماطلة المديون أو جحده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التقاصّ إذا كان المديون منكراً لمحقّية المدّعى أو لا يدري محقّيته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المديون منكراً لاعتقاد المحقّية للمدّعي، أو كان لا يدري محقّيته ففي جواز المقاصّة إشكال من جهة شمول المماطل أو الجاحد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أنّ المماطل هو المعترف بالدين الممتنع عن الأداء وهذا لا يكون معترفاً، بل كان منكراً للدين وكذا الجاحد هو الذي يعلم باطناً أنّه مديون، ولكنّه أنكره ظاهراً وأمّا هنا إمّا معتقد بعدم كونه مديوناً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فلا يشمله المماطل والجاحد الموضوعان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استشكل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في جواز المقاصّة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الأشبه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التقاصّ في إنكاره لنسيان الغصب</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أنكر الغاصب الحقّ لنسيانه الغصب، 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جواز المقاصّة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فيه أنّ إطلاق الروايات خصوصاً رواية داود بن رزين يشمله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ندرة نسيان الغاصب غصبه ولو قلنا بعدم جواز المقاصّة يوجب تضييع الحقّ</w:t>
      </w:r>
      <w:r>
        <w:rPr>
          <w:rFonts w:eastAsia="Amiri" w:cs="Amiri" w:ascii="Amiri" w:hAnsi="Amiri"/>
          <w:color w:val="111111"/>
          <w:sz w:val="28"/>
          <w:szCs w:val="28"/>
          <w:rtl w:val="true"/>
          <w:lang w:bidi="ar-SA"/>
        </w:rPr>
        <w:t>.</w:t>
      </w:r>
      <w:bookmarkStart w:id="710" w:name="pg1791_16436"/>
    </w:p>
    <w:p>
      <w:pPr>
        <w:pStyle w:val="BookText"/>
        <w:rPr/>
      </w:pPr>
      <w:bookmarkEnd w:id="710"/>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 عين عند غيره؛ فإن كان يمكن أخذها بلا مشقّة ولا ارتكاب محذور فلا يجوز المقاصّة من ماله، وإن لم يمكن أخذها منه أصلًا جاز المقاصّة من ماله الآخر، فإن كان من جنس ماله جاز الأخذ بمقداره، وإن لم يكن جاز الأخذ بمقدار قيمته، وإن لم يمكن إلا ببيعه جاز بيعه وأخذ مقدار قيمة ماله وردّ الزائد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711" w:name="__RefHeading___Toc2354931_3650668749"/>
      <w:bookmarkStart w:id="712" w:name="_Toc262"/>
      <w:bookmarkEnd w:id="711"/>
      <w:r>
        <w:rPr>
          <w:rtl w:val="true"/>
        </w:rPr>
        <w:t>القسم الثالث</w:t>
      </w:r>
      <w:r>
        <w:rPr>
          <w:rtl w:val="true"/>
        </w:rPr>
        <w:t xml:space="preserve">: </w:t>
      </w:r>
      <w:r>
        <w:rPr>
          <w:rtl w:val="true"/>
        </w:rPr>
        <w:t>فيما إذا كان الحقّ الذي على غيره عيناً</w:t>
      </w:r>
      <w:bookmarkEnd w:id="712"/>
    </w:p>
    <w:p>
      <w:pPr>
        <w:pStyle w:val="Heading6"/>
        <w:numPr>
          <w:ilvl w:val="5"/>
          <w:numId w:val="1"/>
        </w:numPr>
        <w:rPr/>
      </w:pPr>
      <w:bookmarkStart w:id="713" w:name="__RefHeading___Toc2354933_3650668749"/>
      <w:bookmarkStart w:id="714" w:name="_Toc263"/>
      <w:bookmarkEnd w:id="713"/>
      <w:r>
        <w:rPr>
          <w:rtl w:val="true"/>
        </w:rPr>
        <w:t>اشارة</w:t>
      </w:r>
      <w:bookmarkEnd w:id="7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الثالث فيمن له حقّ على غيره، فإنّه إمّا عقوبة أو دين أو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الأوّلان والآن نبحث عن ثالث الأقسام؛ يعني إذا كان له عين في يد آخر وأنكره فهل يجوز له التقاصّ من ماله أو لا، فيه ثلاثة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أمكن له أخذها من غير تحمّل مشقّة أو ارتكاب محذور كما إذا أمكن له أخذها من دكّانه علناً وبلا محذور أصلًا، فلا شبهة في عدم جوازه لانصراف أدلّة المشروعية عنه، فإنّ صرف الجحود والإنكار لا يسوغ المقاصّة مع إمكان أخذها بلا 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يمكن أخذها منه أصلًا، فلا إشكال في جواز المقاصّة وشمول الأخبار له</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عند التقاصّ لو كان المال من جنس ماله فيأخذ منه بمقدار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 غير جنسه فيأخذ منه بمقدار قيمة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مطالباً للحنطة فيأخذ العدس بمقدار قيمتها، ولو كان المال الآخر قيميّاً فيأخذه بمقدار قيمة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احتاج إلى البيع يبيعه ويأخذ من ثمنه بمقدار ماله ويرد الزائد عليه إن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المطلوب مثلياً، وأمكن له المقاصّة من ماله المثلي وغيره، فهل يجوز له أخذ غير المثلي تقاصّاً بقدر قيمة ماله، أو يجب الأخذ من المثلي، وكذا لو أمكن الأخذ من جنس ماله ومن مثلي آخر بمقدار قيمته؛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المطلوب حنطة، وأمكنه أخذ حنطة منه بمقدار حنطته وأخذ مقدار من العدس بقدر قيمتها، فهل يجب الاقتصار على الحنطة أو جاز الأخذ من العدس؟ لا يبعد جواز التقاصّ مطلقاً فيما إذا لم يلزم منه بيع مال الغاصب وأخذ القيمة، ومع لزومه وامكان التقاصّ بشي‌ء لم يلزم منه ذلك، فالأحوط بل الأقوى الاقتصار على ذلك، بل الأحوط الاقتصار على أخذ جنسه مع الإمكان بلا مشقّة ومحذور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من جهة الإطلاق في الروايات؛ فإنّ قوله في رواية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فيظفر من ماله بقدر الّذي جحده</w:t>
      </w:r>
      <w:r>
        <w:rPr>
          <w:rFonts w:eastAsia="Amiri" w:cs="Amiri" w:ascii="Amiri" w:hAnsi="Amiri"/>
          <w:color w:val="111111"/>
          <w:sz w:val="28"/>
          <w:szCs w:val="28"/>
          <w:rtl w:val="true"/>
          <w:lang w:bidi="ar-SA"/>
        </w:rPr>
        <w:t>»</w:t>
      </w:r>
      <w:r>
        <w:rPr>
          <w:rStyle w:val="FootnoteAnchor"/>
          <w:rtl w:val="true"/>
        </w:rPr>
        <w:footnoteReference w:id="1361"/>
      </w:r>
      <w:r>
        <w:rPr>
          <w:rFonts w:ascii="Amiri" w:hAnsi="Amiri" w:eastAsia="Amiri" w:cs="Amiri"/>
          <w:color w:val="111111"/>
          <w:sz w:val="28"/>
          <w:sz w:val="28"/>
          <w:szCs w:val="28"/>
          <w:rtl w:val="true"/>
          <w:lang w:bidi="ar-SA"/>
        </w:rPr>
        <w:t>يشمل من الجنس أو غيره والغير مثليّاً كان أو قيميّاً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داود بن رزين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مثل ذلك ولا تزد عليه</w:t>
      </w:r>
      <w:r>
        <w:rPr>
          <w:rFonts w:eastAsia="Amiri" w:cs="Amiri" w:ascii="Amiri" w:hAnsi="Amiri"/>
          <w:color w:val="111111"/>
          <w:sz w:val="28"/>
          <w:szCs w:val="28"/>
          <w:rtl w:val="true"/>
          <w:lang w:bidi="ar-SA"/>
        </w:rPr>
        <w:t>»</w:t>
      </w:r>
      <w:r>
        <w:rPr>
          <w:rStyle w:val="FootnoteAnchor"/>
          <w:rtl w:val="true"/>
        </w:rPr>
        <w:footnoteReference w:id="1362"/>
      </w:r>
      <w:r>
        <w:rPr>
          <w:rFonts w:ascii="Amiri" w:hAnsi="Amiri" w:eastAsia="Amiri" w:cs="Amiri"/>
          <w:color w:val="111111"/>
          <w:sz w:val="28"/>
          <w:sz w:val="28"/>
          <w:szCs w:val="28"/>
          <w:rtl w:val="true"/>
          <w:lang w:bidi="ar-SA"/>
        </w:rPr>
        <w:t>وكان موردها القيمي ويراد منه القيمة يعني بمقدار قيمة ماله بلا زيادة، فيجوز الأخذ من ماله المثلي أو القيمي بمقدار قيمة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احتاج إلى بيعه وأخذ القيمة جاز ذلك</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جعل المقاصّ قائماً مقام المالك في الأخذ من ماله من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أمكن أخذ ماله بمشقّة فالظاهر جواز التقاصّ، ولو أمكن ذلك مع 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كالدخول في داره بلا إذنه أو كسر قفله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جواز المقاصّة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جاز ارتكاب المحذور وأخذ ماله ولو أضرّ ذلك بالغاصب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عدم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المطلوب منه غير غاصب، وأنكر المال بعذر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جواز التقاصّ من ماله إن قلنا بجواز المقاصّة في صورة الإنكار لعذر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المثلي أو القيمي وجواز البيع لو احتاج إليه، كما أنّ الحاكم مأذون من قبل الإمام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أمكن التقاصّ ممّا لايحتاج إلى بيعه وأخذ ثمنه بمقدار ماله وممّا يحتاج إلى بيع مال المقاصّ منه وأخذ ثمنه، فالأحوط بل الأقوى الاقتصار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إطلاق من هذه الجهة حتّى تشمل الثاني وإن يحتمل شمول الإطلاق لذلك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المسألة على خلاف القاعدة فلا بدّ من الأخذ بمقدار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تعرّض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 أخذها بمشقّة أو ارتكاب محذور من حكم تكليفي كدخول داره بغير إذنه أو حكم وضعي لإيجاد ضرر عليه من تخريب أو كسر قفل وأمثال ذلك، فحكمها يأتي في المسألة الرابعة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يتصوّر في المسألة صور للبحث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بدّ أن تلاحظ بعض القيود قبل بيان الصور</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المشقّة وعدمه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المحذور وعدمه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الارتكاب المحذور وعدمه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التقاص وعدمه في المنكر 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فالآن ناظراً إلى هذه الامور الأربعة نبين الصور وحكمه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في أخذ المال تقاصّاً مشقّة ولا محذور، فالحكم كما قلنا في الصورة الاولى من المسألة الثانية التي تفضّل بها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 أخذ المال تقاصّاً مشقّة ولكن بلا محذور حرام من كسر قفل وغيره، فقال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جواز التقاصّ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السيّد التخيير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أمكنه أخذ ماله لكن بمشقّة أو ارتكاب محذور مثل الدخول في داره أو كسر قفله أو نحو ذلك، فالظاهر جواز المقاصّة من ماله الآخر أيضاً كما يجوز له أخذ ماله</w:t>
      </w:r>
      <w:r>
        <w:rPr>
          <w:rFonts w:eastAsia="Amiri" w:cs="Amiri" w:ascii="Amiri" w:hAnsi="Amiri"/>
          <w:color w:val="111111"/>
          <w:sz w:val="28"/>
          <w:szCs w:val="28"/>
          <w:rtl w:val="true"/>
          <w:lang w:bidi="ar-SA"/>
        </w:rPr>
        <w:t>»</w:t>
      </w:r>
      <w:r>
        <w:rPr>
          <w:rStyle w:val="FootnoteAnchor"/>
          <w:rtl w:val="true"/>
        </w:rPr>
        <w:footnoteReference w:id="136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 كلام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يراد منه التخيير؛ فإنّ قوله فالظاهر جواز التقاصّ مراده أنّه كما يجوز أخذه المال مع تحمّل المشقّة يجوز الأخذ من ماله الآخر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كانت دعواه عيناً في يد، فله انتزاعها ولو قهراً، ما لم يكن فتنة، ولا يقف ذلك على إذن الحاكم</w:t>
      </w:r>
      <w:r>
        <w:rPr>
          <w:rFonts w:eastAsia="Amiri" w:cs="Amiri" w:ascii="Amiri" w:hAnsi="Amiri"/>
          <w:color w:val="111111"/>
          <w:sz w:val="28"/>
          <w:szCs w:val="28"/>
          <w:rtl w:val="true"/>
          <w:lang w:bidi="ar-SA"/>
        </w:rPr>
        <w:t>»</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 المحقّق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بمساعدة ظالم أو بنفسه</w:t>
      </w:r>
    </w:p>
    <w:p>
      <w:pPr>
        <w:pStyle w:val="BookText"/>
        <w:rPr/>
      </w:pPr>
      <w:r>
        <w:rPr>
          <w:rFonts w:ascii="Amiri" w:hAnsi="Amiri" w:eastAsia="Amiri" w:cs="Amiri"/>
          <w:color w:val="111111"/>
          <w:sz w:val="28"/>
          <w:sz w:val="28"/>
          <w:szCs w:val="28"/>
          <w:rtl w:val="true"/>
          <w:lang w:bidi="ar-SA"/>
        </w:rPr>
        <w:t>وإن استلزم ضرراً بتمزيق ثوب أو كسر قفل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 ما لم تثر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وإن ثارت ما لم تصل إلى حدّ وجوب الكفّ عن الحقّ له لترتّب تلف الأنفس والأموال وغيره من الفساد الذي يمكن دعوى العلم من مذاق الشرع بعدم جواز فعل ما يترتّب عليه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مباحاً في نفسه أو مستحبّاً، بل أو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مثّل لذلك بجواز بيع الوقف لو حصل الاختلاف الموجب لتلف الأنفس والأموال بدليل الكتاب والروايات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المحقّق الگلپايگاني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قيل إنّ له أن يطالب بحقّه ويحاول انتزاعه ممّن وضع يده عليه وهو يعلم بكونه لمن يدّعيه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بلغ الأمر، إذ لا فرق بين هذه المسألة ومسألة دفع اللصّ عن المال حيث يجوز للإنسان أن يدافع عن ماله ويحفظه عن اللصّ حتّى لو انتهى إلى قتل اللصّ ولو قتل هو كان شهيداً كما في الروايات</w:t>
      </w:r>
      <w:r>
        <w:rPr>
          <w:rFonts w:eastAsia="IRNazanin" w:cs="IRNazanin"/>
          <w:color w:val="111111"/>
          <w:sz w:val="28"/>
          <w:szCs w:val="28"/>
          <w:rtl w:val="true"/>
          <w:lang w:bidi="fa-IR"/>
        </w:rPr>
        <w:t>»</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 من الروايات؛ منها عن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دون ماله فهو شهيد</w:t>
      </w:r>
      <w:r>
        <w:rPr>
          <w:rFonts w:eastAsia="Amiri" w:cs="Amiri" w:ascii="Amiri" w:hAnsi="Amiri"/>
          <w:color w:val="111111"/>
          <w:sz w:val="28"/>
          <w:szCs w:val="28"/>
          <w:rtl w:val="true"/>
          <w:lang w:bidi="ar-SA"/>
        </w:rPr>
        <w:t>»</w:t>
      </w:r>
      <w:r>
        <w:rPr>
          <w:rStyle w:val="FootnoteAnchor"/>
          <w:rtl w:val="true"/>
        </w:rPr>
        <w:footnoteReference w:id="1367"/>
      </w:r>
      <w:r>
        <w:rPr>
          <w:rFonts w:ascii="Amiri" w:hAnsi="Amiri" w:eastAsia="Amiri" w:cs="Amiri"/>
          <w:color w:val="111111"/>
          <w:sz w:val="28"/>
          <w:sz w:val="28"/>
          <w:szCs w:val="28"/>
          <w:rtl w:val="true"/>
          <w:lang w:bidi="ar-SA"/>
        </w:rPr>
        <w:t>وكذا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شمول إطلاق روايات المقاصّة للمورد، فلا يحتاج إلى تحمّل المشقّة خصوصاً لو قيل مهما بلغ، بل له أن يأخذ من ماله تقاصّاً من دون تحمّل المشاقّ إلا أن يكون متهيأ لذلك فله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أمكن له أخذ ماله بمشقّة</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أخذ المال مشقّة مع ارتكاب محذور وحرام وقلنا</w:t>
      </w:r>
    </w:p>
    <w:p>
      <w:pPr>
        <w:pStyle w:val="BookText"/>
        <w:rPr/>
      </w:pPr>
      <w:r>
        <w:rPr>
          <w:rFonts w:ascii="Amiri" w:hAnsi="Amiri" w:eastAsia="Amiri" w:cs="Amiri"/>
          <w:color w:val="111111"/>
          <w:sz w:val="28"/>
          <w:sz w:val="28"/>
          <w:szCs w:val="28"/>
          <w:rtl w:val="true"/>
          <w:lang w:bidi="ar-SA"/>
        </w:rPr>
        <w:t>بجواز الإضرار بالغاصب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المطلوب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جواز المقاصّة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وجه الإشكال أنّ امتناع الغاصب عن أداء العين وتأخير الأداء ضرر على مالكها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الحرمة التكليفي من الدخول في داره بغير إذنه، أو الحرمة الوضعي من كسر قفله، أو تخريب باب داره مثلًا فيصير؛ مثل ما إذا لم يكن محذور أصلًا فلا تشمل أدلّة مشروعية التقاصّ للمورد لجواز الدخول أو كسر القفل وأخذ العين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من بيده المال عالماً بكون المال لمن يدّعيه وهو غاصب وظالم ولذا جاز ارتكاب المحذور من جهة حكومة قاعدة اللاضرار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أخذ المال تقاصّاً مشقّة وارتكاب محذور كالدخول في الدار أو كسر القفل وغيره، وقلنا بجواز المقاصّة من المنكر 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إذا لم يكن عالماً بذلك، بل اعتقد محقّية نفسه في ملكية المال أو كان جاهلًا بذلك، فلا تسقط الحرمة عن ماله، فلا يجوز الدخول بغير إذنه ولا يجوز الإضرار بماله فيكون المحذور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لهذا استظهر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المقاصّة ولم يكن قاطعاً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نكتة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جواز التقاصّ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تقدّم منه الإشكال في شمول أدلّة القصاص لمورد الإنكار مع اعتقاد المحقّية لنفسه وقال الأشبه عدم الجواز</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مراده من جواز التقاصّ هنا من جهة بقاء 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قيّده بقوله إن قلنا بجواز المقاصّة الأشبه عدم الجواز فلا يجوز التقاصّ فيما نحن فيه فتأمّل</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الحقّ ديناً وكان المديون جاحداً أو مماطلًا، جازت المقاصّة من ماله وإن أمكن الأخذ منه بالرجوع إلى الحاكم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توقّف أخذ حقّه على التصرّف في الأزيد جاز، والزائد يردّ إلى المقتصّ منه، ولو تلف الزائد في يده من غير إفراط وتفريط ولا تأخير في ردّه لم يضمن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تعرف عدم التهافت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أخذ المال تقاصّاً مشقّة وارتكاب محذور وكان الإنكار لعذر كاعتقاد الغاصب لمحقّية نفسه في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 بجواز ارتكاب المحذور في التقاصّ ولكن لم نقل بجواز التقاصّ في الإنكار عن 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يصرّح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الصورة ولعلّه لمّا استظهر التقاصّ في صورة جواز التقاصّ عن المنكر لعذر، فعدم جواز المقاصّة في صورة القول بعدم جواز التقاصّ عن المنكر لعذر مفروغ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مرّت البحث عمّا في هذه المسألة في الصورة الثانية من المسألة الاولى من المسائل الخاتمة في الفصل الثاني في المقاصّة،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أحكام هذه المسألة في الصورة الثانية من المسألة الثانية عن سلسلة المسائل في الخاتمة في الفصل الثاني في التقاصّ</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أنّه لو احتاج في أخذ ماله إلى البيع والمال أزيد من الدين قيمة؛ يبيعه ويأخذ من ثمنه بمقدار ماله ويرد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 هنا أنّه لم يضمن لو تلف الزائد في يده بغير إفراط ولا تفريط؛ لأنّ يده أمانية رخّص الشارع له في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صرّح بذلك جملة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محمّد بن عيسى، عن علي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غصب مالًا أو جارية ثمّ وقع عنده مال بسبب وديعة أو قرض مثل خيانة أو 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أيحلّ له حبسه عليه أم لا؟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يحلّ له ذلك إن كان بقدر حقّه، وإن كان أكثر فيأخذ منه ما كان عليه ويسلّم الباقي إليه إن شاء الله</w:t>
      </w:r>
      <w:r>
        <w:rPr>
          <w:rFonts w:eastAsia="Amiri" w:cs="Amiri" w:ascii="Amiri" w:hAnsi="Amiri"/>
          <w:color w:val="111111"/>
          <w:sz w:val="28"/>
          <w:szCs w:val="28"/>
          <w:rtl w:val="true"/>
          <w:lang w:bidi="ar-SA"/>
        </w:rPr>
        <w:t>»</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عبدالله بن الحسن، عن جدّه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الجحود أيحلّ أن أجحده مثل ما جحد؟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ولا تزداد</w:t>
      </w:r>
      <w:r>
        <w:rPr>
          <w:rFonts w:eastAsia="Amiri" w:cs="Amiri" w:ascii="Amiri" w:hAnsi="Amiri"/>
          <w:color w:val="111111"/>
          <w:sz w:val="28"/>
          <w:szCs w:val="28"/>
          <w:rtl w:val="true"/>
          <w:lang w:bidi="ar-SA"/>
        </w:rPr>
        <w:t>»</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الحسين بن سعيد، عن ابن أبي عمير، عن داود بن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اخالط السلطان فتكون عندي الجارية فيأخذونها، والدابّة الفارهة فيبعثون فيأخذونها، ثمّ يقع لهم عندي المال فلي أن آخذه؟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مثل ذلك ولا تزد عليه</w:t>
      </w:r>
      <w:r>
        <w:rPr>
          <w:rFonts w:eastAsia="Amiri" w:cs="Amiri" w:ascii="Amiri" w:hAnsi="Amiri"/>
          <w:color w:val="111111"/>
          <w:sz w:val="28"/>
          <w:szCs w:val="28"/>
          <w:rtl w:val="true"/>
          <w:lang w:bidi="ar-SA"/>
        </w:rPr>
        <w:t>»</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 الدعاء الوارد صرّح بأنّي لم أزدد عليه شيئاً</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توقّف أخذ حقّه على بيع مال المقتصّ منه جاز بيعه وصحّ، ويجب ردّ الزائد من حقّه، وأمّا لو لم يتوقّف على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قيمة المال بمقدار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جواز أخذه مقاصّة، وأمّا في جواز بيعه وأخذ قيمته مقاصّة، أو جواز بيعه واشتراء شي‌ء من جنس ماله ثمّ أخذه مقاصّة، إشكال، والأشبه عدم الجواز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ما إذا كان حقّه ديناً على عهدة المماطل فاقتصّ منه بمقداره برئت ذمّته، سيّما إذا كان المأخوذ مثل ما عهدته، كما إذا كان عليه مقدار من الحنطة فأخذ بمقدارها تقاصّاً، وكذا في ضمان القيميات إذا اقتصّ القيمة بمقدارها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أن يأخذ حقّه تقاصّاً فهل يجوز بيعه ليأخذ حقّه، سواء كان قيمة المال بقدر الحقّ أو أزيد، أم لا؟</w:t>
      </w:r>
    </w:p>
    <w:p>
      <w:pPr>
        <w:pStyle w:val="BookText"/>
        <w:rPr/>
      </w:pPr>
      <w:r>
        <w:rPr>
          <w:rFonts w:ascii="Amiri" w:hAnsi="Amiri" w:eastAsia="Amiri" w:cs="Amiri"/>
          <w:color w:val="111111"/>
          <w:sz w:val="28"/>
          <w:sz w:val="28"/>
          <w:szCs w:val="28"/>
          <w:rtl w:val="true"/>
          <w:lang w:bidi="ar-SA"/>
        </w:rPr>
        <w:t xml:space="preserve">قال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المال بمقدار حقّه يأخذه تقاصّاً، ولكن تردّد في جواز بيعه وأخذ القيمة تقاصّاً أو جواز بيعه واشتراء شي‌ء من جنس ماله ثمّ أخذه مقاصّة، فقال الأشبه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بملاحظة أنّه لا بدّ أن يكون التقاصّ من جنس حقّه وبإذن الحاكم</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يظهر من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البيع لغير المالك والأخذ تقاصّاً عند الإمامية إجماعي</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bookmarkStart w:id="715" w:name="pg1791_16464"/>
    </w:p>
    <w:p>
      <w:pPr>
        <w:pStyle w:val="BookText"/>
        <w:rPr/>
      </w:pPr>
      <w:bookmarkEnd w:id="715"/>
      <w:r>
        <w:rPr>
          <w:rFonts w:ascii="Amiri" w:hAnsi="Amiri" w:eastAsia="Amiri" w:cs="Amiri"/>
          <w:color w:val="111111"/>
          <w:sz w:val="28"/>
          <w:sz w:val="28"/>
          <w:szCs w:val="28"/>
          <w:rtl w:val="true"/>
          <w:lang w:bidi="ar-SA"/>
        </w:rPr>
        <w:t>وأمّا إذا كان عيناً فإن كانت مثلية واقتصّ مثلها فلا يبعد حصول المعاوضة قهراً على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كانت من القيميات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كفرس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واقتصّ بمقدار قيمتها، فهل كان الحكم كما ذكر من المعاوضة القهرية، أو كان الاقتصاص بمنزلة بدل الحيلولة، فإذا تمكّن من العين جاز أخذها بل وجب، ويجب عليه ردّ ما أخذ، وكذا يجب على الغاصب ردّها بعد الاقتصاص وأخذ ماله؟ فيه إشكال وتردّد؛ وإن لا يبعد جريان حكم بدل الحيلولة 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6"/>
        <w:numPr>
          <w:ilvl w:val="5"/>
          <w:numId w:val="1"/>
        </w:numPr>
        <w:rPr/>
      </w:pPr>
      <w:bookmarkStart w:id="716" w:name="__RefHeading___Toc2354935_3650668749"/>
      <w:bookmarkStart w:id="717" w:name="_Toc264"/>
      <w:bookmarkEnd w:id="716"/>
      <w:r>
        <w:rPr>
          <w:rtl w:val="true"/>
        </w:rPr>
        <w:t>براءة ذمّة المقتصّ منه من الدين بعد التقاصّ‌</w:t>
      </w:r>
      <w:bookmarkEnd w:id="7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 المال الذي على عهدة شخص أو كان عنده وماطل في أدائه أو جاحده قد يكون ديناً على ذمّته وقد يكون عيناً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اقتصّ الدائن من ماله بمقدار الدين ذهب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ببراءة ذمّة المقتصّ منه، سواء اقتصّ من جنس ما عليه، أو من مثله بمقدار قيمة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ضمان القيميات كما إذا تلفت العين عنده وتلفت القيمة بعهدته، فإذا اقتصّ بمقدارها برئت ذمّته</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مثليّاً واقتصّ مثلها لا يبعد حصول المعاوضة قهراً بين المثليّين على تأمّل، يعني صار المقتصّ مالكاً لما أخذه والمقتصّ منه مالكاً لما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من القيميّات واقتصّ منه بمقدار قيمتها فهل تحصل المعاوضة القهريّة أيضاً أو كان الاقتصاص من باب بدل الحيلولة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إشكال وتردّد</w:t>
      </w:r>
    </w:p>
    <w:p>
      <w:pPr>
        <w:pStyle w:val="BookText"/>
        <w:rPr/>
      </w:pPr>
      <w:r>
        <w:rPr>
          <w:rFonts w:ascii="Amiri" w:hAnsi="Amiri" w:eastAsia="Amiri" w:cs="Amiri"/>
          <w:color w:val="111111"/>
          <w:sz w:val="28"/>
          <w:sz w:val="28"/>
          <w:szCs w:val="28"/>
          <w:rtl w:val="true"/>
          <w:lang w:bidi="ar-SA"/>
        </w:rPr>
        <w:t>ثمّ قال وإن لا يبعد جريان حكم بدل الحيلولة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المحقّق العراقي آقا ضياء الدين</w:t>
      </w:r>
      <w:r>
        <w:rPr>
          <w:rStyle w:val="FootnoteAnchor"/>
          <w:rtl w:val="true"/>
        </w:rPr>
        <w:footnoteReference w:id="1373"/>
      </w:r>
      <w:r>
        <w:rPr>
          <w:rFonts w:ascii="Amiri" w:hAnsi="Amiri" w:eastAsia="Amiri" w:cs="Amiri"/>
          <w:color w:val="111111"/>
          <w:sz w:val="28"/>
          <w:sz w:val="28"/>
          <w:szCs w:val="28"/>
          <w:rtl w:val="true"/>
          <w:lang w:bidi="ar-SA"/>
        </w:rPr>
        <w:t>لا شبهة في أنّ بالتقاصّ تفرغ ذمّة المقتصّ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أنّ العين الموجودة في فرض كون المال المجحود عيناً ينتقل إلى الجاحد بالتقاصّ من ماله؛ أو يبقى العين على ملكية المقاصّ؟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مبنيّان على أنّ باب التقاصّ من قبيل المعاوضة وحقيقته التملّك بالعوض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باب بدل الحيلولة؛ يعني وفاء مرتبة من مراتب المال مع بقاء خصوصية العين على ملك المالك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هو الثاني، لأنّه المرتكز في الذهن لا أنّه معاملة مستقلّة ولا أقلّ من الشكّ فيبقى استصحاب بقاء ملكية شخص العين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فترى أنّه اختار أنّ باب التقاصّ نظير باب البدل الحيلولة واستدلّ بأنّه المرتكز في الذهن ويخطر بالبال من الروايات لا المعاوضة والتملّك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الفاضل النراقي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الثابت من أدلّة التقاصّ ليس أزيد من جواز أخذه والتصرّف فيه ما دام غريمه جاحداً أو مماطلًا، وأمّا بعد الإقرار والبذل فيستصحب عدم جواز التصرّف، فإنّه قبل التقاصّ لم يكن جائز التصرّف، وبعده لم يثبت الزائد عن الجواز ما لم يبذل، فيستصحب العدم بعد البذل</w:t>
      </w:r>
      <w:r>
        <w:rPr>
          <w:rFonts w:eastAsia="Amiri" w:cs="Amiri" w:ascii="Amiri" w:hAnsi="Amiri"/>
          <w:color w:val="111111"/>
          <w:sz w:val="28"/>
          <w:szCs w:val="28"/>
          <w:rtl w:val="true"/>
          <w:lang w:bidi="ar-SA"/>
        </w:rPr>
        <w:t>»</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المتأمّل في الروايات والذي ينظر في الروايات مع الدقّة يظهر له أنّ مراد السائل فيها الوصول إلى حقّه الذي على ذمّة الجاهد أو المماطل أو إلى</w:t>
      </w:r>
    </w:p>
    <w:p>
      <w:pPr>
        <w:pStyle w:val="BookText"/>
        <w:rPr/>
      </w:pPr>
      <w:r>
        <w:rPr>
          <w:rFonts w:ascii="Amiri" w:hAnsi="Amiri" w:eastAsia="Amiri" w:cs="Amiri"/>
          <w:color w:val="111111"/>
          <w:sz w:val="28"/>
          <w:sz w:val="28"/>
          <w:szCs w:val="28"/>
          <w:rtl w:val="true"/>
          <w:lang w:bidi="ar-SA"/>
        </w:rPr>
        <w:t>قيمة ماله الذي كان عنده وجاحده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أنّ مراد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مع التأكيد في بعضها أن يأخذ بمقدار حقّه لا أزيد أن يتمّ الدعوى، يعني يأخذ الدائن طلبه أو قيمة ماله ويسقط الحقّ عن المقتصّ منه ويرفع الدعوى، ولازم ذلك وقوع التعارض قهراً بين ما أخذه وبين ما طلبه منه فيصير المقتصّ مالكاً لما أخذ ويصير المقتصّ منه مالكاً لما في ذمّته فتبرء ذمّته، أو مالكاً للعين التي كانت عنده وأمّا استظهار أنّ ما أخذه كان بعنوان بدل الحيلولة أو يجوز له التصرّف ما دام غريمه جاحداً فغير صحيح وخارج عن المستفاد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لو كان كذلك فلا وجه لبراءة ذمّة المقتصّ منه فيما إذا كان الحقّ ديناً؛ فإنّ المقتصّ لا يصير مالكاً لما أخذ، بل هو مال عنده من المقتصّ منه بدل حيلولته بينه وحقّه وجاز له التصرّف فيه ما دام كذلك، والحال أنّهم اتّفقوا على براءة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أيضاً ما استظهره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ظاهرها ملك المقاصّ العوض الذي يأخذه، وينبغي أن يلزمه انتقال مقابله إلى ملك الغاصب، لقاعدة عدم الجمع بين العوض والمعوّض عنه</w:t>
      </w:r>
      <w:r>
        <w:rPr>
          <w:rFonts w:eastAsia="Amiri" w:cs="Amiri" w:ascii="Amiri" w:hAnsi="Amiri"/>
          <w:color w:val="111111"/>
          <w:sz w:val="28"/>
          <w:szCs w:val="28"/>
          <w:rtl w:val="true"/>
          <w:lang w:bidi="ar-SA"/>
        </w:rPr>
        <w:t>»</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استظهر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حصول التعاوض بين ما أخذه مقاصّة وبين حقّه الذي عند المقتصّ منه أو في ذمّته فتبرأ ذمّته إذا كان المال ديناً عليه ويملكه إذا كان عيناً، لأنّ المفروض أنّ المقاصّ يملك ما يأخذه عوض ماله فلا يبقى المعوّض في ملكه وإلا لزم الجمع بين العوض والمعوّض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ولا وجه</w:t>
      </w:r>
    </w:p>
    <w:p>
      <w:pPr>
        <w:pStyle w:val="BookText"/>
        <w:rPr/>
      </w:pPr>
      <w:r>
        <w:rPr>
          <w:rFonts w:ascii="Amiri" w:hAnsi="Amiri" w:eastAsia="Amiri" w:cs="Amiri"/>
          <w:color w:val="111111"/>
          <w:sz w:val="28"/>
          <w:sz w:val="28"/>
          <w:szCs w:val="28"/>
          <w:rtl w:val="true"/>
          <w:lang w:bidi="ar-SA"/>
        </w:rPr>
        <w:t xml:space="preserve">لما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376"/>
      </w:r>
      <w:r>
        <w:rPr>
          <w:rFonts w:ascii="Amiri" w:hAnsi="Amiri" w:eastAsia="Amiri" w:cs="Amiri"/>
          <w:color w:val="111111"/>
          <w:sz w:val="28"/>
          <w:sz w:val="28"/>
          <w:szCs w:val="28"/>
          <w:rtl w:val="true"/>
          <w:lang w:bidi="ar-SA"/>
        </w:rPr>
        <w:t>من بقاء العين على ملك المقاصّ ومنع كون ما يأخذه عوضاً عن ماله، بل هو أمر جوّزه الشارع 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عقوبة جحده ومماطلته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المفروض أنّه يأخذه بعنوان العوضية من ماله لا بعنوان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لازم ما ذكره جواز عتقه للمقاصّ إذا كان عبداً أو جارية وجواز نقله إلى الغير ولا يمكن الالتزام به</w:t>
      </w:r>
      <w:r>
        <w:rPr>
          <w:rFonts w:eastAsia="Amiri" w:cs="Amiri" w:ascii="Amiri" w:hAnsi="Amiri"/>
          <w:color w:val="111111"/>
          <w:sz w:val="28"/>
          <w:szCs w:val="28"/>
          <w:rtl w:val="true"/>
          <w:lang w:bidi="ar-SA"/>
        </w:rPr>
        <w:t>»</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ثمرة البحث أنّ المقتصّ منه، الجاهد أو المماطل لو ندم وأقدم بعد ذلك إلى أداء دينه أو بذل العين التي كانت عنده، فلا يجوز للمقاصّ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يستحقّ المقاصّ أن يطلب دينه من المقتصّ منه أو يطلب عينه منه بعد الإقدام بالمقاصّة من ماله لحصول المعاوضة القهرية بحكم الشرع وبقاعدة أصالة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378"/>
      </w:r>
      <w:r>
        <w:rPr>
          <w:rFonts w:ascii="Amiri" w:hAnsi="Amiri" w:eastAsia="Amiri" w:cs="Amiri"/>
          <w:color w:val="111111"/>
          <w:sz w:val="28"/>
          <w:sz w:val="28"/>
          <w:szCs w:val="28"/>
          <w:rtl w:val="true"/>
          <w:lang w:bidi="ar-SA"/>
        </w:rPr>
        <w:t>واحتمال كون الملك متزلزلًا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ما ذكروه في القيمة التي يدفعها الغاصب للحيلولة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 لقاعدة اللزوم بعد ظهور النصوص في الملك</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وجه لما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379"/>
      </w:r>
      <w:r>
        <w:rPr>
          <w:rFonts w:ascii="Amiri" w:hAnsi="Amiri" w:eastAsia="Amiri" w:cs="Amiri"/>
          <w:color w:val="111111"/>
          <w:sz w:val="28"/>
          <w:sz w:val="28"/>
          <w:szCs w:val="28"/>
          <w:rtl w:val="true"/>
          <w:lang w:bidi="ar-SA"/>
        </w:rPr>
        <w:t>من جواز أخذ المقاصّ لو أتي الغريم بالمال المجحود أو المماطل فيه، إذا كانت عين ما اقتصّه باقية وردّ المقتصّ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جواز انتزاع المقاصّ حقّه بعد التقاصّ بالبيّنة وردّ المقتصّ به مع بقاء عينه لأصالة عدم اللزوم</w:t>
      </w:r>
      <w:r>
        <w:rPr>
          <w:rFonts w:eastAsia="Amiri" w:cs="Amiri" w:ascii="Amiri" w:hAnsi="Amiri"/>
          <w:color w:val="111111"/>
          <w:sz w:val="28"/>
          <w:szCs w:val="28"/>
          <w:rtl w:val="true"/>
          <w:lang w:bidi="ar-SA"/>
        </w:rPr>
        <w:t>.</w:t>
      </w:r>
      <w:bookmarkStart w:id="718" w:name="pg1791_16475"/>
    </w:p>
    <w:p>
      <w:pPr>
        <w:pStyle w:val="BookText"/>
        <w:rPr/>
      </w:pPr>
      <w:bookmarkEnd w:id="718"/>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جواز المقاصّة من المال الذي جعل عنده وديعة على كراهية، والأحوط عدمه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لحصول التعاوض وصيرورة ما أخذ المقاصّ ملكاً له وبراءة ذمّة المقتصّ منه عن الدين وصيرورته مالكاً للعين التي عنده والأصل في المعاوضة اللزوم</w:t>
      </w:r>
      <w:r>
        <w:rPr>
          <w:rFonts w:eastAsia="Amiri" w:cs="Amiri" w:ascii="Amiri" w:hAnsi="Amiri"/>
          <w:color w:val="111111"/>
          <w:sz w:val="28"/>
          <w:szCs w:val="28"/>
          <w:rtl w:val="true"/>
          <w:lang w:bidi="ar-SA"/>
        </w:rPr>
        <w:t>.</w:t>
      </w:r>
    </w:p>
    <w:p>
      <w:pPr>
        <w:pStyle w:val="Heading6"/>
        <w:numPr>
          <w:ilvl w:val="5"/>
          <w:numId w:val="1"/>
        </w:numPr>
        <w:rPr/>
      </w:pPr>
      <w:bookmarkStart w:id="719" w:name="__RefHeading___Toc2354937_3650668749"/>
      <w:bookmarkStart w:id="720" w:name="_Toc265"/>
      <w:bookmarkEnd w:id="719"/>
      <w:r>
        <w:rPr>
          <w:rtl w:val="true"/>
        </w:rPr>
        <w:t>جواز المقاصّة من الوديعة على كراهية</w:t>
      </w:r>
      <w:bookmarkEnd w:id="7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المقاصّة من الوديعة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الشيخ</w:t>
      </w:r>
      <w:r>
        <w:rPr>
          <w:rStyle w:val="FootnoteAnchor"/>
          <w:rtl w:val="true"/>
        </w:rPr>
        <w:footnoteReference w:id="1380"/>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من الأصحاب إلى الجواز على كراهية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كان المال وديعة عنده ففي جواز الاقتصاص تردّد أشبهه الكراهة</w:t>
      </w:r>
      <w:r>
        <w:rPr>
          <w:rFonts w:eastAsia="Amiri" w:cs="Amiri" w:ascii="Amiri" w:hAnsi="Amiri"/>
          <w:color w:val="111111"/>
          <w:sz w:val="28"/>
          <w:szCs w:val="28"/>
          <w:rtl w:val="true"/>
          <w:lang w:bidi="ar-SA"/>
        </w:rPr>
        <w:t>»</w:t>
      </w:r>
      <w:r>
        <w:rPr>
          <w:rStyle w:val="FootnoteAnchor"/>
          <w:rtl w:val="true"/>
        </w:rPr>
        <w:footnoteReference w:id="1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382"/>
      </w:r>
      <w:r>
        <w:rPr>
          <w:rFonts w:ascii="Amiri" w:hAnsi="Amiri" w:eastAsia="Amiri" w:cs="Amiri"/>
          <w:color w:val="111111"/>
          <w:sz w:val="28"/>
          <w:sz w:val="28"/>
          <w:szCs w:val="28"/>
          <w:rtl w:val="true"/>
          <w:lang w:bidi="ar-SA"/>
        </w:rPr>
        <w:t>وفاقاً لأكثر المتأخّرين، بل الظاهر أنّه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 إلى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الاختلاف هو اختلاف الأخبار فإنّها على طائفتين</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جواز المقاصّة ممّا تقدّم من الروايات خصوصاً</w:t>
      </w:r>
    </w:p>
    <w:p>
      <w:pPr>
        <w:pStyle w:val="BookText"/>
        <w:rPr/>
      </w:pPr>
      <w:r>
        <w:rPr>
          <w:rFonts w:ascii="Amiri" w:hAnsi="Amiri" w:eastAsia="Amiri" w:cs="Amiri"/>
          <w:color w:val="111111"/>
          <w:sz w:val="28"/>
          <w:sz w:val="28"/>
          <w:szCs w:val="28"/>
          <w:rtl w:val="true"/>
          <w:lang w:bidi="ar-SA"/>
        </w:rPr>
        <w:t>صحيحة أبي العبّاس البقباق، أنّ شهاباً ما رآه</w:t>
      </w:r>
      <w:r>
        <w:rPr>
          <w:rStyle w:val="FootnoteAnchor"/>
          <w:rtl w:val="true"/>
        </w:rPr>
        <w:footnoteReference w:id="1383"/>
      </w:r>
      <w:r>
        <w:rPr>
          <w:rFonts w:ascii="Amiri" w:hAnsi="Amiri" w:eastAsia="Amiri" w:cs="Amiri"/>
          <w:color w:val="111111"/>
          <w:sz w:val="28"/>
          <w:sz w:val="28"/>
          <w:szCs w:val="28"/>
          <w:rtl w:val="true"/>
          <w:lang w:bidi="ar-SA"/>
        </w:rPr>
        <w:t>في رجل ذهب له بألف درهم واستودعه بعد ذلك ألف درهم، قال أبو العبّاس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مكان الألف الّتي أخذ منك، فأبى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شهاب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له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أنا فاحبّ أن تأخذ وتحلف</w:t>
      </w:r>
      <w:r>
        <w:rPr>
          <w:rFonts w:eastAsia="Amiri" w:cs="Amiri" w:ascii="Amiri" w:hAnsi="Amiri"/>
          <w:color w:val="111111"/>
          <w:sz w:val="28"/>
          <w:szCs w:val="28"/>
          <w:rtl w:val="true"/>
          <w:lang w:bidi="ar-SA"/>
        </w:rPr>
        <w:t>»</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الخبر يدلّ على الجواز من غير كراهة،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 المكروه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أنّه إذا طلب منه المودع الوديعة جاز له الإنكار، فإن أحلفه حلف له على عدم الاستحقاق، أو على عدم الاستيداع مع التورية</w:t>
      </w:r>
      <w:r>
        <w:rPr>
          <w:rFonts w:eastAsia="Amiri" w:cs="Amiri" w:ascii="Amiri" w:hAnsi="Amiri"/>
          <w:color w:val="111111"/>
          <w:sz w:val="28"/>
          <w:szCs w:val="28"/>
          <w:rtl w:val="true"/>
          <w:lang w:bidi="ar-SA"/>
        </w:rPr>
        <w:t>»</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ورواية على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غصب مالًا أو جارية، ثمّ وقع عنده مال بسبب وديعة أو قرض مثل خيانة أو 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أيحلّ له حبسه عليه أم لا؟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يحلّ له ذلك إن كان بقدر حقّه، وإن كان أكثر فيأخذ منه ما كان عليه ويسلّم الباقي إليه إن شاء الله</w:t>
      </w:r>
      <w:r>
        <w:rPr>
          <w:rFonts w:eastAsia="Amiri" w:cs="Amiri" w:ascii="Amiri" w:hAnsi="Amiri"/>
          <w:color w:val="111111"/>
          <w:sz w:val="28"/>
          <w:szCs w:val="28"/>
          <w:rtl w:val="true"/>
          <w:lang w:bidi="ar-SA"/>
        </w:rPr>
        <w:t>»</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الحرمة والمنع</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ابن أخي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ودخلت امرأة وكنت أقرب القوم إليها،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مات وترك مالًا كان في يد أخي فأتلفه، ثمّ أفاد مالًا فأودعنيه، فلي أن آخذ منه بقدر ما أتلف من شي‌ء؟ فأخبرته بذلك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w:t>
      </w:r>
    </w:p>
    <w:p>
      <w:pPr>
        <w:pStyle w:val="BookText"/>
        <w:rPr/>
      </w:pPr>
      <w:r>
        <w:rPr>
          <w:rFonts w:ascii="Amiri" w:hAnsi="Amiri" w:eastAsia="Amiri" w:cs="Amiri"/>
          <w:color w:val="111111"/>
          <w:sz w:val="28"/>
          <w:sz w:val="28"/>
          <w:szCs w:val="28"/>
          <w:rtl w:val="true"/>
          <w:lang w:bidi="ar-SA"/>
        </w:rPr>
        <w:t>الأمانة إلى من ائتمنك ولا تخن من خانك</w:t>
      </w:r>
      <w:r>
        <w:rPr>
          <w:rFonts w:eastAsia="Amiri" w:cs="Amiri" w:ascii="Amiri" w:hAnsi="Amiri"/>
          <w:color w:val="111111"/>
          <w:sz w:val="28"/>
          <w:szCs w:val="28"/>
          <w:rtl w:val="true"/>
          <w:lang w:bidi="ar-SA"/>
        </w:rPr>
        <w:t>»</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الخبر يدلّ على المنع من ثلاثة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قولها فلي أن آخذ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 الأمانة إلى من ائتمنك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الأمر بأدائها إليه ينافي جواز 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تخن من خانك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وقع لي عنده مال فكابرني عليه وحلف ثمّ وقع له عندي مال آخذه لمكان مالي الّذي أخذه وأجحده وأحلف عليه كما 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خانك فلا تخنه ولا تدخل فيما عبته عليه</w:t>
      </w:r>
      <w:r>
        <w:rPr>
          <w:rFonts w:eastAsia="Amiri" w:cs="Amiri" w:ascii="Amiri" w:hAnsi="Amiri"/>
          <w:color w:val="111111"/>
          <w:sz w:val="28"/>
          <w:szCs w:val="28"/>
          <w:rtl w:val="true"/>
          <w:lang w:bidi="ar-SA"/>
        </w:rPr>
        <w:t>»</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لي عليه حقّ فيجحدنيه ثمّ يستودعني مالًا، أ لي أن آخذ مالي عنده؟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هذه الخيانة</w:t>
      </w:r>
      <w:r>
        <w:rPr>
          <w:rFonts w:eastAsia="Amiri" w:cs="Amiri" w:ascii="Amiri" w:hAnsi="Amiri"/>
          <w:color w:val="111111"/>
          <w:sz w:val="28"/>
          <w:szCs w:val="28"/>
          <w:rtl w:val="true"/>
          <w:lang w:bidi="ar-SA"/>
        </w:rPr>
        <w:t>»</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مضافاً إلى 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يَأمُرُكُمْ أنْ تُؤَدُّوا الأمَانَاتِ إِلَى أهْلِهَا</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وإطلاقات الواردة في وجوب ردّ الأمانة وأدائها إلى صاحبها مثل ما في خبر عبدالله بن إسماعيل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 الأمانة لمن ائتمنك وأراد منك</w:t>
      </w:r>
    </w:p>
    <w:p>
      <w:pPr>
        <w:pStyle w:val="BookText"/>
        <w:rPr/>
      </w:pPr>
      <w:r>
        <w:rPr>
          <w:rFonts w:ascii="Amiri" w:hAnsi="Amiri" w:eastAsia="Amiri" w:cs="Amiri"/>
          <w:color w:val="111111"/>
          <w:sz w:val="28"/>
          <w:sz w:val="28"/>
          <w:szCs w:val="28"/>
          <w:rtl w:val="true"/>
          <w:lang w:bidi="ar-SA"/>
        </w:rPr>
        <w:t xml:space="preserve">النصيحة ولو إلى قاتل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ما في خبر عمّار بن مروان قال قال أبو عبدالله في وصيّته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 ضارب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وقاتله لو ائتمنني على سيف واستشارني ثمّ قبلت ذلك منه لأدّيت إليه الأمانة</w:t>
      </w:r>
      <w:r>
        <w:rPr>
          <w:rFonts w:eastAsia="Amiri" w:cs="Amiri" w:ascii="Amiri" w:hAnsi="Amiri"/>
          <w:color w:val="111111"/>
          <w:sz w:val="28"/>
          <w:szCs w:val="28"/>
          <w:rtl w:val="true"/>
          <w:lang w:bidi="ar-SA"/>
        </w:rPr>
        <w:t>»</w:t>
      </w:r>
      <w:r>
        <w:rPr>
          <w:rStyle w:val="FootnoteAnchor"/>
          <w:rtl w:val="true"/>
        </w:rPr>
        <w:footnoteReference w:id="1392"/>
      </w:r>
      <w:r>
        <w:rPr>
          <w:rFonts w:ascii="Amiri" w:hAnsi="Amiri" w:eastAsia="Amiri" w:cs="Amiri"/>
          <w:color w:val="111111"/>
          <w:sz w:val="28"/>
          <w:sz w:val="28"/>
          <w:szCs w:val="28"/>
          <w:rtl w:val="true"/>
          <w:lang w:bidi="ar-SA"/>
        </w:rPr>
        <w:t>وغيرهما ممّا فيه تأكيد بالأمر بأداء الأمانة إلى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 الاختلافات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عمومات وجوب ردّ الأمانة تخصّص بما دلّ على جواز المقاصّة من الوديعة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الأدلّة الخاصّة من الطرفين فتحمل ما دلّ على الحرمة على الكراهة جمعاً بينها وبين ما دلّ على الجواز؛ فإنّ الأدلّة المجوّزة صريحة في الجواز والمانعة ظاهرة في الحرمة من جهة ظهور النهي في الحرمة فمقتضى القاعدة حمل الظاهر على النصّ والصريح فتدلان على الجواز مع الكراهة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استفادة الكراهة ممّا دلّ على كون التقاص خيانة، فإنّه في الحقيقة ليس 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استيفاء الحقّ من ماله ومع كونه مأذوناً في الأخذ شرعاً وله الولاية شرعاً للتصرّف في مال المقتصّ منه وأخذ حقّه منه يصير التقاصّ بمنزلة أداء الأمانة إلى المقتصّ منه وقبوله عنه عوض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لما كان ذلك في صورة التصرّف والخيانة في الأمانة نهي عنه كراهية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خانك فلا تخنه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 في رواية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خيانة</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يستفاد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تدخل فيما عليه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المتقدّم</w:t>
      </w:r>
      <w:r>
        <w:rPr>
          <w:rFonts w:eastAsia="Amiri" w:cs="Amiri" w:ascii="Amiri" w:hAnsi="Amiri"/>
          <w:color w:val="111111"/>
          <w:sz w:val="28"/>
          <w:szCs w:val="28"/>
          <w:rtl w:val="true"/>
          <w:lang w:bidi="ar-SA"/>
        </w:rPr>
        <w:t>-</w:t>
      </w:r>
      <w:bookmarkStart w:id="721" w:name="pg1791_16489"/>
    </w:p>
    <w:p>
      <w:pPr>
        <w:pStyle w:val="BookText"/>
        <w:rPr/>
      </w:pPr>
      <w:bookmarkEnd w:id="721"/>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المقاصّة في صورة عدم علمه بالحقّ مشكل، فلو كان عليه دين واحتمل أداءه، يشكل المقاصّة، فالأحوط رفعه إلى الحاكم، كما أنّه مع جهل المديون مشكل ولو علم الدائن، بل ممنوع كما مرّ، فلا بدّ من الرفع إلى الحاكم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فالنهي فيها محمول على الكراهة من هذه الجهة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صحيح البقباق هو استحباب التقاصّ،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أنا فاحبّ أن تأخذ وتحلف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معلومية عدم 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المكروه ظاهر في الاستحباب فتعارض هذه الرواية ما تدلّ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شهرة الكراهة بين الأصحاب تدلّ على إعراضهم عن تلك الرواية فلا يمكن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الجمع بين الأخبار هو الجواز مع الكراهة كما عليه المشهور، وأكثر المتأخّرين، فما قاله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الأحوط عدم الجواز فلا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استحبابياً، كما أنّه لا وجه لما يستظهر من كلام السيّد من الجواز بلا كراهة لوجود الأدلّة المانعة ولزوم حملها على الكراهة</w:t>
      </w:r>
      <w:r>
        <w:rPr>
          <w:rFonts w:eastAsia="Amiri" w:cs="Amiri" w:ascii="Amiri" w:hAnsi="Amiri"/>
          <w:color w:val="111111"/>
          <w:sz w:val="28"/>
          <w:szCs w:val="28"/>
          <w:rtl w:val="true"/>
          <w:lang w:bidi="ar-SA"/>
        </w:rPr>
        <w:t>.</w:t>
      </w:r>
    </w:p>
    <w:p>
      <w:pPr>
        <w:pStyle w:val="Heading6"/>
        <w:numPr>
          <w:ilvl w:val="5"/>
          <w:numId w:val="1"/>
        </w:numPr>
        <w:rPr/>
      </w:pPr>
      <w:bookmarkStart w:id="722" w:name="__RefHeading___Toc2354939_3650668749"/>
      <w:bookmarkStart w:id="723" w:name="_Toc266"/>
      <w:bookmarkEnd w:id="722"/>
      <w:r>
        <w:rPr>
          <w:rtl w:val="true"/>
        </w:rPr>
        <w:t>حكم التقاصّ فيما لو كان اعتقاد المحقّية لحجّة شرعية</w:t>
      </w:r>
      <w:bookmarkEnd w:id="7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صاحب الحقّ عالماً بطلبه على عهدة زيد مثلًا وكونه مديوناً فلا شبهة في جواز المقاصّة من ماله</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لم يكن عالماً بذلك بل له حجّة شرعية عليه، كما إذا كان عالماً بالدين</w:t>
      </w:r>
    </w:p>
    <w:p>
      <w:pPr>
        <w:pStyle w:val="BookText"/>
        <w:rPr/>
      </w:pPr>
      <w:r>
        <w:rPr>
          <w:rFonts w:ascii="Amiri" w:hAnsi="Amiri" w:eastAsia="Amiri" w:cs="Amiri"/>
          <w:color w:val="111111"/>
          <w:sz w:val="28"/>
          <w:sz w:val="28"/>
          <w:szCs w:val="28"/>
          <w:rtl w:val="true"/>
          <w:lang w:bidi="ar-SA"/>
        </w:rPr>
        <w:t>ولكن المديون يدّعي وفائه وهو يحتمل صدقه في ادّعائه فحينئذٍ يتمسّك باستصحاب بقاء الدين وأصالة عدم وفائه، فهل جاز له المقاصّة من ماله باستناد الاستصحاب والأصل أم لا؟ وكذا لو قام عنده البيّنة على بقاء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المقاصّة فيه مع العلم الشرعي الحاصل بالاصول الشرعية لقيام مقتضى الاصول الشرعية مقام الواقع</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أخبار مشروعية المقاصّة هو صورة العلم بالحقّ بحيث يكون صاحب الحقّ عالماً واقعاً بوجود الحقّ على ذمّة المديون الجاهد أو المماطل أو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قال في معتبرة أبي بكر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لي عليه دراهم فجحدني</w:t>
      </w:r>
      <w:r>
        <w:rPr>
          <w:rFonts w:eastAsia="Amiri" w:cs="Amiri" w:ascii="Amiri" w:hAnsi="Amiri"/>
          <w:color w:val="111111"/>
          <w:sz w:val="28"/>
          <w:szCs w:val="28"/>
          <w:rtl w:val="true"/>
          <w:lang w:bidi="ar-SA"/>
        </w:rPr>
        <w:t>»</w:t>
      </w:r>
      <w:r>
        <w:rPr>
          <w:rStyle w:val="FootnoteAnchor"/>
          <w:rtl w:val="true"/>
        </w:rPr>
        <w:footnoteReference w:id="1394"/>
      </w:r>
      <w:r>
        <w:rPr>
          <w:rFonts w:ascii="Amiri" w:hAnsi="Amiri" w:eastAsia="Amiri" w:cs="Amiri"/>
          <w:color w:val="111111"/>
          <w:sz w:val="28"/>
          <w:sz w:val="28"/>
          <w:szCs w:val="28"/>
          <w:rtl w:val="true"/>
          <w:lang w:bidi="ar-SA"/>
        </w:rPr>
        <w:t xml:space="preserve">، أو قال في رواية سليمان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وقع لي عنده مال فكابرني</w:t>
      </w:r>
      <w:r>
        <w:rPr>
          <w:rFonts w:eastAsia="Amiri" w:cs="Amiri" w:ascii="Amiri" w:hAnsi="Amiri"/>
          <w:color w:val="111111"/>
          <w:sz w:val="28"/>
          <w:szCs w:val="28"/>
          <w:rtl w:val="true"/>
          <w:lang w:bidi="ar-SA"/>
        </w:rPr>
        <w:t>»</w:t>
      </w:r>
      <w:r>
        <w:rPr>
          <w:rStyle w:val="FootnoteAnchor"/>
          <w:rtl w:val="true"/>
        </w:rPr>
        <w:footnoteReference w:id="1395"/>
      </w:r>
      <w:r>
        <w:rPr>
          <w:rFonts w:ascii="Amiri" w:hAnsi="Amiri" w:eastAsia="Amiri" w:cs="Amiri"/>
          <w:color w:val="111111"/>
          <w:sz w:val="28"/>
          <w:sz w:val="28"/>
          <w:szCs w:val="28"/>
          <w:rtl w:val="true"/>
          <w:lang w:bidi="ar-SA"/>
        </w:rPr>
        <w:t xml:space="preserve">، أو قال في رواية أبي العبّاس البقباق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ذهب له بألف درهم</w:t>
      </w:r>
      <w:r>
        <w:rPr>
          <w:rFonts w:eastAsia="Amiri" w:cs="Amiri" w:ascii="Amiri" w:hAnsi="Amiri"/>
          <w:color w:val="111111"/>
          <w:sz w:val="28"/>
          <w:szCs w:val="28"/>
          <w:rtl w:val="true"/>
          <w:lang w:bidi="ar-SA"/>
        </w:rPr>
        <w:t>»</w:t>
      </w:r>
      <w:r>
        <w:rPr>
          <w:rStyle w:val="FootnoteAnchor"/>
          <w:rtl w:val="true"/>
        </w:rPr>
        <w:footnoteReference w:id="1396"/>
      </w:r>
      <w:r>
        <w:rPr>
          <w:rFonts w:ascii="Amiri" w:hAnsi="Amiri" w:eastAsia="Amiri" w:cs="Amiri"/>
          <w:color w:val="111111"/>
          <w:sz w:val="28"/>
          <w:sz w:val="28"/>
          <w:szCs w:val="28"/>
          <w:rtl w:val="true"/>
          <w:lang w:bidi="ar-SA"/>
        </w:rPr>
        <w:t>إلى غير ذلك ممّا يستظهر منها حصول العلم الوجداني لصاحب الحقّ، فلا تشمل ما إذا استند إلى أصل عملي أو أمارة لا يوجب الاطمئنان جزماً، فلو أراد استيفاء حقّه فلا بدّ له من رفع الأمر إلى الحاكم وإثبات حقّه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عليه دين واحتمل أدائه يشكل المقاصّة، فالأحوط رفعه إلى الحاكم</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له على شخص حقّ، ولم يعلم به الغريم أو نسيه؛ يجوز له التقاصّ، من غير وجوب الإعلام والمطالبة، للعمومات</w:t>
      </w:r>
      <w:r>
        <w:rPr>
          <w:rFonts w:eastAsia="Amiri" w:cs="Amiri" w:ascii="Amiri" w:hAnsi="Amiri"/>
          <w:color w:val="111111"/>
          <w:sz w:val="28"/>
          <w:szCs w:val="28"/>
          <w:rtl w:val="true"/>
          <w:lang w:bidi="ar-SA"/>
        </w:rPr>
        <w:t>»</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bookmarkStart w:id="724" w:name="pg1791_16494"/>
    </w:p>
    <w:p>
      <w:pPr>
        <w:pStyle w:val="BookText"/>
        <w:rPr/>
      </w:pPr>
      <w:bookmarkEnd w:id="724"/>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التقاصّ من المال المشترك بين المديون وغيره إلا بإذن شريكه، لكن لو أخذ وقع التقاصّ وإن أثم، فإذا اقتصّ من المال المشاع، صار شريكاً لذلك الشريك إن كان المال بقدر حقّه أو أنقص منه، وإلا صار شريكاً مع المديون وشريكه، فهل يجوز له أخذ حقّه وإفرازه بغير إذن المديون؟ الظاهر جوازه مع رضا الشريك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w:t>
      </w:r>
      <w:r>
        <w:rPr>
          <w:rStyle w:val="FootnoteAnchor"/>
          <w:rtl w:val="true"/>
        </w:rPr>
        <w:footnoteReference w:id="13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ادّعى على زيد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أنّي مديون أو لا، فمع علمه بالحقّ يجوز له المقاصّة كما يجوز له المرافعة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أغلب الروايات المتقدّمة صورة الجحد والمماطلة، ففي رواية أبي بكر الحضرمي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فجحدني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وعطف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فجحده إيّاه وذهب به</w:t>
      </w:r>
      <w:r>
        <w:rPr>
          <w:rFonts w:eastAsia="Amiri" w:cs="Amiri" w:ascii="Amiri" w:hAnsi="Amiri"/>
          <w:color w:val="111111"/>
          <w:sz w:val="28"/>
          <w:szCs w:val="28"/>
          <w:rtl w:val="true"/>
          <w:lang w:bidi="ar-SA"/>
        </w:rPr>
        <w:t>»</w:t>
      </w:r>
      <w:r>
        <w:rPr>
          <w:rStyle w:val="FootnoteAnchor"/>
          <w:rtl w:val="true"/>
        </w:rPr>
        <w:footnoteReference w:id="1399"/>
      </w:r>
      <w:r>
        <w:rPr>
          <w:rFonts w:ascii="Amiri" w:hAnsi="Amiri" w:eastAsia="Amiri" w:cs="Amiri"/>
          <w:color w:val="111111"/>
          <w:sz w:val="28"/>
          <w:sz w:val="28"/>
          <w:szCs w:val="28"/>
          <w:rtl w:val="true"/>
          <w:lang w:bidi="ar-SA"/>
        </w:rPr>
        <w:t>وفي رواية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فكابرني عليه وحلف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الواجد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المماطلة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تشمل ما إذا قال الغريم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مع أنّ المقاصّة على خلاف القاعدة ولا بدّ من الأخذ على قدر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أن يرفع الأمر إلى الحاكم والقضاء بما إذا كان الجواب من الغريم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منعه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فلا بدّ من الرفع إلى الحاكم</w:t>
      </w:r>
      <w:r>
        <w:rPr>
          <w:rFonts w:eastAsia="Amiri" w:cs="Amiri" w:ascii="Amiri" w:hAnsi="Amiri"/>
          <w:color w:val="111111"/>
          <w:sz w:val="28"/>
          <w:szCs w:val="28"/>
          <w:rtl w:val="true"/>
          <w:lang w:bidi="ar-SA"/>
        </w:rPr>
        <w:t>.</w:t>
      </w:r>
    </w:p>
    <w:p>
      <w:pPr>
        <w:pStyle w:val="Heading6"/>
        <w:numPr>
          <w:ilvl w:val="5"/>
          <w:numId w:val="1"/>
        </w:numPr>
        <w:rPr/>
      </w:pPr>
      <w:bookmarkStart w:id="725" w:name="__RefHeading___Toc2354941_3650668749"/>
      <w:bookmarkStart w:id="726" w:name="_Toc267"/>
      <w:bookmarkEnd w:id="725"/>
      <w:r>
        <w:rPr>
          <w:rtl w:val="true"/>
        </w:rPr>
        <w:t>عدم جواز التقاصّ من مال المشترك‌</w:t>
      </w:r>
      <w:bookmarkEnd w:id="726"/>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المال الذي عثر عليه ذو الحقّ وأراد المقاصّة منه مشتركاً بين</w:t>
      </w:r>
    </w:p>
    <w:p>
      <w:pPr>
        <w:pStyle w:val="BookText"/>
        <w:rPr/>
      </w:pPr>
      <w:r>
        <w:rPr>
          <w:rFonts w:ascii="Amiri" w:hAnsi="Amiri" w:eastAsia="Amiri" w:cs="Amiri"/>
          <w:color w:val="111111"/>
          <w:sz w:val="28"/>
          <w:sz w:val="28"/>
          <w:szCs w:val="28"/>
          <w:rtl w:val="true"/>
          <w:lang w:bidi="ar-SA"/>
        </w:rPr>
        <w:t>المديون وغيره، هل يجوز الاقتصاص منه أو لا؟</w:t>
      </w:r>
    </w:p>
    <w:p>
      <w:pPr>
        <w:pStyle w:val="BookText"/>
        <w:rPr/>
      </w:pPr>
      <w:r>
        <w:rPr>
          <w:rFonts w:ascii="Amiri" w:hAnsi="Amiri" w:eastAsia="Amiri" w:cs="Amiri"/>
          <w:color w:val="111111"/>
          <w:sz w:val="28"/>
          <w:sz w:val="28"/>
          <w:szCs w:val="28"/>
          <w:rtl w:val="true"/>
          <w:lang w:bidi="ar-SA"/>
        </w:rPr>
        <w:t>ذهب النراقي إلى جواز الاقتصاص منه من دون إذن الشريك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التقاصّ من مال الغريم المشترك بينه وبين غيره، وعليه أداء مال الغير وإيصاله إليه، للعمومات، وأدلّة نفي الضرر، ولأنّ حرمة مال الشريك ليس بأزيد من حرمة الزائد على الحقّ من مال الغريم</w:t>
      </w:r>
      <w:r>
        <w:rPr>
          <w:rFonts w:eastAsia="Amiri" w:cs="Amiri" w:ascii="Amiri" w:hAnsi="Amiri"/>
          <w:color w:val="111111"/>
          <w:sz w:val="28"/>
          <w:szCs w:val="28"/>
          <w:rtl w:val="true"/>
          <w:lang w:bidi="ar-SA"/>
        </w:rPr>
        <w:t>»</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عثر على مال مشترك بين الغريم وغيره، فإن أذن له الشريك في التقاصّ يأخذ مقدار حقّه منه جاز وإلا فلا</w:t>
      </w:r>
      <w:r>
        <w:rPr>
          <w:rFonts w:eastAsia="Amiri" w:cs="Amiri" w:ascii="Amiri" w:hAnsi="Amiri"/>
          <w:color w:val="111111"/>
          <w:sz w:val="28"/>
          <w:szCs w:val="28"/>
          <w:rtl w:val="true"/>
          <w:lang w:bidi="ar-SA"/>
        </w:rPr>
        <w:t>»</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التقاصّ من المال المشترك بدون إذن الشريك غير جائز؛ فإنّ العمومات لا يفيد جواز التصرّف في مال غير المقتصّ منه بدون إذنه وكذا أدلّة لا ضرر</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ارتكب الحرام وأخذ من مال المشترك وقع التقاصّ، ويصير سهم المقتصّ منه ملكاً له ويصير المال مشتركاً بينه وبين الشريك إن كان بقدر حقّه، أو انقص وإن كان أكثر يصير المال مشتركاً بينه وبين الشريك وبين المديون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لو كان له على المديون عشرين كيلو حنطة وعثر على ظرف فيه أربعين كيلو حنطة فأخذه تقاصّاً عن ماله، فيصير مالكاً لعشرين كيلو حنطة ويكون البقيّة ملكاً للشريك فيكون الجميع مشتركاً بينهما بالإشاعة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فيه خمسين كيلو حنطة مثلًا فيصير مالكاً لعشرين منه تقاصّاً وخمس وعشرين منها ملكاً للشريك ويبقى خمسة كيلو منها ملكاً للمقتصّ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حقّ ومنعه الحياء أو الخوف أو غيرهما من المطالبة، فلا يجوز له التقاصّ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شكّ في أنّ الغريم جاحد أو مماطل لا يجوز التقاصّ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ذلك أنّ أدلّة جواز التقاصّ لا يكون مشروطاً بجواز التصرّف وإذن الشريك بل هي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التصرّف فيه مشروط بإذن الشريك، فإذا أخذ المال تقاصّاً وقع التقاصّ وإن كان التصرّف فيه محرماً بغير إذن الشريك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المستفاد من الروايات الدالّة على جواز أخذ مال المقتصّ منه تقاصّاً وردّ مازاد عن حقّه إلى ماله، هو جواز إفراز المال بدون إذن المديون، فإنّه لو كان الإفراز متوقّفاً على إذن المديون، يكون نقضاً للغرض مع فرض جحوده أو مماطلته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بعد أخذ المال وصيرورته شريكاً في المال مع الشريك لا يجوز الإفراز بدون إذن الشريك، لعدم دلالة أدلّة مشروعية المقاصّة على ذلك بلا شبهة، فالإفراز بعد التقاصّ يحتاج إلى إذن الشريك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حقّ ثابت معلوم والغريم باذل غير مماطل، بحيث لو تذكّره وطلب منه يدفعه إليه ولكن منعه الحياء أو الخوف أو مصلحة اخرى عن المطالبة، فهل يجوز التقاصّ من ماله؟</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الفاضل النراقي إلى القول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كان له حقّ، ومنعه الحياء أو الخوف أو مصلحة اخرى عن المطالبة</w:t>
      </w:r>
      <w:r>
        <w:rPr>
          <w:rFonts w:eastAsia="Amiri" w:cs="Amiri" w:ascii="Amiri" w:hAnsi="Amiri"/>
          <w:color w:val="111111"/>
          <w:sz w:val="28"/>
          <w:szCs w:val="28"/>
          <w:rtl w:val="true"/>
          <w:lang w:bidi="ar-SA"/>
        </w:rPr>
        <w:t>»</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bookmarkStart w:id="727" w:name="pg1791_16504"/>
    </w:p>
    <w:p>
      <w:pPr>
        <w:pStyle w:val="BookText"/>
        <w:rPr/>
      </w:pPr>
      <w:bookmarkEnd w:id="727"/>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التقاصّ من مال تعلّق به حقّ الغير، كحقّ الرهانة وحقّ الغرماء في مال المحجور عليه، وفي مال الميّت الذي لا تفي تركته بديونه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بعدم صدق عنوان الجحود والمماطل عليه، فلا تشمله الروايات فلا يجوز له التقاصّ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كما ردّ على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اليزدي أيضاً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ما فيه من الإشكال وهو عدم شمول الجحود والمماطلة هنا</w:t>
      </w:r>
      <w:r>
        <w:rPr>
          <w:rFonts w:eastAsia="Amiri" w:cs="Amiri" w:ascii="Amiri" w:hAnsi="Amiri"/>
          <w:color w:val="111111"/>
          <w:sz w:val="28"/>
          <w:szCs w:val="28"/>
          <w:rtl w:val="true"/>
          <w:lang w:bidi="ar-SA"/>
        </w:rPr>
        <w:t>»</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لو شكّ في أنّ الغريم جاحد أو مماطل أم لا؟ ذهب النراقي إلى جواز التقاصّ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الغريم غائباً ولم يعلم جحوده أو عدم بذله يجوز التقاصّ من ماله الحاضر</w:t>
      </w:r>
      <w:r>
        <w:rPr>
          <w:rFonts w:eastAsia="Amiri" w:cs="Amiri" w:ascii="Amiri" w:hAnsi="Amiri"/>
          <w:color w:val="111111"/>
          <w:sz w:val="28"/>
          <w:szCs w:val="28"/>
          <w:rtl w:val="true"/>
          <w:lang w:bidi="ar-SA"/>
        </w:rPr>
        <w:t>»</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للعمومات وإطلاق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 بعدم صدق الجحود والمماطلة حينئذٍ، فيكون خارجاً عن مورد الروايات، ولا يشمله العموم أو الإطلاق في الروايات</w:t>
      </w:r>
      <w:r>
        <w:rPr>
          <w:rFonts w:eastAsia="Amiri" w:cs="Amiri" w:ascii="Amiri" w:hAnsi="Amiri"/>
          <w:color w:val="111111"/>
          <w:sz w:val="28"/>
          <w:szCs w:val="28"/>
          <w:rtl w:val="true"/>
          <w:lang w:bidi="ar-SA"/>
        </w:rPr>
        <w:t>.</w:t>
      </w:r>
    </w:p>
    <w:p>
      <w:pPr>
        <w:pStyle w:val="Heading6"/>
        <w:numPr>
          <w:ilvl w:val="5"/>
          <w:numId w:val="1"/>
        </w:numPr>
        <w:rPr/>
      </w:pPr>
      <w:bookmarkStart w:id="728" w:name="__RefHeading___Toc2354943_3650668749"/>
      <w:bookmarkStart w:id="729" w:name="_Toc268"/>
      <w:bookmarkEnd w:id="728"/>
      <w:r>
        <w:rPr>
          <w:rtl w:val="true"/>
        </w:rPr>
        <w:t>عدم جواز التقاصّ من مال تعلّق به حقّ الغير</w:t>
      </w:r>
      <w:bookmarkEnd w:id="729"/>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المال الذي أراد المقاصّة منه، متعلّقاً لحقّ الغير، كما إذا كان رهناً لدين مثلًا، فلا إشكال في عدم جواز التقاصّ منه، فإنّه يكون وثيقة للدين</w:t>
      </w:r>
    </w:p>
    <w:p>
      <w:pPr>
        <w:pStyle w:val="BookText"/>
        <w:rPr/>
      </w:pPr>
      <w:r>
        <w:rPr>
          <w:rFonts w:ascii="Amiri" w:hAnsi="Amiri" w:eastAsia="Amiri" w:cs="Amiri"/>
          <w:color w:val="111111"/>
          <w:sz w:val="28"/>
          <w:sz w:val="28"/>
          <w:szCs w:val="28"/>
          <w:rtl w:val="true"/>
          <w:lang w:bidi="ar-SA"/>
        </w:rPr>
        <w:t>بحيث لو لم يؤدّي المديون الدين استوفي دينه منه فيكون متعلّقاً لحقّ الغير فلا يشمله الأدلّة، لإيجابه تضييع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لو تعلّق حقّ الغرماء بمال المحجور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قبل حجر الحاكم له عن التصرّف جاز لصاحب الحقّ المقاصّة بتمام حقّه، وإن كان بعده فالظاهر عدم جوازها حتّى بمقدار حقّه</w:t>
      </w:r>
      <w:r>
        <w:rPr>
          <w:rFonts w:eastAsia="Amiri" w:cs="Amiri" w:ascii="Amiri" w:hAnsi="Amiri"/>
          <w:color w:val="111111"/>
          <w:sz w:val="28"/>
          <w:szCs w:val="28"/>
          <w:rtl w:val="true"/>
          <w:lang w:bidi="ar-SA"/>
        </w:rPr>
        <w:t>»</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لأنّه قبل حكم الحاكم بالحجر عليه لا يكون أمواله متعلّقاً لحقّ الغرماء وإن كان مديوناً ولم يف أمواله بديونه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اجتمع شرائط الحجر وحكم الحاكم به تعلّق حقّ الغرماء بأمواله ولا يجوز له التصرّف فيها، فكذلك لا يجوز لصاحب الحقّ المقاصّة منها وإن كان هو أيضاً دائناً وغريماً إلا أن يدّعي عند الحاكم وأثبت الدين عنده فيكون شريكاً مع سائر الغرماء فيقسم الأموال بينهم على السهم</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لو تعلّق حقّ الغرماء بمال الميّت الذي لا تفي تركته بديونه؛ فإنّ المقاصّة توجب تضييع حقوق الغرماء فلا تشمله الأدلّة، بل لا بدّ له من إثبات حقّه عند الحاكم، حتّى يصير شريكاً مع سائر الغرماء وقسّم المال بينهم على السهم</w:t>
      </w:r>
      <w:r>
        <w:rPr>
          <w:rFonts w:eastAsia="Amiri" w:cs="Amiri" w:ascii="Amiri" w:hAnsi="Amiri"/>
          <w:color w:val="111111"/>
          <w:sz w:val="28"/>
          <w:szCs w:val="28"/>
          <w:rtl w:val="true"/>
          <w:lang w:bidi="ar-SA"/>
        </w:rPr>
        <w:t>.</w:t>
      </w:r>
      <w:bookmarkStart w:id="730" w:name="pg1791_16510"/>
    </w:p>
    <w:p>
      <w:pPr>
        <w:pStyle w:val="BookText"/>
        <w:rPr/>
      </w:pPr>
      <w:bookmarkEnd w:id="730"/>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لغير ذي الحقّ التقاصّ إلا إذا كان وليّاً أو وكيلًا عن ذي الحقّ، فللأب التقاصّ لولده الصغير أو المجنون أو السفيه في مورد له الولاية، وللحاكم أيضاً ذلك في مورد ولايته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6"/>
        <w:numPr>
          <w:ilvl w:val="5"/>
          <w:numId w:val="1"/>
        </w:numPr>
        <w:rPr/>
      </w:pPr>
      <w:bookmarkStart w:id="731" w:name="__RefHeading___Toc2354945_3650668749"/>
      <w:bookmarkStart w:id="732" w:name="_Toc269"/>
      <w:bookmarkEnd w:id="731"/>
      <w:r>
        <w:rPr>
          <w:rtl w:val="true"/>
        </w:rPr>
        <w:t>عدم جواز التقاصّ لغير صاحب الحقّ إلا إذا كان وكيلًا أو وليّاً</w:t>
      </w:r>
      <w:bookmarkEnd w:id="7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المستفاد من أدلّة مشروعية التقاصّ إعطاء الحقّ لصاحب الحقّ في المقاصّة من مال الغريم، فلا يجوز التقاصّ لغير صاحب المقاصّة من مال الجاهد أو المماطل من جانب صاحب الحقّ كما أنّ حقّ القصاص ثابت لوليّ الدم لقوله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جَعَلْنَا لِوَلِيّهِ سُلْطَاناً</w:t>
      </w:r>
      <w:r>
        <w:rPr>
          <w:rStyle w:val="FootnoteAnchor"/>
          <w:rtl w:val="true"/>
        </w:rPr>
        <w:footnoteReference w:id="1406"/>
      </w:r>
      <w:r>
        <w:rPr>
          <w:rFonts w:ascii="Amiri" w:hAnsi="Amiri" w:eastAsia="Amiri" w:cs="Amiri"/>
          <w:color w:val="111111"/>
          <w:sz w:val="28"/>
          <w:sz w:val="28"/>
          <w:szCs w:val="28"/>
          <w:rtl w:val="true"/>
          <w:lang w:bidi="ar-SA"/>
        </w:rPr>
        <w:t>، فلا يجوز لغيره قصاص القاتل، فلو أقدم غير الوليّ لقصاص القاتل وقتله يقاصّ منه؛ فإنّ القاتل بالنسبة إليه محقون الدم ويقاد عن قاتله ففي ما نحن فيه أيضاً لو أقدم الغير للتقاصّ من مال المقتصّ منه كان عمله حراماً، ولا يتحقّق عنوان التقاصّ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قاله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1407"/>
      </w:r>
      <w:r>
        <w:rPr>
          <w:rFonts w:ascii="Amiri" w:hAnsi="Amiri" w:eastAsia="Amiri" w:cs="Amiri"/>
          <w:color w:val="111111"/>
          <w:sz w:val="28"/>
          <w:sz w:val="28"/>
          <w:szCs w:val="28"/>
          <w:rtl w:val="true"/>
          <w:lang w:bidi="ar-SA"/>
        </w:rPr>
        <w:t>من جوازه للغير بعنوان رفع الظلم بل وجوبه إذا علم مطالبته وجحد المديون ففيه ما لا يخفى</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كان وكيلًا عن صاحب الحقّ أو وليّاً له فجاز منه التقاصّ لأنّه من الامور القابلة للتوكيل، وكذا للولاية فللأب أو الجدّ له جاز التقاصّ عن ولده الصغير أو المجنون أو السفيه في مورد الولاية، وكذا الحاكم فيما له الولاية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للغريم الجاحد أو المماطل عليه دين، جاز احتسابه عوضاً عمّا عليه مقاصّة إذا كان بقدره أو أقلّ، وإلا فبقدره وتبرأ ذمّته بمقداره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للفقراء والسادة المقاصّة من مال من عليه الزكاة أو الخمس أو في ماله إلا بإذن الحاكم الشرعي، وللحاكم التقاصّ ممّن عليه أو في ماله نحو ذلك وجحد أو ماطل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شي‌ء وقفاً على الجهات العامّة أو العناوين الكلّية وليس لها متولّ لا يجوز التقاصّ لغير الحاكم، وأمّا الحاكم فلا إشكال في جواز مقاصّته منافع الوقف، وهل يجوز المقاصّة بمقدار عينه إذا كان الغاصب جاهلًا أو مماطلًا؛ لا يمكن أخذها منه وجعل المأخوذ وقفاً على تلك العناوين؟ وجهان، وعلى الجواز لو رجع عن الجحود والمماطلة، فهل ترجع العين وقفاً وتردّ ما جعله وقفاً إلى صاحبه أو بقي ذلك على الوقفية وصار الوقف ملكاً للغاصب؟</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بجواز الاحتساب تهاتراً، أي إذا كان على الدائن عند المماطل أو الجاحد ألف درهم ومقدار الدين أيضاً هو ألف درهم يحاسب الدائن الدين بما له عند المديون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يمكن أن يقال لا نحتاج إلى المحاسبة، بل يقع التهاتر قهراً وفي النتيجة سواء قلنا بالاحتساب أو التهاتر تبرء ذمّة المقتصّ منه بمقدار التقاصّ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هو الأوّل، والظاهر أنّ الواقف من منقطع الآخر، فيصحّ إلى زمان الرجوع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جهات للبحث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الزكوة والخمس بعهدة شخص وهو منكر أو مماطل فهل يجوز للفقراء والسادة أن يأخذوا تقاصّاً أو لا، بل يحتاج التصرّف تقاصّاً إلى إذن الحاكم؟</w:t>
      </w:r>
    </w:p>
    <w:p>
      <w:pPr>
        <w:pStyle w:val="BookText"/>
        <w:rPr/>
      </w:pPr>
      <w:r>
        <w:rPr>
          <w:rFonts w:ascii="Amiri" w:hAnsi="Amiri" w:eastAsia="Amiri" w:cs="Amiri"/>
          <w:color w:val="111111"/>
          <w:sz w:val="28"/>
          <w:sz w:val="28"/>
          <w:szCs w:val="28"/>
          <w:rtl w:val="true"/>
          <w:lang w:bidi="ar-SA"/>
        </w:rPr>
        <w:t xml:space="preserve">قال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الجواز إلا بإذن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النراقي قائل بالجواز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السابعة عشرة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الذي يجوز تقاصّه أعمّ من أن يكون ذو الحقّ معيناً أو أحدالأفراد، فلو أوصي أحد بشي‌ء لواحد من أولاد زيد، يجوز لأحدهم مقاصّته‌بعد الجحود أو المماطلة، لصدق كون حقّه عليه، لأنّ ذلك أيضاً نوع حقّ، وعلى هذا، فيجوز للفقير تقاصّ الزكوة والخمس وردّ المظالم عن الغني المماطل</w:t>
      </w:r>
      <w:r>
        <w:rPr>
          <w:rFonts w:eastAsia="Amiri" w:cs="Amiri" w:ascii="Amiri" w:hAnsi="Amiri"/>
          <w:color w:val="111111"/>
          <w:sz w:val="28"/>
          <w:szCs w:val="28"/>
          <w:rtl w:val="true"/>
          <w:lang w:bidi="ar-SA"/>
        </w:rPr>
        <w:t>»</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عليه أنّ هذا يصير سبباً للهرج والمرج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تعلّق بمال شخص زكوة أو تعلّق به الخمس وجاهد أو ماطل فهل يجوز للحاكم أخذها تقاصّاً؟</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بالجواز للحاكم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النراقي</w:t>
      </w:r>
      <w:r>
        <w:rPr>
          <w:rStyle w:val="FootnoteAnchor"/>
          <w:rtl w:val="true"/>
        </w:rPr>
        <w:footnoteReference w:id="1409"/>
      </w:r>
      <w:r>
        <w:rPr>
          <w:rFonts w:ascii="Amiri" w:hAnsi="Amiri" w:eastAsia="Amiri" w:cs="Amiri"/>
          <w:color w:val="111111"/>
          <w:sz w:val="28"/>
          <w:sz w:val="28"/>
          <w:szCs w:val="28"/>
          <w:rtl w:val="true"/>
          <w:lang w:bidi="ar-SA"/>
        </w:rPr>
        <w:t>بل على الحاكم الأخذ تقاصّاً لما مرّ من وجوب دفع الظلم عن المظلوم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شي‌ء وقفاً على جهات العامّة أو العناوين الكلّية من الخيرات؛ بدون أن يكون لها متولّ وغصبهم الغاصبون ثمّ حصل الفقراء وغيره على أموال للغاصبين، فهل يجوز للفقراء والمستحقّين التصرّف فيه بنفسهم تقاصّاً أو يحتاج إلى إذن الحاكم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الحاكم فيجوز له مقاصّة منافع الوقف، فإن أمكن للحاكم أخذ عين الوقف والردّ إلى ما قبل الغصب إلى الوقف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 كان الغاصب جاهداً أو مماطلًا وكان بإمكان الحاكم التقاصّ من منافع العين الموقوفة وصرفها على العناوين فيفعل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فيأخذ تقاصّاً المال الغاصب الذي بيد الحاكم فيجعله وقفاً في العناوين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نكتة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أنّه لو رجع الغاصب المقتصّ منه عن الجحود أو المماطلة، فهل يرد المال المقاصّ إلى الغاصب وترجع العين الموقوفة وقفاً كما كان أو لا؟ أو يبقى المقاصّ على الوقفية ويصير الوقف ملكاً للغاصب 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هو الأوّل، أي ترجع العين الموقوفة إلى الوقف والمقاصّ يصير ملكاً للغاصب كما كان أو لا</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المسألة نكات لا يهمّنا البحث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تتحقّق المقاصّة بمجرّد النيّة بدون الأخذ والتسلّط على مال الغريم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احتساب الدين تقاصّاً كما مرّ، فلو كان مال الغريم في يده أو يد غيره، فنوى الغارم تملّكه تقاصّاً، لا يصير ملكاً له، وكذا لا يجوز بيع ما بيد الغير منه بعنوان التقاصّ من الغريم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 التقاصّ من الأخذ والتسلّط على مال الغريم ولا تكفي مجرّد النية في التقاصّ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مال من المدين في يد الدائن فنوي الدائن الأخذ تقاصّاً لا يصير المال ملكاً للدائن، بل يلزم الأخذ والتصرّف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كان المال في يد ثالث لا يجوز بيع من ثالث تقاصّاً، هكذا قال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يناقش في الفقرة الأخيرة بأنّه إذا جاز التصرّف مع نية التقاصّ بالأخذ فلماذا لا يجوز التصرّف مع نية التقاصّ بالبيع؟</w:t>
      </w:r>
    </w:p>
    <w:p>
      <w:pPr>
        <w:pStyle w:val="BookText"/>
        <w:rPr/>
      </w:pPr>
      <w:r>
        <w:rPr>
          <w:rFonts w:ascii="Amiri" w:hAnsi="Amiri" w:eastAsia="Amiri" w:cs="Amiri"/>
          <w:color w:val="111111"/>
          <w:sz w:val="28"/>
          <w:sz w:val="28"/>
          <w:szCs w:val="28"/>
          <w:rtl w:val="true"/>
          <w:lang w:bidi="ar-SA"/>
        </w:rPr>
        <w:t>ولذا يمكن القول بجواز التصرّف مع نية التقاصّ بأي نوع من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نقول قال الإمام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يجوز احتساب الدين تقاصّاً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كان عليه وعلى ذمّته إذا قصد التقاصّ فهو بمنزلة الأخذ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المسألة كلام للسيّد وللفاضل النراقي لا يخلو من الفائدة</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Style w:val="FootnoteAnchor"/>
          <w:rtl w:val="true"/>
        </w:rPr>
        <w:footnoteReference w:id="1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تتحقّق المقاصّة بدون الأخذ والتسلّط على مال الغريم فلا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التقاصّ لا يتوقّف على إذن الحاكم، وكذا لو توقّف على بيعه أو إفرازه يجوز كلّ ذلك بلا إذن الحاكم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تملّك داره أو عبده أو أمته مع كونها بعد في يده، فلا تتحقّق بمجرّد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ماله في يد شخص لا يبعد جواز بيعه عليه بعنوان المقاصّة عن حقّه الذي عليه وإن كان لا يخلو عن إشكال، لأنّه لم يصر ملكاً له إلا بعد المقاصّة ولا بيع إلا في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عدم حصول التقاصّ بدون التصرّف؛ للأصل، وعدم شمول العمومات، فلا يجوز قبول أمة الغريم التي في بيته أو عبده مقاصّة، وعتقه من كفّارة، ولا قبول داره التي يسكن فيها الغريم، أو ضيعته التي في تصرّفه، ووقفها أو بيعها للغير، من غير أن يتصرّف الغير فيها</w:t>
      </w:r>
      <w:r>
        <w:rPr>
          <w:rFonts w:eastAsia="Amiri" w:cs="Amiri" w:ascii="Amiri" w:hAnsi="Amiri"/>
          <w:color w:val="111111"/>
          <w:sz w:val="28"/>
          <w:szCs w:val="28"/>
          <w:rtl w:val="true"/>
          <w:lang w:bidi="ar-SA"/>
        </w:rPr>
        <w:t>»</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ذلك إطلاق الروايات الدالّة على جواز التقاصّ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الرجل يكون له على الرجل الدين فيجحده فيظفر من ماله بقدر الّذي جحده أيأخذه وإن لم يعلم الجاحد بذلك؟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إنّ ترك الاستفصال دليل العموم من جهة إذن الحاكم وإمكانه أو عدمه</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داود بن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اخالط</w:t>
      </w:r>
    </w:p>
    <w:p>
      <w:pPr>
        <w:pStyle w:val="BookText"/>
        <w:rPr/>
      </w:pPr>
      <w:r>
        <w:rPr>
          <w:rFonts w:ascii="Amiri" w:hAnsi="Amiri" w:eastAsia="Amiri" w:cs="Amiri"/>
          <w:color w:val="111111"/>
          <w:sz w:val="28"/>
          <w:sz w:val="28"/>
          <w:szCs w:val="28"/>
          <w:rtl w:val="true"/>
          <w:lang w:bidi="ar-SA"/>
        </w:rPr>
        <w:t>السلطان فتكون عندي الجارية فيأخذونها، والدابّة الفارهة فيبعثون فيأخذونها، ثمّ يقع لهم عندي المال فلي أن آخذه؟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مثل ذلك ولا تزد عليه</w:t>
      </w:r>
      <w:r>
        <w:rPr>
          <w:rFonts w:eastAsia="Amiri" w:cs="Amiri" w:ascii="Amiri" w:hAnsi="Amiri"/>
          <w:color w:val="111111"/>
          <w:sz w:val="28"/>
          <w:szCs w:val="28"/>
          <w:rtl w:val="true"/>
          <w:lang w:bidi="ar-SA"/>
        </w:rPr>
        <w:t>»</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منه أنّ المال الذي وقع عنده غير الجارية أو الدابّة والغالب لا بدّ أن يبيعه وأخذ قيمة، فإجازة الإمام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مثل ذلك ولا تزد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يشمله، فلا حاجة إلى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رواية على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غصب مالًا أو جارية ثمّ وقع عنده مال بسبب وديعة أو قرض مثل خيانة أو غصب، أيحلّ له حبسه عليه أم لا؟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يحلّ له ذلك إن كان بقدر حقّه، وإن كان أكثر فيأخذ منه ما كان عليه ويسلّم الباقي إليه إن شاء الله</w:t>
      </w:r>
      <w:r>
        <w:rPr>
          <w:rFonts w:eastAsia="Amiri" w:cs="Amiri" w:ascii="Amiri" w:hAnsi="Amiri"/>
          <w:color w:val="111111"/>
          <w:sz w:val="28"/>
          <w:szCs w:val="28"/>
          <w:rtl w:val="true"/>
          <w:lang w:bidi="ar-SA"/>
        </w:rPr>
        <w:t>»</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فتدلّ على جواز الإفراز من غير حاجة إلى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فروع المقاصّة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الحقّ المطلوب عيناً، فإن كان يمكن أخذه بلا مشقّة ولا ارتكاب محذور، فلا يجوز المقاصّة من ماله الآخر وإن لم يمكن أخذه أصلًا جاز له المقاصّة من ماله الآخر إن كان من جنس ماله، وإن لم يكن من جنسه جاز أن يأخذ بمقدار قيمة ماله ولايجوز أن يبيعه ويأخذ ثمنه عوض ماله ويجوز أن يشتري به من جنس ماله ولايأخذه ولا حاجة إلى الاستئذان من الحاكم الشرعي لإطلاق الأخبار</w:t>
      </w:r>
      <w:r>
        <w:rPr>
          <w:rFonts w:eastAsia="Amiri" w:cs="Amiri" w:ascii="Amiri" w:hAnsi="Amiri"/>
          <w:color w:val="111111"/>
          <w:sz w:val="28"/>
          <w:szCs w:val="28"/>
          <w:rtl w:val="true"/>
          <w:lang w:bidi="ar-SA"/>
        </w:rPr>
        <w:t>»</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الأخبار إطلاق يعول عليه في المقام، غاية الأمر أنّ عدم</w:t>
      </w:r>
      <w:bookmarkStart w:id="733" w:name="pg1791_16531"/>
    </w:p>
    <w:p>
      <w:pPr>
        <w:pStyle w:val="BookText"/>
        <w:rPr/>
      </w:pPr>
      <w:bookmarkEnd w:id="733"/>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تبيّن بعد المقاصّة خطاؤه في دعواه، يجب عليه ردّ ما أخذه أو ردّ عوضه مثلًا أو قيمة لو تلف، وعليه غرامة ما أضرّه؛ من غير فرق بين الخطأ في الحكم أو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تبيّن أنّ ما أخذه كان ملكاً لغير الغريم، يجب ردّه أو ردّ عوضه لو تلف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جواز البيع أو الإفراز يوجب الضرر عليه، فيرجع إلى أدلّة ولاية الحاكم المقتضية لأخذ الإذن فيه في مثل هذه التصرّفات وفيه وجود الإطلاق وترك الاستفصال</w:t>
      </w:r>
      <w:r>
        <w:rPr>
          <w:rFonts w:eastAsia="Amiri" w:cs="Amiri" w:ascii="Amiri" w:hAnsi="Amiri"/>
          <w:color w:val="111111"/>
          <w:sz w:val="28"/>
          <w:szCs w:val="28"/>
          <w:rtl w:val="true"/>
          <w:lang w:bidi="ar-SA"/>
        </w:rPr>
        <w:t>.</w:t>
      </w:r>
    </w:p>
    <w:p>
      <w:pPr>
        <w:pStyle w:val="Heading6"/>
        <w:numPr>
          <w:ilvl w:val="5"/>
          <w:numId w:val="1"/>
        </w:numPr>
        <w:rPr/>
      </w:pPr>
      <w:bookmarkStart w:id="734" w:name="__RefHeading___Toc2354947_3650668749"/>
      <w:bookmarkStart w:id="735" w:name="_Toc270"/>
      <w:bookmarkEnd w:id="734"/>
      <w:r>
        <w:rPr>
          <w:rtl w:val="true"/>
        </w:rPr>
        <w:t>بيان في الخطاء في الموضوع أو الحكم‌</w:t>
      </w:r>
      <w:bookmarkEnd w:id="7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زعم أنّ له على فلان حقّ مالي وهو جاهد أو مماطل، وكان عند الدائن من الجاهد أو المماطل مال فأخذ المال تقاصّاً، ثمّ ظهر له أحد الأمرين</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مدّة علم بخطائه في المحاسبة وفهم أنّ الذي كان مديناً قد أدّي دينه وما كان التقاصّ صحيحاً ولم يتحقّق الملكية بالنسبة إلى المقاصّ، إذن لو كان المال المقاصّ موجوداً فعليه ردّ المال إلى صاحبه وإلا فليؤدّي المثل أو القيمة، وكذا عليه جبران الخسارة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الخطاء في الحكم أو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والخطاء في الموضوع، مثل أن يزعم أنّ له على فلان ألف تومان ثمّ كشف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والخطاء في الحكم، مثل أن تزعم المرأة أنّها ترث من الأعيان وزعمت أنّ الوارث لم يعطوا حقّه وأخذ ما عندها تقاصّاً ثمّ كشف الخلاف وعلمت بعدم إرث المرأة من 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المقاصّة من العين أو المنفعة أو الحقّ في مقابل حقّه من أيّ نوع كان، فلو كان المطلوب عيناً، يجوز التقاصّ من المنفعة إذا عثر عليها أو الحقّ كذلك وبالعكس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زعم أنّه له على فلان ألف دينار مثلًا وهو جاحد أو مماطل وكان عنده من فلان ألف دينار فأخذها تقاصّاً، ثمّ كشف الخلاف وعلم أنّ الألف دينار التي كانت عنده لم تكن لفلان، بل كان فلان أميناً عليها فبالنتيجة لم يتحقّق التقاص فحينئذٍ عليه ردّ العين أو المثل أو القيمة وعليه جبران الخسارة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لشخص على غيره حقّ كحقّ التحجير أو حقّ الطريق وغيرهما، ويكون الغير جاحداً أو مماطلًا يجوز التقاصّ من حقّه، سواء كان من العين أو من الدين أو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فيما يأخذه تقاصّاً أن يكون عيناً أو ديناً أو المنفعة</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هناك إشكال طرحها بعض الأفاضل</w:t>
      </w:r>
      <w:r>
        <w:rPr>
          <w:rStyle w:val="FootnoteAnchor"/>
          <w:rtl w:val="true"/>
        </w:rPr>
        <w:footnoteReference w:id="1416"/>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 التقاصّ عدم الجواز فلا بدّ في موارد الجواز الاكتفاء على قدر المتيقّن، أي لا يصحّ أن يقتصّ جنساً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كان أو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منفعةً مقابل الحقّ؛ يعني إذا كان له على الغير حقّ يجوز له التقاصّ فقط من الحقّ الذي عنده وإن كان له على الغير عيناً، فيجوز له التقاصّ من العين الذي تحت يده وإن كان له على الغير المنفعة، فيجوز التقاصّ من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عمدة دليل التقاصّ رواية أبي بكر الحضرمي</w:t>
      </w:r>
      <w:r>
        <w:rPr>
          <w:rStyle w:val="FootnoteAnchor"/>
          <w:rtl w:val="true"/>
        </w:rPr>
        <w:footnoteReference w:id="1417"/>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يجوز التقاصّ إذا لم يرفعه إلى الحاكم فحلّفه، وإلا فلا يجوز بعد الحلف، ولو اقتصّ منه بعده لم يملكه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الدراهم أو رواية داود بن رزين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مثل ذلك</w:t>
      </w:r>
      <w:r>
        <w:rPr>
          <w:rFonts w:eastAsia="Amiri" w:cs="Amiri" w:ascii="Amiri" w:hAnsi="Amiri"/>
          <w:color w:val="111111"/>
          <w:sz w:val="28"/>
          <w:szCs w:val="28"/>
          <w:rtl w:val="true"/>
          <w:lang w:bidi="ar-SA"/>
        </w:rPr>
        <w:t>»</w:t>
      </w:r>
      <w:r>
        <w:rPr>
          <w:rStyle w:val="FootnoteAnchor"/>
          <w:rtl w:val="true"/>
        </w:rPr>
        <w:footnoteReference w:id="1418"/>
      </w:r>
      <w:r>
        <w:rPr>
          <w:rFonts w:ascii="Amiri" w:hAnsi="Amiri" w:eastAsia="Amiri" w:cs="Amiri"/>
          <w:color w:val="111111"/>
          <w:sz w:val="28"/>
          <w:sz w:val="28"/>
          <w:szCs w:val="28"/>
          <w:rtl w:val="true"/>
          <w:lang w:bidi="ar-SA"/>
        </w:rPr>
        <w:t>أو آية الشريفة وَإِنْ عَاقَبْتُمْ فَعَاقِبُوا بِمِثْلِ مَا عُوقِبْتُمْ بِهِ</w:t>
      </w:r>
      <w:r>
        <w:rPr>
          <w:rStyle w:val="FootnoteAnchor"/>
          <w:rtl w:val="true"/>
        </w:rPr>
        <w:footnoteReference w:id="1419"/>
      </w:r>
      <w:r>
        <w:rPr>
          <w:rFonts w:ascii="Amiri" w:hAnsi="Amiri" w:eastAsia="Amiri" w:cs="Amiri"/>
          <w:color w:val="111111"/>
          <w:sz w:val="28"/>
          <w:sz w:val="28"/>
          <w:szCs w:val="28"/>
          <w:rtl w:val="true"/>
          <w:lang w:bidi="ar-SA"/>
        </w:rPr>
        <w:t>الدالات على التقاصّ من المثل، ولا تكون دليلًا على الانتقال من العين إلى المنفعة أو الحقّ وغيره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الإشكال المطروحة بأنّ المراد من المثلية في الآية الشريفة هي المثلية في المقدار المالية مثلًا عند 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مثل ذلك ولا تزد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لا تزد في الأخذ على المقدار الذي لك عليه؛ يعني لا تأخذ الزائد من‌حقّك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 بأس أن نأخذ المنفعة مثلًا في التقاصّ عن العين أو الحقّ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مقتضى عموم الأخبار خصوصاً صحيحة داود و على بن سليمان جواز المقاصّة من غير الجنس</w:t>
      </w:r>
      <w:r>
        <w:rPr>
          <w:rFonts w:eastAsia="Amiri" w:cs="Amiri" w:ascii="Amiri" w:hAnsi="Amiri"/>
          <w:color w:val="111111"/>
          <w:sz w:val="28"/>
          <w:szCs w:val="28"/>
          <w:rtl w:val="true"/>
          <w:lang w:bidi="ar-SA"/>
        </w:rPr>
        <w:t>»</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ترافعا إلى الحاكم ولم يكن للمدّعي الدائن بيّنة وحلف المدّعى عليه وحكم الحاكم بعدم ثبوت الحقّ وفصل الخصومة ظاهراً، ثمّ بعد مدّة وقع مال من المديون بيد الدائن، فلا يجوز للدائن أخذه تقاصّاً وإن أخذه تقاصّاً لا يملك ولو كان دائناً إلى الآن واقعاً والحالف مديون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طرح الدعوى مجدّداً بعد حكم الحاكم وفصل الخصومة ولو طرحت لم تكن مؤثّراً في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أقضي بينكم بالبيّنات والأيمان وبعضكم ألحن بحجّته من بعض، فأيّما رجل قطعت له من مال أخيه شيئاً فإنّما قطعت له به قطعة من النار</w:t>
      </w:r>
      <w:r>
        <w:rPr>
          <w:rFonts w:eastAsia="Amiri" w:cs="Amiri" w:ascii="Amiri" w:hAnsi="Amiri"/>
          <w:color w:val="111111"/>
          <w:sz w:val="28"/>
          <w:szCs w:val="28"/>
          <w:rtl w:val="true"/>
          <w:lang w:bidi="ar-SA"/>
        </w:rPr>
        <w:t>»</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أفطن، أي الذي بإمكانه أن يطرح خلاف الواقع كواقع مورد للقبول، فإذا حكم الحاكم بلحاظ ألحنية أحدهما في الدعوى لا يتغير شي‌ء في الواقع ولكن بعد الحلف وحكم الحاكم لا يمكن التقاصّ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لدلالة الروايات التي تدلّ على آثار لليمين؛ اللاتي نقلنا بعضها آنفاً وننقل الآن بعضها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خضر النخعي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يكون له على الرجل المال فيجحده،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استحلفه فليس له أن يأخذ شيئاً، وإن تركه ولم يستحلفه، فهو على حقّه</w:t>
      </w:r>
      <w:r>
        <w:rPr>
          <w:rFonts w:eastAsia="Amiri" w:cs="Amiri" w:ascii="Amiri" w:hAnsi="Amiri"/>
          <w:color w:val="111111"/>
          <w:sz w:val="28"/>
          <w:szCs w:val="28"/>
          <w:rtl w:val="true"/>
          <w:lang w:bidi="ar-SA"/>
        </w:rPr>
        <w:t>»</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ابن أبي يعفور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رضي صاحب الحقّ بيمين المنكر لحقّه فاستحلفه، فحلف أن لا حقّ له قبله، ذهبت اليمين بحقّ المدّعي فلا دعوى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عليه بيّنة عادلة؟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وإن أقام بعد ما استحلفه بالله خمسين قسامة ما كان له، وكانت اليمين قد أبطلت</w:t>
      </w:r>
    </w:p>
    <w:p>
      <w:pPr>
        <w:pStyle w:val="BookText"/>
        <w:rPr/>
      </w:pPr>
      <w:r>
        <w:rPr>
          <w:rFonts w:ascii="Amiri" w:hAnsi="Amiri" w:eastAsia="Amiri" w:cs="Amiri"/>
          <w:color w:val="111111"/>
          <w:sz w:val="28"/>
          <w:sz w:val="28"/>
          <w:szCs w:val="28"/>
          <w:rtl w:val="true"/>
          <w:lang w:bidi="ar-SA"/>
        </w:rPr>
        <w:t>كلّ ما ادّعاه قبله ممّا قد استحلفه عليه</w:t>
      </w:r>
      <w:r>
        <w:rPr>
          <w:rFonts w:eastAsia="Amiri" w:cs="Amiri" w:ascii="Amiri" w:hAnsi="Amiri"/>
          <w:color w:val="111111"/>
          <w:sz w:val="28"/>
          <w:szCs w:val="28"/>
          <w:rtl w:val="true"/>
          <w:lang w:bidi="ar-SA"/>
        </w:rPr>
        <w:t>»</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له أن يأخذ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دعوى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إبطال ظاهر الدعوى، ولا يؤثّر في الواقع، وشرحناه في المسألة الثالثة في القول في الجواب بالإنكار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هناك رواية واحدة تدلّ على جواز التقاصّ بعد الحلف وفصل 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رواية أبي بكر الحضرمي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لي عليه دراهم فجحدني وحلف عليها، أيجوز لي إن وقع له قبلي دراهم أن آخذ منه بقدر حقّي؟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ولكن لهذا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لا آخذه ظلماً ولا خيانة وإنّما أخذته مكان مالي الّذي أخذ منّي لم أزدد عليه شيئاً</w:t>
      </w:r>
      <w:r>
        <w:rPr>
          <w:rFonts w:eastAsia="Amiri" w:cs="Amiri" w:ascii="Amiri" w:hAnsi="Amiri"/>
          <w:color w:val="111111"/>
          <w:sz w:val="28"/>
          <w:szCs w:val="28"/>
          <w:rtl w:val="true"/>
          <w:lang w:bidi="ar-SA"/>
        </w:rPr>
        <w:t>»</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توجيه الرواية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يجوز التقاصّ من ماله إذا لم يحلفه الحاكم الشرعي وإلا فلا يجوز كما مرّ سابقاً، وما في خبر الحضرمي من الجواز إذا حلف بعد جحوده فمنزّل على الحلف من عنده أو باستحلاف المدّعي من دون تحليف الحاكم الشرعي</w:t>
      </w:r>
      <w:r>
        <w:rPr>
          <w:rFonts w:eastAsia="Amiri" w:cs="Amiri" w:ascii="Amiri" w:hAnsi="Amiri"/>
          <w:color w:val="111111"/>
          <w:sz w:val="28"/>
          <w:szCs w:val="28"/>
          <w:rtl w:val="true"/>
          <w:lang w:bidi="ar-SA"/>
        </w:rPr>
        <w:t>»</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فبالنتيجة لو لم يكن الحلف من أمر من الحاكم لم يكن مؤثّراً في عدم جواز التقاصّ، وأمّا رواية عبدالله بن وضّاح</w:t>
      </w:r>
      <w:r>
        <w:rPr>
          <w:rStyle w:val="FootnoteAnchor"/>
          <w:rtl w:val="true"/>
        </w:rPr>
        <w:footnoteReference w:id="1426"/>
      </w:r>
      <w:r>
        <w:rPr>
          <w:rFonts w:ascii="Amiri" w:hAnsi="Amiri" w:eastAsia="Amiri" w:cs="Amiri"/>
          <w:color w:val="111111"/>
          <w:sz w:val="28"/>
          <w:sz w:val="28"/>
          <w:szCs w:val="28"/>
          <w:rtl w:val="true"/>
          <w:lang w:bidi="ar-SA"/>
        </w:rPr>
        <w:t>فهي ضعيفة سنداً مضافاً إلى أنّ الحلف كان عند الوالي لا عند حاكم الشرعي</w:t>
      </w:r>
      <w:r>
        <w:rPr>
          <w:rFonts w:eastAsia="Amiri" w:cs="Amiri" w:ascii="Amiri" w:hAnsi="Amiri"/>
          <w:color w:val="111111"/>
          <w:sz w:val="28"/>
          <w:szCs w:val="28"/>
          <w:rtl w:val="true"/>
          <w:lang w:bidi="ar-SA"/>
        </w:rPr>
        <w:t>.</w:t>
      </w:r>
      <w:bookmarkStart w:id="736" w:name="pg1791_16546"/>
    </w:p>
    <w:p>
      <w:pPr>
        <w:pStyle w:val="BookText"/>
        <w:rPr/>
      </w:pPr>
      <w:bookmarkEnd w:id="736"/>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يقول عند التقاصّ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آخذ هذا المال مكان مالي الذي أخذه منّي، وإنّي لم آخذ الذي أخذته خيانةً ولا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وهو أحوط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غصب عيناً مشتركاً بين شريكين، فلكلّ منهما التقاصّ منه بمقدار حصّته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 دين مشتركاً بينهما؛ من غير فرق بين التقاصّ بجنسه أو بغير جنسه، فإذا كان عليه ألفان من زيد، فمات وورثه ابنان، فإن جحد حقّ أحدهما دون الآخر، فلا إشكال في أنّ له التقاصّ بمقدار حقّه، وإن جحد حقّهما فالظاهر أنّه كذلك،</w:t>
      </w:r>
    </w:p>
    <w:p>
      <w:pPr>
        <w:pStyle w:val="Heading6"/>
        <w:numPr>
          <w:ilvl w:val="5"/>
          <w:numId w:val="1"/>
        </w:numPr>
        <w:rPr/>
      </w:pPr>
      <w:bookmarkStart w:id="737" w:name="__RefHeading___Toc2354949_3650668749"/>
      <w:bookmarkStart w:id="738" w:name="_Toc271"/>
      <w:bookmarkEnd w:id="737"/>
      <w:r>
        <w:rPr>
          <w:rtl w:val="true"/>
        </w:rPr>
        <w:t>حكم الدعاء عند التقاصّ‌</w:t>
      </w:r>
      <w:bookmarkEnd w:id="7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رواية أبي بكر الحضرمي كلمات من الدعاء عند التقاصّ وإليك الآن متن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 له على رجل مال فجحده إيّاه وذهب به ثمّ صار بعد ذلك للرجل الذي ذهب بماله مال قبله، أيأخذه مكان ماله الذي ذهب به منه ذلك الرجل؟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ولكن لهذا كلام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آخذ هذا المال مكان مالي </w:t>
      </w:r>
      <w:r>
        <w:rPr>
          <w:rFonts w:eastAsia="Amiri" w:cs="Amiri" w:ascii="Amiri" w:hAnsi="Amiri"/>
          <w:color w:val="111111"/>
          <w:sz w:val="28"/>
          <w:szCs w:val="28"/>
          <w:rtl w:val="true"/>
          <w:lang w:bidi="ar-SA"/>
        </w:rPr>
        <w:t>...»</w:t>
      </w:r>
      <w:r>
        <w:rPr>
          <w:rStyle w:val="FootnoteAnchor"/>
          <w:rtl w:val="true"/>
        </w:rPr>
        <w:footnoteReference w:id="1427"/>
      </w:r>
      <w:r>
        <w:rPr>
          <w:rFonts w:ascii="IRNazanin" w:hAnsi="IRNazanin" w:eastAsia="IRNazanin"/>
          <w:color w:val="111111"/>
          <w:sz w:val="28"/>
          <w:sz w:val="28"/>
          <w:szCs w:val="28"/>
          <w:rtl w:val="true"/>
          <w:lang w:bidi="fa-IR"/>
        </w:rPr>
        <w:t xml:space="preserve">على ما نقله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هناك قولان</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ظاهر هذه الرواية وجوب الدعاء كما قال به</w:t>
      </w:r>
    </w:p>
    <w:p>
      <w:pPr>
        <w:pStyle w:val="BookText"/>
        <w:rPr/>
      </w:pPr>
      <w:r>
        <w:rPr>
          <w:rFonts w:ascii="IRNazanin" w:hAnsi="IRNazanin" w:eastAsia="IRNazanin"/>
          <w:color w:val="111111"/>
          <w:sz w:val="28"/>
          <w:sz w:val="28"/>
          <w:szCs w:val="28"/>
          <w:rtl w:val="true"/>
          <w:lang w:bidi="fa-IR"/>
        </w:rPr>
        <w:t xml:space="preserve">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والمحقّق</w:t>
      </w:r>
      <w:r>
        <w:rPr>
          <w:rStyle w:val="FootnoteAnchor"/>
          <w:rtl w:val="true"/>
        </w:rPr>
        <w:footnoteReference w:id="1428"/>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وفخر المحقّقين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من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بكر الحضرمي</w:t>
      </w:r>
      <w:r>
        <w:rPr>
          <w:rStyle w:val="FootnoteAnchor"/>
          <w:rtl w:val="true"/>
        </w:rPr>
        <w:footnoteReference w:id="1429"/>
      </w:r>
      <w:r>
        <w:rPr>
          <w:rFonts w:ascii="Amiri" w:hAnsi="Amiri" w:eastAsia="Amiri" w:cs="Amiri"/>
          <w:color w:val="111111"/>
          <w:sz w:val="28"/>
          <w:sz w:val="28"/>
          <w:szCs w:val="28"/>
          <w:rtl w:val="true"/>
          <w:lang w:bidi="ar-SA"/>
        </w:rPr>
        <w:t>التي نقلناه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الرجل يكون له على الرجل الدين فيجحده فيظفر من ماله بقدر الّذي جحده أيأخذه وإن لم يعلم الجاحد بذلك؟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داود بن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اخالط السلطان فتكون عندي الجارية فيأخذونها، والدابّة الفارهة فيبعثون فيأخذونها، ثمّ يقع لهم عندي المال فلي أن آخذه؟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مثل ذلك ولا تزد عليه</w:t>
      </w:r>
      <w:r>
        <w:rPr>
          <w:rFonts w:eastAsia="Amiri" w:cs="Amiri" w:ascii="Amiri" w:hAnsi="Amiri"/>
          <w:color w:val="111111"/>
          <w:sz w:val="28"/>
          <w:szCs w:val="28"/>
          <w:rtl w:val="true"/>
          <w:lang w:bidi="ar-SA"/>
        </w:rPr>
        <w:t>»</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 تحقّق المقاصّة بدون ذكر الدعاء</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الاستحباب، وهو قول المشهور، فحملوا الروايات على الاستحباب، أمّا رواية أبي بكر الحضرمي فصيغ الدعاء فيها مختلفة، وهذا دليل على عدم الوجوب وكمثال نقول جاء في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اللّهمّ إنّي لا آخذه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لم آخذه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آخذه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ولا خيانة وإنّما أخذته مكان مالي الّذي أخذ منّي لم أزدد عليه شيئاً</w:t>
      </w:r>
      <w:r>
        <w:rPr>
          <w:rFonts w:eastAsia="Amiri" w:cs="Amiri" w:ascii="Amiri" w:hAnsi="Amiri"/>
          <w:color w:val="111111"/>
          <w:sz w:val="28"/>
          <w:szCs w:val="28"/>
          <w:rtl w:val="true"/>
          <w:lang w:bidi="ar-SA"/>
        </w:rPr>
        <w:t>»</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اختلاف صيغ الدعاء في روايتين؛ حتّى لا يمكن الاستدلال بالوجوب، بل اختلاف الصيغ وقع في رواية واحدة إذن يمكن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الإطلاقات آب عن التخصيص، فلا يحمل المطلق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عمدة الإشكال على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عمل المشهور طبق المطلقات، حيث حملوا الإطلاقات على الاستحباب مضافاً إلى أنّه كما 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إلى أنّه لا يريد الخيانة والظلم وليس المقصود، الألفاظ الخاصّة للدعاء، فالأقوى القول بالاستحباب كما ذهب إليه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 استحباب القول المزبور وإن طلب بعض الناس بدعوى الوجوب الذي يمكن تحصيل الإجماع على خلافها</w:t>
      </w:r>
      <w:r>
        <w:rPr>
          <w:rFonts w:eastAsia="Amiri" w:cs="Amiri" w:ascii="Amiri" w:hAnsi="Amiri"/>
          <w:color w:val="111111"/>
          <w:sz w:val="28"/>
          <w:szCs w:val="28"/>
          <w:rtl w:val="true"/>
          <w:lang w:bidi="ar-SA"/>
        </w:rPr>
        <w:t>»</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 القول بالاستحباب أيضاً أنّه لو كانت ألفاظ الدعاء مرادة فغير العرب بما أنّه لا يعرف مفهوم الدعاء العربي لا يؤثّر تلفّظه بالدعاء في تحقّق القصاص، لأنّه لا يفهم شيئاً حتّى يقصده</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القائل بوجوب الدعاء هل يدّعي الوجوب الشرطي حتّى يكون دخيلًا في صحّة المقاصّة وهذا في غاية البعد؛ أم يدّعي الوجوب النفسي عند إرادة المقاصّة، وهذا لا يؤثّر شيئاً؟ وعلى كلّ حال مقتضى الاحتياط استحباب الدعاء كما قال به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bookmarkStart w:id="739" w:name="pg1791_16555"/>
    </w:p>
    <w:p>
      <w:pPr>
        <w:pStyle w:val="BookText"/>
        <w:rPr/>
      </w:pPr>
      <w:bookmarkEnd w:id="739"/>
      <w:r>
        <w:rPr>
          <w:rFonts w:ascii="Amiri" w:hAnsi="Amiri" w:eastAsia="Amiri" w:cs="Amiri"/>
          <w:color w:val="111111"/>
          <w:sz w:val="28"/>
          <w:sz w:val="28"/>
          <w:szCs w:val="28"/>
          <w:rtl w:val="true"/>
          <w:lang w:bidi="ar-SA"/>
        </w:rPr>
        <w:t>فلكلّ منهما التقاصّ بمقدار حقّه، ومع الأخذ لا يكون الآخر شريكاً، بل لا يجوز لكلّ المقاصّة لحقّ شريكه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6"/>
        <w:numPr>
          <w:ilvl w:val="5"/>
          <w:numId w:val="1"/>
        </w:numPr>
        <w:rPr/>
      </w:pPr>
      <w:bookmarkStart w:id="740" w:name="__RefHeading___Toc2354951_3650668749"/>
      <w:bookmarkStart w:id="741" w:name="_Toc272"/>
      <w:bookmarkEnd w:id="740"/>
      <w:r>
        <w:rPr>
          <w:rtl w:val="true"/>
        </w:rPr>
        <w:t>حكم مقاصّة الشريكين في العين أو الدين‌</w:t>
      </w:r>
      <w:bookmarkEnd w:id="7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الإمام إلى نكتتين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كانا مشتركاً في عين على شخص وهو جاهد أو مماطل، وعثر على مال من المديون فيجوز لهما التقاصّ كلّ بقدر سهمه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كانا شريكين في دين لهما على شخص وكمثال نقول باعاً دراهما لفلان وهو جحد في الثمن أو يماطل وهما عثرا على مال له، فيجوز لكلّ منهما الأخذ بقدر سهمهما، أو كما مثل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كان لفلان على شخص ألفان، ثمّ مات فلان وله وارثان ورثا كلّ منهما ألف درهم مثلًا وجهد أو ماطل المديون دين كلاهما، أو أحدهما ثمّ عثرا على مال للمديون، فيجوز لهما الأخذ تقاصّاً ولا يجوز منهما الأخذ بأزيد من سهم كلّ واحد إلا إذا كان وكيلًا أو ولياً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حاصل ما قال به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المسألة على ثلاثة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الحقّ عيناً وأخذ كلّ واحد سهمه فهو يملكه، ولا يأتي الشركة فيما يأخذه لأنّ أخذه بمنزلة بيع حقّه بما يأخذه من مال المديون فيختصّ به</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الطلب ديناً وأخذه تقاصّاً بغير الجنس، وكمثال نقول كان يطلب الحنطة وأخذ الشعير تقاصّاً فهنا أيضاً يملك ما أخذ تقاصّاً؛ لأنّ أخذه بمنزلة البيع أي أنّه باع دينه بما أخذه تقاصّاً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الطلب ديناً واخذه تقاصّاً بالجنس مثلًا؛ كان يطلب الحنطة فأخذ تقاصّاً الحنطة، فهذا من باب وفاء الدين فكلّما أخذ يكون مشتركاً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احتمل السيّد أن يكون المأخوذ في الصورة الثانية أيضاً من باب وفاء الدين بغير جنس ويكون ما أخذ مشتركاً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من تعرّض للمسألة</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السيّد هنا فرعاً لم يتعرّضه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نذكره للبحث فيه 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عثر على مال مشترك بين الغريم وغيره، فإن أذن له الشريك في التقاصّ بالأخذ بمقدار حقّه منه جاز وإلا فلا</w:t>
      </w:r>
      <w:r>
        <w:rPr>
          <w:rFonts w:eastAsia="Amiri" w:cs="Amiri" w:ascii="Amiri" w:hAnsi="Amiri"/>
          <w:color w:val="111111"/>
          <w:sz w:val="28"/>
          <w:szCs w:val="28"/>
          <w:rtl w:val="true"/>
          <w:lang w:bidi="ar-SA"/>
        </w:rPr>
        <w:t>»</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ووجهه أنّ كلّ جزء من مال المشترك هو جزء مشاع فإذا أخذ الشريكين منه ولو تقاصّاً، يكون لهما مشتركاً إلا إذا أجاز شريكه في أخذه سهمه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التقاصّ من مال الغريم المشترك بينه وبين غيره، وعليه أداء مال الغير وإيصاله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للعمومات،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وأدلّة نفي الضرر،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حرمة مال الشريك ليس بأزيد من حرمة الزائد على الحقّ من مال الغريم</w:t>
      </w:r>
      <w:r>
        <w:rPr>
          <w:rFonts w:eastAsia="Amiri" w:cs="Amiri" w:ascii="Amiri" w:hAnsi="Amiri"/>
          <w:color w:val="111111"/>
          <w:sz w:val="28"/>
          <w:szCs w:val="28"/>
          <w:rtl w:val="true"/>
          <w:lang w:bidi="ar-SA"/>
        </w:rPr>
        <w:t>»</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العمومات غيرشاملة للتصرّف في مال الغير لأجل التقاصّ</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 نفي الضرر لا يجوّز التصرّف في مال الغير لأجل دفع الضرر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جواز التقاصّ بين أقسام الحقوق المالية، فلو كان عنده وثيقة لدينه فغصبها، جاز له أخذ عين له وثيقة لدينه وبيعها لأخذ حقّه في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فرق بين الديون الحاصلة من الاقتراض أو الضمانات أو الديات، فيجوز المقاصّة في كلّها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الأخذ من مال المقتصّ منه، مستند إلى الروايات فلا يقاصّ بمال المشترك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 سابقاً أنّه يجوز الأخذ من مال المديون تقاصّاً لو أنكر حقّ الدائن أو ماطل في أداء حقّه، كذلك نقول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الحقوق المالية من حقّ التحجير وغيره في جواز الأخذ تقاصّاً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عليه إطلاق الأدلّة وعدم الفرق بين الحقوق،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الرهن، أي إذا غصب حقّ رهنه يجوز التقاصّ من مال الغاصب بمقدار حقّ الرهن والاستيفاء من مال الغاصب بمقدار حقّ رهنه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فرق بين الديون بأن يكون اقتراضاً أو إتلاف مال، وكذا لا فرق بأن يكون مثلياً أو قيمياً، فيجوز المقاصّة في كلّها وقال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التقاصّ ممّا أعطاه لغيره رشوة محرّمة أو رباً إذا كان مضطرّاً في الإعطاء، بل غير مضطرّ أيضاً إذا علم الآخذ كونه رشوة أو رباً</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فيه أن آخذ الرشوة أو الربا لم يملك المال، فيجوز للمعطي أن يأخذه تقاصّاً، وكذا لو كان محكوماً بدية الطرف أو النفس ويكون جاهداً أو مماطلًا وعثر المجني عليه على مال للجاني يجوز أخذها تقاصّاً، ولا يحتاج إلى إذن</w:t>
      </w:r>
    </w:p>
    <w:p>
      <w:pPr>
        <w:pStyle w:val="BookText"/>
        <w:rPr/>
      </w:pPr>
      <w:r>
        <w:rPr>
          <w:rFonts w:ascii="Amiri" w:hAnsi="Amiri" w:eastAsia="Amiri" w:cs="Amiri"/>
          <w:color w:val="111111"/>
          <w:sz w:val="28"/>
          <w:sz w:val="28"/>
          <w:szCs w:val="28"/>
          <w:rtl w:val="true"/>
          <w:lang w:bidi="ar-SA"/>
        </w:rPr>
        <w:t xml:space="preserve">الحاكم على مختار بعض الفقهاء من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Style w:val="FootnoteAnchor"/>
          <w:rtl w:val="true"/>
        </w:rPr>
        <w:footnoteReference w:id="1437"/>
      </w:r>
      <w:r>
        <w:rPr>
          <w:rFonts w:ascii="Amiri" w:hAnsi="Amiri" w:eastAsia="Amiri" w:cs="Amiri"/>
          <w:color w:val="111111"/>
          <w:sz w:val="28"/>
          <w:sz w:val="28"/>
          <w:szCs w:val="28"/>
          <w:rtl w:val="true"/>
          <w:lang w:bidi="ar-SA"/>
        </w:rPr>
        <w:t xml:space="preserve">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كما ذكر آنفاً قال المشهور بالتوقّف على إذن الحاكم</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الدليل عليه قال النراقي لعظم خطره والاحتياط في إثباته ولأنّ استيفائه وظيفة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لو أخذوا رأساً لانجرّ إلى الهرج والمرج في المجتمع، وربما يسبب فساداً في الأرض ويراق الدماء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هو قول المشهور، والآية الشريفة وقاعدة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أصل جعل الولاية لولي الدم ولا يكونان في بيان الكيفية، فبالنتيجة لو بادر شخص إلى التقاصّ بلا إذن من الحاكم يعزّر</w:t>
      </w:r>
      <w:r>
        <w:rPr>
          <w:rFonts w:eastAsia="Amiri" w:cs="Amiri" w:ascii="Amiri" w:hAnsi="Amiri"/>
          <w:color w:val="111111"/>
          <w:sz w:val="28"/>
          <w:szCs w:val="28"/>
          <w:rtl w:val="true"/>
          <w:lang w:bidi="ar-SA"/>
        </w:rPr>
        <w:t>.</w:t>
      </w:r>
      <w:bookmarkStart w:id="742" w:name="pg1791_16570"/>
    </w:p>
    <w:p>
      <w:pPr>
        <w:pStyle w:val="Heading2"/>
        <w:numPr>
          <w:ilvl w:val="1"/>
          <w:numId w:val="1"/>
        </w:numPr>
        <w:rPr/>
      </w:pPr>
      <w:bookmarkStart w:id="743" w:name="__RefHeading___Toc2354953_3650668749"/>
      <w:bookmarkStart w:id="744" w:name="_Toc273"/>
      <w:bookmarkEnd w:id="742"/>
      <w:bookmarkEnd w:id="743"/>
      <w:r>
        <w:rPr>
          <w:rtl w:val="true"/>
        </w:rPr>
        <w:t>فهرس المصادر</w:t>
      </w:r>
      <w:bookmarkEnd w:id="7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الاحتجاج، أبو منصور أحمد بن علي بن أبي طالب الطبرسي، تعليقات وملاحظات السيّد محمد باقر الخرسان، دارالنعمان نجف،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إرشاد الأذهان إلى أحكام الإيمان، حسن بن يوسف بن مطهّر أسدي، علامه حلّي، جماعة المدرّسين،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فيما اختلف من الأخبار، أبو جعفر محمّد بن الحسن الطوسي، دار الكتب الإسلامية،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إصباح الشيعة بمصباح الشريعة، محمّد بن حسين قطب الدين كيدري، مؤسّسة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الانتصار، الشريف المرتضى علم الهدى، جماعة المدرّسين، 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الأنوار اللوامع في شرح مفاتيح الشرائع، حسين بن محمّد بحراني آل عصفور، مجمع البحوث العلمية، قم،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إيضاح الفوائد في شرح مشكلات القواعد، محمّد بن حسن بن يوسف حلّي فخر المحقّقين، إسماعيليان، قم،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الانوار الجامعة لدرر أخبار الأئمة الأطهار، الشيخ محمد باقر المجلسي، دار إحياء التراث العربي،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التبيان في تفسير القرآن، أبو جعفر محمّد بن الحسن الطوسي، مكتب الأعلام الإسلامي، قم،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تحرير الأحكام الشرعية، العلامة الحلّي، مؤسسة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تحرير الوسيلة، الإمام الخميني، إسماعيليان، النجف،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تحرير الوسيله، الإمام الخميني، مؤسسة تنظيم و نشر آثار الإمام الخميني،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 العقول عن آل الرسول، ابن شعبة الحرّاني، جماعة المدرسين،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التفسير الصافي، الفيض الكاشاني، الصدر، طهران،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القرآن العظيم، ابن كثير، دارالفكر، 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تفصيل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 والشهادات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مركز فقه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التنقيح الرائع، جمال الدين المقداد بن عبدالله السيوري الحلّي، مكتبة آية الله المرعشي،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تنقيح المقال، الشيخ عبدالله بن محمّد حسن المامقاني، المطبعة المرتضوية، قم،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تهذيب الأحكام، أبو جعفر محمّد بن الحسن الطوسي، دار الكتب الإسلامية، طهران،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السعادات، محمد مهدي النراقي، دارالنعمان، نجف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الكلام، محمد حسن النجفي، دارالكتب الإسلامية، طهران،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الدسوقي على الشرح الكبير، الشيخ محمّد عرفه الدسوقي، دار إحياء الكتب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الحاوي الكبير، أبوالحسن الماوردي،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العلماء في معرفة مذاهب الفقهاء، أبو بكر محمّد بن أحمد الشاشي القفال، دار الأرقم، بيروت،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الشيخ الصدوق، جماعة المدرّسين،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الخلاف، أبو جعفر محمّد بن الحسن الطوسي، جماعة المدرّسين،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الدروس الشرعية، الشهيد الأوّل، جماعة المدرّسين،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دعائم الإسلام في ذكر الحلال والحرام والقضايا والأحكام، القاضي النعمان المغربي، دارالمعارف، قاهرة،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ابن الغضائري، أحمد أبي عبدالله ابن غضائري،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البرقي، الطبقات، أبو جعفر البرقي، انتشارات دانشگاه تهران، طهران،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الشيخ الطوسي، الأبواب، محمّد بن الحسن الطوسي، جماعة المدرسين، قم،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العلامة الحلّي، خلاصة الأقوال في معرفة أحوال الرجال، حسن بن</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يوسف بن مطهّر أسدي، العلامة الحلّي، المطبعة الحيدرية، نجف اشرف،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تعليقات الميرداماد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عبدالعزيز كشّي،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النجاشي، أحمد بن على النجاشي، جماعة المدرّسين،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روضة المتّقين في شرح من لا يحضره الفقيه، محمّد تقي أصفهاني، مجلسي أوّل، كوشانبور، قم،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رياض المسائل، السيّد علي الطباطبائي، جماعة المدرسين، 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السرائر الحاوي لتحرير الفتاوي، ابن إدريس حلّي، جماعة المدرّسين،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سلسلة الينابيع الفقهية، على أصغر مرواريد، الدار الإسلامية، بيروت،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ماجة، محمّد بن يزيد القزويني،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أبي داود، ابن الأشعث السجستاني، دار الفكر،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الترمذي، ابن سورة الترمذي، دارالفكر،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الدار قطني، علي بن عمر الدار قطني، دارالكتب العلمية،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 البيهقي،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الكبرى، النسائي، دار الكتب العلمية، 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شرائع الإسلام في مسائل الحلال والحرام، المحقّق الحلّي، استقلال، طهران،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 الكبير، عبدالرحمن بن قدامة، دار الكتاب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اللمعة، الشهيد الثاني، جامعة النجف الدينية، افست مطعبة أمير،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ابن أبي الحديد، دار إحياء الكتب العربية،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الصحاح تاج اللغة وصحاح العربية، إسماعيل بن حمّاد الجوهري، دار العلم،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ابن بردزبة البخاري الجعفي، دار الفكر، افست العامرة، استانبول،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مسلم النيشابوري،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العروة الوثقى، السيّد محمد كاظم الطباطبائي اليزدي، جماعة المدرّسين،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عمدة القاري، العيني، دار احياء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عوائد الأيّام، المحقّق الأحمد النراقي، مكتب الأعلام الإسلامي،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عوالي اللئالي، ابن أبي جمهور الإحسائي، سيّدالشهداء،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غنائم الأيّام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ميرزاي 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غنية النزوع إلى علمي الاصول والفروع، مؤسّسة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أبو جعفر محمّد بن الحسن الطوسي، المعارف الإسلامية، 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الباري شرح صحيح البخاري، شهاب الدين ابن حجر العسقلاني، دار 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فرائد الاصول، الشيخ الأنصاري، جماعة المدرّسين،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الفهرست، محمّد بن الحسن الطوسي، المكتبة الرضوية، نجف 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القاموس المحيط، الفيروزآبادي، دار الجيل،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قرب الإسناد، أبو العبّاس عبدالله بن جعفر الحميري القمّي، آل البيت،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القضاء والشهادات، الشيخ الأنصاري، تراث الشيخ الأعظم، 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قواعد الأحكام، حسن بن يوسف بن مطهّر أسدي، علامه حلّي، جماعة المدرّسين،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القواعد الفقهية، السيّد محمّد حسن البجنوردي، الهادي، قم،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في الفقه، أبو الصلاح الحلبي، مكتبة الإمام أميرالمؤمنين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العامّة، أصفهان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القضاء للآغاضياء، علي كزازي عراقي، مهر،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المكاسب المحرّمة والبيع والخيارات، الشيخ الأنصاري، الحديثة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 الشيخ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الكشّاف عن حقائق غوامض التنزيل، محمود بن عمر الزمخشري الخوارزمي، دار الكتاب العربي،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الرموز في شرح المختصر النافع، الفاضل الآبي، جماعة المدرّسين،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اللثام عن قواعد الأحكام، الفاضل الهندي، جماعة المدرّسين، قم،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كفاية الأحكام، محمّد باقر السبزواري، جماعة المدرّسين، قم،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الاصول، آخوند خراساني، آل البيت،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وتمام النعمة، الشيخ الصدوق، جماعة المدرّسين،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الفاضل الهندي، الرسالة،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الشيخ الكليني، دار الكتب الإسلامية، طهران،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القضاء، الحاج ميرزا محمّد حسن الآشتياني، دار الهجرة،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القضاء، السيّد محمّد رضا الموسوي الگلپايگاني، دار القرآن الكريم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القضاء، السيّد محمد رضا الموسوي الگلپايگاني، مطبعة الخيام، قم،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ابن منظور، دار الفكر ودار صادر،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اللمعة الدمشقية، الشهيد الأوّل، دار الفكر، 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مباني تكملة المنهاج، السيّد أبوالقاسم الموسوي الخوئي، العلمية، قم،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المبسوط في فقه الإمامية، أبي جعفر محمّد بن الحسن الطوسي، المرتضوية، طهران،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البحرين، الشيخ فخر الدين الطريحي، الثقافة الإسلامية،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في تفسير القرآن، فضل بن حسن طبرسي، ناصر خسرو، طهران،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الزوائد ومنبع الفوائد، أبي بكر الهيثمي، دار الكتب العلمية،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مجمع الفائدة والبرهان في شرح إرشاد الأذهان، أحمد الأردبيلي، جماعة المدرّسين،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المختصر النافع في فقه الإمامية، المطبوعات الدينية، 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مختلف الشيعة، حسن بن يوسف بن مطهّر أسدي، علامه حلّي، جماعة المدرّسين،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مرآة العقول في شرح أخبار آل الرسول، محمّد باقر بن محمّد تقي أصفهاني، مجلسي دوم، دار الكتب الإسلامية، تهران،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المراسم العلوية في الأحكام النبوية، سلار ابن عبدالعزيز، المجمع العالمي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مسالك الأفهام إلى تنقيح شرائع الإسلام، الشهيد الثاني، مؤسسة المعارف الإسلامية،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ومستنبط المسائل، الحاج ميرزا حسين النوري الطبرسي، آل البيت،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مستند الشيعة في أحكام الشريعة، محمد مهدي النراقي، آل البيت، 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أحمد بن حنبل، دار صادر،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الفقاهة، السيّد أبو القاسم الموسوي الخوئي، الداوري،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المصباح المنير في غريب الشرح الكبير، أحمد بن محمّد مقري فيومي، منشورات دار الرضي،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الوسيط، مكتب نشر الثقافة الإسلامية، الطبعة الرابعة،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معجم رجال الحديث وتفصيل طبقات الرواة، السيّد أبو القاسم الموسوي الخوئي،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مغني المحتاج إلى معرفة المعاني ألفاظ المنهاج، محمّد بن أحمد الشربيني، دارالإحياء التراث العربي، بيروت،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المغني، عبدالله بن قدامة، دارالكتاب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مفاتيح الشرائع، فيض كاشاني، المكتبة آية الله مرعشي 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الكرامة في شرح قواعد العلامة، سيّد جواد بن محمّد حسيني عاملي، دار إحياء التراث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المفردات في غريب القرآن، الراغب الأصفهاني، دارالعلم الدار الشامية، لبنان،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المقنع، الشيخ الصدوق، مؤسسة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المقنعة، الشيخ المفيد، جماعة المدرّسين،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مكارم الأخلاق، الشيخ الطبرسي، منشورات الشريف الرضي،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ملاذ الأخيار في فهم تهذيب الأخبار، محمّد باقر بن محمّد تقي أصفهاني، مجلسي دوم، كتابخانه آية الله مرعشي 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 الشيخ الصدوق، جماعة المدرّسين،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المنجد، اسماعيليان، الطبعة الرابعة،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المهذّب البارع في شرح المختصر النافع، أحمد بن محمّد بن فهد حلّي، جماعة المدرّسين،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المهذّب، القاضي ابن البرّاج الطرابلسي، جماعة المدرّسين، قم،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الميزان في تفسير القرآن، سيّد محمّد حسين طباطبائي، جماعة المدرّسين،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نظام القضاء والشهادة في الشريعة الإسلامية الغرّاء، مؤسّسة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المرام، السيّد محمّد العاملي، جماعة المدرّسين، قم،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في غريب الحديث، ابن اثير، إسماعيليان، قم،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 الشيخ الطوسي، قدس محمّدي،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الوافي، الفيض الكاشاني، مكتبة الأمير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أصفهان،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إلى تحصيل مسائل الشريعة، الشيخ محمّد بن الحسن الحرّ العاملي، آل البيت،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الوسيلة إلى نيل الفضيلة، ابن حمزة الطوسي، مكتبة آية الله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القضاء</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مادّة قضى</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أحكام الملابس، الباب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مقدّمات التجارة،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أبي الحديد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المادة 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زمن غيبة الإمام المهدي تكون ولاية الأمر وإمامة الامة في جمهورية إيران الإسلامية بيد الفقيه العادل، المتّقي، البصير بامور العصر، الشجاع، القادر على الإدارة والتدبير وذلك وفقاً للمادّة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المادة السابعة بعد المائة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المرجع المعظّم والقائد الكبير للثورة الإسلامية العالمية ومؤسّس جمهورية إيران الإسلامية سماحة آية الله العظمي الإمام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اعترفت الأكثرية الساحقة للناس بمرجعيته وقيادته، توكّل مهمّة تعيين القائد إلى الخبراء المنتخبين من قبل الشعب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وهؤلاء الخبراء يدرسون ويتشاورون بشأن كلّ الفقهاء الجامعين للشرائط المذكورة في المادّة الخامسة والمادّة التاسعة بعد المائة، ومتى لم يشخصوا فرداً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باعتباره الأعلم بالأحكام والموضوعات الفقهية أو المسائل السياسية والاجتماعية، أو حيازته تأييد الرأى العامّ، أو تمتّعه بشكل بارز بأحدى الصفات المذكورة في المادّة التاسعة بعد المائة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انتخبوه للقيادة، وإلا فإنّهم ينتخبون أحدهم ويعلنونه قائداً، ويتمتّع القائد المنتخب بولاية الأمر و يتحمّل كلّ المسؤوليات الناشئة عن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ويتساوى القائد مع كافّة أفراد البلاد أمام القانون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كتاب الحدود، أبواب مقدّمات الحدود،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آداب القاضي،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آداب القاضي،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14986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14985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آداب القاضي،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آداب القاضي،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آداب القاضي،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آداب القاضي،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المماراة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المنازعة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3220</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كتاب الديات، أبواب ديات النفس،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كتاب الحدود، أبواب مقدّمات الحدود،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ويستفاد من الخبرين عدم جواز أخذ شي‌ء بحكمهم وإن كان له حقّاً، وهو في الدين ظاهر، وفي العين لايخلو عن إشكال، لكن مقتضى الخبرين التعميم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ابن قدامة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القضاء والشهادة في الشريعة الإسلامية الغراء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آداب القاضي،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آداب القاضي،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آداب القاضي،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الخيانة الخفيفة ولا سيّما في الغنيمة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يستفاد هذا المعنى من اللغة وإليك بعض الكتب</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آداب القاضي،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مايكتسب به،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مايكتسب به،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مايكتسب به،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آداب القاضي،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آداب القاضي،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آداب القاضي،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آداب القاضي،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كتاب الجهاد، أبواب جهاد النفس،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جدير بالذكر بما أنّ النجاشي قال في أبي الجارود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بن المنذر أبو الجارود الهمداني الخارفي الأعمى‌أخبرنا ابن عبدون عن علي بن محمّد، عن علي بن الحسن، عن حرب بن الحسن، عن محمّد بن سنان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أبو الجارود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ولدت أعمى، ما رأت الدنيا 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كوفي، كان من أصحاب أبي جعفر، و روى عن أبي عبدالله، وتغيّر لما خرج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بأس بأن نقول هو الذي لم يطعن ولعلّ نقله الرواية كان قبل تغيره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آداب القاضي،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انفرادهم بها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وجدير بالذكر أنّه جاء في بعض الكتب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وإليك ما يلي من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29811</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آداب القاضي،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حلية العلماء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الخلل الواقع في الصلاة،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فلأنّ الصبيّ والمجنون لا ولاية لهما على أنفسهما، فانتفاؤها عن غيرهما 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ينفذ قولهما على أنفسهما، فأولى أن لاينفذ على 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كتاب الفرائض، أبواب موانع الإرث،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بلاخلاف بين الأصحاب وتدلّ على ذلك الآية الكريمة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جَاءُوكَ فَاحْكُمْ بَيْنَهُمْ أوْ أعْرِضْ عَنْهُمْ وَإِنْ تُعْرِضْ عَنْهُمْ فَلَنْ يَضُرُّوكَ شَيْئاً وَإِنْ حَكَمْتَ فَاحْكُمْ بَيْنَهُمْ بِالْقِسْطِ إِنَّ اللهَ يُحِبُّ الْمُقْسِطِينَ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ظاهرة في التخيير بين أن يحكم الحاكم بما تقتضيه الشريعة الإسلامية، وبين أن يتركهم وشأنهم وما تقتضيه شريعتهم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كتاب الديات، أبواب ديات النفس،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كتاب الحدود، أبواب مقدّمات الحدود،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كتاب الحدود، أبواب حدّ الزنا،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تعليقات الميرداماد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تعليقات الميرداماد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ثوير أبوالجهم بن أبي فاختة سعيد بن علاقة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وإليك نصّ الحديث فلاحظ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خرجت حاجاً فصحبني عمر بن ذر القاضي وابن قيس الماصر والصلت بن بهرام، وكانوا إذا نزلوا منزلًا قالوا انظر الآن فقد حررنا أربعة آلاف مسألة نسأل أبا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عن ثلاثين كلّ يوم، وقد قلدناك ذلك، قال ثوير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فغمني ذلك حتّى إذا دخلنا المدينة فافترقنا، فنزلت أنا على أبي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 جعلت فداك ابن ذر وابن قيس الماصر والصلت صحبوني وكنت أسمعهم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حررنا أربعة آلاف مسألة نسأل أبا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 فغمني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يغمك من ذلك فإذا جاؤوا فأذن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كان من غد دخل مولى لأبي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بالباب ابن ذر ومعه قوم، فقال 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ثوير قم فأذن لهم، فقمت فأدخلتهم فلمّا دخلوا سلموا وقعدوا ولم يتكلّموا، فلمّا طال ذلك أقبل 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يستنبئهم الأحاديث وأقبلوا لا يتكلّمون، فلمّا رأى ذلك 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لجارية له يقال لها سرحة هاتي الخوان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جاءت به فوضعته، فقال قال ثوير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فغمّني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ذيل ثوير أبو الجهم بن أبي فاخته، الرقم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ذيل ثوير أبو الجهم بن أبي فاخته، الرقم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الشهادات، 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الشهادات، 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الشهادات، 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الشهادات، 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الشهادات، 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 إطلاق كلام السيّد اليزدي أيضاً يدلّ علي استدلاله بالأصل علي لزوم الاجتهاد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ولأنّ نفوذ الحكم وترتيب آثاره على خلاف الأصل والقدر المتيقّن هو حكم المجتهد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الحديث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8737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القضاء والشهادات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القضاء والشهادات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صبحي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القضاء والشهادات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و الشهادات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كتاب القصاص، أبواب القصاص في النفس،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والشهادات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اشتراط الذكورة، فذلك ظاهر فيما لم يجز للمرأة فيه أمر، وأمّا في غير ذلك فلا نعلم له دليلًا واضحاً، نعم ذلك هو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كان إجماعاً، فلا بحث، وإلا فالمنع بالكلّية محلّ بحث، إذ لا محذور في حكمها بشهادة النساء، مع سماع شهادتهنّ بين المرأتين مثلًا بشي‌ء مع اتّصافها بشرائط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ذيل 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ذيل 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ابن كثير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عن حقائق غوامض التنزيل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ذيل 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ذيل 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ذيل 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ذيل آية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في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الباب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صبحي صالح، قسم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الرأي في المرأة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جدير بالذكر أثبتنا متن تلك المسائل عند ما نقلنا كلام الماتن؛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في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أضبطه الإمام؛ تحت عنوان 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ولكن لما قلنا صرفنا النظر عن البحث فيه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جدير بالذكر أنّ صاحب المسالك نصب هذا القول إلى ابن إدريس مع أنّ صدر كلامه مشعر بالجواز مطلقاً ولعلّه استظهر من تمثيله في الذيل هذا القول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يقضي بعلمه شهد بذلك في ولايته أو قبلها هو قول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باب في بيان من رأى من الفقهاء أنّ للقاضي، ويروي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للحاكم أن يحكم بعلمه في أمر الناس، وأشار بهذا إلى قول الإمام أبي حنيفة، رضي الله تعالى عنه، فإنّ مذهبه أنّ للقاضي أن يحكم بعلمه في حقوق الناس، وقيّد به لأنّه ليس له أن يقضي بعلمه في حقوق الله كالحدود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كتاب الحدود، أبواب مقدّمات الحدود، الباب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بحث عنه الإمام، في كتاب الحدود في لواحق باب الزنا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للحاكم أن يحكم بعلمه‌في حقوق الله وحقوق الناس، فيجب عليه إقامة حدود الله تعالى لو علم بالسبب، فيحدّ الزاني كما يجب عليه مع قيام البيّنة والإقرار، ولا يتوقّف على مطالبة أحد، وأمّا حقوق الناس فتقف إقامتها على المطالبة حدّاً كان أو تعزيراً، فمع المطالبة له العمل بعلمه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الحسين بإسناده إلى قضايا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أعرابيٌّ إلى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فادّعى عليه سبعين درهماً ثمن ناقةٍ باعها منه، فقال قد أوفيتك،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اجعل بيني و بينك رجلًا يحكم بيننا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 رجلٌ من قريشٍ، فقال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احكم بيننا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للأعرابيّ ما تدّعي على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سبعين درهماً ثمن ناقةٍ بعتها منه، فقال ما تقول 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أوفيته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للأعرابيّ ما تقول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يوفني فقال لرسول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لك بيّنةٌ أنّك قد أوفيته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تحلف أنّك لم تستوف حقّك و تأخذه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لأتحاكمنّ مع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رجلٍ يحكم بيننا بحكم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فأتى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معه 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لك 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الحسن احكم بيني و بين هذا 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تدّعي على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سبعين درهماً ثمن ناقةٍ بعتها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أوفيته ثمنها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يا 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صدق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ما أوفاني شيئاً، فأخرج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سيفه فضرب عنقه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فعلت يا عليّ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نصدّقك على أمر الله و نهيه، و على أمر الجنّة و النّار، و الثّواب و العقاب و وحي الله عزّ و جلّ، ولا نصدّقك على ثمن ناقة الأعرابيّ، و إنّي قتلته لأنّه كذّبك لمّا قلت له، أصدق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لا ما أوفاني شيئاً، فقال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أصبت يا عليّ، فلا تعد إلى 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التفت إلى القرشيّ و كان قد تبعه،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حكم الله لا ما حكمت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وعنه عن عبدالرحمن بن أحمد، عن محمّد بن يحيى النيسابوري، عن الحكم بن نافعٍ، عن شعيبٍ، عن الزهري، عن عبد اللّه بن أحمد، عن عمارة بن خزيمة بن ثابتٍ، عن عمّه أنّ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ابتاع فرساً من أعرابي، فأسرع ليقضيه ثمن فرسه فأبطأ الأعرابي، فطفق رجالٌ يعترضون الأعرابي فيساومونه بالفرس، و لا يشعرون بأنّ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ابتاعها، حتّى زاد بعضهم الأعرابي في السوم، فنادى الأعرابي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كنت مبتاعاً لهذا الفرس فابتعه، و إلا بعته فقام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سمع الأعرابي،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و ليس قد ابتعته منك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فطفق الناس يلوذون بالنبيّ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بالأعرابي، و هما يتشاجران، فقال 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 شهيداً يشهد أنّي قد بايعتك، و من جاء من المسلمين قال للأعرابي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يقول إلا حقّاً، حتّى جاء خزيمة بن ثابتٍ، فاستمع لمراجعة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للأعرابي، فقال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أنا أشهد أنّك قد بايعته، فأقبل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خزيمة،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 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بتصديقك 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شهادة خزيمة بن ثابتٍ شهادتين، و سمّاه ذا الشهادتين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عبدالرحمن بن حجّاج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الحكم بن عتيبة وسلمة بن كهيل على أبي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فسألاه عن شاهد ويمين،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قضى به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وقضى به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عندكم بالكوفة،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خلاف القرآن،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وأين وجدتموه خلاف القرآن؟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يقول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وَأشْهِدُوا ذَوَى عَدْلٍ مِنْكُمْ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وَأشْهِدُوا ذَوَى عَدْلٍ مِنْكُمْ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لا تقبلوا شهادة واحد ويميناً،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قاعداً في مسجد الكوفة، فمرّ به عبدالله بن قفل التميمي ومعه درع طلحة، فقال له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درع طلحة، أخذت غلولًا يوم البصرة، فقال له عبدالله بن قفل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اجعل بيني وبينك قاضيك الذي رضيته للمسلمين، فجعل بينه وبينه شريحاً، فقال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درع طلحة أخذت غلولًا يوم البصرة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له شريح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 على ما تقول بيّنة، فأتاه بالحسن، فشهد أنّها درع طلحة أخذت غلولًا يوم البصرة، فقال شريح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شاهد، واحد ولا أقضي بشهادة شاهد، حتّى يكون معه آخر، فدعا قنبر فشهد أنّها درع طلحة أخذت غلولًا يوم البصرة، فقال شريح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مملوك، ولا أقضي بشهادة مملوك،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فغضب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خذها فإنّ هذا قضى بجور ثلاث مرّات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فتحوّل شريح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أقضي بين اثنين، حتّى تخبرني من أين قضيت بجور ثلاث مرّات؟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ويحك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إنّي لما أخبرتك أنّها درع طلحة أخذت غلولًا يوم البصرة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 على ما تقول بيّنة، وقد 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ما وجد غلول أخذ بغير بيّنة،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لم يسمع الحديث فهذه واحدة، ثمّ أتيتك بالحسن فشهد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واحد ولا أقضي بشهادة واحد، حتّى يكون معه آخر، وقد قضى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بشهادة واحد ويمين، فهذه ثنتان، ثمّ أتيتك بقنبر، فشهد أنّها درع طلحة أخذت غلولًا يوم البصرة،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مملوك ولا أقضي بشهادة مملوك وما بأس بشهادة المملوك إذا كان عدلا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ويحك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إنّ إمام المسلمين يؤمن من امورهم على ما هو أعظم من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12607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12607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كتاب الحدود والتعزيرات، أبواب مقدّمات الحدود،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النسائي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الشهادات،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الشهادات،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ذيل مسألة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وظيفة الحاكم أن يسوي بين الخصمين في السلام عليهما، وجوابه لهما، وإجلاسهما، والقيام لهما، والنظر والاستماع والكلام وطلاقة الوجه، وسائر أنواع الإكرام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يخصّص أحدهما بشي‌ء من ذلك، لأنّه ينكسر به قلب الآخر، ويمنعه من إقامة حجّته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ممازحة أحدهما، ومسارته، وانتهاره إلا أن يفعل ما يقتضيه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لم يمكن التسوية بينهما في جواب السلام ابتداء، بأن يسلم أحدهما دون الآخر، فيصبر هنيئة رجاء أن يسلم الآخر فيجيبهما 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طال الفصل بحيث يخرج عن كونه جواباً للأوّل فليرد قبله على 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بأن يقول للآخر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 فإذا سلم أجابهما، ويعذر في الاشتغال بغير الجواب لئلا يبطل معنى التسوية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ومعنى التسوية بينهما في المجلس أن يجلسهما بين يديه معاً، لما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التسوية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سهولة النظر إليهما والاستماع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كانا مسلمين أو كافرين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لو كان أحدهما مسلماً والآخر كافراً جاز أن يرفع المسلم في المجلس، لما روي أنّ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 بجنب شريح في حكومة له مع يهودي في درع،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خصمي مسلماً لجلست معه بين يديك، ولكنّي سمعت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تساووهم في المجلس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التسوية بين الخصمين في العدل في الحكم واجبة بغير 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في الامور الباقية فهل هي واجبة أم مستحبّة؟ الأكثرون على الوجوب، لما روي عن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ابتلى بالقضاء بين المسلمين فليعدل بينهم في لحظه وإشارته ومقعده، ولا يرفعن صوته على أحدهما ما لا يرفع على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ابتلى بالقضاء فليواس بينهم في الإشارة، وفي النظر، وفي المجلس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ذلك مستحبّ، واختاره العلامة في المختلف، للأصل، وضعف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الوجوب، وصلاحيته للاستحباب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عليه أن يسوي بينهما في الأفعال الظاهرة، وأمّا التسوية بينهما بقلبه بحيث لا يميل إلى أحدهما به فغير مؤاخذ به ولا محاسب عليه، لأنّ الحكم على القلب غير مستطاع، وقد كان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قسم بين نسائه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هذا قسمي فيما أملك، وأنت أعلم بما لا أملك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 القلبي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آداب القاضي،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آداب القاضي،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4420</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20961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آداب القاضي،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آداب القاضي،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القضاء والشهادات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آداب القاضي،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والشهادات،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ابن قدامة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يعلم الحاكم، والتلقين حمل الشخص على قولة معيّنة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كتاب الأيمان،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كتاب الصلح، باب استحبابه ولو ببذل المال وإن حلف علي الترك،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مادّة دعي</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كتاب الحجر، باب حد ارتفاع الحجر،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جدير بالذكر أنّ الفقهاء بحّثوا عن ادّعاء المحال تحت العنوان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الادّعاء الصحيح والباطل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الإمام؛ بحّث عنها هنا تحت العنوان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ادّعاء غير ذي أثر</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كتاب الإجارة،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كتاب الإجارة،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كتاب الإجارة،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غنائم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عمير، عن بريد بن معاوية، عن أبي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القسامة؟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الحقوق كلّها البيّنة على المدّعي واليمين على المدّعى عليه إلا في الدم خاصّة، فإنّ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 هو بخيبر إذ فقدت الأنصار رجلًا منهم فوجدوه قتيلًا فقالت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فلاناً اليهودي قتل صاحبنا، فقال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أقيموا رجلين عدلين من غيركم أقيّده برمته، فإن لم تجدوا شاهدين، فأقيموا قسامة خمسين رجلًا اقيّد برمته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ما عندنا شاهدان من غيرنا وإنّا لنكره أن نقسم على ما لم نره، فوداه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حقن دماء المسلمين بالقسامة لكي إذا رأى الفاجر الفاسق فرصة من عدوّه حجزه مخافة القسامة أن يقتل به فكفّ عن قتله، وإلا حلف المدّعى عليه قسامة خمسين رجلًا ما قتلنا ولا علمنا قاتلًا، وإلا أغرموا الدية إذا وجدوا قتيلًا بين أظهرهم إذا لم يقسم المدّعون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كتاب القصاص، أبواب دعوي القتل،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وهب بن وهب بن عبدالله بن زمعة بن الأسود بن المطلب بن أسد بن عبدالعزى أبو البختري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الآمال في شرح زبدة المقال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كتاب الحدود والتعزيرات، أبواب مقدّمات الحدود وأحكامه العامّة،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ذُو عُسْرَةٍ فَنَظِرَةٌ إلى مَيْسَرَةٍ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كتاب الحجر،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كتاب الحجر،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والقرض،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والقرض،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ذُو عُسْرَةٍ فَنَظِرَةٌ إلى مَيْسَرَةٍ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الشريعة، القضاء والشهادات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والشهادات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والقرض،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كتاب الحجر،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ذيل 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كتاب الأيمان، الباب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بهجة الآمال في شرح زبدة المقال، حرف القاف</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نهاية المرام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إيضاح الفوائد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الآمال في شرح زبدة المقال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كتاب القصاص، أبواب دعوى القتل،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كتاب الحدود، أبواب حدّ الزنا،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كتاب الحدود، أبواب حد الزنا،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الجنيد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سأل المدّعي القاضي مطالبة المدّعى عليه بكفيل قبل ثبوت حقّه عليه لم يكن ذلك واجباً عليه، ولا للقاضي تكليفه بذلك، ولكن يقول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آمرك بتخليته ولا آمره بالاحتباس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صلاة الجماعة،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صلاة الجماعة،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الشيعه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الشهادات، الباب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كتاب الوصايا، الباب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كتاب رهن،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الشهادات، الباب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الشهادات، الباب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الشهادات، الباب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الشهادات،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الشعية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اللوامع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كتاب الشهادات،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الشهادات،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نقله عن كشف اللثام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إيضاح الفوائد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والقرض،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عقد النكاح،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عقد النكاح،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عقد النكاح،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كتاب الأيمان،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كتاب الأيمان، الباب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كتاب الأيمان، الباب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كتاب الأيمان، الباب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كتاب الأيمان، الباب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كتاب الأيمان، الباب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كتاب الأيمان، الباب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كتاب الأيمان، الباب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كتاب الأيمان، الباب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كتاب الأيمان، الباب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كتاب الأيمان، الباب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كتاب الأيمان، الباب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كتاب الأيمان، الباب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اللوامع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كتاب الأيمان، الباب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كتاب الأيمان، الباب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كتاب الأيمان، الباب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كتاب الأيمان، الباب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كتاب الأيمان، الباب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كتاب الأيمان،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كتاب الأيمان،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كتاب الأيمان،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كتاب الأيمان، الباب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كتاب الأيمان، الباب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كتاب الأيمان، الباب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كتاب الأيمان،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كتاب الأيمان،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كتاب الأيمان،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كتاب الأيمان،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كتاب الأيمان،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كتاب الأيمان، الباب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كتاب الأيمان،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كتاب الأيمان،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كتاب الأيمان،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كتاب الأيمان،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الوثقي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كتاب الأيمان،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كتاب الأيمان،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كتاب الأيمان،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كتاب الحدود، أبواب مقدّمات الحدود،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كتاب الحدود، أبواب مقدّمات الحدود،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كتاب الحدود، أبواب مقدّمات الحدود،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كتاب الحدود، أبواب مقدّمات الحدود،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4377</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كتاب الحدود، أبواب مقدّمات الحدود،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كتاب الحدود، أبواب مقدّمات الحدود،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كتاب الحدود، أبواب مقدّمات الحدود،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كتاب الحدود، أبواب مقدّمات الحدود،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كتاب الحدود، أبواب مقدّمات الحدود،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كتاب الحدود، أبواب مقدّمات الحدود،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كتاب الحدود، أبواب مقدّمات الحدود،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كتاب الحدود، أبواب مقدّمات الحدود،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كتاب الحدود، أبواب مقدّمات الحدود،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كتاب الحدود، أبواب بقية الحدود،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كتاب الفرائض والمواريث، أبواب ميراث الأزواج،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كتاب الفرائض والمواريث، أبواب ميراث الأزواج،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كتاب الفرائض والمواريث، أبواب ميراث الأزواج،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كتاب اللقطة،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كتاب اللقطة،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أبواب كتاب اللقطة،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بيع الحيوان،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بيع الحيوان،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بيع الحيوان،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بيع الحيوان،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كتاب الفرائض والمواريث، أبواب ميراث الأزواج،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كتاب الفرائض والمواريث، أبواب ميراث الأزواج،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كتاب الإحياء الموات،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كتاب الفرائض والمواريث، أبواب ميراث الأزواج،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كتاب الفرائض والمواريث، أبواب ميراث الأزواج،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كتاب الفرائض والمواريث، أبواب ميراث الأزواج،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كتاب الفرائض والمواريث، أبواب ميراث الأزواج،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كتاب الفرائض والمواريث، أبواب ميراث الأزواج،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كتاب اللقطة،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السيّد البجنوردي؛ في القواعد الفقهية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السلسلة من المسائل في القول في أحكام اليد</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نكاح العبيد والإماء، الباب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كتاب الوصايا،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كتاب الوصايا،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كتاب الوصايا،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كتاب الإقرار،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كتاب الصلح،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كتاب الصلح،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جدير بالذكر أنّ بعض الناقلين للإجماع اختصّوه بحال الطلاق وافتراق الزوج والزوجة فراجع تفصيل الشريعة، كتاب القضاء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كتاب الفرائض والمواريث، أبواب ميراث الأزواج،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كتاب الفرائض والمواريث، أبواب ميراث الأزواج،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كتاب الفرائض والمواريث، أبواب ميراث الأزواج،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كتاب الفرائض والمواريث، أبواب ميراث الأزواج،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3430</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الازراء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ازري به و ازراه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عابه ووضع من حقه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وَأشْهِدُوا ذَوَي عَدْلٍ مِنْكُمْ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قلنا آنفاً هناك أقوال جمع المسالك تسعة منها ولكن لا يهمّنا التعرّض لها</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كتاب الصلح،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كتاب الصلح،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بدل عرفا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من قوله عرفا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أنّهما أحضره عرفة و كان في أيديهما</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الشريعة، كتاب القضاء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قاصّ مقاصّةً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بما كان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 عن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كتاب الحدود، أبواب حدّ الزنا، الباب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كتاب الحدود، أبواب حدّ الزنا، الباب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كتاب الحدود، أبواب حدّ القذف،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كتاب الحدود، أبواب حدّ القذف،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والقرض،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ولكن ذكر ذلك فيما إذا لم يقدر على إثباته عند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كتاب الجهاد، أبواب جهاد العدوّ،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مسكان، عن أبي بكر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لي عليه دراهم فجحدني وحلف عليها، أيجوز لي إن وقع له قبلي دراهم أن آخذ منه بقدر حقّي؟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ولكن لهذا 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إنّي لا آخذه ظلماً ولا خيانة وإنّما أخذته مكان مالي الذي أخذ منّي لم أزدد عليه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 آغاضياء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جادله ونازعه</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كتاب الوديعة،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كتاب الوديعة،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صاحب مباني القضاء في كتابه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image" Target="media/image2.jpeg"/><Relationship Id="rId665" Type="http://schemas.openxmlformats.org/officeDocument/2006/relationships/image" Target="media/image2.jpeg"/><Relationship Id="rId666" Type="http://schemas.openxmlformats.org/officeDocument/2006/relationships/footer" Target="footer659.xml"/><Relationship Id="rId667" Type="http://schemas.openxmlformats.org/officeDocument/2006/relationships/footnotes" Target="footnotes.xml"/><Relationship Id="rId668" Type="http://schemas.openxmlformats.org/officeDocument/2006/relationships/numbering" Target="numbering.xml"/><Relationship Id="rId669" Type="http://schemas.openxmlformats.org/officeDocument/2006/relationships/fontTable" Target="fontTable.xml"/><Relationship Id="rId670" Type="http://schemas.openxmlformats.org/officeDocument/2006/relationships/settings" Target="settings.xml"/><Relationship Id="rId6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670</Pages>
  <Words>79432</Words>
  <Characters>349421</Characters>
  <CharactersWithSpaces>426053</CharactersWithSpaces>
  <Paragraphs>2801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2026-08-16T18:42:52Z</dcterms:created>
  <dc:creator>ghaemiyeh.com</dc:creator>
  <dc:description/>
  <dc:language>en-US</dc:language>
  <cp:lastModifiedBy/>
  <dcterms:modified xsi:type="dcterms:W3CDTF">2026-08-16T22:13:14Z</dcterms:modified>
  <cp:revision>1</cp:revision>
  <dc:subject/>
  <dc:title>مفتاح الهدایة فی شرح تحریرالوسیلة کتاب القضاء</dc:title>
</cp:coreProperties>
</file>

<file path=docProps/custom.xml><?xml version="1.0" encoding="utf-8"?>
<Properties xmlns="http://schemas.openxmlformats.org/officeDocument/2006/custom-properties" xmlns:vt="http://schemas.openxmlformats.org/officeDocument/2006/docPropsVTypes"/>
</file>