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 هانی خواهر گرامی امیر مومنان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0469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000471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0473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2000475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000477_3650668749">
            <w:r>
              <w:rPr>
                <w:webHidden/>
                <w:rStyle w:val="IndexLink"/>
                <w:rtl w:val="true"/>
              </w:rPr>
              <w:t>خانواده‌</w:t>
            </w:r>
            <w:r>
              <w:rPr>
                <w:rStyle w:val="IndexLink"/>
                <w:rtl w:val="true"/>
              </w:rPr>
              <w:tab/>
            </w:r>
            <w:r>
              <w:rPr>
                <w:rStyle w:val="IndexLink"/>
              </w:rPr>
              <w:t>10</w:t>
            </w:r>
          </w:hyperlink>
        </w:p>
        <w:p>
          <w:pPr>
            <w:pStyle w:val="Contents2"/>
            <w:tabs>
              <w:tab w:val="clear" w:pos="8743"/>
              <w:tab w:val="right" w:pos="9026" w:leader="dot"/>
            </w:tabs>
            <w:rPr/>
          </w:pPr>
          <w:hyperlink w:anchor="__RefHeading___Toc2000479_3650668749">
            <w:r>
              <w:rPr>
                <w:webHidden/>
                <w:rStyle w:val="IndexLink"/>
                <w:rtl w:val="true"/>
              </w:rPr>
              <w:t>آيين ام هانى قبل از بعثت‌</w:t>
            </w:r>
            <w:r>
              <w:rPr>
                <w:rStyle w:val="IndexLink"/>
                <w:rtl w:val="true"/>
              </w:rPr>
              <w:tab/>
            </w:r>
            <w:r>
              <w:rPr>
                <w:rStyle w:val="IndexLink"/>
              </w:rPr>
              <w:t>13</w:t>
            </w:r>
          </w:hyperlink>
        </w:p>
        <w:p>
          <w:pPr>
            <w:pStyle w:val="Contents2"/>
            <w:tabs>
              <w:tab w:val="clear" w:pos="8743"/>
              <w:tab w:val="right" w:pos="9026" w:leader="dot"/>
            </w:tabs>
            <w:rPr/>
          </w:pPr>
          <w:hyperlink w:anchor="__RefHeading___Toc2000481_3650668749">
            <w:r>
              <w:rPr>
                <w:webHidden/>
                <w:rStyle w:val="IndexLink"/>
                <w:rtl w:val="true"/>
              </w:rPr>
              <w:t>ازدواج و فرزندان ام هانى‌</w:t>
            </w:r>
            <w:r>
              <w:rPr>
                <w:rStyle w:val="IndexLink"/>
                <w:rtl w:val="true"/>
              </w:rPr>
              <w:tab/>
            </w:r>
            <w:r>
              <w:rPr>
                <w:rStyle w:val="IndexLink"/>
              </w:rPr>
              <w:t>15</w:t>
            </w:r>
          </w:hyperlink>
        </w:p>
        <w:p>
          <w:pPr>
            <w:pStyle w:val="Contents2"/>
            <w:tabs>
              <w:tab w:val="clear" w:pos="8743"/>
              <w:tab w:val="right" w:pos="9026" w:leader="dot"/>
            </w:tabs>
            <w:rPr/>
          </w:pPr>
          <w:hyperlink w:anchor="__RefHeading___Toc2000483_3650668749">
            <w:r>
              <w:rPr>
                <w:webHidden/>
                <w:rStyle w:val="IndexLink"/>
                <w:rtl w:val="true"/>
              </w:rPr>
              <w:t>پذيرش اسلام‌</w:t>
            </w:r>
            <w:r>
              <w:rPr>
                <w:rStyle w:val="IndexLink"/>
                <w:rtl w:val="true"/>
              </w:rPr>
              <w:tab/>
            </w:r>
            <w:r>
              <w:rPr>
                <w:rStyle w:val="IndexLink"/>
              </w:rPr>
              <w:t>18</w:t>
            </w:r>
          </w:hyperlink>
        </w:p>
        <w:p>
          <w:pPr>
            <w:pStyle w:val="Contents2"/>
            <w:tabs>
              <w:tab w:val="clear" w:pos="8743"/>
              <w:tab w:val="right" w:pos="9026" w:leader="dot"/>
            </w:tabs>
            <w:rPr/>
          </w:pPr>
          <w:hyperlink w:anchor="__RefHeading___Toc2000485_3650668749">
            <w:r>
              <w:rPr>
                <w:webHidden/>
                <w:rStyle w:val="IndexLink"/>
                <w:rtl w:val="true"/>
              </w:rPr>
              <w:t>ام هانى و واقعه معراج‌</w:t>
            </w:r>
            <w:r>
              <w:rPr>
                <w:rStyle w:val="IndexLink"/>
                <w:rtl w:val="true"/>
              </w:rPr>
              <w:tab/>
            </w:r>
            <w:r>
              <w:rPr>
                <w:rStyle w:val="IndexLink"/>
              </w:rPr>
              <w:t>20</w:t>
            </w:r>
          </w:hyperlink>
        </w:p>
        <w:p>
          <w:pPr>
            <w:pStyle w:val="Contents2"/>
            <w:tabs>
              <w:tab w:val="clear" w:pos="8743"/>
              <w:tab w:val="right" w:pos="9026" w:leader="dot"/>
            </w:tabs>
            <w:rPr/>
          </w:pPr>
          <w:hyperlink w:anchor="__RefHeading___Toc2000487_3650668749">
            <w:r>
              <w:rPr>
                <w:webHidden/>
                <w:rStyle w:val="IndexLink"/>
                <w:rtl w:val="true"/>
              </w:rPr>
              <w:t>جايگاه ام هانى پس از هجرت‌</w:t>
            </w:r>
            <w:r>
              <w:rPr>
                <w:rStyle w:val="IndexLink"/>
                <w:rtl w:val="true"/>
              </w:rPr>
              <w:tab/>
            </w:r>
            <w:r>
              <w:rPr>
                <w:rStyle w:val="IndexLink"/>
              </w:rPr>
              <w:t>24</w:t>
            </w:r>
          </w:hyperlink>
        </w:p>
        <w:p>
          <w:pPr>
            <w:pStyle w:val="Contents2"/>
            <w:tabs>
              <w:tab w:val="clear" w:pos="8743"/>
              <w:tab w:val="right" w:pos="9026" w:leader="dot"/>
            </w:tabs>
            <w:rPr/>
          </w:pPr>
          <w:hyperlink w:anchor="__RefHeading___Toc2000489_3650668749">
            <w:r>
              <w:rPr>
                <w:webHidden/>
                <w:rStyle w:val="IndexLink"/>
                <w:rtl w:val="true"/>
              </w:rPr>
              <w:t xml:space="preserve">نقش‌آفرينى ام هانى پس از رحلت پيامبر </w:t>
            </w:r>
            <w:r>
              <w:rPr>
                <w:rStyle w:val="IndexLink"/>
                <w:rtl w:val="true"/>
              </w:rPr>
              <w:t>(</w:t>
            </w:r>
            <w:r>
              <w:rPr>
                <w:rStyle w:val="IndexLink"/>
                <w:rtl w:val="true"/>
              </w:rPr>
              <w:t>ص</w:t>
            </w:r>
            <w:r>
              <w:rPr>
                <w:rStyle w:val="IndexLink"/>
                <w:rtl w:val="true"/>
              </w:rPr>
              <w:t>)</w:t>
              <w:tab/>
            </w:r>
            <w:r>
              <w:rPr>
                <w:rStyle w:val="IndexLink"/>
              </w:rPr>
              <w:t>30</w:t>
            </w:r>
          </w:hyperlink>
        </w:p>
        <w:p>
          <w:pPr>
            <w:pStyle w:val="Contents2"/>
            <w:tabs>
              <w:tab w:val="clear" w:pos="8743"/>
              <w:tab w:val="right" w:pos="9026" w:leader="dot"/>
            </w:tabs>
            <w:rPr/>
          </w:pPr>
          <w:hyperlink w:anchor="__RefHeading___Toc2000491_3650668749">
            <w:r>
              <w:rPr>
                <w:webHidden/>
                <w:rStyle w:val="IndexLink"/>
                <w:rtl w:val="true"/>
              </w:rPr>
              <w:t xml:space="preserve">نقش ام هانى در دوره خلافت امام على </w:t>
            </w:r>
            <w:r>
              <w:rPr>
                <w:rStyle w:val="IndexLink"/>
                <w:rtl w:val="true"/>
              </w:rPr>
              <w:t>(</w:t>
            </w:r>
            <w:r>
              <w:rPr>
                <w:rStyle w:val="IndexLink"/>
                <w:rtl w:val="true"/>
              </w:rPr>
              <w:t>ع</w:t>
            </w:r>
            <w:r>
              <w:rPr>
                <w:rStyle w:val="IndexLink"/>
                <w:rtl w:val="true"/>
              </w:rPr>
              <w:t>)</w:t>
              <w:tab/>
            </w:r>
            <w:r>
              <w:rPr>
                <w:rStyle w:val="IndexLink"/>
              </w:rPr>
              <w:t>33</w:t>
            </w:r>
          </w:hyperlink>
        </w:p>
        <w:p>
          <w:pPr>
            <w:pStyle w:val="Contents2"/>
            <w:tabs>
              <w:tab w:val="clear" w:pos="8743"/>
              <w:tab w:val="right" w:pos="9026" w:leader="dot"/>
            </w:tabs>
            <w:rPr/>
          </w:pPr>
          <w:hyperlink w:anchor="__RefHeading___Toc2000493_3650668749">
            <w:r>
              <w:rPr>
                <w:webHidden/>
                <w:rStyle w:val="IndexLink"/>
                <w:rtl w:val="true"/>
              </w:rPr>
              <w:t>وفات ام هانى‌</w:t>
            </w:r>
            <w:r>
              <w:rPr>
                <w:rStyle w:val="IndexLink"/>
                <w:rtl w:val="true"/>
              </w:rPr>
              <w:tab/>
            </w:r>
            <w:r>
              <w:rPr>
                <w:rStyle w:val="IndexLink"/>
              </w:rPr>
              <w:t>35</w:t>
            </w:r>
          </w:hyperlink>
        </w:p>
        <w:p>
          <w:pPr>
            <w:pStyle w:val="Contents2"/>
            <w:tabs>
              <w:tab w:val="clear" w:pos="8743"/>
              <w:tab w:val="right" w:pos="9026" w:leader="dot"/>
            </w:tabs>
            <w:rPr/>
          </w:pPr>
          <w:hyperlink w:anchor="__RefHeading___Toc2000495_3650668749">
            <w:r>
              <w:rPr>
                <w:webHidden/>
                <w:rStyle w:val="IndexLink"/>
                <w:rtl w:val="true"/>
              </w:rPr>
              <w:t>كتابنامه‌</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58_14417"/>
      <w:bookmarkStart w:id="1" w:name="pg1758_14417"/>
      <w:bookmarkEnd w:id="1"/>
    </w:p>
    <w:p>
      <w:pPr>
        <w:pStyle w:val="Heading2"/>
        <w:numPr>
          <w:ilvl w:val="1"/>
          <w:numId w:val="1"/>
        </w:numPr>
        <w:rPr/>
      </w:pPr>
      <w:bookmarkStart w:id="2" w:name="pg1758_14417"/>
      <w:bookmarkStart w:id="3" w:name="__RefHeading___Toc2000469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حامد،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گرامی امیر مومنان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قرائتی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اسوه؛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هانی، فاخته بنت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۲۱۱۴۰۲۱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0471_3650668749"/>
      <w:bookmarkStart w:id="6" w:name="_Toc2"/>
      <w:bookmarkEnd w:id="5"/>
      <w:r>
        <w:rPr>
          <w:rtl w:val="true"/>
        </w:rPr>
        <w:t>اشاره</w:t>
      </w:r>
      <w:bookmarkStart w:id="7" w:name="pg1758_14428"/>
      <w:bookmarkEnd w:id="6"/>
    </w:p>
    <w:p>
      <w:pPr>
        <w:pStyle w:val="Heading2"/>
        <w:numPr>
          <w:ilvl w:val="1"/>
          <w:numId w:val="1"/>
        </w:numPr>
        <w:rPr/>
      </w:pPr>
      <w:bookmarkStart w:id="8" w:name="__RefHeading___Toc2000473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شناخت و پيروى از اسوه‌هاى دينى جايگاه مهمى در تعليم و تربيت اسلامى دارد و سعادت واقعى انسان و شرط پويايى جوامع بشرى در سايه شناخت و كارآمد كردن سيره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آشكار است كه سيره اولياى الهى به ويژه اهل بيت خاندان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متقن‌ترين آموزه‌هاى تربيتى و اساسى‌ترين مؤلفه در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واقعيت‌هاى زندگى آنان و بهره‌گيرى از روش و منش و رفتار و گفتارشان مى‌تواند زمينه‌هاى تعالى و سعادت واقعى انسان را فراهم سازد، از اين‌رو پژوهش در آثار اولياى الهى به ويژه جست‌وجو در احوال خاندان پاك نبوت كه در دامان پر مهر آنان كامل‌ترين انسان‌ها پرورش يافته‌اند به منظور الگوگيرى از آنان ضرورت انكارناپذير مراكز پژوهشى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 مركز تحقيقات حج در راستاى</w:t>
      </w:r>
    </w:p>
    <w:p>
      <w:pPr>
        <w:pStyle w:val="BookText"/>
        <w:rPr/>
      </w:pPr>
      <w:r>
        <w:rPr>
          <w:rFonts w:ascii="IRNazanin" w:hAnsi="IRNazanin" w:eastAsia="IRNazanin"/>
          <w:color w:val="111111"/>
          <w:sz w:val="28"/>
          <w:sz w:val="28"/>
          <w:szCs w:val="28"/>
          <w:rtl w:val="true"/>
          <w:lang w:bidi="fa-IR"/>
        </w:rPr>
        <w:t xml:space="preserve">ايفاى رسالت خود براى ترويج فرهنگ اصيل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انتشار شرح حال عده‌اى از مردان و زنان انسان‌ساز زده است كه از جمله آنان شرح حال امّ‌هانى خواهر گرامى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نوشته مورد قبول آن بانوى بزرگوار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حج لازم مى‌داند كه از تلاش پژوهشگر محترم آقاى حامد قرائتى و همه كسانى كه در به ثمر رسيدن اين اثر تلاش نموده‌اند،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w:t>
      </w:r>
      <w:bookmarkStart w:id="10" w:name="pg1758_14432"/>
    </w:p>
    <w:p>
      <w:pPr>
        <w:pStyle w:val="Heading2"/>
        <w:numPr>
          <w:ilvl w:val="1"/>
          <w:numId w:val="1"/>
        </w:numPr>
        <w:rPr/>
      </w:pPr>
      <w:bookmarkStart w:id="11" w:name="__RefHeading___Toc2000475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 مطالعه تاريخ اسلام به شخصيت‌هايى برمى‌خوريم كه گرچه مورد غفلت واقع شده و كمتر مورد توجه محققان و دانشمندان قرار گرفته‌اند، اما از چنان درخششى در تاريخ، انديشه و تمدن اسلامى برخوردارند كه نمى‌توان منكر نقش‌آفرينى آنها در عرصه‌هاى مختلف اجتماعى، سياسى و مذهبى تاريخ اسلام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ميان ستارگان تاريخ اسلام، مهجور مانده‌اند؛ زيرا با وجود محدوده وسيع تأثيرگذاريشان در عرصه‌هاى مختلف، بروز و نمود كمترى در اجتماع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محدوديت‌ها به‌خاطر ويژگى‌هاى خاص زنان و برخى متأثر از برداشت‌هاى نادرست از نصوص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نقش زنان، در بسيارى از وقايع مبارك يا نامبارك تاريخ اسلام، انكارناپذير است؛ چنان‌كه حمايت</w:t>
      </w:r>
    </w:p>
    <w:p>
      <w:pPr>
        <w:pStyle w:val="BookText"/>
        <w:rPr/>
      </w:pPr>
      <w:r>
        <w:rPr>
          <w:rFonts w:ascii="IRNazanin" w:hAnsi="IRNazanin" w:eastAsia="IRNazanin"/>
          <w:color w:val="111111"/>
          <w:sz w:val="28"/>
          <w:sz w:val="28"/>
          <w:szCs w:val="28"/>
          <w:rtl w:val="true"/>
          <w:lang w:bidi="fa-IR"/>
        </w:rPr>
        <w:t xml:space="preserve">مادى و معنوى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سختى و مشقت يا شهادت سميه، در راه حمايت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اسلام در مكه، از جلوه‌هاى برجسته تاريخ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نقش ام‌جميل، در تحريك همسرش ابولهب، در فاصله گرفتن از بنى‌هاشم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يا هند، همسر ابوسفيان، در تحريك براى انتقام‌جويى، پس از شكست جنگ بدر </w:t>
      </w:r>
      <w:r>
        <w:rPr>
          <w:rStyle w:val="FootnoteAnchor"/>
          <w:rtl w:val="true"/>
        </w:rPr>
        <w:footnoteReference w:id="3"/>
      </w:r>
      <w:r>
        <w:rPr>
          <w:rFonts w:ascii="IRNazanin" w:hAnsi="IRNazanin" w:eastAsia="IRNazanin"/>
          <w:color w:val="111111"/>
          <w:sz w:val="28"/>
          <w:sz w:val="28"/>
          <w:szCs w:val="28"/>
          <w:rtl w:val="true"/>
          <w:lang w:bidi="fa-IR"/>
        </w:rPr>
        <w:t>، قابل چشم‌پوشى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نقش‌آفرينى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اولين جنگ داخلى مسلمانان در تاريخ اسلام، با محوريت يك زن شعله‌ور شد و در مقابل، سخنان دختر گرامى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ماه‌هاى نخستين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خطبه‌هاى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كربلا از اسناد تاريخى معتبرى است كه بيانگر انديشه‌ها و جريان‌هاى نامحسوس فكرى دوره‌هاى تاريخى و مميز حق از باطل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همه زنان تاريخ‌ساز مظلوم واقع شده‌اند، اما برخى از آنان مظلوميت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به دليل شناخت و رويارويى با جريان‌هاى انحرافى و نفاق‌آلود،</w:t>
      </w:r>
    </w:p>
    <w:p>
      <w:pPr>
        <w:pStyle w:val="BookText"/>
        <w:rPr/>
      </w:pPr>
      <w:r>
        <w:rPr>
          <w:rFonts w:ascii="IRNazanin" w:hAnsi="IRNazanin" w:eastAsia="IRNazanin"/>
          <w:color w:val="111111"/>
          <w:sz w:val="28"/>
          <w:sz w:val="28"/>
          <w:szCs w:val="28"/>
          <w:rtl w:val="true"/>
          <w:lang w:bidi="fa-IR"/>
        </w:rPr>
        <w:t>كمتر در منابع تاريخى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زرداران و زورمداران، در طول تاريخ، تمام همت خود را براى خاموش كردن نور هدايت به كار گرفتند تا از رسيدن زلال ايمان به قلب‌هاى تشنه حقيقت،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حسادت‌ها و كينه‌هاى ديرين، اين دشمنى دو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سال‌ها فضايل خاندان رسالت را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روش‌هايى كه آنها در رسيدن به اين مقصود بهره مى‌بردند، نپرداختن به چهره‌هايى بود كه هم محبوب و مورد تأييد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هم مطرح شدنشان در منابع تاريخى، يادآور برترى‌هاى بنى‌هاشم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اهميت و نقش‌آفرينى شخصيت‌هايى چون ام‌هانى در عصر نبوى و پس از آن به گونه‌اى است كه مى‌توان آنها را الگوهاى عينى در راست‌باورى و عمل به انديشه‌هاى اصيل دينى دانست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واكاوى ابعاد مختلف شخصيت ام‌هانى، از جهات مختلفى اهميت دارد كه از جمله آنها، ولايت‌پذيرى و پيروى از اسوه‌هاى آسمانى‌اى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3" w:name="pg1758_14439"/>
    </w:p>
    <w:p>
      <w:pPr>
        <w:pStyle w:val="Heading2"/>
        <w:numPr>
          <w:ilvl w:val="1"/>
          <w:numId w:val="1"/>
        </w:numPr>
        <w:rPr/>
      </w:pPr>
      <w:bookmarkStart w:id="14" w:name="__RefHeading___Toc2000477_3650668749"/>
      <w:bookmarkStart w:id="15" w:name="_Toc5"/>
      <w:bookmarkEnd w:id="13"/>
      <w:bookmarkEnd w:id="14"/>
      <w:r>
        <w:rPr>
          <w:rtl w:val="true"/>
        </w:rPr>
        <w:t>خانواده‌</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مورخان و نسب‌شناسان در تعيين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نبوده و او را، فاطمه </w:t>
      </w:r>
      <w:r>
        <w:rPr>
          <w:rStyle w:val="FootnoteAnchor"/>
          <w:rtl w:val="true"/>
        </w:rPr>
        <w:footnoteReference w:id="4"/>
      </w:r>
      <w:r>
        <w:rPr>
          <w:rFonts w:ascii="IRNazanin" w:hAnsi="IRNazanin" w:eastAsia="IRNazanin"/>
          <w:color w:val="111111"/>
          <w:sz w:val="28"/>
          <w:sz w:val="28"/>
          <w:szCs w:val="28"/>
          <w:rtl w:val="true"/>
          <w:lang w:bidi="fa-IR"/>
        </w:rPr>
        <w:t xml:space="preserve">، فاخته </w:t>
      </w:r>
      <w:r>
        <w:rPr>
          <w:rStyle w:val="FootnoteAnchor"/>
          <w:rtl w:val="true"/>
        </w:rPr>
        <w:footnoteReference w:id="5"/>
      </w:r>
      <w:r>
        <w:rPr>
          <w:rFonts w:ascii="Amiri" w:hAnsi="Amiri" w:eastAsia="Amiri" w:cs="Amiri"/>
          <w:color w:val="111111"/>
          <w:sz w:val="28"/>
          <w:sz w:val="28"/>
          <w:szCs w:val="28"/>
          <w:rtl w:val="true"/>
          <w:lang w:bidi="ar-SA"/>
        </w:rPr>
        <w:t xml:space="preserve">، عاتكه </w:t>
      </w:r>
      <w:r>
        <w:rPr>
          <w:rStyle w:val="FootnoteAnchor"/>
          <w:rtl w:val="true"/>
        </w:rPr>
        <w:footnoteReference w:id="6"/>
      </w:r>
      <w:r>
        <w:rPr>
          <w:rFonts w:ascii="IRNazanin" w:hAnsi="IRNazanin" w:eastAsia="IRNazanin"/>
          <w:color w:val="111111"/>
          <w:sz w:val="28"/>
          <w:sz w:val="28"/>
          <w:szCs w:val="28"/>
          <w:rtl w:val="true"/>
          <w:lang w:bidi="fa-IR"/>
        </w:rPr>
        <w:t xml:space="preserve">و هند </w:t>
      </w:r>
      <w:r>
        <w:rPr>
          <w:rStyle w:val="FootnoteAnchor"/>
          <w:rtl w:val="true"/>
        </w:rPr>
        <w:footnoteReference w:id="7"/>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وى عبد مناف بود </w:t>
      </w:r>
      <w:r>
        <w:rPr>
          <w:rStyle w:val="FootnoteAnchor"/>
          <w:rtl w:val="true"/>
        </w:rPr>
        <w:footnoteReference w:id="8"/>
      </w:r>
      <w:r>
        <w:rPr>
          <w:rFonts w:ascii="Amiri" w:hAnsi="Amiri" w:eastAsia="Amiri" w:cs="Amiri"/>
          <w:color w:val="111111"/>
          <w:sz w:val="28"/>
          <w:sz w:val="28"/>
          <w:szCs w:val="28"/>
          <w:rtl w:val="true"/>
          <w:lang w:bidi="ar-SA"/>
        </w:rPr>
        <w:t>كه بيشتر با كنيه‌اش ابوطالب شناخته مى‌شد</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ابوطالب، عموى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عبدالمطلب سرپرستى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پانزده سالگى در خانه ابوطالب و تحت تكفل او بود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ابوطالب پس از بعثت نيز به عنوان مهم‌ترين حامى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دليل</w:t>
      </w:r>
    </w:p>
    <w:p>
      <w:pPr>
        <w:pStyle w:val="BookText"/>
        <w:rPr/>
      </w:pPr>
      <w:r>
        <w:rPr>
          <w:rFonts w:ascii="IRNazanin" w:hAnsi="IRNazanin" w:eastAsia="IRNazanin"/>
          <w:color w:val="111111"/>
          <w:sz w:val="28"/>
          <w:sz w:val="28"/>
          <w:szCs w:val="28"/>
          <w:rtl w:val="true"/>
          <w:lang w:bidi="fa-IR"/>
        </w:rPr>
        <w:t xml:space="preserve">جايگاه اجتماعى و قبيلگى‌اش در ميان قريش و ضرورت استفاده از اين جايگاه براى حمايت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ايمانش را آشكار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در مقاطع مختلفى مانند افشاى توطئه ترور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و محاصره همه‌جانبه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بنى‌هاشم در 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 سال به طول انجاميد</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در زمره مهم‌ترين مدافعان و حاميان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مى‌رود</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ام‌هانى نه تنها از جانب ابوطالب، بلكه از طرف مادرى نيز داراى افتخاراتى است؛ چرا كه مادر او فاطمه بنت اسد، تنها ادامه‌دهنده نسل اسدبن‌هاشم </w:t>
      </w:r>
      <w:r>
        <w:rPr>
          <w:rStyle w:val="FootnoteAnchor"/>
          <w:rtl w:val="true"/>
        </w:rPr>
        <w:footnoteReference w:id="14"/>
      </w:r>
      <w:r>
        <w:rPr>
          <w:rFonts w:ascii="Amiri" w:hAnsi="Amiri" w:eastAsia="Amiri" w:cs="Amiri"/>
          <w:color w:val="111111"/>
          <w:sz w:val="28"/>
          <w:sz w:val="28"/>
          <w:szCs w:val="28"/>
          <w:rtl w:val="true"/>
          <w:lang w:bidi="ar-SA"/>
        </w:rPr>
        <w:t>و اولين زن هاشمى‌اى است كه به ازدواج مردى از فرزندان هاشم درآمده و صاحب فرزندى شده است</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اسد سرپرست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كودكى، از ايمان‌آورندگان و مهاجران نخستين و از جمله زنانى است كه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احترام خاصى برخوردار بود، به طورى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او شركت كرد و لباس خود را براى تكفين او در نظر گرفت و فرمودند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ابوطالب، هيچ كس براى من خيرخواه‌تر از فاطمه بنت اسد نبود</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طالب، عقيل، جعفر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برادران ام هانى مى‌باشند </w:t>
      </w:r>
      <w:r>
        <w:rPr>
          <w:rStyle w:val="FootnoteAnchor"/>
          <w:rtl w:val="true"/>
        </w:rPr>
        <w:footnoteReference w:id="17"/>
      </w:r>
      <w:r>
        <w:rPr>
          <w:rFonts w:ascii="Amiri" w:hAnsi="Amiri" w:eastAsia="Amiri" w:cs="Amiri"/>
          <w:color w:val="111111"/>
          <w:sz w:val="28"/>
          <w:sz w:val="28"/>
          <w:szCs w:val="28"/>
          <w:rtl w:val="true"/>
          <w:lang w:bidi="ar-SA"/>
        </w:rPr>
        <w:t xml:space="preserve">كه از اين ميان،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اولين مرد مسلمان </w:t>
      </w:r>
      <w:r>
        <w:rPr>
          <w:rStyle w:val="FootnoteAnchor"/>
          <w:rtl w:val="true"/>
        </w:rPr>
        <w:footnoteReference w:id="18"/>
      </w:r>
      <w:r>
        <w:rPr>
          <w:rFonts w:ascii="Amiri" w:hAnsi="Amiri" w:eastAsia="Amiri" w:cs="Amiri"/>
          <w:color w:val="111111"/>
          <w:sz w:val="28"/>
          <w:sz w:val="28"/>
          <w:szCs w:val="28"/>
          <w:rtl w:val="true"/>
          <w:lang w:bidi="ar-SA"/>
        </w:rPr>
        <w:t xml:space="preserve">و وصى و جانشين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نيز سرپرستى مهاجران مسلمان به حبشه را بر عهده داشت و از شهداى جنگ موته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او همچنين داراى دو خواهر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21"/>
      </w:r>
      <w:bookmarkStart w:id="16" w:name="pg1758_14447"/>
    </w:p>
    <w:p>
      <w:pPr>
        <w:pStyle w:val="Heading2"/>
        <w:numPr>
          <w:ilvl w:val="1"/>
          <w:numId w:val="1"/>
        </w:numPr>
        <w:rPr/>
      </w:pPr>
      <w:bookmarkStart w:id="17" w:name="__RefHeading___Toc2000479_3650668749"/>
      <w:bookmarkStart w:id="18" w:name="_Toc6"/>
      <w:bookmarkEnd w:id="16"/>
      <w:bookmarkEnd w:id="17"/>
      <w:r>
        <w:rPr>
          <w:rtl w:val="true"/>
        </w:rPr>
        <w:t>آيين ام هانى قبل از بعثت‌</w:t>
      </w:r>
      <w:bookmarkEnd w:id="18"/>
    </w:p>
    <w:p>
      <w:pPr>
        <w:pStyle w:val="BookText"/>
        <w:rPr/>
      </w:pPr>
      <w:r>
        <w:rPr>
          <w:rFonts w:ascii="IRNazanin" w:hAnsi="IRNazanin" w:eastAsia="IRNazanin"/>
          <w:color w:val="111111"/>
          <w:sz w:val="28"/>
          <w:sz w:val="28"/>
          <w:szCs w:val="28"/>
          <w:rtl w:val="true"/>
          <w:lang w:bidi="fa-IR"/>
        </w:rPr>
        <w:t xml:space="preserve">در خصوص دين و آيين ام هانى قبل از بعثت، اگرچه گزارش قابل توجهى وجود ندارد، ولى با توجه به اعتقاد و گرايش بزرگان بنى‌هاشم به دين حنيف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نمى‌توان دليلى بر جدا نمودن ام‌هانى از ايشان و اعتقاد وى به بت‌پرستى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غالب منابع تاريخى به گزارشى اشاره شده است كه مى‌توان آن را بهترين عامل، در شناخت شخصيت فكرى و اجتماعى ام‌هانى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منابع به علاقه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خواستگارى حضرت از وى اشاره شده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كه اين ازدواج به دليل روابط خانوادگى و قبيله‌اى ابوطالب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هُبيرة بن ابي‌وَهَب 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سرانجام نرسيد و ام‌هانى به ازدواج هبيره درآمد </w:t>
      </w:r>
      <w:r>
        <w:rPr>
          <w:rStyle w:val="FootnoteAnchor"/>
          <w:rtl w:val="true"/>
        </w:rPr>
        <w:footnoteReference w:id="23"/>
      </w:r>
      <w:r>
        <w:rPr>
          <w:rFonts w:ascii="IRNazanin" w:hAnsi="IRNazanin" w:eastAsia="IRNazanin"/>
          <w:color w:val="111111"/>
          <w:sz w:val="28"/>
          <w:sz w:val="28"/>
          <w:szCs w:val="28"/>
          <w:rtl w:val="true"/>
          <w:lang w:bidi="fa-IR"/>
        </w:rPr>
        <w:t xml:space="preserve">، اما اين خواستگارى را مى‌توان شاهدى بر صحت اعتقادات و بنيان‌هاى فكرى ام‌هانى از ديدگاه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bookmarkStart w:id="19" w:name="pg1758_14450"/>
    </w:p>
    <w:p>
      <w:pPr>
        <w:pStyle w:val="Heading2"/>
        <w:numPr>
          <w:ilvl w:val="1"/>
          <w:numId w:val="1"/>
        </w:numPr>
        <w:rPr/>
      </w:pPr>
      <w:bookmarkStart w:id="20" w:name="__RefHeading___Toc2000481_3650668749"/>
      <w:bookmarkStart w:id="21" w:name="_Toc7"/>
      <w:bookmarkEnd w:id="19"/>
      <w:bookmarkEnd w:id="20"/>
      <w:r>
        <w:rPr>
          <w:rtl w:val="true"/>
        </w:rPr>
        <w:t>ازدواج و فرزندان ام هانى‌</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گذشت، زندگى خانوادگى ام‌هانى پيش از بعثت و با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تاريخى به نيكى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او را در زمره آزاردهندگان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برشمرده‌اند </w:t>
      </w:r>
      <w:r>
        <w:rPr>
          <w:rStyle w:val="FootnoteAnchor"/>
          <w:rtl w:val="true"/>
        </w:rPr>
        <w:footnoteReference w:id="24"/>
      </w:r>
      <w:r>
        <w:rPr>
          <w:rFonts w:ascii="IRNazanin" w:hAnsi="IRNazanin" w:eastAsia="IRNazanin"/>
          <w:color w:val="111111"/>
          <w:sz w:val="28"/>
          <w:sz w:val="28"/>
          <w:szCs w:val="28"/>
          <w:rtl w:val="true"/>
          <w:lang w:bidi="fa-IR"/>
        </w:rPr>
        <w:t xml:space="preserve">و برخى مفسران نخستين،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ماعون را درباره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اگرچه برخى هبيره را از كشته‌شدگان جنگ خندق مى‌دانند </w:t>
      </w:r>
      <w:r>
        <w:rPr>
          <w:rStyle w:val="FootnoteAnchor"/>
          <w:rtl w:val="true"/>
        </w:rPr>
        <w:footnoteReference w:id="26"/>
      </w:r>
      <w:r>
        <w:rPr>
          <w:rFonts w:ascii="IRNazanin" w:hAnsi="IRNazanin" w:eastAsia="IRNazanin"/>
          <w:color w:val="111111"/>
          <w:sz w:val="28"/>
          <w:sz w:val="28"/>
          <w:szCs w:val="28"/>
          <w:rtl w:val="true"/>
          <w:lang w:bidi="fa-IR"/>
        </w:rPr>
        <w:t>، ولى اكثر مورخان بر اين عقيده‌اند كه او پس از</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مكه،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گريخته و در آنجا در حال كفر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ازدواج ام‌هانى و هبيره، تولد فرزندانى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جعده از چهره‌هاى برجسته شيعيان و از ياران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بوده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او كارگزار امام در خراسان، در سال‌هاى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فرزندش عبدالله فاتح نيز از كارگزاران امام در مناطقى از خراسان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وى همسر ام الحسن، دختر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3"/>
      </w:r>
      <w:r>
        <w:rPr>
          <w:rFonts w:ascii="Amiri" w:hAnsi="Amiri" w:eastAsia="Amiri" w:cs="Amiri"/>
          <w:color w:val="111111"/>
          <w:sz w:val="28"/>
          <w:sz w:val="28"/>
          <w:szCs w:val="28"/>
          <w:rtl w:val="true"/>
          <w:lang w:bidi="ar-SA"/>
        </w:rPr>
        <w:t>و نايب حضرت در اقامه نماز جماعت در كوفه مى‌باشد</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خاندان جعده نيز از خاندان‌هاى شيعى و تأثيرگذار كوفه بودند و از دعوت‌كنندگان و زمينه‌سازان حضور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در سال‌هاى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مى‌باشند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خانه ام‌هانى نقش مهمى در تحليل تاريخ اجتماعى مكه دارد، به طورى كه اولين منبع بهره‌مندى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چاه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شده بود و در خانه ام‌هانى قرار داشت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ابن عباس نيز در خانه ام‌هانى از نگهدارى پرنده‌اى به نام ابابيل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مكه و اهل آن را از خطر ابرهه رهانيده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 xml:space="preserve">. </w:t>
      </w:r>
      <w:r>
        <w:rPr>
          <w:rStyle w:val="FootnoteAnchor"/>
          <w:rtl w:val="true"/>
        </w:rPr>
        <w:footnoteReference w:id="37"/>
      </w:r>
      <w:bookmarkStart w:id="22" w:name="pg1758_14458"/>
    </w:p>
    <w:p>
      <w:pPr>
        <w:pStyle w:val="Heading2"/>
        <w:numPr>
          <w:ilvl w:val="1"/>
          <w:numId w:val="1"/>
        </w:numPr>
        <w:rPr/>
      </w:pPr>
      <w:bookmarkStart w:id="23" w:name="__RefHeading___Toc2000483_3650668749"/>
      <w:bookmarkStart w:id="24" w:name="_Toc8"/>
      <w:bookmarkEnd w:id="22"/>
      <w:bookmarkEnd w:id="23"/>
      <w:r>
        <w:rPr>
          <w:rtl w:val="true"/>
        </w:rPr>
        <w:t>پذيرش اسلام‌</w:t>
      </w:r>
      <w:bookmarkEnd w:id="24"/>
    </w:p>
    <w:p>
      <w:pPr>
        <w:pStyle w:val="BookText"/>
        <w:rPr/>
      </w:pPr>
      <w:r>
        <w:rPr>
          <w:rFonts w:ascii="IRNazanin" w:hAnsi="IRNazanin" w:eastAsia="IRNazanin"/>
          <w:color w:val="111111"/>
          <w:sz w:val="28"/>
          <w:sz w:val="28"/>
          <w:szCs w:val="28"/>
          <w:rtl w:val="true"/>
          <w:lang w:bidi="fa-IR"/>
        </w:rPr>
        <w:t xml:space="preserve">در مورد زمان اسلام آوردن ام‌هانى، اگرچه دانشمندانى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قديم الاسلام دانسته‌اند و پيشينه هرگونه شركى را در مورد او نمى‌پذيرند </w:t>
      </w:r>
      <w:r>
        <w:rPr>
          <w:rStyle w:val="FootnoteAnchor"/>
          <w:rtl w:val="true"/>
        </w:rPr>
        <w:footnoteReference w:id="38"/>
      </w:r>
      <w:r>
        <w:rPr>
          <w:rFonts w:ascii="IRNazanin" w:hAnsi="IRNazanin" w:eastAsia="IRNazanin"/>
          <w:color w:val="111111"/>
          <w:sz w:val="28"/>
          <w:sz w:val="28"/>
          <w:szCs w:val="28"/>
          <w:rtl w:val="true"/>
          <w:lang w:bidi="fa-IR"/>
        </w:rPr>
        <w:t>، ولى در اكثر منابع تاريخى، اظهار ايمان وى را در سال هفتم و پس از فتح مكه نوشته‌اند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البته در مقابل اين دسته از منابع، شواهد متعددى بر ايمان وى قبل از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اين شواهد، اعتراف وى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همراهى او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نماز عشاء مى‌باشد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مورخين عامه، واقعه معراج را چنين گزارش مى‌كنند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را به اتفاق گروهى از جمله ام‌هانى و در خانه وى اقامه نمودند، سفر الهى ايشان به بيت المقدس و پس از آن به آسمان‌ها آغاز شد و حضرت پس از بازگشت و اقامه نماز صبح به همراه ام‌هانى، او را از اين سفر مطلع ساختند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همچنين در ادامه اين گزارش‌ها ام‌هانى، حضرت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و حضرت او را از افشاى اين سفر نزد ديگران برحذر داشت</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تعيين سهمى از غنايم خيبر، براى وى در محرم سال هفتم هجرى و قبل از فتح مكه </w:t>
      </w:r>
      <w:r>
        <w:rPr>
          <w:rStyle w:val="FootnoteAnchor"/>
          <w:rtl w:val="true"/>
        </w:rPr>
        <w:footnoteReference w:id="42"/>
      </w:r>
      <w:r>
        <w:rPr>
          <w:rFonts w:ascii="IRNazanin" w:hAnsi="IRNazanin" w:eastAsia="IRNazanin"/>
          <w:color w:val="111111"/>
          <w:sz w:val="28"/>
          <w:sz w:val="28"/>
          <w:szCs w:val="28"/>
          <w:rtl w:val="true"/>
          <w:lang w:bidi="fa-IR"/>
        </w:rPr>
        <w:t>نيز از ديگر شواهد اسلام آوردن ام‌هانى قبل از فتح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حل اين اختلاف‌نظرها در مورد زمان اسلام آوردن ام‌هانى، شايد بتوان بيعت رسمى او به همراه ديگر زنان قريش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مكه </w:t>
      </w:r>
      <w:r>
        <w:rPr>
          <w:rStyle w:val="FootnoteAnchor"/>
          <w:rtl w:val="true"/>
        </w:rPr>
        <w:footnoteReference w:id="43"/>
      </w:r>
      <w:r>
        <w:rPr>
          <w:rFonts w:ascii="IRNazanin" w:hAnsi="IRNazanin" w:eastAsia="IRNazanin"/>
          <w:color w:val="111111"/>
          <w:sz w:val="28"/>
          <w:sz w:val="28"/>
          <w:szCs w:val="28"/>
          <w:rtl w:val="true"/>
          <w:lang w:bidi="fa-IR"/>
        </w:rPr>
        <w:t>را منشأ چنين اشتباهى براى دسته‌اى از منابع تاريخى دانست</w:t>
      </w:r>
      <w:r>
        <w:rPr>
          <w:rFonts w:eastAsia="IRNazanin" w:cs="IRNazanin"/>
          <w:color w:val="111111"/>
          <w:sz w:val="28"/>
          <w:szCs w:val="28"/>
          <w:rtl w:val="true"/>
          <w:lang w:bidi="fa-IR"/>
        </w:rPr>
        <w:t>.</w:t>
      </w:r>
      <w:bookmarkStart w:id="25" w:name="pg1758_14462"/>
    </w:p>
    <w:p>
      <w:pPr>
        <w:pStyle w:val="Heading2"/>
        <w:numPr>
          <w:ilvl w:val="1"/>
          <w:numId w:val="1"/>
        </w:numPr>
        <w:rPr/>
      </w:pPr>
      <w:bookmarkStart w:id="26" w:name="__RefHeading___Toc2000485_3650668749"/>
      <w:bookmarkStart w:id="27" w:name="_Toc9"/>
      <w:bookmarkEnd w:id="25"/>
      <w:bookmarkEnd w:id="26"/>
      <w:r>
        <w:rPr>
          <w:rtl w:val="true"/>
        </w:rPr>
        <w:t>ام هانى و واقعه معراج‌</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مهم‌ترين حوادث زندگى ام‌هانى، واقع شدن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مى‌باشد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اين واقعه در شب هفدهم ماه رمضان سال يازدهم بعثت اتفاق افتاده و از چند جهت قابل توجه است؛ از جمله رفت و آمد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سخت و مشقت‌بار پيش از هجرت، به خانه ام‌هانى </w:t>
      </w:r>
      <w:r>
        <w:rPr>
          <w:rStyle w:val="FootnoteAnchor"/>
          <w:rtl w:val="true"/>
        </w:rPr>
        <w:footnoteReference w:id="45"/>
      </w:r>
      <w:r>
        <w:rPr>
          <w:rFonts w:ascii="IRNazanin" w:hAnsi="IRNazanin" w:eastAsia="IRNazanin"/>
          <w:color w:val="111111"/>
          <w:sz w:val="28"/>
          <w:sz w:val="28"/>
          <w:szCs w:val="28"/>
          <w:rtl w:val="true"/>
          <w:lang w:bidi="fa-IR"/>
        </w:rPr>
        <w:t xml:space="preserve">و همچنين اقامه نماز در خانه او و به همراه او است </w:t>
      </w:r>
      <w:r>
        <w:rPr>
          <w:rStyle w:val="FootnoteAnchor"/>
          <w:rtl w:val="true"/>
        </w:rPr>
        <w:footnoteReference w:id="46"/>
      </w:r>
      <w:r>
        <w:rPr>
          <w:rFonts w:ascii="IRNazanin" w:hAnsi="IRNazanin" w:eastAsia="IRNazanin"/>
          <w:color w:val="111111"/>
          <w:sz w:val="28"/>
          <w:sz w:val="28"/>
          <w:szCs w:val="28"/>
          <w:rtl w:val="true"/>
          <w:lang w:bidi="fa-IR"/>
        </w:rPr>
        <w:t xml:space="preserve">كه بيانگر اهميت و جايگاه او در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چنين واقعه مهمى در خانه ام‌هانى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نشانه‌هاى نبوت نيز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تأييدى ديگر بر اين واقعيت خواهد بود كه ام‌هانى از</w:t>
      </w:r>
    </w:p>
    <w:p>
      <w:pPr>
        <w:pStyle w:val="BookText"/>
        <w:rPr/>
      </w:pPr>
      <w:r>
        <w:rPr>
          <w:rFonts w:ascii="Amiri" w:hAnsi="Amiri" w:eastAsia="Amiri" w:cs="Amiri"/>
          <w:color w:val="111111"/>
          <w:sz w:val="28"/>
          <w:sz w:val="28"/>
          <w:szCs w:val="28"/>
          <w:rtl w:val="true"/>
          <w:lang w:bidi="ar-SA"/>
        </w:rPr>
        <w:t xml:space="preserve">مسلمانان نخستين و همانند برادر خود على بن ابى‌طالب، در زمره افرادى است كه محرم اسرار و مورد اطمينان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گروهى از علما با توجه به آيه اول سوره اسراء سُبْحانَ الَّذِي أَسْرى بِعَبْدِهِ لَيْلًا مِنَ الْمَسْجِدِ الْحَرامِ إِلَى الْمَسْجِدِ الأَقْصَى الَّذِي بارَكْنا حَوْلَهُ لِنُرِيَهُ مِنْ آياتِنا إِنَّهُ هُوَ السَّمِيعُ الْبَصِيرُ محل معراج را مسجدالحرام دانسته‌اند، نه خانه ام‌هانى </w:t>
      </w:r>
      <w:r>
        <w:rPr>
          <w:rStyle w:val="FootnoteAnchor"/>
          <w:rtl w:val="true"/>
        </w:rPr>
        <w:footnoteReference w:id="47"/>
      </w:r>
      <w:r>
        <w:rPr>
          <w:rFonts w:ascii="IRNazanin" w:hAnsi="IRNazanin" w:eastAsia="IRNazanin"/>
          <w:color w:val="111111"/>
          <w:sz w:val="28"/>
          <w:sz w:val="28"/>
          <w:szCs w:val="28"/>
          <w:rtl w:val="true"/>
          <w:lang w:bidi="fa-IR"/>
        </w:rPr>
        <w:t>اما دسته‌اى ديگر از مورخان و مفسران، با ارائه نظراتى اين آيه را متعارض با گزارش‌هاى وقوع معراج در خانه ام‌هانى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گروهى، مراد از مسجدالحرام در اين آيه را مجازاً كل محدوده مكه و حرم دانسته‌اند </w:t>
      </w:r>
      <w:r>
        <w:rPr>
          <w:rStyle w:val="FootnoteAnchor"/>
          <w:rtl w:val="true"/>
        </w:rPr>
        <w:footnoteReference w:id="48"/>
      </w:r>
      <w:r>
        <w:rPr>
          <w:rFonts w:ascii="IRNazanin" w:hAnsi="IRNazanin" w:eastAsia="IRNazanin"/>
          <w:color w:val="111111"/>
          <w:sz w:val="28"/>
          <w:sz w:val="28"/>
          <w:szCs w:val="28"/>
          <w:rtl w:val="true"/>
          <w:lang w:bidi="fa-IR"/>
        </w:rPr>
        <w:t>و يا اينكه معتقدند كه سفر معراج چند بار اتفاق افتاده است</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منابع تاريخى به يكى از اين سفرها كه در خانه ام‌هانى روى داده است، اشاره دارند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برخى گزارش‌ها مبنى بر شروع اين سفر از شعب ابوطالب </w:t>
      </w:r>
      <w:r>
        <w:rPr>
          <w:rStyle w:val="FootnoteAnchor"/>
          <w:rtl w:val="true"/>
        </w:rPr>
        <w:footnoteReference w:id="50"/>
      </w:r>
      <w:r>
        <w:rPr>
          <w:rFonts w:ascii="IRNazanin" w:hAnsi="IRNazanin" w:eastAsia="IRNazanin"/>
          <w:color w:val="111111"/>
          <w:sz w:val="28"/>
          <w:sz w:val="28"/>
          <w:szCs w:val="28"/>
          <w:rtl w:val="true"/>
          <w:lang w:bidi="fa-IR"/>
        </w:rPr>
        <w:t>را نمى‌توان با گزارش گفته شده در تعارض</w:t>
      </w:r>
    </w:p>
    <w:p>
      <w:pPr>
        <w:pStyle w:val="BookText"/>
        <w:rPr/>
      </w:pPr>
      <w:r>
        <w:rPr>
          <w:rFonts w:ascii="IRNazanin" w:hAnsi="IRNazanin" w:eastAsia="IRNazanin"/>
          <w:color w:val="111111"/>
          <w:sz w:val="28"/>
          <w:sz w:val="28"/>
          <w:szCs w:val="28"/>
          <w:rtl w:val="true"/>
          <w:lang w:bidi="fa-IR"/>
        </w:rPr>
        <w:t>دانست؛ چرا كه خانه ام‌هانى در آن دوره در محدوده شعب ابوطالب قرار داشت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در ادامه گزارش‌هاى معراج،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كه با اطلاع از غيبت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سران قريش سوء ظن برده بود، با فراخوان بنى‌هاشم تصميم داشت در صورت نيافتن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تن از سران قريش را به هلاكت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پياده شدن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پيامبر 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درب خانه ام‌هانى، نگرانى ابوطالب برطرف شده، خوشحالى او را موجب شد</w:t>
      </w:r>
      <w:r>
        <w:rPr>
          <w:rFonts w:eastAsia="IRNazanin" w:cs="IRNazanin"/>
          <w:color w:val="111111"/>
          <w:sz w:val="28"/>
          <w:szCs w:val="28"/>
          <w:rtl w:val="true"/>
          <w:lang w:bidi="fa-IR"/>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مشهورترين مورخان تاريخ اسلام معتقد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تصميم ابوطالب باعث شد كه تا زمان حيات ابوطالب، هيچ كس نتواند نظر سوئى نسبت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خاطر بگذراند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در اين دوره ام‌هانى نه تنها حافظ اسرار و مورد اعتماد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بلكه خانه او نيز محل امنى براى استقرار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حتى وقوع معجزاتى چون معراج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او به لحاظ موقعيت مكانى، فاصله چندانى با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ام‌هانى در گزارشى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هنگام كه در بستر خوابيده بودم صداى تلاوت قرآن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مى‌شنيدم</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علاوه بر دوران خفقان پيش از هجرت، پس از آن و به خصوص در فتح مكه نيز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ام‌هانى تأكيد شده است؛ همچنان‌كه ام‌هانى از كيفيت طهارت و نماز حضرت در خانه خود </w:t>
      </w:r>
      <w:r>
        <w:rPr>
          <w:rStyle w:val="FootnoteAnchor"/>
          <w:rtl w:val="true"/>
        </w:rPr>
        <w:footnoteReference w:id="55"/>
      </w:r>
      <w:r>
        <w:rPr>
          <w:rFonts w:ascii="Amiri" w:hAnsi="Amiri" w:eastAsia="Amiri" w:cs="Amiri"/>
          <w:color w:val="111111"/>
          <w:sz w:val="28"/>
          <w:sz w:val="28"/>
          <w:szCs w:val="28"/>
          <w:rtl w:val="true"/>
          <w:lang w:bidi="ar-SA"/>
        </w:rPr>
        <w:t>و رواياتى در مورد احكام عباداتى مانند روزه خبر مى‌دهد</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ام‌هانى در اين مقطع از تاريخ اسلام، از وجهه ديگرى نيز به نقش‌آفرينى پرداخته است، به طورى كه او گزارشگر رويدادها و حوادثى است كه در آغاز بعثت و در مكه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گزارشى از شكنجه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دعوت به صبر كرده و به بهشت بشارت مى‌داد، خبر مى‌دهد</w:t>
      </w:r>
      <w:r>
        <w:rPr>
          <w:rFonts w:eastAsia="IRNazanin" w:cs="IRNazanin"/>
          <w:color w:val="111111"/>
          <w:sz w:val="28"/>
          <w:szCs w:val="28"/>
          <w:rtl w:val="true"/>
          <w:lang w:bidi="fa-IR"/>
        </w:rPr>
        <w:t xml:space="preserve">. </w:t>
      </w:r>
      <w:r>
        <w:rPr>
          <w:rStyle w:val="FootnoteAnchor"/>
          <w:rtl w:val="true"/>
        </w:rPr>
        <w:footnoteReference w:id="57"/>
      </w:r>
      <w:bookmarkStart w:id="28" w:name="pg1758_14470"/>
    </w:p>
    <w:p>
      <w:pPr>
        <w:pStyle w:val="Heading2"/>
        <w:numPr>
          <w:ilvl w:val="1"/>
          <w:numId w:val="1"/>
        </w:numPr>
        <w:rPr/>
      </w:pPr>
      <w:bookmarkStart w:id="29" w:name="__RefHeading___Toc2000487_3650668749"/>
      <w:bookmarkStart w:id="30" w:name="_Toc10"/>
      <w:bookmarkEnd w:id="28"/>
      <w:bookmarkEnd w:id="29"/>
      <w:r>
        <w:rPr>
          <w:rtl w:val="true"/>
        </w:rPr>
        <w:t>جايگاه ام هانى پس از هجرت‌</w:t>
      </w:r>
      <w:bookmarkEnd w:id="30"/>
    </w:p>
    <w:p>
      <w:pPr>
        <w:pStyle w:val="BookText"/>
        <w:rPr/>
      </w:pPr>
      <w:r>
        <w:rPr>
          <w:rFonts w:ascii="IRNazanin" w:hAnsi="IRNazanin" w:eastAsia="IRNazanin"/>
          <w:color w:val="111111"/>
          <w:sz w:val="28"/>
          <w:sz w:val="28"/>
          <w:szCs w:val="28"/>
          <w:rtl w:val="true"/>
          <w:lang w:bidi="fa-IR"/>
        </w:rPr>
        <w:t xml:space="preserve">ام‌هانى هر چند موفق به هجرت به مدينه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صحابه نشد، منزل او پناهگاه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بود كه حضرت با اطلاع از توطئه مشركان مكه، تصميم به هجرت به مدينه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پس از آنكه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 حضرت از خانه خارج شده و به خانه ام‌هانى رفت و در سحرگاه به سوى مدينه رهسپار شد</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هاشم بحرانى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چنين نقل مى‌كند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توطئه مشركان آگاهى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خود خارج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ام‌هانى رفته، تا صبح در آنجا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جبرئيل از نجات‌يافتن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شده، ام‌هانى را بشارت دادند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از اين زمان به بعد تا روز فتح مكه گزارش چندانى از ام‌هانى در منابع به چشم نمى‌خورد؛ اما نقش‌آفرينى او در برخى از حوادث فتح مكه، به دقت مورد توجه مورخان قرار گرفته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ابى‌شَيبة كوفى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ديگر از مورخان، خانه ام‌هانى را محل استقرار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دانسته‌اند</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گزارشى آورده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مكه، به خانه ام‌هانى وارد شد و ام‌هانى روزه خود را با باقيمانده آبى كه حضرت نوشيده بود، افطار نمود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در منابع ديگر به غسل و اقامه نماز ام‌هانى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وى اشاره شده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از ديگر شواهد احترام و جايگاه ام‌هانى در منظر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w:t>
      </w:r>
    </w:p>
    <w:p>
      <w:pPr>
        <w:pStyle w:val="BookText"/>
        <w:rPr/>
      </w:pPr>
      <w:r>
        <w:rPr>
          <w:rFonts w:ascii="Amiri" w:hAnsi="Amiri" w:eastAsia="Amiri" w:cs="Amiri"/>
          <w:color w:val="111111"/>
          <w:sz w:val="28"/>
          <w:sz w:val="28"/>
          <w:szCs w:val="28"/>
          <w:rtl w:val="true"/>
          <w:lang w:bidi="ar-SA"/>
        </w:rPr>
        <w:t xml:space="preserve">شفاعت او در حق دو تن از مشركان،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ابى‌ربيعه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بنا به نقلى زهير بن ابى‌اميه</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در جريان فتح مكه، على بن ابى‌طالب اين دو نفر را تعقيب كرد </w:t>
      </w:r>
      <w:r>
        <w:rPr>
          <w:rStyle w:val="FootnoteAnchor"/>
          <w:rtl w:val="true"/>
        </w:rPr>
        <w:footnoteReference w:id="65"/>
      </w:r>
      <w:r>
        <w:rPr>
          <w:rFonts w:ascii="IRNazanin" w:hAnsi="IRNazanin" w:eastAsia="IRNazanin"/>
          <w:color w:val="111111"/>
          <w:sz w:val="28"/>
          <w:sz w:val="28"/>
          <w:szCs w:val="28"/>
          <w:rtl w:val="true"/>
          <w:lang w:bidi="fa-IR"/>
        </w:rPr>
        <w:t xml:space="preserve">، ولى پس از شفاعت ام‌هانى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ماجرا،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شفاعت ام‌هانى،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أجَرنا مَن أجَرتِ وَأمَّنّا مَن أمَّنتِ</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پناه ام‌هانى باشد در پناه من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گزارش‌هايى كه حكايت از اهميت شخصيت ام‌هانى مى‌كند، خواستگارى مجدد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مى‌باشد؛ چرا كه همسر او هبيرة بن ابى‌وهب، پس از اصرار بر شرك و پس از فرار از مكه درگذشت </w:t>
      </w:r>
      <w:r>
        <w:rPr>
          <w:rStyle w:val="FootnoteAnchor"/>
          <w:rtl w:val="true"/>
        </w:rPr>
        <w:footnoteReference w:id="67"/>
      </w:r>
      <w:r>
        <w:rPr>
          <w:rFonts w:ascii="IRNazanin" w:hAnsi="IRNazanin" w:eastAsia="IRNazanin"/>
          <w:color w:val="111111"/>
          <w:sz w:val="28"/>
          <w:sz w:val="28"/>
          <w:szCs w:val="28"/>
          <w:rtl w:val="true"/>
          <w:lang w:bidi="fa-IR"/>
        </w:rPr>
        <w:t>و حضرت پس از گذشت چند سال مجدداً از ام‌هانى خواستگارى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ام‌هانى پس از ابراز ايمان و با وجود علاقه به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از پذيرش خواسته حضرت به چند دليل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نزول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النَّبِي إِنَّا احْلَلْنا لَكَ ازْواجَكَ اللَّاتِي آتَيْتَ اجُورَهُنَّ وَ ما مَلَكَتْ يَمِينُكَ مِمَّا افاءَ اللهُ عَلَيْكَ وَ بَناتِ عَمِّكَ وَ بَناتِ عَمَّاتِكَ وَ بَناتِ خالِكَ وَ بَناتِ خالاتِكَ اللَّاتِي هاجَرْنَ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همسران تو را كه مهرشان را پرداخته‌اى براى تو حلال كرديم و همچنين كنيزانى كه از طريق غنايمى كه خدا به تو داده است مالك شده‌اى و دختران عموى تو و دختران عمه‌ها و دختران دايى تو و دختران خاله‌ها كه با تو مهاجرت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آنها براى تو جايز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 هانى از مهاجران همراه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دليل دوم، احتمال تضييع حقوق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همسر، به دليل ضرورت نگهدارى از فرزندان خردسالش بود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عذر او را پذيرفتند و اين دغدغه او را خصلت ممتاز زنان قريش دانستند </w:t>
      </w:r>
      <w:r>
        <w:rPr>
          <w:rStyle w:val="FootnoteAnchor"/>
          <w:rtl w:val="true"/>
        </w:rPr>
        <w:footnoteReference w:id="71"/>
      </w:r>
      <w:r>
        <w:rPr>
          <w:rFonts w:ascii="IRNazanin" w:hAnsi="IRNazanin" w:eastAsia="IRNazanin"/>
          <w:color w:val="111111"/>
          <w:sz w:val="28"/>
          <w:sz w:val="28"/>
          <w:szCs w:val="28"/>
          <w:rtl w:val="true"/>
          <w:lang w:bidi="fa-IR"/>
        </w:rPr>
        <w:t xml:space="preserve">ولى عالمان بزرگى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شهاب‌الدين نويرى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هانى را در زمره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ام‌هانى پس از فتح مكه به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مهاجرت كرد و در اين شهر اقامت گزيد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وى در مدينه به دليل برخوردارى از فضايل معنوى و خويشاوندى‌اش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ديگران احترام خاصى داشت و همين امر حسادت و درشت‌گويى برخى از صحابه، از جمله عمربن‌خطاب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ام‌هانى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مى‌برى كه انتسابت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سودى خواهد بخشيد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اطلاع از اين سخن، اندوهگين شدند و خطبه‌اى قرائت نمودند؛ حضرت نه تنها ام‌هانى را از اهل و عشيره خود دانستند، بلكه كسانى را كه منكر شفاعت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اهل بيت خود بودند را سرزنش نمودند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ام‌هانى در اين دوره به دليل همراهى‌اش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سكونتش در مدينه، از حوادث و جريان‌هاى ميان صحابه، آگاهى يافت و مى‌توان او را از معدود راويانى دانست كه در ثبت و نقل روايات، از امانت و دقت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رواياتى كه از وى ثبت شده، حديث گران‌سنگ ثقلين مى‌باشد كه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گزارش‌هاى او، حديث پر ارزش غدير مى‌باشد؛ چرا كه او از شركت‌كنندگان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وى را از راويان مهم حديث غدير دانسته است</w:t>
      </w:r>
      <w:r>
        <w:rPr>
          <w:rFonts w:eastAsia="IRNazanin" w:cs="IRNazanin"/>
          <w:color w:val="111111"/>
          <w:sz w:val="28"/>
          <w:szCs w:val="28"/>
          <w:rtl w:val="true"/>
          <w:lang w:bidi="fa-IR"/>
        </w:rPr>
        <w:t xml:space="preserve">. </w:t>
      </w:r>
      <w:r>
        <w:rPr>
          <w:rStyle w:val="FootnoteAnchor"/>
          <w:rtl w:val="true"/>
        </w:rPr>
        <w:footnoteReference w:id="76"/>
      </w:r>
      <w:bookmarkStart w:id="31" w:name="pg1758_14481"/>
    </w:p>
    <w:p>
      <w:pPr>
        <w:pStyle w:val="Heading2"/>
        <w:numPr>
          <w:ilvl w:val="1"/>
          <w:numId w:val="1"/>
        </w:numPr>
        <w:rPr/>
      </w:pPr>
      <w:bookmarkStart w:id="32" w:name="__RefHeading___Toc2000489_3650668749"/>
      <w:bookmarkStart w:id="33" w:name="_Toc11"/>
      <w:bookmarkEnd w:id="31"/>
      <w:bookmarkEnd w:id="32"/>
      <w:r>
        <w:rPr>
          <w:rtl w:val="true"/>
        </w:rPr>
        <w:t xml:space="preserve">نقش‌آفرينى ام هانى پس از رحلت پيامبر </w:t>
      </w:r>
      <w:r>
        <w:rPr>
          <w:rtl w:val="true"/>
        </w:rPr>
        <w:t>(</w:t>
      </w:r>
      <w:r>
        <w:rPr>
          <w:rtl w:val="true"/>
        </w:rPr>
        <w:t>ص</w:t>
      </w:r>
      <w:r>
        <w:rPr>
          <w:rtl w:val="true"/>
        </w:rPr>
        <w:t>)</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نقش‌آفرينى ام‌هانى در تاريخ اسلام به دوره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نقل احاديث و دستورهاى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موضع‌گيرى در مواجهه با جريان‌هاى انحرافى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ايفاى نقش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برخى صحابه، از جمله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مطاعن برخى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بخشى از اقدامات وى بود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گزارش اين دسته از روايات توسط ام‌هانى از چنان اهميتى برخودار بود كه پس از مدت كوتاهى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خلفا و برخى صحابه، سعى كردند اين دسته از روايات را كتمان و محو نمايند؛ گويا دولتمردان، فرمان</w:t>
      </w:r>
    </w:p>
    <w:p>
      <w:pPr>
        <w:pStyle w:val="BookText"/>
        <w:rPr/>
      </w:pPr>
      <w:r>
        <w:rPr>
          <w:rFonts w:ascii="IRNazanin" w:hAnsi="IRNazanin" w:eastAsia="IRNazanin"/>
          <w:color w:val="111111"/>
          <w:sz w:val="28"/>
          <w:sz w:val="28"/>
          <w:szCs w:val="28"/>
          <w:rtl w:val="true"/>
          <w:lang w:bidi="fa-IR"/>
        </w:rPr>
        <w:t>نانوشته‌اى براى بازگو نشدن اين احاديث، كه آثار اجتماعى و سياسى عميقى در جامعه اسلامى داشت، صادر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ام‌هانى همچنين با نقل برخى از وقايع سرنوشت‌ساز آن دوره از تاريخ اسلام، توانست روايتگر گوشه‌اى از اين حوادث باشد؛ وقايعى كه بيانگر شكافى بود كه برخى، از گذشته تا به حال سعى در انكار آن داشته و دارند؛ گزارش احتجاج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درباره تصرف غاصبانه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نارضايتى حضرت از دو خليفه نخست </w:t>
      </w:r>
      <w:r>
        <w:rPr>
          <w:rStyle w:val="FootnoteAnchor"/>
          <w:rtl w:val="true"/>
        </w:rPr>
        <w:footnoteReference w:id="78"/>
      </w:r>
      <w:r>
        <w:rPr>
          <w:rFonts w:ascii="IRNazanin" w:hAnsi="IRNazanin" w:eastAsia="IRNazanin"/>
          <w:color w:val="111111"/>
          <w:sz w:val="28"/>
          <w:sz w:val="28"/>
          <w:szCs w:val="28"/>
          <w:rtl w:val="true"/>
          <w:lang w:bidi="fa-IR"/>
        </w:rPr>
        <w:t>، از جمله اين گزارش‌ها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روايات نبوى، ام‌هانى با نقل چهل و هشت حديث در موضوع‌هاى مختلف فقهى، اعتقادى و به ويژه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منابعى چون صحاح سته نيز آمده‌اند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نقش‌آفرين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يكى از منابع مهم در دسترسى به آموزه‌ها و انديشه‌هاى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وجود بردگان آزاد شده او در منابع حديثى، بيانگر بعد ديگرى از تأثيرگذارى او در تاريخ صدر اسلام مى‌باشد؛ از جمله اين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باذان و يا باذام </w:t>
      </w:r>
      <w:r>
        <w:rPr>
          <w:rStyle w:val="FootnoteAnchor"/>
          <w:rtl w:val="true"/>
        </w:rPr>
        <w:footnoteReference w:id="80"/>
      </w:r>
      <w:r>
        <w:rPr>
          <w:rFonts w:ascii="IRNazanin" w:hAnsi="IRNazanin" w:eastAsia="IRNazanin"/>
          <w:color w:val="111111"/>
          <w:sz w:val="28"/>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كتاب تفسيرى كه از ابن‌عباس شنيده بود</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عمران</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ثُوَيْر بن ابى‌فاخته، از تابعين و از اصحاب امامان سجاد، باقر و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راشد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بردگان آزاد شده، شخصيت‌ها و راويانى مانند فرزندش جَعده،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عبدالرحمن‌بن ابي‌ليلي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ابي‌رَباح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كريب مولي ابن‌عباس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 نقل روايت كرده‌اند</w:t>
      </w:r>
      <w:r>
        <w:rPr>
          <w:rFonts w:eastAsia="IRNazanin" w:cs="IRNazanin"/>
          <w:color w:val="111111"/>
          <w:sz w:val="28"/>
          <w:szCs w:val="28"/>
          <w:rtl w:val="true"/>
          <w:lang w:bidi="fa-IR"/>
        </w:rPr>
        <w:t xml:space="preserve">. </w:t>
      </w:r>
      <w:r>
        <w:rPr>
          <w:rStyle w:val="FootnoteAnchor"/>
          <w:rtl w:val="true"/>
        </w:rPr>
        <w:footnoteReference w:id="87"/>
      </w:r>
      <w:bookmarkStart w:id="34" w:name="pg1758_14489"/>
    </w:p>
    <w:p>
      <w:pPr>
        <w:pStyle w:val="Heading2"/>
        <w:numPr>
          <w:ilvl w:val="1"/>
          <w:numId w:val="1"/>
        </w:numPr>
        <w:rPr/>
      </w:pPr>
      <w:bookmarkStart w:id="35" w:name="__RefHeading___Toc2000491_3650668749"/>
      <w:bookmarkStart w:id="36" w:name="_Toc12"/>
      <w:bookmarkEnd w:id="34"/>
      <w:bookmarkEnd w:id="35"/>
      <w:r>
        <w:rPr>
          <w:rtl w:val="true"/>
        </w:rPr>
        <w:t xml:space="preserve">نقش ام هانى در دوره خلافت امام على </w:t>
      </w:r>
      <w:r>
        <w:rPr>
          <w:rtl w:val="true"/>
        </w:rPr>
        <w:t>(</w:t>
      </w:r>
      <w:r>
        <w:rPr>
          <w:rtl w:val="true"/>
        </w:rPr>
        <w:t>ع</w:t>
      </w:r>
      <w:r>
        <w:rPr>
          <w:rtl w:val="true"/>
        </w:rPr>
        <w:t>)</w:t>
      </w:r>
      <w:bookmarkEnd w:id="36"/>
    </w:p>
    <w:p>
      <w:pPr>
        <w:pStyle w:val="BookText"/>
        <w:rPr/>
      </w:pPr>
      <w:r>
        <w:rPr>
          <w:rFonts w:ascii="IRNazanin" w:hAnsi="IRNazanin" w:eastAsia="IRNazanin"/>
          <w:color w:val="111111"/>
          <w:sz w:val="28"/>
          <w:sz w:val="28"/>
          <w:szCs w:val="28"/>
          <w:rtl w:val="true"/>
          <w:lang w:bidi="fa-IR"/>
        </w:rPr>
        <w:t xml:space="preserve">ام‌هانى در دوره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دقت و اهتمام به شناسايى جريان‌ها و گروه‌ها مى‌پردازد و در مقابل برخى از آنها موضع‌گيرى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گزارشى، با تكيه بر مشاهده‌هاى خود به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و مى‌گويد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طلحه و زبير براى خروج از مدينه و انجام عمره از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گرفتند و از محضر وى خارج مى‌شدند، به يكديگر گفتند كه ما با دستانمان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كرده‌ايم، نه با قلب‌هايمان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او در جريان فتنه اهل جمل، صراحتاً موضع‌گيرى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جمل لعنت‌شدگان توسط</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نامه‌اى كه پس از جنگ جمل براى ام‌هانى نگاشته‌اند، به نتايج و ثمرات اين جنگ اشاره نموده‌اند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وجود چنين نامه‌اى، صرف‌نظر از محتواى آن، بيانگر جايگاه سياسى و اجتماعى ام‌هانى مى‌باشد؛ چرا كه در اين جريان، خليفه مسلمين در نامه‌اى اختصاصى، ام‌هانى را از نتيجه اين جنگ آگاه كرده است</w:t>
      </w:r>
      <w:r>
        <w:rPr>
          <w:rFonts w:eastAsia="IRNazanin" w:cs="IRNazanin"/>
          <w:color w:val="111111"/>
          <w:sz w:val="28"/>
          <w:szCs w:val="28"/>
          <w:rtl w:val="true"/>
          <w:lang w:bidi="fa-IR"/>
        </w:rPr>
        <w:t>.</w:t>
      </w:r>
      <w:bookmarkStart w:id="37" w:name="pg1758_14493"/>
    </w:p>
    <w:p>
      <w:pPr>
        <w:pStyle w:val="Heading2"/>
        <w:numPr>
          <w:ilvl w:val="1"/>
          <w:numId w:val="1"/>
        </w:numPr>
        <w:rPr/>
      </w:pPr>
      <w:bookmarkStart w:id="38" w:name="__RefHeading___Toc2000493_3650668749"/>
      <w:bookmarkStart w:id="39" w:name="_Toc13"/>
      <w:bookmarkEnd w:id="37"/>
      <w:bookmarkEnd w:id="38"/>
      <w:r>
        <w:rPr>
          <w:rtl w:val="true"/>
        </w:rPr>
        <w:t>وفات ام هانى‌</w:t>
      </w:r>
      <w:bookmarkEnd w:id="39"/>
    </w:p>
    <w:p>
      <w:pPr>
        <w:pStyle w:val="BookText"/>
        <w:rPr/>
      </w:pPr>
      <w:r>
        <w:rPr>
          <w:rFonts w:ascii="IRNazanin" w:hAnsi="IRNazanin" w:eastAsia="IRNazanin"/>
          <w:color w:val="111111"/>
          <w:sz w:val="28"/>
          <w:sz w:val="28"/>
          <w:szCs w:val="28"/>
          <w:rtl w:val="true"/>
          <w:lang w:bidi="fa-IR"/>
        </w:rPr>
        <w:t xml:space="preserve">ام‌هانى نه تنها مورد احترام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مسلمانان بود، بلكه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انتسابشان به او، مباهات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شما را راهنمايى نكنم به كسى كه از طرف عمو و عمه بهترين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چرا كه عموى ايشان، جعفر بن ابوطالب و عمه ايشان، ام‌هانى بنت ابوطالب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مى‌دانى كه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والدينشان، عمو و عمه‌شان همه از اهل بهشت</w:t>
      </w:r>
    </w:p>
    <w:p>
      <w:pPr>
        <w:pStyle w:val="BookText"/>
        <w:rPr/>
      </w:pP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ام‌هاني از صحابه </w:t>
      </w:r>
      <w:r>
        <w:rPr>
          <w:rStyle w:val="FootnoteAnchor"/>
          <w:rtl w:val="true"/>
        </w:rPr>
        <w:footnoteReference w:id="93"/>
      </w:r>
      <w:r>
        <w:rPr>
          <w:rFonts w:ascii="IRNazanin" w:hAnsi="IRNazanin" w:eastAsia="IRNazanin"/>
          <w:color w:val="111111"/>
          <w:sz w:val="28"/>
          <w:sz w:val="28"/>
          <w:szCs w:val="28"/>
          <w:rtl w:val="true"/>
          <w:lang w:bidi="fa-IR"/>
        </w:rPr>
        <w:t xml:space="preserve">، بيعت‌كنندگان </w:t>
      </w:r>
      <w:r>
        <w:rPr>
          <w:rStyle w:val="FootnoteAnchor"/>
          <w:rtl w:val="true"/>
        </w:rPr>
        <w:footnoteReference w:id="94"/>
      </w:r>
      <w:r>
        <w:rPr>
          <w:rFonts w:ascii="IRNazanin" w:hAnsi="IRNazanin" w:eastAsia="IRNazanin"/>
          <w:color w:val="111111"/>
          <w:sz w:val="28"/>
          <w:sz w:val="28"/>
          <w:szCs w:val="28"/>
          <w:rtl w:val="true"/>
          <w:lang w:bidi="fa-IR"/>
        </w:rPr>
        <w:t>و راويان مورد اعتماد شيعه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چنان شهرتى در تاريخ مكه برخوردار بود كه يكى از درب‌هاى مسجدالحرام به نام وى شهرت يافته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w:t>
      </w:r>
      <w:r>
        <w:rPr>
          <w:rStyle w:val="FootnoteAnchor"/>
          <w:rtl w:val="true"/>
        </w:rPr>
        <w:footnoteReference w:id="95"/>
      </w:r>
      <w:r>
        <w:rPr>
          <w:rFonts w:ascii="IRNazanin" w:hAnsi="IRNazanin" w:eastAsia="IRNazanin"/>
          <w:color w:val="111111"/>
          <w:sz w:val="28"/>
          <w:sz w:val="28"/>
          <w:szCs w:val="28"/>
          <w:rtl w:val="true"/>
          <w:lang w:bidi="fa-IR"/>
        </w:rPr>
        <w:t xml:space="preserve">و خانه او سكونت‌گاه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و برخى ديگر از صحابه، همچون عبدالله بن عباس </w:t>
      </w:r>
      <w:r>
        <w:rPr>
          <w:rStyle w:val="FootnoteAnchor"/>
          <w:rtl w:val="true"/>
        </w:rPr>
        <w:footnoteReference w:id="97"/>
      </w:r>
      <w:r>
        <w:rPr>
          <w:rFonts w:ascii="Amiri" w:hAnsi="Amiri" w:eastAsia="Amiri" w:cs="Amiri"/>
          <w:color w:val="111111"/>
          <w:sz w:val="28"/>
          <w:sz w:val="28"/>
          <w:szCs w:val="28"/>
          <w:rtl w:val="true"/>
          <w:lang w:bidi="ar-SA"/>
        </w:rPr>
        <w:t>در سفرهايشان به مكه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برخلاف گفته برخى از منابع، كه وفات ام‌هانى را چند روز 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98"/>
      </w:r>
      <w:r>
        <w:rPr>
          <w:rFonts w:ascii="IRNazanin" w:hAnsi="IRNazanin" w:eastAsia="IRNazanin"/>
          <w:color w:val="111111"/>
          <w:sz w:val="28"/>
          <w:sz w:val="28"/>
          <w:szCs w:val="28"/>
          <w:rtl w:val="true"/>
          <w:lang w:bidi="fa-IR"/>
        </w:rPr>
        <w:t xml:space="preserve">، دسته‌اى ديگر از منابع، با تكيه بر گزارشى، بر حيات وى 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گزارش، زنان بنى‌هاشم با اطلاع از تصميم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خروج از مدينه، ام‌هانى را مطلع ساخته‌اند و او با چشمانى اشك‌بار،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اشعارى از ابوطالب بدرقه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وَأبيضُ يُستسقَي الْغَمامُ بِوَجهِه ثِمالُ الْيتامَي عِصْمةٌ لِلأرامِلِ</w:t>
      </w:r>
    </w:p>
    <w:p>
      <w:pPr>
        <w:pStyle w:val="BookText"/>
        <w:rPr/>
      </w:pPr>
      <w:r>
        <w:rPr>
          <w:rFonts w:ascii="Amiri" w:hAnsi="Amiri" w:eastAsia="Amiri" w:cs="Amiri"/>
          <w:color w:val="111111"/>
          <w:sz w:val="28"/>
          <w:sz w:val="28"/>
          <w:szCs w:val="28"/>
          <w:rtl w:val="true"/>
          <w:lang w:bidi="ar-SA"/>
        </w:rPr>
        <w:t xml:space="preserve">تَطوفُ به الهُلّاكُ مِن آلِ هاشِمٍ فَهم عِندَه فِي نِعمةٍ وَفَواضِلِ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وى پس از اينكه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به صبر و پذيرش تقدير خداوند كرد، خود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امُ‌هاني وَحدَها ساءَ حالُها خروجِ الْحسينِ عَن مدينةِ جَدِّه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لكنَّمَا الْقبرُ الشَّريفُ وَ مَن بِه وَمنبرِه يَبْكُون مِنْ اجلِ فَقْدِه </w:t>
      </w:r>
      <w:r>
        <w:rPr>
          <w:rStyle w:val="FootnoteAnchor"/>
          <w:rtl w:val="true"/>
        </w:rPr>
        <w:footnoteReference w:id="100"/>
      </w:r>
      <w:bookmarkStart w:id="40" w:name="pg1758_14498"/>
    </w:p>
    <w:p>
      <w:pPr>
        <w:pStyle w:val="Heading2"/>
        <w:numPr>
          <w:ilvl w:val="1"/>
          <w:numId w:val="1"/>
        </w:numPr>
        <w:rPr/>
      </w:pPr>
      <w:bookmarkStart w:id="41" w:name="__RefHeading___Toc2000495_3650668749"/>
      <w:bookmarkStart w:id="42" w:name="_Toc14"/>
      <w:bookmarkEnd w:id="40"/>
      <w:bookmarkEnd w:id="41"/>
      <w:r>
        <w:rPr>
          <w:rtl w:val="true"/>
        </w:rPr>
        <w:t>كتابنامه‌</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على بن ابى‌الكرم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دارالكتب العربية،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 الطوال، احمد بن داود الدينوري،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قم، 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ابوعمر يوسف بن احمد بن عبد البر النمري،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البجاوي، بيروت، دارالجيل، اول،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الاصابة، احمد بن على بن حجر 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عبدالموجود و على محمد معوض، بيروت، دارالكتب العلمية، اول،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البعثة، اول،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الايضاح، فضل بن شاذان،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حسينى الارموي، تهران، دانشگاه،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محمد بن حسن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حبيب قصير العاملى، بيروت، دارالاحياء التراث العربى، اول،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الداوري،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الدرالمنثور، جلال الدين سيوطى، بيروت، دارالمعرفة،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الدلائل النبوة، بيهقى،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عبدالمعطى قلعجى، بيروت، دارالكتب العلمية، اول،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الكبري، احمد بن حسين بيهقى، بيروت، دارالفكر،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اسماعيل بن كثير، بيروت، دارالمعرفة،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عبدالملك بن هشام الحميري،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محى الدين عبدالحميد، قاهرة، مكتبة محمد على صبيح،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الكبري، محمد بن سعد،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بيروت، دار الكتب العلمية، اول،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سيد ابن طاووس، قم، خيام، اول،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الغدير، عبدالحسين امينى، بيروت، دارالكتب العربية، چهارم،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محمد بن يعقوب كلينى،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تهران، دارالكتب الاسلامية، سوم،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على بن عبدالواحد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احمد بن خالد برقى،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سيدجلال الدين حسينى، تهران، دارالكتب الاسلامية، اول،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المحبر، محمد بن حبيب،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ايليزه ليختن شتيتر، بيروت، دارالآفاق الجديدة،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حاكم نيشابورى،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ابن ابى شيبة كوفى،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اللحام، بيروت، دارالفكر، اول،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عبدالله بن مسلم بن قتيبة،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ثروَة عكاشة، قاهرة، الهيئة المصرية، دوم،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سليمان بن احمد الطبرانى،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عبدالحميد السلفى، بيروت، دارالاحياء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الموفق الخوارزمى،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قم، مؤسسة النشر الاسلامى، دوم،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محمدحسين طباطبايى، قم، مؤسسة النشر الاسلامى،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امتاع الاسماع، احمد بن محمد مقريزي،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النميسى، بيروت، دارالكتب العلمية، 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انساب الاشراف، احمد بن يحيى بلاذري،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بيروت، دارالفكر، اول،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محمدباقر مجلسى، بيروت، الوفاء، دوم،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سبط بن جوزي، قم، انتشارات رضى،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 شمس الدين محمد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عبدالسلام تدمري، بيروت، دارالكتب العربية، دوم،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محمد بن جرير طبرى،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ابوالفضل ابراهيم، بيروت، دارالتراث، دوم،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يعقوبى، احمد بن واضح يعقوبى، بيروت، دار 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عبدالرزاق الصنعانى،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مسلم محمد، عربستان، الرشد، اول،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مقاتل بن سليمان، مقاتل بن سليمان،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فريد، بيروت، دارالكتب العلمية، اول،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ثعلبي، ثعلبى،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ابى‌محمد بن عاشور، بيروت، دارالاحياء التراث العربى، اول،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جوامع الجامع، فضل بن حسن طبرسى، قم، موسسة النشر الاسلامى، اول،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الابرار، سيد هاشم بحرانى،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مولانا البروجردي، قم، المعارف الاسلامية، اول،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عبقات الانوار، سيدحامد النقوي، تهران، البعثة،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بيهقى،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عبدالمعطى قلعجى، بيروت، دارالكتب العلمية، اول،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محمد بن حسن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قم، موسسة النشر الاسلامى، اول،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 الاخبار، گرديزى،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عبدالحى حبيبى، تهران، دنياى كتاب،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ابى‌داود، ابن الاشعث سجستانى،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بيروت، دارالفكر، اول،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اعلام النبلاء، شمس الدين محمد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الارنؤوط، بيروت، مؤسسة الرسالة، نهم،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الاخبار، قاضى نعمان،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سيدمحمد حسين جلالى، قم، موسسة النشر الاسلامى، دوم،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مسلم، النووي، بيروت، دارالكتب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ابى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بيروت، اول، دار احياء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النبى، خرگوشى،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روشن، تهران، بابك،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ابن ابى الفتح اربلى، بيروت، دارالاضواء، دوم،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الاثر، خزاز 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عبداللطيف الحسينى، قم،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كنزالفوائد، ابوالفتح كراجكى، قم، مكتبه مصطفوى، دوم،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احمد بن يحيى بلاذرى، قاهرة، مكتبة النهضة المصرية،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مستدركات علم رجال الحديث، على نمازى، تهران، حيدرى،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داود بن سليمان الغازي،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حسينى جلالى، مكتب الاعلام الاسلامى، اول،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حموى، بيروت، دارصادر، دوم،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الحديث، ابوالقاسم خوئى، بى‌جا، پنجم،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مغازى، محمد بن عمر واقدى،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مارسدنس جونس، بيروت، موسسة الاعلمى، سوم،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ابى طالب، ابن شهر آشوب، نجف، مكتبة 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كلمات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جمعى از محققان، بى‌جا، دارالمعروف، سوم،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الارب فى فنون الادب، شهاب الدين النويري، قاهرة، دارالكتب والوثائق القومية، اول،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الصفين، نصر بن مزاحم، قاهرة، مؤسسة العربية الحديثة، دوم،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ابن اثير،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محمد 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كلينى،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انساب الاشرف،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اربلى،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الامالى، شيخ صدوق،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ابن حبيب،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الصفين، نصر بن مزاحم،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دينورى،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الاخبار، گرديزى،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معجم البلدان، ياقوت حموى،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طبرسى،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الدرالمنثور، جلال الدين سيوطى،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قاضى نعمان،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الطبقات الكبري،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الطبقات الكبري،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حاكم نيشابورى،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التبيان، طوسى،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محمدحسين طباطبايى،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مناقب آل ابى‌طالب،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بيهقى،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ابوالفتح كراجكى،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بحرانى،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ابى‌شيبه كوفى،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سنن ابى‌داود، ابن اشعث سجستانى،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المحبر،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تاريخ طبرى، طبرى،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خويى،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نهاية الارب فى فنون الادب، شهاب الدين نويرى،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بن الجوزى،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ع، داود بن سليمان،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خلاصة عبقات الانوار، سيد حامد النقوى،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سيد ابن طاووس،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الغدير، علامه امينى،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فتوح البلدان، بلاذرى،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قتيبه،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تفسير القرآن، الصنعانى،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على نمازى شاهرودى،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النووى،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احمد بن خالد برقى،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رجال،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شيخ مفيد،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الايضاح،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كفاية الاثر، خزاز قمى،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النبى، خرگوشى،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المناقب، خوارزمى،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النبى،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مقريزي،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 جمعى از محققان،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 جمعى از محققان،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5763</Words>
  <Characters>23659</Characters>
  <CharactersWithSpaces>29158</CharactersWithSpaces>
  <Paragraphs>381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2026-08-16T18:24:02Z</dcterms:created>
  <dc:creator>ghaemiyeh.com</dc:creator>
  <dc:description/>
  <dc:language>en-US</dc:language>
  <cp:lastModifiedBy/>
  <dcterms:modified xsi:type="dcterms:W3CDTF">2026-08-16T21:54:35Z</dcterms:modified>
  <cp:revision>1</cp:revision>
  <dc:subject/>
  <dc:title>ام هانی خواهر گرامی امیر مومنان علیه السلام</dc:title>
</cp:coreProperties>
</file>

<file path=docProps/custom.xml><?xml version="1.0" encoding="utf-8"?>
<Properties xmlns="http://schemas.openxmlformats.org/officeDocument/2006/custom-properties" xmlns:vt="http://schemas.openxmlformats.org/officeDocument/2006/docPropsVTypes"/>
</file>