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9.xml" ContentType="application/vnd.openxmlformats-officedocument.wordprocessingml.footer+xml"/>
  <Override PartName="/word/footer7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غلو حقیقت و اقسام 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0186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610188_3650668749">
            <w:r>
              <w:rPr>
                <w:webHidden/>
                <w:rStyle w:val="IndexLink"/>
                <w:rtl w:val="true"/>
              </w:rPr>
              <w:t>ديباچه</w:t>
            </w:r>
            <w:r>
              <w:rPr>
                <w:rStyle w:val="IndexLink"/>
                <w:rtl w:val="true"/>
              </w:rPr>
              <w:tab/>
            </w:r>
            <w:r>
              <w:rPr>
                <w:rStyle w:val="IndexLink"/>
              </w:rPr>
              <w:t>4</w:t>
            </w:r>
          </w:hyperlink>
        </w:p>
        <w:p>
          <w:pPr>
            <w:pStyle w:val="Contents2"/>
            <w:tabs>
              <w:tab w:val="clear" w:pos="8743"/>
              <w:tab w:val="right" w:pos="9026" w:leader="dot"/>
            </w:tabs>
            <w:rPr/>
          </w:pPr>
          <w:hyperlink w:anchor="__RefHeading___Toc610190_3650668749">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610192_3650668749">
            <w:r>
              <w:rPr>
                <w:webHidden/>
                <w:rStyle w:val="IndexLink"/>
                <w:rtl w:val="true"/>
              </w:rPr>
              <w:t>غلو در لغت و كاربرد شرعى</w:t>
            </w:r>
            <w:r>
              <w:rPr>
                <w:rStyle w:val="IndexLink"/>
                <w:rtl w:val="true"/>
              </w:rPr>
              <w:tab/>
            </w:r>
            <w:r>
              <w:rPr>
                <w:rStyle w:val="IndexLink"/>
              </w:rPr>
              <w:t>14</w:t>
            </w:r>
          </w:hyperlink>
        </w:p>
        <w:p>
          <w:pPr>
            <w:pStyle w:val="Contents3"/>
            <w:tabs>
              <w:tab w:val="clear" w:pos="8459"/>
              <w:tab w:val="right" w:pos="9026" w:leader="dot"/>
            </w:tabs>
            <w:rPr/>
          </w:pPr>
          <w:hyperlink w:anchor="__RefHeading___Toc610194_3650668749">
            <w:r>
              <w:rPr>
                <w:webHidden/>
                <w:rStyle w:val="IndexLink"/>
                <w:rtl w:val="true"/>
              </w:rPr>
              <w:t>غلو در لغت</w:t>
            </w:r>
            <w:r>
              <w:rPr>
                <w:rStyle w:val="IndexLink"/>
                <w:rtl w:val="true"/>
              </w:rPr>
              <w:tab/>
            </w:r>
            <w:r>
              <w:rPr>
                <w:rStyle w:val="IndexLink"/>
              </w:rPr>
              <w:t>14</w:t>
            </w:r>
          </w:hyperlink>
        </w:p>
        <w:p>
          <w:pPr>
            <w:pStyle w:val="Contents3"/>
            <w:tabs>
              <w:tab w:val="clear" w:pos="8459"/>
              <w:tab w:val="right" w:pos="9026" w:leader="dot"/>
            </w:tabs>
            <w:rPr/>
          </w:pPr>
          <w:hyperlink w:anchor="__RefHeading___Toc610196_3650668749">
            <w:r>
              <w:rPr>
                <w:webHidden/>
                <w:rStyle w:val="IndexLink"/>
                <w:rtl w:val="true"/>
              </w:rPr>
              <w:t>غلو در قرآن</w:t>
            </w:r>
            <w:r>
              <w:rPr>
                <w:rStyle w:val="IndexLink"/>
                <w:rtl w:val="true"/>
              </w:rPr>
              <w:tab/>
            </w:r>
            <w:r>
              <w:rPr>
                <w:rStyle w:val="IndexLink"/>
              </w:rPr>
              <w:t>15</w:t>
            </w:r>
          </w:hyperlink>
        </w:p>
        <w:p>
          <w:pPr>
            <w:pStyle w:val="Contents3"/>
            <w:tabs>
              <w:tab w:val="clear" w:pos="8459"/>
              <w:tab w:val="right" w:pos="9026" w:leader="dot"/>
            </w:tabs>
            <w:rPr/>
          </w:pPr>
          <w:hyperlink w:anchor="__RefHeading___Toc610198_3650668749">
            <w:r>
              <w:rPr>
                <w:webHidden/>
                <w:rStyle w:val="IndexLink"/>
                <w:rtl w:val="true"/>
              </w:rPr>
              <w:t xml:space="preserve">غلو در احاديث اهل‌بيت </w:t>
            </w:r>
            <w:r>
              <w:rPr>
                <w:rStyle w:val="IndexLink"/>
                <w:rtl w:val="true"/>
              </w:rPr>
              <w:t>(</w:t>
            </w:r>
            <w:r>
              <w:rPr>
                <w:rStyle w:val="IndexLink"/>
                <w:rtl w:val="true"/>
              </w:rPr>
              <w:t>عليهم السلام</w:t>
            </w:r>
            <w:r>
              <w:rPr>
                <w:rStyle w:val="IndexLink"/>
                <w:rtl w:val="true"/>
              </w:rPr>
              <w:t>)</w:t>
              <w:tab/>
            </w:r>
            <w:r>
              <w:rPr>
                <w:rStyle w:val="IndexLink"/>
              </w:rPr>
              <w:t>18</w:t>
            </w:r>
          </w:hyperlink>
        </w:p>
        <w:p>
          <w:pPr>
            <w:pStyle w:val="Contents3"/>
            <w:tabs>
              <w:tab w:val="clear" w:pos="8459"/>
              <w:tab w:val="right" w:pos="9026" w:leader="dot"/>
            </w:tabs>
            <w:rPr/>
          </w:pPr>
          <w:hyperlink w:anchor="__RefHeading___Toc610200_3650668749">
            <w:r>
              <w:rPr>
                <w:webHidden/>
                <w:rStyle w:val="IndexLink"/>
                <w:rtl w:val="true"/>
              </w:rPr>
              <w:t>غلو در سخنان علماى برجسته اسلام</w:t>
            </w:r>
            <w:r>
              <w:rPr>
                <w:rStyle w:val="IndexLink"/>
                <w:rtl w:val="true"/>
              </w:rPr>
              <w:tab/>
            </w:r>
            <w:r>
              <w:rPr>
                <w:rStyle w:val="IndexLink"/>
              </w:rPr>
              <w:t>21</w:t>
            </w:r>
          </w:hyperlink>
        </w:p>
        <w:p>
          <w:pPr>
            <w:pStyle w:val="Contents2"/>
            <w:tabs>
              <w:tab w:val="clear" w:pos="8743"/>
              <w:tab w:val="right" w:pos="9026" w:leader="dot"/>
            </w:tabs>
            <w:rPr/>
          </w:pPr>
          <w:hyperlink w:anchor="__RefHeading___Toc610202_3650668749">
            <w:r>
              <w:rPr>
                <w:webHidden/>
                <w:rStyle w:val="IndexLink"/>
                <w:rtl w:val="true"/>
              </w:rPr>
              <w:t>پيدايش و پيشينه‌غلو</w:t>
            </w:r>
            <w:r>
              <w:rPr>
                <w:rStyle w:val="IndexLink"/>
                <w:rtl w:val="true"/>
              </w:rPr>
              <w:tab/>
            </w:r>
            <w:r>
              <w:rPr>
                <w:rStyle w:val="IndexLink"/>
              </w:rPr>
              <w:t>24</w:t>
            </w:r>
          </w:hyperlink>
        </w:p>
        <w:p>
          <w:pPr>
            <w:pStyle w:val="Contents3"/>
            <w:tabs>
              <w:tab w:val="clear" w:pos="8459"/>
              <w:tab w:val="right" w:pos="9026" w:leader="dot"/>
            </w:tabs>
            <w:rPr/>
          </w:pPr>
          <w:hyperlink w:anchor="__RefHeading___Toc610204_3650668749">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610206_3650668749">
            <w:r>
              <w:rPr>
                <w:webHidden/>
                <w:rStyle w:val="IndexLink"/>
                <w:rtl w:val="true"/>
              </w:rPr>
              <w:t>نخستين منشأ</w:t>
            </w:r>
            <w:r>
              <w:rPr>
                <w:rStyle w:val="IndexLink"/>
                <w:rtl w:val="true"/>
              </w:rPr>
              <w:t xml:space="preserve">: </w:t>
            </w:r>
            <w:r>
              <w:rPr>
                <w:rStyle w:val="IndexLink"/>
                <w:rtl w:val="true"/>
              </w:rPr>
              <w:t>اهداف سياسى</w:t>
            </w:r>
            <w:r>
              <w:rPr>
                <w:rStyle w:val="IndexLink"/>
                <w:rtl w:val="true"/>
              </w:rPr>
              <w:tab/>
            </w:r>
            <w:r>
              <w:rPr>
                <w:rStyle w:val="IndexLink"/>
              </w:rPr>
              <w:t>24</w:t>
            </w:r>
          </w:hyperlink>
        </w:p>
        <w:p>
          <w:pPr>
            <w:pStyle w:val="Contents3"/>
            <w:tabs>
              <w:tab w:val="clear" w:pos="8459"/>
              <w:tab w:val="right" w:pos="9026" w:leader="dot"/>
            </w:tabs>
            <w:rPr/>
          </w:pPr>
          <w:hyperlink w:anchor="__RefHeading___Toc610208_3650668749">
            <w:r>
              <w:rPr>
                <w:webHidden/>
                <w:rStyle w:val="IndexLink"/>
                <w:rtl w:val="true"/>
              </w:rPr>
              <w:t>دومين منشأ</w:t>
            </w:r>
            <w:r>
              <w:rPr>
                <w:rStyle w:val="IndexLink"/>
                <w:rtl w:val="true"/>
              </w:rPr>
              <w:t xml:space="preserve">: </w:t>
            </w:r>
            <w:r>
              <w:rPr>
                <w:rStyle w:val="IndexLink"/>
                <w:rtl w:val="true"/>
              </w:rPr>
              <w:t>آزمندى‌هاى شخصى</w:t>
            </w:r>
            <w:r>
              <w:rPr>
                <w:rStyle w:val="IndexLink"/>
                <w:rtl w:val="true"/>
              </w:rPr>
              <w:tab/>
            </w:r>
            <w:r>
              <w:rPr>
                <w:rStyle w:val="IndexLink"/>
              </w:rPr>
              <w:t>26</w:t>
            </w:r>
          </w:hyperlink>
        </w:p>
        <w:p>
          <w:pPr>
            <w:pStyle w:val="Contents3"/>
            <w:tabs>
              <w:tab w:val="clear" w:pos="8459"/>
              <w:tab w:val="right" w:pos="9026" w:leader="dot"/>
            </w:tabs>
            <w:rPr/>
          </w:pPr>
          <w:hyperlink w:anchor="__RefHeading___Toc610210_3650668749">
            <w:r>
              <w:rPr>
                <w:webHidden/>
                <w:rStyle w:val="IndexLink"/>
                <w:rtl w:val="true"/>
              </w:rPr>
              <w:t>سومين منشأ</w:t>
            </w:r>
            <w:r>
              <w:rPr>
                <w:rStyle w:val="IndexLink"/>
                <w:rtl w:val="true"/>
              </w:rPr>
              <w:t xml:space="preserve">: </w:t>
            </w:r>
            <w:r>
              <w:rPr>
                <w:rStyle w:val="IndexLink"/>
                <w:rtl w:val="true"/>
              </w:rPr>
              <w:t>عقب‌ماندگى فكرى</w:t>
            </w:r>
            <w:r>
              <w:rPr>
                <w:rStyle w:val="IndexLink"/>
                <w:rtl w:val="true"/>
              </w:rPr>
              <w:tab/>
            </w:r>
            <w:r>
              <w:rPr>
                <w:rStyle w:val="IndexLink"/>
              </w:rPr>
              <w:t>27</w:t>
            </w:r>
          </w:hyperlink>
        </w:p>
        <w:p>
          <w:pPr>
            <w:pStyle w:val="Contents2"/>
            <w:tabs>
              <w:tab w:val="clear" w:pos="8743"/>
              <w:tab w:val="right" w:pos="9026" w:leader="dot"/>
            </w:tabs>
            <w:rPr/>
          </w:pPr>
          <w:hyperlink w:anchor="__RefHeading___Toc610212_3650668749">
            <w:r>
              <w:rPr>
                <w:webHidden/>
                <w:rStyle w:val="IndexLink"/>
                <w:rtl w:val="true"/>
              </w:rPr>
              <w:t>سخن غاليان درباره اهل‌بيت</w:t>
            </w:r>
            <w:r>
              <w:rPr>
                <w:rStyle w:val="IndexLink"/>
                <w:rtl w:val="true"/>
              </w:rPr>
              <w:t>:</w:t>
              <w:tab/>
            </w:r>
            <w:r>
              <w:rPr>
                <w:rStyle w:val="IndexLink"/>
              </w:rPr>
              <w:t>30</w:t>
            </w:r>
          </w:hyperlink>
        </w:p>
        <w:p>
          <w:pPr>
            <w:pStyle w:val="Contents3"/>
            <w:tabs>
              <w:tab w:val="clear" w:pos="8459"/>
              <w:tab w:val="right" w:pos="9026" w:leader="dot"/>
            </w:tabs>
            <w:rPr/>
          </w:pPr>
          <w:hyperlink w:anchor="__RefHeading___Toc610214_3650668749">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610216_3650668749">
            <w:r>
              <w:rPr>
                <w:webHidden/>
                <w:rStyle w:val="IndexLink"/>
                <w:rtl w:val="true"/>
              </w:rPr>
              <w:t>گفتار نخست</w:t>
            </w:r>
            <w:r>
              <w:rPr>
                <w:rStyle w:val="IndexLink"/>
                <w:rtl w:val="true"/>
              </w:rPr>
              <w:t xml:space="preserve">: </w:t>
            </w:r>
            <w:r>
              <w:rPr>
                <w:rStyle w:val="IndexLink"/>
                <w:rtl w:val="true"/>
              </w:rPr>
              <w:t>ادعاى خدايى براى پيامبر و امام</w:t>
            </w:r>
            <w:r>
              <w:rPr>
                <w:rStyle w:val="IndexLink"/>
                <w:rtl w:val="true"/>
              </w:rPr>
              <w:tab/>
            </w:r>
            <w:r>
              <w:rPr>
                <w:rStyle w:val="IndexLink"/>
              </w:rPr>
              <w:t>30</w:t>
            </w:r>
          </w:hyperlink>
        </w:p>
        <w:p>
          <w:pPr>
            <w:pStyle w:val="Contents3"/>
            <w:tabs>
              <w:tab w:val="clear" w:pos="8459"/>
              <w:tab w:val="right" w:pos="9026" w:leader="dot"/>
            </w:tabs>
            <w:rPr/>
          </w:pPr>
          <w:hyperlink w:anchor="__RefHeading___Toc610218_3650668749">
            <w:r>
              <w:rPr>
                <w:webHidden/>
                <w:rStyle w:val="IndexLink"/>
                <w:rtl w:val="true"/>
              </w:rPr>
              <w:t>گفتار دوم</w:t>
            </w:r>
            <w:r>
              <w:rPr>
                <w:rStyle w:val="IndexLink"/>
                <w:rtl w:val="true"/>
              </w:rPr>
              <w:t xml:space="preserve">: </w:t>
            </w:r>
            <w:r>
              <w:rPr>
                <w:rStyle w:val="IndexLink"/>
                <w:rtl w:val="true"/>
              </w:rPr>
              <w:t>ادعاى نبوت براى امامان</w:t>
            </w:r>
            <w:r>
              <w:rPr>
                <w:rStyle w:val="IndexLink"/>
                <w:rtl w:val="true"/>
              </w:rPr>
              <w:tab/>
            </w:r>
            <w:r>
              <w:rPr>
                <w:rStyle w:val="IndexLink"/>
              </w:rPr>
              <w:t>38</w:t>
            </w:r>
          </w:hyperlink>
        </w:p>
        <w:p>
          <w:pPr>
            <w:pStyle w:val="Contents3"/>
            <w:tabs>
              <w:tab w:val="clear" w:pos="8459"/>
              <w:tab w:val="right" w:pos="9026" w:leader="dot"/>
            </w:tabs>
            <w:rPr/>
          </w:pPr>
          <w:hyperlink w:anchor="__RefHeading___Toc610220_3650668749">
            <w:r>
              <w:rPr>
                <w:webHidden/>
                <w:rStyle w:val="IndexLink"/>
                <w:rtl w:val="true"/>
              </w:rPr>
              <w:t>گفتار سوم</w:t>
            </w:r>
            <w:r>
              <w:rPr>
                <w:rStyle w:val="IndexLink"/>
                <w:rtl w:val="true"/>
              </w:rPr>
              <w:t xml:space="preserve">: </w:t>
            </w:r>
            <w:r>
              <w:rPr>
                <w:rStyle w:val="IndexLink"/>
                <w:rtl w:val="true"/>
              </w:rPr>
              <w:t xml:space="preserve">ادعاى علم غيب براى اهل‌بيت </w:t>
            </w:r>
            <w:r>
              <w:rPr>
                <w:rStyle w:val="IndexLink"/>
                <w:rtl w:val="true"/>
              </w:rPr>
              <w:t>(</w:t>
            </w:r>
            <w:r>
              <w:rPr>
                <w:rStyle w:val="IndexLink"/>
                <w:rtl w:val="true"/>
              </w:rPr>
              <w:t>عليهم السلام</w:t>
            </w:r>
            <w:r>
              <w:rPr>
                <w:rStyle w:val="IndexLink"/>
                <w:rtl w:val="true"/>
              </w:rPr>
              <w:t xml:space="preserve">) </w:t>
            </w:r>
            <w:r>
              <w:rPr>
                <w:rStyle w:val="IndexLink"/>
                <w:rtl w:val="true"/>
              </w:rPr>
              <w:t>بدون الهام و تعليم الهى</w:t>
            </w:r>
            <w:r>
              <w:rPr>
                <w:rStyle w:val="IndexLink"/>
                <w:rtl w:val="true"/>
              </w:rPr>
              <w:tab/>
            </w:r>
            <w:r>
              <w:rPr>
                <w:rStyle w:val="IndexLink"/>
              </w:rPr>
              <w:t>40</w:t>
            </w:r>
          </w:hyperlink>
        </w:p>
        <w:p>
          <w:pPr>
            <w:pStyle w:val="Contents3"/>
            <w:tabs>
              <w:tab w:val="clear" w:pos="8459"/>
              <w:tab w:val="right" w:pos="9026" w:leader="dot"/>
            </w:tabs>
            <w:rPr/>
          </w:pPr>
          <w:hyperlink w:anchor="__RefHeading___Toc610222_3650668749">
            <w:r>
              <w:rPr>
                <w:webHidden/>
                <w:rStyle w:val="IndexLink"/>
                <w:rtl w:val="true"/>
              </w:rPr>
              <w:t>گفتار چهارم</w:t>
            </w:r>
            <w:r>
              <w:rPr>
                <w:rStyle w:val="IndexLink"/>
                <w:rtl w:val="true"/>
              </w:rPr>
              <w:t xml:space="preserve">: </w:t>
            </w:r>
            <w:r>
              <w:rPr>
                <w:rStyle w:val="IndexLink"/>
                <w:rtl w:val="true"/>
              </w:rPr>
              <w:t>اعتقاد به تناسخ ارواح امامان</w:t>
            </w:r>
            <w:r>
              <w:rPr>
                <w:rStyle w:val="IndexLink"/>
                <w:rtl w:val="true"/>
              </w:rPr>
              <w:tab/>
            </w:r>
            <w:r>
              <w:rPr>
                <w:rStyle w:val="IndexLink"/>
              </w:rPr>
              <w:t>43</w:t>
            </w:r>
          </w:hyperlink>
        </w:p>
        <w:p>
          <w:pPr>
            <w:pStyle w:val="Contents3"/>
            <w:tabs>
              <w:tab w:val="clear" w:pos="8459"/>
              <w:tab w:val="right" w:pos="9026" w:leader="dot"/>
            </w:tabs>
            <w:rPr/>
          </w:pPr>
          <w:hyperlink w:anchor="__RefHeading___Toc610224_3650668749">
            <w:r>
              <w:rPr>
                <w:webHidden/>
                <w:rStyle w:val="IndexLink"/>
                <w:rtl w:val="true"/>
              </w:rPr>
              <w:t>گفتار پنجم</w:t>
            </w:r>
            <w:r>
              <w:rPr>
                <w:rStyle w:val="IndexLink"/>
                <w:rtl w:val="true"/>
              </w:rPr>
              <w:t xml:space="preserve">: </w:t>
            </w:r>
            <w:r>
              <w:rPr>
                <w:rStyle w:val="IndexLink"/>
                <w:rtl w:val="true"/>
              </w:rPr>
              <w:t>ادعاى تفويض استقلالى</w:t>
            </w:r>
            <w:r>
              <w:rPr>
                <w:rStyle w:val="IndexLink"/>
                <w:rtl w:val="true"/>
              </w:rPr>
              <w:tab/>
            </w:r>
            <w:r>
              <w:rPr>
                <w:rStyle w:val="IndexLink"/>
              </w:rPr>
              <w:t>45</w:t>
            </w:r>
          </w:hyperlink>
        </w:p>
        <w:p>
          <w:pPr>
            <w:pStyle w:val="Contents3"/>
            <w:tabs>
              <w:tab w:val="clear" w:pos="8459"/>
              <w:tab w:val="right" w:pos="9026" w:leader="dot"/>
            </w:tabs>
            <w:rPr/>
          </w:pPr>
          <w:hyperlink w:anchor="__RefHeading___Toc610226_3650668749">
            <w:r>
              <w:rPr>
                <w:webHidden/>
                <w:rStyle w:val="IndexLink"/>
                <w:rtl w:val="true"/>
              </w:rPr>
              <w:t>تفويض در جهان تكوين</w:t>
            </w:r>
            <w:r>
              <w:rPr>
                <w:rStyle w:val="IndexLink"/>
                <w:rtl w:val="true"/>
              </w:rPr>
              <w:tab/>
            </w:r>
            <w:r>
              <w:rPr>
                <w:rStyle w:val="IndexLink"/>
              </w:rPr>
              <w:t>46</w:t>
            </w:r>
          </w:hyperlink>
        </w:p>
        <w:p>
          <w:pPr>
            <w:pStyle w:val="Contents4"/>
            <w:tabs>
              <w:tab w:val="clear" w:pos="8176"/>
              <w:tab w:val="right" w:pos="9026" w:leader="dot"/>
            </w:tabs>
            <w:rPr/>
          </w:pPr>
          <w:hyperlink w:anchor="__RefHeading___Toc610228_3650668749">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610230_3650668749">
            <w:r>
              <w:rPr>
                <w:webHidden/>
                <w:rStyle w:val="IndexLink"/>
              </w:rPr>
              <w:t>١</w:t>
            </w:r>
            <w:r>
              <w:rPr>
                <w:rStyle w:val="IndexLink"/>
                <w:rtl w:val="true"/>
              </w:rPr>
              <w:t xml:space="preserve">. </w:t>
            </w:r>
            <w:r>
              <w:rPr>
                <w:rStyle w:val="IndexLink"/>
                <w:rtl w:val="true"/>
              </w:rPr>
              <w:t>تفويض استقلالى</w:t>
            </w:r>
            <w:r>
              <w:rPr>
                <w:rStyle w:val="IndexLink"/>
                <w:rtl w:val="true"/>
              </w:rPr>
              <w:tab/>
            </w:r>
            <w:r>
              <w:rPr>
                <w:rStyle w:val="IndexLink"/>
              </w:rPr>
              <w:t>46</w:t>
            </w:r>
          </w:hyperlink>
        </w:p>
        <w:p>
          <w:pPr>
            <w:pStyle w:val="Contents4"/>
            <w:tabs>
              <w:tab w:val="clear" w:pos="8176"/>
              <w:tab w:val="right" w:pos="9026" w:leader="dot"/>
            </w:tabs>
            <w:rPr/>
          </w:pPr>
          <w:hyperlink w:anchor="__RefHeading___Toc610232_3650668749">
            <w:r>
              <w:rPr>
                <w:webHidden/>
                <w:rStyle w:val="IndexLink"/>
              </w:rPr>
              <w:t>٢</w:t>
            </w:r>
            <w:r>
              <w:rPr>
                <w:rStyle w:val="IndexLink"/>
                <w:rtl w:val="true"/>
              </w:rPr>
              <w:t xml:space="preserve">. </w:t>
            </w:r>
            <w:r>
              <w:rPr>
                <w:rStyle w:val="IndexLink"/>
                <w:rtl w:val="true"/>
              </w:rPr>
              <w:t>تفويض با اذن الهى</w:t>
            </w:r>
            <w:r>
              <w:rPr>
                <w:rStyle w:val="IndexLink"/>
                <w:rtl w:val="true"/>
              </w:rPr>
              <w:tab/>
            </w:r>
            <w:r>
              <w:rPr>
                <w:rStyle w:val="IndexLink"/>
              </w:rPr>
              <w:t>47</w:t>
            </w:r>
          </w:hyperlink>
        </w:p>
        <w:p>
          <w:pPr>
            <w:pStyle w:val="Contents3"/>
            <w:tabs>
              <w:tab w:val="clear" w:pos="8459"/>
              <w:tab w:val="right" w:pos="9026" w:leader="dot"/>
            </w:tabs>
            <w:rPr/>
          </w:pPr>
          <w:hyperlink w:anchor="__RefHeading___Toc610234_3650668749">
            <w:r>
              <w:rPr>
                <w:webHidden/>
                <w:rStyle w:val="IndexLink"/>
                <w:rtl w:val="true"/>
              </w:rPr>
              <w:t>شواهد قرآنى بر تفويض غير استقلالى</w:t>
            </w:r>
            <w:r>
              <w:rPr>
                <w:rStyle w:val="IndexLink"/>
                <w:rtl w:val="true"/>
              </w:rPr>
              <w:tab/>
            </w:r>
            <w:r>
              <w:rPr>
                <w:rStyle w:val="IndexLink"/>
              </w:rPr>
              <w:t>50</w:t>
            </w:r>
          </w:hyperlink>
        </w:p>
        <w:p>
          <w:pPr>
            <w:pStyle w:val="Contents3"/>
            <w:tabs>
              <w:tab w:val="clear" w:pos="8459"/>
              <w:tab w:val="right" w:pos="9026" w:leader="dot"/>
            </w:tabs>
            <w:rPr/>
          </w:pPr>
          <w:hyperlink w:anchor="__RefHeading___Toc610236_3650668749">
            <w:r>
              <w:rPr>
                <w:webHidden/>
                <w:rStyle w:val="IndexLink"/>
                <w:rtl w:val="true"/>
              </w:rPr>
              <w:t xml:space="preserve">ولايت تكوينى و اهل‌بيت </w:t>
            </w:r>
            <w:r>
              <w:rPr>
                <w:rStyle w:val="IndexLink"/>
                <w:rtl w:val="true"/>
              </w:rPr>
              <w:t>(</w:t>
            </w:r>
            <w:r>
              <w:rPr>
                <w:rStyle w:val="IndexLink"/>
                <w:rtl w:val="true"/>
              </w:rPr>
              <w:t>عليهم السلام</w:t>
            </w:r>
            <w:r>
              <w:rPr>
                <w:rStyle w:val="IndexLink"/>
                <w:rtl w:val="true"/>
              </w:rPr>
              <w:t>)</w:t>
              <w:tab/>
            </w:r>
            <w:r>
              <w:rPr>
                <w:rStyle w:val="IndexLink"/>
              </w:rPr>
              <w:t>56</w:t>
            </w:r>
          </w:hyperlink>
        </w:p>
        <w:p>
          <w:pPr>
            <w:pStyle w:val="Contents3"/>
            <w:tabs>
              <w:tab w:val="clear" w:pos="8459"/>
              <w:tab w:val="right" w:pos="9026" w:leader="dot"/>
            </w:tabs>
            <w:rPr/>
          </w:pPr>
          <w:hyperlink w:anchor="__RefHeading___Toc610238_3650668749">
            <w:r>
              <w:rPr>
                <w:webHidden/>
                <w:rStyle w:val="IndexLink"/>
                <w:rtl w:val="true"/>
              </w:rPr>
              <w:t xml:space="preserve">تفويض در نظام تشريع </w:t>
            </w:r>
            <w:r>
              <w:rPr>
                <w:rStyle w:val="IndexLink"/>
                <w:rtl w:val="true"/>
              </w:rPr>
              <w:t>(</w:t>
            </w:r>
            <w:r>
              <w:rPr>
                <w:rStyle w:val="IndexLink"/>
                <w:rtl w:val="true"/>
              </w:rPr>
              <w:t>قانون‌گذارى</w:t>
            </w:r>
            <w:r>
              <w:rPr>
                <w:rStyle w:val="IndexLink"/>
                <w:rtl w:val="true"/>
              </w:rPr>
              <w:t>)</w:t>
              <w:tab/>
            </w:r>
            <w:r>
              <w:rPr>
                <w:rStyle w:val="IndexLink"/>
              </w:rPr>
              <w:t>61</w:t>
            </w:r>
          </w:hyperlink>
        </w:p>
        <w:p>
          <w:pPr>
            <w:pStyle w:val="Contents3"/>
            <w:tabs>
              <w:tab w:val="clear" w:pos="8459"/>
              <w:tab w:val="right" w:pos="9026" w:leader="dot"/>
            </w:tabs>
            <w:rPr/>
          </w:pPr>
          <w:hyperlink w:anchor="__RefHeading___Toc610240_3650668749">
            <w:r>
              <w:rPr>
                <w:webHidden/>
                <w:rStyle w:val="IndexLink"/>
                <w:rtl w:val="true"/>
              </w:rPr>
              <w:t xml:space="preserve">تفويض به اهل‌بيت </w:t>
            </w:r>
            <w:r>
              <w:rPr>
                <w:rStyle w:val="IndexLink"/>
                <w:rtl w:val="true"/>
              </w:rPr>
              <w:t>(</w:t>
            </w:r>
            <w:r>
              <w:rPr>
                <w:rStyle w:val="IndexLink"/>
                <w:rtl w:val="true"/>
              </w:rPr>
              <w:t>عليهم السلام</w:t>
            </w:r>
            <w:r>
              <w:rPr>
                <w:rStyle w:val="IndexLink"/>
                <w:rtl w:val="true"/>
              </w:rPr>
              <w:t>)</w:t>
              <w:tab/>
            </w:r>
            <w:r>
              <w:rPr>
                <w:rStyle w:val="IndexLink"/>
              </w:rPr>
              <w:t>72</w:t>
            </w:r>
          </w:hyperlink>
        </w:p>
        <w:p>
          <w:pPr>
            <w:pStyle w:val="Contents3"/>
            <w:tabs>
              <w:tab w:val="clear" w:pos="8459"/>
              <w:tab w:val="right" w:pos="9026" w:leader="dot"/>
            </w:tabs>
            <w:rPr/>
          </w:pPr>
          <w:hyperlink w:anchor="__RefHeading___Toc610242_3650668749">
            <w:r>
              <w:rPr>
                <w:webHidden/>
                <w:rStyle w:val="IndexLink"/>
                <w:rtl w:val="true"/>
              </w:rPr>
              <w:t>دل‌هاى ائمه خاستگاه اراده خدا</w:t>
            </w:r>
            <w:r>
              <w:rPr>
                <w:rStyle w:val="IndexLink"/>
                <w:rtl w:val="true"/>
              </w:rPr>
              <w:tab/>
            </w:r>
            <w:r>
              <w:rPr>
                <w:rStyle w:val="IndexLink"/>
              </w:rPr>
              <w:t>75</w:t>
            </w:r>
          </w:hyperlink>
        </w:p>
        <w:p>
          <w:pPr>
            <w:pStyle w:val="Contents3"/>
            <w:tabs>
              <w:tab w:val="clear" w:pos="8459"/>
              <w:tab w:val="right" w:pos="9026" w:leader="dot"/>
            </w:tabs>
            <w:rPr/>
          </w:pPr>
          <w:hyperlink w:anchor="__RefHeading___Toc610244_3650668749">
            <w:r>
              <w:rPr>
                <w:webHidden/>
                <w:rStyle w:val="IndexLink"/>
                <w:rtl w:val="true"/>
              </w:rPr>
              <w:t>مصاديق ديگر تفويض</w:t>
            </w:r>
            <w:r>
              <w:rPr>
                <w:rStyle w:val="IndexLink"/>
                <w:rtl w:val="true"/>
              </w:rPr>
              <w:tab/>
            </w:r>
            <w:r>
              <w:rPr>
                <w:rStyle w:val="IndexLink"/>
              </w:rPr>
              <w:t>79</w:t>
            </w:r>
          </w:hyperlink>
        </w:p>
        <w:p>
          <w:pPr>
            <w:pStyle w:val="Contents2"/>
            <w:tabs>
              <w:tab w:val="clear" w:pos="8743"/>
              <w:tab w:val="right" w:pos="9026" w:leader="dot"/>
            </w:tabs>
            <w:rPr/>
          </w:pPr>
          <w:hyperlink w:anchor="__RefHeading___Toc610246_3650668749">
            <w:r>
              <w:rPr>
                <w:webHidden/>
                <w:rStyle w:val="IndexLink"/>
                <w:rtl w:val="true"/>
              </w:rPr>
              <w:t xml:space="preserve">غاليان از نگاه اهل‌بيت </w:t>
            </w:r>
            <w:r>
              <w:rPr>
                <w:rStyle w:val="IndexLink"/>
                <w:rtl w:val="true"/>
              </w:rPr>
              <w:t>(</w:t>
            </w:r>
            <w:r>
              <w:rPr>
                <w:rStyle w:val="IndexLink"/>
                <w:rtl w:val="true"/>
              </w:rPr>
              <w:t>عليهم السلام</w:t>
            </w:r>
            <w:r>
              <w:rPr>
                <w:rStyle w:val="IndexLink"/>
                <w:rtl w:val="true"/>
              </w:rPr>
              <w:t>)</w:t>
              <w:tab/>
            </w:r>
            <w:r>
              <w:rPr>
                <w:rStyle w:val="IndexLink"/>
              </w:rPr>
              <w:t>86</w:t>
            </w:r>
          </w:hyperlink>
        </w:p>
        <w:p>
          <w:pPr>
            <w:pStyle w:val="Contents3"/>
            <w:tabs>
              <w:tab w:val="clear" w:pos="8459"/>
              <w:tab w:val="right" w:pos="9026" w:leader="dot"/>
            </w:tabs>
            <w:rPr/>
          </w:pPr>
          <w:hyperlink w:anchor="__RefHeading___Toc610248_3650668749">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610250_3650668749">
            <w:r>
              <w:rPr>
                <w:webHidden/>
                <w:rStyle w:val="IndexLink"/>
                <w:rtl w:val="true"/>
              </w:rPr>
              <w:t>دسته نخست</w:t>
            </w:r>
            <w:r>
              <w:rPr>
                <w:rStyle w:val="IndexLink"/>
                <w:rtl w:val="true"/>
              </w:rPr>
              <w:t xml:space="preserve">: </w:t>
            </w:r>
            <w:r>
              <w:rPr>
                <w:rStyle w:val="IndexLink"/>
                <w:rtl w:val="true"/>
              </w:rPr>
              <w:t>غاليان بدترين آفريدگان خدا</w:t>
            </w:r>
            <w:r>
              <w:rPr>
                <w:rStyle w:val="IndexLink"/>
                <w:rtl w:val="true"/>
              </w:rPr>
              <w:tab/>
            </w:r>
            <w:r>
              <w:rPr>
                <w:rStyle w:val="IndexLink"/>
              </w:rPr>
              <w:t>87</w:t>
            </w:r>
          </w:hyperlink>
        </w:p>
        <w:p>
          <w:pPr>
            <w:pStyle w:val="Contents3"/>
            <w:tabs>
              <w:tab w:val="clear" w:pos="8459"/>
              <w:tab w:val="right" w:pos="9026" w:leader="dot"/>
            </w:tabs>
            <w:rPr/>
          </w:pPr>
          <w:hyperlink w:anchor="__RefHeading___Toc610252_3650668749">
            <w:r>
              <w:rPr>
                <w:webHidden/>
                <w:rStyle w:val="IndexLink"/>
                <w:rtl w:val="true"/>
              </w:rPr>
              <w:t>دسته دوم</w:t>
            </w:r>
            <w:r>
              <w:rPr>
                <w:rStyle w:val="IndexLink"/>
                <w:rtl w:val="true"/>
              </w:rPr>
              <w:t xml:space="preserve">: </w:t>
            </w:r>
            <w:r>
              <w:rPr>
                <w:rStyle w:val="IndexLink"/>
                <w:rtl w:val="true"/>
              </w:rPr>
              <w:t>بيزارى از سردمداران غاليان</w:t>
            </w:r>
            <w:r>
              <w:rPr>
                <w:rStyle w:val="IndexLink"/>
                <w:rtl w:val="true"/>
              </w:rPr>
              <w:tab/>
            </w:r>
            <w:r>
              <w:rPr>
                <w:rStyle w:val="IndexLink"/>
              </w:rPr>
              <w:t>89</w:t>
            </w:r>
          </w:hyperlink>
        </w:p>
        <w:p>
          <w:pPr>
            <w:pStyle w:val="Contents3"/>
            <w:tabs>
              <w:tab w:val="clear" w:pos="8459"/>
              <w:tab w:val="right" w:pos="9026" w:leader="dot"/>
            </w:tabs>
            <w:rPr/>
          </w:pPr>
          <w:hyperlink w:anchor="__RefHeading___Toc610254_3650668749">
            <w:r>
              <w:rPr>
                <w:webHidden/>
                <w:rStyle w:val="IndexLink"/>
                <w:rtl w:val="true"/>
              </w:rPr>
              <w:t>دسته سوم</w:t>
            </w:r>
            <w:r>
              <w:rPr>
                <w:rStyle w:val="IndexLink"/>
                <w:rtl w:val="true"/>
              </w:rPr>
              <w:t xml:space="preserve">: </w:t>
            </w:r>
            <w:r>
              <w:rPr>
                <w:rStyle w:val="IndexLink"/>
                <w:rtl w:val="true"/>
              </w:rPr>
              <w:t>قطع رابطه و همنشينى با غاليان</w:t>
            </w:r>
            <w:r>
              <w:rPr>
                <w:rStyle w:val="IndexLink"/>
                <w:rtl w:val="true"/>
              </w:rPr>
              <w:tab/>
            </w:r>
            <w:r>
              <w:rPr>
                <w:rStyle w:val="IndexLink"/>
              </w:rPr>
              <w:t>92</w:t>
            </w:r>
          </w:hyperlink>
        </w:p>
        <w:p>
          <w:pPr>
            <w:pStyle w:val="Contents3"/>
            <w:tabs>
              <w:tab w:val="clear" w:pos="8459"/>
              <w:tab w:val="right" w:pos="9026" w:leader="dot"/>
            </w:tabs>
            <w:rPr/>
          </w:pPr>
          <w:hyperlink w:anchor="__RefHeading___Toc610256_3650668749">
            <w:r>
              <w:rPr>
                <w:webHidden/>
                <w:rStyle w:val="IndexLink"/>
                <w:rtl w:val="true"/>
              </w:rPr>
              <w:t>دسته چهارم</w:t>
            </w:r>
            <w:r>
              <w:rPr>
                <w:rStyle w:val="IndexLink"/>
                <w:rtl w:val="true"/>
              </w:rPr>
              <w:t xml:space="preserve">: </w:t>
            </w:r>
            <w:r>
              <w:rPr>
                <w:rStyle w:val="IndexLink"/>
                <w:rtl w:val="true"/>
              </w:rPr>
              <w:t xml:space="preserve">برخورد عملى اهل‌بيت </w:t>
            </w:r>
            <w:r>
              <w:rPr>
                <w:rStyle w:val="IndexLink"/>
                <w:rtl w:val="true"/>
              </w:rPr>
              <w:t>(</w:t>
            </w:r>
            <w:r>
              <w:rPr>
                <w:rStyle w:val="IndexLink"/>
                <w:rtl w:val="true"/>
              </w:rPr>
              <w:t>عليهم السلام</w:t>
            </w:r>
            <w:r>
              <w:rPr>
                <w:rStyle w:val="IndexLink"/>
                <w:rtl w:val="true"/>
              </w:rPr>
              <w:t xml:space="preserve">) </w:t>
            </w:r>
            <w:r>
              <w:rPr>
                <w:rStyle w:val="IndexLink"/>
                <w:rtl w:val="true"/>
              </w:rPr>
              <w:t>با غاليان</w:t>
            </w:r>
            <w:r>
              <w:rPr>
                <w:rStyle w:val="IndexLink"/>
                <w:rtl w:val="true"/>
              </w:rPr>
              <w:tab/>
            </w:r>
            <w:r>
              <w:rPr>
                <w:rStyle w:val="IndexLink"/>
              </w:rPr>
              <w:t>94</w:t>
            </w:r>
          </w:hyperlink>
        </w:p>
        <w:p>
          <w:pPr>
            <w:pStyle w:val="Contents3"/>
            <w:tabs>
              <w:tab w:val="clear" w:pos="8459"/>
              <w:tab w:val="right" w:pos="9026" w:leader="dot"/>
            </w:tabs>
            <w:rPr/>
          </w:pPr>
          <w:hyperlink w:anchor="__RefHeading___Toc610258_3650668749">
            <w:r>
              <w:rPr>
                <w:webHidden/>
                <w:rStyle w:val="IndexLink"/>
                <w:rtl w:val="true"/>
              </w:rPr>
              <w:t>غاليان از نگاه بزرگان شيعه</w:t>
            </w:r>
            <w:r>
              <w:rPr>
                <w:rStyle w:val="IndexLink"/>
                <w:rtl w:val="true"/>
              </w:rPr>
              <w:tab/>
            </w:r>
            <w:r>
              <w:rPr>
                <w:rStyle w:val="IndexLink"/>
              </w:rPr>
              <w:t>96</w:t>
            </w:r>
          </w:hyperlink>
        </w:p>
        <w:p>
          <w:pPr>
            <w:pStyle w:val="Contents3"/>
            <w:tabs>
              <w:tab w:val="clear" w:pos="8459"/>
              <w:tab w:val="right" w:pos="9026" w:leader="dot"/>
            </w:tabs>
            <w:rPr/>
          </w:pPr>
          <w:hyperlink w:anchor="__RefHeading___Toc610260_3650668749">
            <w:r>
              <w:rPr>
                <w:webHidden/>
                <w:rStyle w:val="IndexLink"/>
                <w:rtl w:val="true"/>
              </w:rPr>
              <w:t xml:space="preserve">جايگاه اهل‌بيت </w:t>
            </w:r>
            <w:r>
              <w:rPr>
                <w:rStyle w:val="IndexLink"/>
                <w:rtl w:val="true"/>
              </w:rPr>
              <w:t>(</w:t>
            </w:r>
            <w:r>
              <w:rPr>
                <w:rStyle w:val="IndexLink"/>
                <w:rtl w:val="true"/>
              </w:rPr>
              <w:t>عليهم السلام</w:t>
            </w:r>
            <w:r>
              <w:rPr>
                <w:rStyle w:val="IndexLink"/>
                <w:rtl w:val="true"/>
              </w:rPr>
              <w:t xml:space="preserve">) </w:t>
            </w:r>
            <w:r>
              <w:rPr>
                <w:rStyle w:val="IndexLink"/>
                <w:rtl w:val="true"/>
              </w:rPr>
              <w:t>و مسئله غلو</w:t>
            </w:r>
            <w:r>
              <w:rPr>
                <w:rStyle w:val="IndexLink"/>
                <w:rtl w:val="true"/>
              </w:rPr>
              <w:tab/>
            </w:r>
            <w:r>
              <w:rPr>
                <w:rStyle w:val="IndexLink"/>
              </w:rPr>
              <w:t>99</w:t>
            </w:r>
          </w:hyperlink>
        </w:p>
        <w:p>
          <w:pPr>
            <w:pStyle w:val="Contents3"/>
            <w:tabs>
              <w:tab w:val="clear" w:pos="8459"/>
              <w:tab w:val="right" w:pos="9026" w:leader="dot"/>
            </w:tabs>
            <w:rPr/>
          </w:pPr>
          <w:hyperlink w:anchor="__RefHeading___Toc610262_3650668749">
            <w:r>
              <w:rPr>
                <w:webHidden/>
                <w:rStyle w:val="IndexLink"/>
                <w:rtl w:val="true"/>
              </w:rPr>
              <w:t>چكيده</w:t>
            </w:r>
            <w:r>
              <w:rPr>
                <w:rStyle w:val="IndexLink"/>
                <w:rtl w:val="true"/>
              </w:rPr>
              <w:tab/>
            </w:r>
            <w:r>
              <w:rPr>
                <w:rStyle w:val="IndexLink"/>
              </w:rPr>
              <w:t>101</w:t>
            </w:r>
          </w:hyperlink>
        </w:p>
        <w:p>
          <w:pPr>
            <w:pStyle w:val="Contents2"/>
            <w:tabs>
              <w:tab w:val="clear" w:pos="8743"/>
              <w:tab w:val="right" w:pos="9026" w:leader="dot"/>
            </w:tabs>
            <w:rPr/>
          </w:pPr>
          <w:hyperlink w:anchor="__RefHeading___Toc610264_3650668749">
            <w:r>
              <w:rPr>
                <w:webHidden/>
                <w:rStyle w:val="IndexLink"/>
                <w:rtl w:val="true"/>
              </w:rPr>
              <w:t>كتابنامه</w:t>
            </w:r>
            <w:r>
              <w:rPr>
                <w:rStyle w:val="IndexLink"/>
                <w:rtl w:val="true"/>
              </w:rPr>
              <w:tab/>
            </w:r>
            <w:r>
              <w:rPr>
                <w:rStyle w:val="IndexLink"/>
              </w:rPr>
              <w:t>104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7_14415"/>
      <w:bookmarkStart w:id="1" w:name="pg1547_14415"/>
      <w:bookmarkEnd w:id="1"/>
    </w:p>
    <w:p>
      <w:pPr>
        <w:pStyle w:val="Heading2"/>
        <w:numPr>
          <w:ilvl w:val="1"/>
          <w:numId w:val="1"/>
        </w:numPr>
        <w:rPr/>
      </w:pPr>
      <w:bookmarkStart w:id="2" w:name="pg1547_14415"/>
      <w:bookmarkStart w:id="3" w:name="__RefHeading___Toc610186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حیدری، سیدکمال،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حقیقه و اقسامه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اقسام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سیدکمال حیدری؛ ترجمه پژوهشکده حج و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نمایندگی ولی فقیه در امور حج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حج و زیارت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۲۲۵</w:t>
      </w:r>
      <w:r>
        <w:rPr>
          <w:rFonts w:eastAsia="IRNazanin" w:cs="IRNazanin"/>
          <w:color w:val="111111"/>
          <w:sz w:val="28"/>
          <w:szCs w:val="28"/>
          <w:lang w:bidi="fa-IR"/>
        </w:rPr>
        <w:t>/</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۲۸۸۹۱۰۰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0188_3650668749"/>
      <w:bookmarkStart w:id="6" w:name="_Toc2"/>
      <w:bookmarkEnd w:id="5"/>
      <w:r>
        <w:rPr>
          <w:rtl w:val="true"/>
        </w:rPr>
        <w:t>ديباچه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الحمدلله رب العالمين و صلى الله على محمد و آله الطاهرين الذين اذهب الله عنهم الرجس و طهّرهم تطهيرا</w:t>
      </w:r>
    </w:p>
    <w:p>
      <w:pPr>
        <w:pStyle w:val="BookText"/>
        <w:rPr/>
      </w:pPr>
      <w:r>
        <w:rPr>
          <w:rFonts w:ascii="IRNazanin" w:hAnsi="IRNazanin" w:eastAsia="IRNazanin"/>
          <w:color w:val="111111"/>
          <w:sz w:val="28"/>
          <w:sz w:val="28"/>
          <w:szCs w:val="28"/>
          <w:rtl w:val="true"/>
          <w:lang w:bidi="fa-IR"/>
        </w:rPr>
        <w:t>امامت در انديشه و باور شيعه، جايگاه والايى دارد؛ به‌گونه‌اى كه امامان نيز به فضايل انبيا آراسته، و از مقامات و كرامات آنان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آنان نيز گاهى براى هدايت خلق، از كرامات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امر باعث شد برخى كوته‌فكران، ائمه را تا حد خدايى يا نبوت بالا برند و بهانه به دست كسانى دهند كه خط راستين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خطرى براى كجروى‌هاى خود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مخالفان با اهداف سياسى، غلو را به خود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آنان نسبت دادند تا بدين‌وسيله بتوانند آنان را كافر بدانند و از صحنه سياسى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 مسلمانان خارج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علماى شيعه همواره اين افراد را طرد، و با چنين تفكرى مبارزه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مكتوب كلامى و حديثى شيعه، شاهد صدق اين مدعاست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اين اثر تقديم حقيقت‌جويان مى‌شود، نتيجه پژوهش‌هاى </w:t>
      </w:r>
    </w:p>
    <w:p>
      <w:pPr>
        <w:pStyle w:val="BookText"/>
        <w:rPr/>
      </w:pPr>
      <w:r>
        <w:rPr>
          <w:rFonts w:ascii="IRNazanin" w:hAnsi="IRNazanin" w:eastAsia="IRNazanin"/>
          <w:color w:val="111111"/>
          <w:sz w:val="28"/>
          <w:sz w:val="28"/>
          <w:szCs w:val="28"/>
          <w:rtl w:val="true"/>
          <w:lang w:bidi="fa-IR"/>
        </w:rPr>
        <w:t xml:space="preserve">علامه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كمال حيدرى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قلم جناب آقايان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آريانى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نداف‌زاده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جلالى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فارسى برگردان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حج و زيارت ضمن ارجگذارى به تلاش محقق ارجمند و مترجمان آن، از خدا مى‌طلبد اين اثر را همچون آثار ديگر اين پژوهشكده، روشنگر راه حقيقت‌جويان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IRNazanin" w:hAnsi="IRNazanin" w:eastAsia="IRNazanin"/>
          <w:color w:val="111111"/>
          <w:sz w:val="28"/>
          <w:sz w:val="28"/>
          <w:szCs w:val="28"/>
          <w:rtl w:val="true"/>
          <w:lang w:bidi="fa-IR"/>
        </w:rPr>
        <w:t>گروه كلام و معارف</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پژوهشكده حج و زيارت </w:t>
      </w:r>
      <w:bookmarkStart w:id="7" w:name="pg1547_14423"/>
    </w:p>
    <w:p>
      <w:pPr>
        <w:pStyle w:val="Heading2"/>
        <w:numPr>
          <w:ilvl w:val="1"/>
          <w:numId w:val="1"/>
        </w:numPr>
        <w:rPr/>
      </w:pPr>
      <w:bookmarkStart w:id="8" w:name="__RefHeading___Toc610190_365066874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بحث غلو، از مباحث مهم مربوط به مقام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بحث تنها به علم امام محدود نمى‌شود، بلكه همه فضايل و مراتب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مى‌گيرد؛ چه آنهايى كه مربوط به گستردگى علم ائمه است كه علم غيب را نيز شامل مى‌شود و چه آنهايى كه به مقام و جايگاه بلند آنان در پيشگاه خداوند متعال مربوط است؛ به‌گونه‌اى كه برخى درباره اين مقامات دچار اشتباه شده، و آنها را از مصاديق غلو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مجلسى مى‌فرمايد</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متكلمان و محدثان به دليل كوتاهى در شناخت امامان و ناتوانى از درك شگفتى‌هاى احوال و شئوناتشان، درباره غلو، افراط و زياده‌روى نموده، و بسيارى از راويان مورد اعتماد را به‌خاطر نقل بعضى از معجزات، مورد خدشه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از آنان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سهو، از امامان يا قائل‌شدن به اينكه آنان علم به حوادث گذشته و آينده دارند و نظاير آن، از مصاديق غلو به شمار مى‌آيد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قهراً مؤمن متدين نبايد فضايل، معجزات و كراماتى را كه از ايشان وارد شده، شتاب‌زده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با ضرورت دين يا براهين قاطع مستند به آيات محكم يا اخبار متواتر، خلاف آن ثابت گردد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ازاين‌رو در اين پژوهش براى رفع اين شبهه، محورهاى زير مطرح، و تبيين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مبحث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غلو در لغت و كاربرد شرعى آن؛</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و پيشينه‌پديده غلو؛</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گفته‌هاى غاليان درباره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غاليان، از نگاه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bookmarkStart w:id="10" w:name="pg1547_14425"/>
    </w:p>
    <w:p>
      <w:pPr>
        <w:pStyle w:val="Heading2"/>
        <w:numPr>
          <w:ilvl w:val="1"/>
          <w:numId w:val="1"/>
        </w:numPr>
        <w:rPr/>
      </w:pPr>
      <w:bookmarkStart w:id="11" w:name="__RefHeading___Toc610192_3650668749"/>
      <w:bookmarkStart w:id="12" w:name="_Toc4"/>
      <w:bookmarkEnd w:id="10"/>
      <w:bookmarkEnd w:id="11"/>
      <w:r>
        <w:rPr>
          <w:rtl w:val="true"/>
        </w:rPr>
        <w:t>غلو در لغت و كاربرد شرعى</w:t>
      </w:r>
      <w:bookmarkEnd w:id="12"/>
    </w:p>
    <w:p>
      <w:pPr>
        <w:pStyle w:val="Heading3"/>
        <w:numPr>
          <w:ilvl w:val="2"/>
          <w:numId w:val="1"/>
        </w:numPr>
        <w:rPr/>
      </w:pPr>
      <w:bookmarkStart w:id="13" w:name="__RefHeading___Toc610194_3650668749"/>
      <w:bookmarkStart w:id="14" w:name="_Toc5"/>
      <w:bookmarkEnd w:id="13"/>
      <w:r>
        <w:rPr>
          <w:rtl w:val="true"/>
        </w:rPr>
        <w:t>غلو در لغت</w:t>
      </w:r>
      <w:bookmarkEnd w:id="14"/>
    </w:p>
    <w:p>
      <w:pPr>
        <w:pStyle w:val="BookText"/>
        <w:rPr/>
      </w:pPr>
      <w:r>
        <w:rPr>
          <w:rFonts w:ascii="IRNazanin" w:hAnsi="IRNazanin" w:eastAsia="IRNazanin"/>
          <w:color w:val="111111"/>
          <w:sz w:val="28"/>
          <w:sz w:val="28"/>
          <w:szCs w:val="28"/>
          <w:rtl w:val="true"/>
          <w:lang w:bidi="fa-IR"/>
        </w:rPr>
        <w:t>غلو در لغت به معناى ازحدگذشتن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دين و در كارى غلو كرد، يعنى از حد و مرز آن گذشت، و برخى گويند در كارى غلو كردى، يعنى در آن از حد گذشتى و زياده‌روى نمودى، و 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غلو در دين، يعنى از تندروى و ازحدگذشتن بپرهيزيد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دين غلو كرد، يعنى تنگ‌نظرى و تندروى كرد؛ به‌گونه‌اى كه از حد و اندازه گذشت</w:t>
      </w:r>
      <w:r>
        <w:rPr>
          <w:rFonts w:eastAsia="IRNazanin" w:cs="IRNazanin"/>
          <w:color w:val="111111"/>
          <w:sz w:val="28"/>
          <w:szCs w:val="28"/>
          <w:rtl w:val="true"/>
          <w:lang w:bidi="fa-IR"/>
        </w:rPr>
        <w:t>»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غلو، يعنى ازحدگذشتن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زمانى گفته مى‌شود كه بهاى چيزى افزايش يابد</w:t>
      </w:r>
      <w:r>
        <w:rPr>
          <w:rFonts w:eastAsia="IRNazanin" w:cs="IRNazanin"/>
          <w:color w:val="111111"/>
          <w:sz w:val="28"/>
          <w:szCs w:val="28"/>
          <w:rtl w:val="true"/>
          <w:lang w:bidi="fa-IR"/>
        </w:rPr>
        <w:t>» .</w:t>
      </w:r>
      <w:r>
        <w:rPr>
          <w:rStyle w:val="FootnoteAnchor"/>
          <w:rtl w:val="true"/>
        </w:rPr>
        <w:footnoteReference w:id="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بدين‌ترتيب روشن شد كه معناى لغوى غلو، از حد گذشتن در چيزى است؛ چه در عقايد دينى يا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سزاوار است درباره </w:t>
      </w:r>
      <w:bookmarkStart w:id="15" w:name="pg1547_14426"/>
    </w:p>
    <w:p>
      <w:pPr>
        <w:pStyle w:val="BookText"/>
        <w:rPr/>
      </w:pPr>
      <w:bookmarkEnd w:id="15"/>
      <w:r>
        <w:rPr>
          <w:rFonts w:ascii="IRNazanin" w:hAnsi="IRNazanin" w:eastAsia="IRNazanin"/>
          <w:color w:val="111111"/>
          <w:sz w:val="28"/>
          <w:sz w:val="28"/>
          <w:szCs w:val="28"/>
          <w:rtl w:val="true"/>
          <w:lang w:bidi="fa-IR"/>
        </w:rPr>
        <w:t>غلو در متون دينى، به مواردى كه در قرآن، روايات و سخنان بزرگان به كار رفته، اشاره شود</w:t>
      </w:r>
      <w:r>
        <w:rPr>
          <w:rFonts w:eastAsia="IRNazanin" w:cs="IRNazanin"/>
          <w:color w:val="111111"/>
          <w:sz w:val="28"/>
          <w:szCs w:val="28"/>
          <w:rtl w:val="true"/>
          <w:lang w:bidi="fa-IR"/>
        </w:rPr>
        <w:t>:</w:t>
      </w:r>
    </w:p>
    <w:p>
      <w:pPr>
        <w:pStyle w:val="Heading3"/>
        <w:numPr>
          <w:ilvl w:val="2"/>
          <w:numId w:val="1"/>
        </w:numPr>
        <w:rPr/>
      </w:pPr>
      <w:bookmarkStart w:id="16" w:name="__RefHeading___Toc610196_3650668749"/>
      <w:bookmarkStart w:id="17" w:name="_Toc6"/>
      <w:bookmarkEnd w:id="16"/>
      <w:r>
        <w:rPr>
          <w:rtl w:val="true"/>
        </w:rPr>
        <w:t>غلو در قرآن</w:t>
      </w:r>
      <w:bookmarkEnd w:id="17"/>
    </w:p>
    <w:p>
      <w:pPr>
        <w:pStyle w:val="BookText"/>
        <w:rPr/>
      </w:pPr>
      <w:r>
        <w:rPr>
          <w:rFonts w:ascii="Amiri" w:hAnsi="Amiri" w:eastAsia="Amiri" w:cs="Amiri"/>
          <w:color w:val="111111"/>
          <w:sz w:val="28"/>
          <w:sz w:val="28"/>
          <w:szCs w:val="28"/>
          <w:rtl w:val="true"/>
          <w:lang w:bidi="ar-SA"/>
        </w:rPr>
        <w:t>در قرآن كريم لفظ غلو در دو آيه وارد شده است؛ خداى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الْكِتابِ لا تَغْلُوا فِى دِينِكُمْ وَ لا تَقُولُوا عَلَى اللهِ إِلَّا الْحَقَّ إِنَّمَا الْمَسِيحُ عِيسَى ابْنُ مَرْيَمَ رَسُولُ اللهِ وَ كَلِمَتُهُ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 خود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زياده‌روى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نكنيد و درباره‌خدا غير از حق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 عيسى‌بن‌مريم، فقط فرستاده خدا،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جايى ديگر نيز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يا أَهْلَ الْكِتابِ لا تَغْلُوا فِى دِينِكُمْ غَيْرَ الْحَقِّ وَ لا تَتَّبِعُوا أَهْواءَ قَوْمٍ قَدْ ضَلُّوا مِنْ قَبْلُ وَ أَضَلُّوا كَثِيراً وَ ضَلُّوا عَنْ سَواءِ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 خود،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زياده‌روى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نكنيد و غير از حق نگوييد و از هوس‌هاى گروهى كه پيش‌تر گمراه شدند و بسيارى را گمراه كردند و از راه راست منحرف گشتند، پيروى ننماييد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آيه در مقام نهى كردن مسيحيان از غلو درباره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آن حضرت را چنان در مقام پيامبرى بالا بردند كه او را به خدايى اختيار كردند؛ چنان‌كه قرآن در ادامه آيه </w:t>
      </w:r>
      <w:r>
        <w:rPr>
          <w:rFonts w:ascii="IRNazanin" w:hAnsi="IRNazanin" w:eastAsia="IRNazanin"/>
          <w:color w:val="111111"/>
          <w:sz w:val="28"/>
          <w:sz w:val="28"/>
          <w:szCs w:val="28"/>
          <w:lang w:bidi="fa-IR"/>
        </w:rPr>
        <w:t>١٧١</w:t>
      </w:r>
      <w:r>
        <w:rPr>
          <w:rFonts w:ascii="IRNazanin" w:hAnsi="IRNazanin" w:eastAsia="IRNazanin"/>
          <w:color w:val="111111"/>
          <w:sz w:val="28"/>
          <w:sz w:val="28"/>
          <w:szCs w:val="28"/>
          <w:rtl w:val="true"/>
          <w:lang w:bidi="fa-IR"/>
        </w:rPr>
        <w:t xml:space="preserve"> سوره نساء آن را يادآور مى‌شود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تَقُولُوا ثَلاثَۀٌ انْتَهُوا خَيْراً</w:t>
      </w:r>
    </w:p>
    <w:p>
      <w:pPr>
        <w:pStyle w:val="BookText"/>
        <w:rPr/>
      </w:pPr>
      <w:r>
        <w:rPr>
          <w:rFonts w:ascii="IRNazanin" w:hAnsi="IRNazanin" w:eastAsia="IRNazanin"/>
          <w:color w:val="111111"/>
          <w:sz w:val="28"/>
          <w:sz w:val="28"/>
          <w:szCs w:val="28"/>
          <w:rtl w:val="true"/>
          <w:lang w:bidi="fa-IR"/>
        </w:rPr>
        <w:t xml:space="preserve">لَكُمْ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سخن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خوددارى كنيد كه </w:t>
      </w:r>
    </w:p>
    <w:p>
      <w:pPr>
        <w:pStyle w:val="BookText"/>
        <w:rPr/>
      </w:pPr>
      <w:r>
        <w:rPr>
          <w:rFonts w:ascii="IRNazanin" w:hAnsi="IRNazanin" w:eastAsia="IRNazanin"/>
          <w:color w:val="111111"/>
          <w:sz w:val="28"/>
          <w:sz w:val="28"/>
          <w:szCs w:val="28"/>
          <w:rtl w:val="true"/>
          <w:lang w:bidi="fa-IR"/>
        </w:rPr>
        <w:t>براى شما بهتر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به سه‌گانه‌پرستى نصارا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آيه‌بعدى، اين‌گونه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يَسْتَنْكِفَ الْمَسِيحُ أَنْ يَكُونَ عَبْداً لِلَّهِ وَ لَا الْمَلائِكَۀُ الْمُقَرَّبُونَ وَ مَنْ يَسْتَنْكِفْ عَنْ عِبادَتِهِ وَ يَسْتَكْبِرْ فَسَيَحْشُرُهُمْ إِلَيْهِ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هيچ‌گاه مسيح از اين ابا نداشت كه بنده خدا باشد و نه فرشتگان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ابا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كه از بندگى او روى برتابند و تكبر كنند، به زودى خداوند همه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جمع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غلو منحصر به مسيحيان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نزد يهود نيز وجود دارد؛ چنان‌كه خداى متعال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الْيَهُودُ عُزَيْرٌ ابْنُ اللهِ وَ قالَتِ النَّصارى الْمَسِيحُ ابْنُ اللهِ ذلِكَ قَوْلُهُمْ بِأَفْواهِهِمْ يُضاهِؤُنَ قَوْلَ الَّذِينَ كَفَرُوا مِنْ قَبْلُ قاتَلَهُمُ اللهُ أَنَّى يُؤْفَكُونَ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عُزير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مسيح پسر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سخنى است كه آنها به زبان مى‌آورند، درحالى‌كه همانند گفتار كافران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حق انحراف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أَهْلَ الْكِتابِ تَعالَوْا إِلى كَلِمَۀٍ سَواءٍ بَيْنَنا وَ بَيْنَكُمْ أَلَّا نَعْبُدَ إِلَّا اللهَ وَ لا نُشْرِكَ بِهِ شَيْئاً وَ لا يَتَّخِذَ بَعْضُنا بَعْضاً أَرْباباً مِنْ دُونِ اللهِ فَإِنْ تَوَلَّوْا</w:t>
      </w:r>
    </w:p>
    <w:p>
      <w:pPr>
        <w:pStyle w:val="BookText"/>
        <w:rPr/>
      </w:pPr>
      <w:r>
        <w:rPr>
          <w:rFonts w:ascii="Amiri" w:hAnsi="Amiri" w:eastAsia="Amiri" w:cs="Amiri"/>
          <w:color w:val="111111"/>
          <w:sz w:val="28"/>
          <w:sz w:val="28"/>
          <w:szCs w:val="28"/>
          <w:rtl w:val="true"/>
          <w:lang w:bidi="ar-SA"/>
        </w:rPr>
        <w:t xml:space="preserve">فَقُولُوا اشْهَدُوا بِأَنَّا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به‌سوى سخنى كه ميان ما و شما يكسان </w:t>
      </w:r>
    </w:p>
    <w:p>
      <w:pPr>
        <w:pStyle w:val="BookText"/>
        <w:rPr/>
      </w:pPr>
      <w:r>
        <w:rPr>
          <w:rFonts w:ascii="IRNazanin" w:hAnsi="IRNazanin" w:eastAsia="IRNazanin"/>
          <w:color w:val="111111"/>
          <w:sz w:val="28"/>
          <w:sz w:val="28"/>
          <w:szCs w:val="28"/>
          <w:rtl w:val="true"/>
          <w:lang w:bidi="fa-IR"/>
        </w:rPr>
        <w:t>است كه جز خداوند يگانه را نپرستيم و چيزى را همتاى او قرار ندهيم و بعضى از ما بعض ديگر را، غير از خداى يگانه، به خدايى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زنند،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 باشيد كه ما مسلمانيم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اتَّخَذُوا أَحْبارَهُمْ وَ رُهْبانَهُمْ أَرْباباً مِنْ دُونِ اللهِ وَ الْمَسِيحَ ابْنَ مَرْيَمَ وَ ما أُمِرُوا إِلَّا لِيَعْبُدُوا إِلهاً واحِداً لا إِلهَ إِلَّا هُوَ سُبْحانَهُ عَمَّا 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راهبان خويش را معبودهايى در برابر خدا قرار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فرزند مريم را، درحالى‌كه دستور داشتند فقط خداوند يكتايى را كه معبودى جز او نيست،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پاك و منزه است از آنچه همتايش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مطالبى كه گذشت روشن مى‌شود كه غلو در قرآن در معناى گذشتن از حدى كه براى آفريدگان تعيين شده، و بالابردن آنها تا مقام خدايى، به‌كار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غلو به معناى گذشتن از حد عادى و معيّن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غلوۀ‌السهم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كه برد نهايى پرتاب‌شدن تير است و اين معنا در امور زياده از خواسته در يك چيز عقلى و يا يك مطلب مشروع، در اعتقاد يا در ادراك يا در عملكردها، كاربرد دارد، و غلو در دين به اين معناست كه فرد متدين، فراتر از آنچه را كه دين برايش معيّن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كرده باشد، اظهار نمايد</w:t>
      </w:r>
      <w:r>
        <w:rPr>
          <w:rFonts w:eastAsia="Amiri" w:cs="Amiri" w:ascii="Amiri" w:hAnsi="Amiri"/>
          <w:color w:val="111111"/>
          <w:sz w:val="28"/>
          <w:szCs w:val="28"/>
          <w:rtl w:val="true"/>
          <w:lang w:bidi="ar-SA"/>
        </w:rPr>
        <w:t xml:space="preserve">. </w:t>
      </w:r>
      <w:r>
        <w:rPr>
          <w:rStyle w:val="FootnoteAnchor"/>
          <w:rtl w:val="true"/>
        </w:rPr>
        <w:footnoteReference w:id="6"/>
      </w:r>
      <w:bookmarkStart w:id="18" w:name="pg1547_14429"/>
    </w:p>
    <w:p>
      <w:pPr>
        <w:pStyle w:val="Heading3"/>
        <w:numPr>
          <w:ilvl w:val="2"/>
          <w:numId w:val="1"/>
        </w:numPr>
        <w:rPr/>
      </w:pPr>
      <w:bookmarkStart w:id="19" w:name="__RefHeading___Toc610198_3650668749"/>
      <w:bookmarkStart w:id="20" w:name="_Toc7"/>
      <w:bookmarkEnd w:id="18"/>
      <w:bookmarkEnd w:id="19"/>
      <w:r>
        <w:rPr>
          <w:rtl w:val="true"/>
        </w:rPr>
        <w:t xml:space="preserve">غلو در احاديث اهل‌بيت </w:t>
      </w:r>
      <w:r>
        <w:rPr>
          <w:rtl w:val="true"/>
        </w:rPr>
        <w:t>(</w:t>
      </w:r>
      <w:r>
        <w:rPr>
          <w:rtl w:val="true"/>
        </w:rPr>
        <w:t>عليهم السلام</w:t>
      </w:r>
      <w:r>
        <w:rPr>
          <w:rtl w:val="true"/>
        </w:rPr>
        <w:t>)</w:t>
      </w:r>
      <w:bookmarkEnd w:id="20"/>
    </w:p>
    <w:p>
      <w:pPr>
        <w:pStyle w:val="BookText"/>
        <w:rPr/>
      </w:pPr>
      <w:r>
        <w:rPr>
          <w:rFonts w:ascii="Amiri" w:hAnsi="Amiri" w:eastAsia="Amiri" w:cs="Amiri"/>
          <w:color w:val="111111"/>
          <w:sz w:val="28"/>
          <w:sz w:val="28"/>
          <w:szCs w:val="28"/>
          <w:rtl w:val="true"/>
          <w:lang w:bidi="ar-SA"/>
        </w:rPr>
        <w:t xml:space="preserve">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سخنانشان، مردم را از غلو درباره آنها و بالابردنشان تا مقام خدايى نهى كرده‌اند كه به برخى از آنها اشاره مى‌كنيم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فضيل‌بن‌عثمان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پروا كنيد و خدا را با عظمت ياد كنيد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بزرگ شماريد و هيچ‌كس را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ندهيد؛ چراكه خداى متعال او را برترى بخشيده است و اهل‌بيت پيامبرتان را به‌گونه‌اى متعادل دوست بداريد و غلو نكنيد و تفرقه نيندازيد و چيزى را كه ما نمى‌گوييم، بر زبان نياوريد؛ زيرا اگر شما چيزى بگوييد كه ما آن را نگفته باشيم و بعد، ما و شما بميريم و آن‌گاه خداوند ما و شما را برانگيزد، ما در جايى خواهيم بود كه خداوند مى‌خواهد و شما در جايى خواهيد بود كه خداوند مى‌خواهد</w:t>
      </w:r>
      <w:r>
        <w:rPr>
          <w:rFonts w:eastAsia="IRNazanin" w:cs="IRNazanin"/>
          <w:color w:val="111111"/>
          <w:sz w:val="28"/>
          <w:szCs w:val="28"/>
          <w:rtl w:val="true"/>
          <w:lang w:bidi="fa-IR"/>
        </w:rPr>
        <w:t>»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اين سخن كنايه از آن دارد كه در آخرت، سرنوشت شما غير از ما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حسن‌بن‌جهم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در مجلس مأمون حاضر شدم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بود و فقيهان و متكلمان فرقه‌هاى گوناگون در آن گرد آمده بودند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به آن حضرت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شده‌ام كه گروهى درباره شما غلو مى‌كنند و از حد مى‌گذرند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موسى‌بن‌جعفر، از پدرش جعفربن‌محمد، از پدرش محمدبن‌على، از پدرش على‌بن‌الحسين، از پدرش حسين‌بن‌على، از </w:t>
      </w:r>
    </w:p>
    <w:p>
      <w:pPr>
        <w:pStyle w:val="BookText"/>
        <w:rPr/>
      </w:pPr>
      <w:r>
        <w:rPr>
          <w:rFonts w:ascii="IRNazanin" w:hAnsi="IRNazanin" w:eastAsia="IRNazanin"/>
          <w:color w:val="111111"/>
          <w:sz w:val="28"/>
          <w:sz w:val="28"/>
          <w:szCs w:val="28"/>
          <w:rtl w:val="true"/>
          <w:lang w:bidi="fa-IR"/>
        </w:rPr>
        <w:t xml:space="preserve">پدرش على‌بن‌ابى‌طالب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نقل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جايگاهم بالاتر نبريد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تبارك و تعالى پيش از آنكه مرا به پيامبرى انتخاب كند، به بندگى برگزيد و خود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هيچ بشرى سزاوار نيست كه خداوند، كتاب آسمانى و حكم و نبوت به او دهد سپس او به مردم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خدا، بندگى من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الهى باشيد، آن‌گونه كه كتاب خدا را مى‌آموختيد و درس مى‌خوانديد و نه اينكه به شما دستور دهد كه فرشتگان و پيامبران را پروردگار خود انتخاب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پس از آنكه مسلمان شديد، به كفر دعوت مى‌كند</w:t>
      </w:r>
      <w:r>
        <w:rPr>
          <w:rFonts w:eastAsia="IRNazanin" w:cs="IRNazanin"/>
          <w:color w:val="111111"/>
          <w:sz w:val="28"/>
          <w:szCs w:val="28"/>
          <w:rtl w:val="true"/>
          <w:lang w:bidi="fa-IR"/>
        </w:rPr>
        <w:t>» .</w:t>
      </w:r>
      <w:r>
        <w:rPr>
          <w:rStyle w:val="FootnoteAnchor"/>
          <w:rtl w:val="true"/>
        </w:rPr>
        <w:footnoteReference w:id="8"/>
      </w:r>
      <w:r>
        <w:rPr>
          <w:rFonts w:ascii="IRNazanin" w:hAnsi="IRNazanin" w:eastAsia="IRNazanin"/>
          <w:color w:val="111111"/>
          <w:sz w:val="28"/>
          <w:sz w:val="28"/>
          <w:szCs w:val="28"/>
          <w:rtl w:val="true"/>
          <w:lang w:bidi="fa-IR"/>
        </w:rPr>
        <w:t>و</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گروه در مورد من هلاك شوند و من بى‌گناهم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افراطى و تندرو و دشمن افراطى و تندرو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كسى كه درباره ما غلو مى‌كند و بيش از حد ما را بالا مى‌برد به پيشگاه خداى تبارك و تعالى بيزارى مى‌جويم؛ به همان‌سان كه عيسى‌بن‌مريم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مسيحيان بيزارى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آن‌گاه كه خداوند به عيسى‌بن‌مريم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به مردم گفتى من و مادرم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عنوان دو معبود، غير از خدا انتخاب كنيد؟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ندارم آنچه را كه شايسته من نيست،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سخنى را گفته باشم، تو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آنچه در روح و جان من است، آگاهى و من از آنچه در ذات توست، آگاه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يقين تو از تمام اسرار و پنهانى‌ها باخبرى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آنچه مرا به آن فرمان دادى، چيزى به آنها نگفتم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را بپرستيد كه پروردگار من و پروردگار شماست و تا زمانى كه در ميان آنها بودم، مراقب و گواهشان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هنگامى كه مرا از ميانشان برگرفتى، تو خود مراقب آنها بودى و تو بر هر چيز گواهى</w:t>
      </w:r>
      <w:r>
        <w:rPr>
          <w:rFonts w:eastAsia="IRNazanin" w:cs="IRNazanin"/>
          <w:color w:val="111111"/>
          <w:sz w:val="28"/>
          <w:szCs w:val="28"/>
          <w:rtl w:val="true"/>
          <w:lang w:bidi="fa-IR"/>
        </w:rPr>
        <w:t xml:space="preserve">» . </w:t>
      </w:r>
      <w:r>
        <w:rPr>
          <w:rStyle w:val="FootnoteAnchor"/>
          <w:rtl w:val="true"/>
        </w:rPr>
        <w:footnoteReference w:id="10"/>
      </w:r>
      <w:r>
        <w:rPr>
          <w:rFonts w:ascii="IRNazanin" w:hAnsi="IRNazanin" w:eastAsia="IRNazanin"/>
          <w:color w:val="111111"/>
          <w:sz w:val="28"/>
          <w:sz w:val="28"/>
          <w:szCs w:val="28"/>
          <w:rtl w:val="true"/>
          <w:lang w:bidi="fa-IR"/>
        </w:rPr>
        <w:t xml:space="preserve">سپس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پيامبران ربوبيت، و براى امامان ربوبيت يا نبوت، يا براى غير امامان، امامت ادعا كند، ما در دنيا و آخرت از او بيزاريم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بشير 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وضو برايم آب بگذار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برخاستم و براى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كه وارد شد، پيش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درباره وى چنين و چنان گويم و او براى تطهير، به دستشويى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طولى نكشيد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را بيش از طاقتش بالا نبر كه ويران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w:t>
      </w:r>
    </w:p>
    <w:p>
      <w:pPr>
        <w:pStyle w:val="BookText"/>
        <w:rPr/>
      </w:pPr>
      <w:r>
        <w:rPr>
          <w:rFonts w:ascii="IRNazanin" w:hAnsi="IRNazanin" w:eastAsia="IRNazanin"/>
          <w:color w:val="111111"/>
          <w:sz w:val="28"/>
          <w:sz w:val="28"/>
          <w:szCs w:val="28"/>
          <w:rtl w:val="true"/>
          <w:lang w:bidi="fa-IR"/>
        </w:rPr>
        <w:t xml:space="preserve">و هرچه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مى‌خواهيد درباره ما بگوييد كه هرگز به حقيقت ما دست نيابيد</w:t>
      </w:r>
      <w:r>
        <w:rPr>
          <w:rFonts w:eastAsia="IRNazanin" w:cs="IRNazanin"/>
          <w:color w:val="111111"/>
          <w:sz w:val="28"/>
          <w:szCs w:val="28"/>
          <w:rtl w:val="true"/>
          <w:lang w:bidi="fa-IR"/>
        </w:rPr>
        <w:t>»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صالح‌بن‌سهل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مطالبى را كه غاليان مى‌گويند، بر زبان </w:t>
      </w:r>
      <w:bookmarkStart w:id="21" w:name="pg1547_14432"/>
    </w:p>
    <w:p>
      <w:pPr>
        <w:pStyle w:val="BookText"/>
        <w:rPr/>
      </w:pPr>
      <w:bookmarkEnd w:id="21"/>
      <w:r>
        <w:rPr>
          <w:rFonts w:ascii="IRNazanin" w:hAnsi="IRNazanin" w:eastAsia="IRNazanin"/>
          <w:color w:val="111111"/>
          <w:sz w:val="28"/>
          <w:sz w:val="28"/>
          <w:szCs w:val="28"/>
          <w:rtl w:val="true"/>
          <w:lang w:bidi="fa-IR"/>
        </w:rPr>
        <w:t>مى‌آوردم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نگاهى افكند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برتو اى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آفريده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پروردگارى داريم كه او را مى‌پرستيم و اگر وى را نپرستيم عذابمان مى‌كند</w:t>
      </w:r>
      <w:r>
        <w:rPr>
          <w:rFonts w:eastAsia="IRNazanin" w:cs="IRNazanin"/>
          <w:color w:val="111111"/>
          <w:sz w:val="28"/>
          <w:szCs w:val="28"/>
          <w:rtl w:val="true"/>
          <w:lang w:bidi="fa-IR"/>
        </w:rPr>
        <w:t>»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روايات ديگرى نيز وجود دارد كه بدان‌ها اشاره خواهد شد كه از مجموع آنها روشن مى‌شود مقصود از غلو از نگاه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ازحدگذشتن و بالابردن آنان تا مقام خدايى است؛ چنان‌كه از رواياتى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دانستن آنها نهى كرده است، مشخص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بالابردن مقام بندگى آنان، يا عقيده به سپرده‌شدن كار بندگان به دست آنان، يا قائل‌شدن به پيامبرى آنها و نظير اين تعبيرات نهى كرده، كه نشانگر فراتردانستن آن جايگاهى است كه براى ايشان ثابت است</w:t>
      </w:r>
      <w:r>
        <w:rPr>
          <w:rFonts w:eastAsia="IRNazanin" w:cs="IRNazanin"/>
          <w:color w:val="111111"/>
          <w:sz w:val="28"/>
          <w:szCs w:val="28"/>
          <w:rtl w:val="true"/>
          <w:lang w:bidi="fa-IR"/>
        </w:rPr>
        <w:t>.</w:t>
      </w:r>
    </w:p>
    <w:p>
      <w:pPr>
        <w:pStyle w:val="Heading3"/>
        <w:numPr>
          <w:ilvl w:val="2"/>
          <w:numId w:val="1"/>
        </w:numPr>
        <w:rPr/>
      </w:pPr>
      <w:bookmarkStart w:id="22" w:name="__RefHeading___Toc610200_3650668749"/>
      <w:bookmarkStart w:id="23" w:name="_Toc8"/>
      <w:bookmarkEnd w:id="22"/>
      <w:r>
        <w:rPr>
          <w:rtl w:val="true"/>
        </w:rPr>
        <w:t>غلو در سخنان علماى برجسته اسلام</w:t>
      </w:r>
      <w:bookmarkEnd w:id="23"/>
    </w:p>
    <w:p>
      <w:pPr>
        <w:pStyle w:val="BookText"/>
        <w:rPr/>
      </w:pPr>
      <w:r>
        <w:rPr>
          <w:rFonts w:ascii="IRNazanin" w:hAnsi="IRNazanin" w:eastAsia="IRNazanin"/>
          <w:color w:val="111111"/>
          <w:sz w:val="28"/>
          <w:sz w:val="28"/>
          <w:szCs w:val="28"/>
          <w:rtl w:val="true"/>
          <w:lang w:bidi="fa-IR"/>
        </w:rPr>
        <w:t>غلو در سخنان برخى از دانشمندان شيعه و سنى تعريف شده است؛ براى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غلو، همان ازحدگذشتن، و بيرون رفتن از اعتدال، و زياده‌روى كردن در حق پيامبران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14"/>
      </w:r>
      <w:r>
        <w:rPr>
          <w:rFonts w:ascii="IRNazanin" w:hAnsi="IRNazanin" w:eastAsia="IRNazanin"/>
          <w:color w:val="111111"/>
          <w:sz w:val="28"/>
          <w:sz w:val="28"/>
          <w:szCs w:val="28"/>
          <w:rtl w:val="true"/>
          <w:lang w:bidi="fa-IR"/>
        </w:rPr>
        <w:t>وى در ذيل آيه لا تَغْلُوا فِى دِينِكُمْ مى‌گويد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متعال ازحدگذشتن در مورد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نهى كرده است و از اعتدال بيرون‌رفتن، برحذرداشته، و ادعاى مسيحيان درباره عيسى را به دليل گذشتن از حد، غلو دانسته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غلو به لحاظ مرتبه الوهيت و خدايى است و گاهى به لحاظ مرتبه نبوت، و گاهى به لحاظ شئون ديگرى است كه به صفات خالق و افعال او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به لحاظ مرتبه الوهيت آن است كه گاهى شخصى تصور مى‌كند آن كه در حقش غلو كرده، همان خداى متعال است و گاهى عقيده دارد كه او غير از خداى واجب‌الوجود است، اما در خدايى و شايستگى پرستش به نحو عَرضى يا طولى با خدا شريك است و گاهى بر اين عقيده است كه خدا در آن غير، حلول كرده و با او متحد و يكى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اين‌موارد كفر است؛ مورد نخست كه انكار خدا و دومين مورد، انكار يگانگى اوست و مورد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بدين‌علت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حلول و اتحاد به ادعاى خدايى غير خدا باز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غلو به لحاظ مرتبه نبوت اين است كه غالى تصور كند كسى كه در حقش غلو كرده، از پيامبر برتر است، يا حلقه وصل بين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متعال است، يا به‌گونه‌اى با پيامبر مساوى است كه رسالت پيامبر شامل وى نمى‌باشد، و همه اين‌موارد</w:t>
      </w:r>
    </w:p>
    <w:p>
      <w:pPr>
        <w:pStyle w:val="BookText"/>
        <w:rPr/>
      </w:pPr>
      <w:r>
        <w:rPr>
          <w:rFonts w:ascii="IRNazanin" w:hAnsi="IRNazanin" w:eastAsia="IRNazanin"/>
          <w:color w:val="111111"/>
          <w:sz w:val="28"/>
          <w:sz w:val="28"/>
          <w:szCs w:val="28"/>
          <w:rtl w:val="true"/>
          <w:lang w:bidi="fa-IR"/>
        </w:rPr>
        <w:t xml:space="preserve">موجب كفر است؛ زيرا با مفهوم ثابت شهادت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أن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متشرعان، منافات دارد؛ زيرا مفهوم مسلّم اين جمله آن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استثنا به‌سوى همه مكلفان فرستاده 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غلو به لحاظ صفات و افعال، به معناى نسبت‌دادن صفت يا فعلى به شخصى است كه در حد و شايستگى آن صفت يا آن فعل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اختصاص اين صفت‌يا فعل به خداى متعال، از </w:t>
      </w:r>
    </w:p>
    <w:p>
      <w:pPr>
        <w:pStyle w:val="BookText"/>
        <w:rPr/>
      </w:pPr>
      <w:r>
        <w:rPr>
          <w:rFonts w:ascii="Amiri" w:hAnsi="Amiri" w:eastAsia="Amiri" w:cs="Amiri"/>
          <w:color w:val="111111"/>
          <w:sz w:val="28"/>
          <w:sz w:val="28"/>
          <w:szCs w:val="28"/>
          <w:rtl w:val="true"/>
          <w:lang w:bidi="ar-SA"/>
        </w:rPr>
        <w:t>ضروريات دين به شمار آيد، اين غلو در حوزه انكار ضرورى دين وارد شده است</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غاليان كسانى هستند كه در حق امامانشان غلو كردند؛ به‌گونه‌اى كه آنان را از حد مخلوق بودن بيرون برده و احكام خدايى را در مورد ايشان عنوان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بسا يكى از امامان را تشبيه به خدا، يا خدا را به خلق تشبيه كردند كه يا غلو مى‌كنند يا كوتاهى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شبهات آنان از مذاهب حلولى و تناسخى و يهود و مسيحيان است؛ زيرا يهوديان آفريدگار را به مخلوق و مسيحيان مخلوق را به آفريدگار تشبيه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شبهات به اذهان غاليان شيعه سرايت نمود تا در حق برخى از امامان، احكام خدايى صادر كردند</w:t>
      </w:r>
      <w:r>
        <w:rPr>
          <w:rFonts w:eastAsia="IRNazanin" w:cs="IRNazanin"/>
          <w:color w:val="111111"/>
          <w:sz w:val="28"/>
          <w:szCs w:val="28"/>
          <w:rtl w:val="true"/>
          <w:lang w:bidi="fa-IR"/>
        </w:rPr>
        <w:t xml:space="preserve">. </w:t>
      </w:r>
      <w:r>
        <w:rPr>
          <w:rStyle w:val="FootnoteAnchor"/>
          <w:rtl w:val="true"/>
        </w:rPr>
        <w:footnoteReference w:id="17"/>
      </w:r>
      <w:bookmarkStart w:id="24" w:name="pg1547_14435"/>
    </w:p>
    <w:p>
      <w:pPr>
        <w:pStyle w:val="Heading2"/>
        <w:numPr>
          <w:ilvl w:val="1"/>
          <w:numId w:val="1"/>
        </w:numPr>
        <w:rPr/>
      </w:pPr>
      <w:bookmarkStart w:id="25" w:name="__RefHeading___Toc610202_3650668749"/>
      <w:bookmarkStart w:id="26" w:name="_Toc9"/>
      <w:bookmarkEnd w:id="24"/>
      <w:bookmarkEnd w:id="25"/>
      <w:r>
        <w:rPr>
          <w:rtl w:val="true"/>
        </w:rPr>
        <w:t>پيدايش و پيشينه‌غلو</w:t>
      </w:r>
      <w:bookmarkEnd w:id="26"/>
    </w:p>
    <w:p>
      <w:pPr>
        <w:pStyle w:val="Heading3"/>
        <w:numPr>
          <w:ilvl w:val="2"/>
          <w:numId w:val="1"/>
        </w:numPr>
        <w:rPr/>
      </w:pPr>
      <w:bookmarkStart w:id="27" w:name="__RefHeading___Toc610204_3650668749"/>
      <w:bookmarkStart w:id="28" w:name="_Toc10"/>
      <w:bookmarkEnd w:id="27"/>
      <w:r>
        <w:rPr>
          <w:rtl w:val="true"/>
        </w:rPr>
        <w:t>اشاره</w:t>
      </w:r>
      <w:bookmarkEnd w:id="28"/>
    </w:p>
    <w:p>
      <w:pPr>
        <w:pStyle w:val="BookText"/>
        <w:rPr/>
      </w:pPr>
      <w:r>
        <w:rPr>
          <w:rFonts w:ascii="Amiri" w:hAnsi="Amiri" w:eastAsia="Amiri" w:cs="Amiri"/>
          <w:color w:val="111111"/>
          <w:sz w:val="28"/>
          <w:sz w:val="28"/>
          <w:szCs w:val="28"/>
          <w:rtl w:val="true"/>
          <w:lang w:bidi="ar-SA"/>
        </w:rPr>
        <w:t>براى آشنايى بيشتر با مسئله غلو مى‌توان برخى از عوامل و ريشه‌هاى آن را به شرح زير برشمرد</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610206_3650668749"/>
      <w:bookmarkStart w:id="30" w:name="_Toc11"/>
      <w:bookmarkEnd w:id="29"/>
      <w:r>
        <w:rPr>
          <w:rtl w:val="true"/>
        </w:rPr>
        <w:t>نخستين منشأ</w:t>
      </w:r>
      <w:r>
        <w:rPr>
          <w:rtl w:val="true"/>
        </w:rPr>
        <w:t xml:space="preserve">: </w:t>
      </w:r>
      <w:r>
        <w:rPr>
          <w:rtl w:val="true"/>
        </w:rPr>
        <w:t>اهداف سياسى</w:t>
      </w:r>
      <w:bookmarkEnd w:id="30"/>
    </w:p>
    <w:p>
      <w:pPr>
        <w:pStyle w:val="BookText"/>
        <w:rPr/>
      </w:pPr>
      <w:r>
        <w:rPr>
          <w:rFonts w:ascii="IRNazanin" w:hAnsi="IRNazanin" w:eastAsia="IRNazanin"/>
          <w:color w:val="111111"/>
          <w:sz w:val="28"/>
          <w:sz w:val="28"/>
          <w:szCs w:val="28"/>
          <w:rtl w:val="true"/>
          <w:lang w:bidi="fa-IR"/>
        </w:rPr>
        <w:t xml:space="preserve">شايد دور از حقيقت نباشد كه بگوييم عامل اساسى در پيدايش غلو، همان اغراض و اهداف سياسى و چيره‌شدن بر مردم است؛ به‌گونه‌اى كه اين عامل باعث شده است بسيارى از حاكمان براى كاستن جايگاه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مردم تلاش كنند و به ايشان تهمت‌هايى بزنند؛ مانند خدايى آنان و توصيفشان به برخى صفات خدايى و صفاتى كه از توان بشر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اين‌امور براى كاستن منزلت و مقام آنان، و به انگيزه پراكندن مردم از پيرامون ايشان انجام مى‌پذيرفت؛ زيرا همان‌گونه كه روشن است، اجتماع مردم پيرامون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قدرت حاكمان مسلط بر مردم را تهديد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برجسته‌ترين روش‌هاى حاكمان در ترويج غلو، واردكردن برخى غاليان و نفوذدادن آنان ميان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صفوف مسلمانان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اسد حيدر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بزرگ‌ترين مصيبت شيعه تحميل فرقه‌هاى غاليان و نسبت‌دادن آنها به ايشان است، و مى‌توانم ثابت كنم كه سياست از اين فرقه‌هاى گمراه، پشتيبانى، و راه نفوذ را براى آنها تسهيل كرد تا به اهدافشان، يعنى ناسزاگويى به شيعه دست يابند و از كرامت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بكاهند؛ چراكه هرگز نمى‌توانستند به عقايد شيعه ضربه بزنند يا اندكى از ارج و مقام آنان بكاهند، و اين موضوع كاملاً واضح است؛ چون در مذهب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بيهوده راه ندارد و آموزه‌هاى آنها محور نظام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ورود غاليان در صفوف شيعه حركتى سياسى بود كه از سويى، عواملى آن را ايجاد كرده بود و از ديگر سو، اسلام را مورد هدف قرار داده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سخن خود، پرده از اين پديده برداشته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ما در فضايل ما اخبارى را جعل كرده، و آنها را بر سه قسم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غلو و دوم كوتاهى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سوم، تصريح به عيب‌ها و سرزنش 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درباره ما غلو مى‌شنوند، شيعيان ما را تكفير مى‌كنند و اعتقاد به ربوبيت ما را به آنها نسبت مى‌دهند و آن‌گاه كه كوتاهى را مى‌شنوند، آن را درباره ما باور مى‌كنند و هرگاه عيب‌ها و بدگويى‌هاى دشمنان ما را با تصريح به نامشان مى‌شنوند، با نام بردن از ما نسبت به ما بدگويى</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عزوجل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غير از </w:t>
      </w:r>
      <w:bookmarkStart w:id="31" w:name="pg1547_14437"/>
    </w:p>
    <w:p>
      <w:pPr>
        <w:pStyle w:val="BookText"/>
        <w:rPr/>
      </w:pPr>
      <w:bookmarkEnd w:id="31"/>
      <w:r>
        <w:rPr>
          <w:rFonts w:ascii="Amiri" w:hAnsi="Amiri" w:eastAsia="Amiri" w:cs="Amiri"/>
          <w:color w:val="111111"/>
          <w:sz w:val="28"/>
          <w:sz w:val="28"/>
          <w:szCs w:val="28"/>
          <w:rtl w:val="true"/>
          <w:lang w:bidi="ar-SA"/>
        </w:rPr>
        <w:t xml:space="preserve">خدا را مى‌خوانند، دشنام ندهيد؛ مبادا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جهل، خدا را دشنام دهند</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 xml:space="preserve">و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اهل‌بيت، راستگويانيم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دروغگويان كسانى‌اند كه نسبت دروغ به ما مى‌دهند و با دروغشان راستى ما را نزد مردم خدشه‌دار مى‌كنند</w:t>
      </w:r>
      <w:r>
        <w:rPr>
          <w:rFonts w:eastAsia="IRNazanin" w:cs="IRNazanin"/>
          <w:color w:val="111111"/>
          <w:sz w:val="28"/>
          <w:szCs w:val="28"/>
          <w:rtl w:val="true"/>
          <w:lang w:bidi="fa-IR"/>
        </w:rPr>
        <w:t xml:space="preserve">» .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روزى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يارانش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مغيرۀ‌بن‌سعيد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كند و خدا لعنت كند آن زن يهودى را كه مغيره نزد او آمدوشد داشت و از وى سحر و شعبده و تزوير مى‌آموخت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بر پدرم دروغ بست و ازاين‌رو خدا ايمان او را گرفت و گروهى بر من دروغ بستند، چرا چنين مى‌كنند؟ خداوند حرارت آهن گداخته را به آنان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بندگان خدايى هستيم كه ما را آفريده و برگزيده است و بر هيچ سود و زيانى قادر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ما را مورد رحمت قرار دهد، به‌خاطر مرحمت اوست و اگر كيفر دهد، به‌خاطر گناهانمان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خدا حجتى نداريم و خدا برائتى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مى‌ميريم و دفن مى‌شويم و برانگيخته مى‌گرديم</w:t>
      </w:r>
      <w:r>
        <w:rPr>
          <w:rFonts w:eastAsia="IRNazanin" w:cs="IRNazanin"/>
          <w:color w:val="111111"/>
          <w:sz w:val="28"/>
          <w:szCs w:val="28"/>
          <w:rtl w:val="true"/>
          <w:lang w:bidi="fa-IR"/>
        </w:rPr>
        <w:t>. . . .</w:t>
      </w:r>
      <w:r>
        <w:rPr>
          <w:rStyle w:val="FootnoteAnchor"/>
          <w:rtl w:val="true"/>
        </w:rPr>
        <w:footnoteReference w:id="22"/>
      </w:r>
    </w:p>
    <w:p>
      <w:pPr>
        <w:pStyle w:val="Heading3"/>
        <w:numPr>
          <w:ilvl w:val="2"/>
          <w:numId w:val="1"/>
        </w:numPr>
        <w:rPr/>
      </w:pPr>
      <w:bookmarkStart w:id="32" w:name="__RefHeading___Toc610208_3650668749"/>
      <w:bookmarkStart w:id="33" w:name="_Toc12"/>
      <w:bookmarkEnd w:id="32"/>
      <w:r>
        <w:rPr>
          <w:rtl w:val="true"/>
        </w:rPr>
        <w:t>دومين منشأ</w:t>
      </w:r>
      <w:r>
        <w:rPr>
          <w:rtl w:val="true"/>
        </w:rPr>
        <w:t xml:space="preserve">: </w:t>
      </w:r>
      <w:r>
        <w:rPr>
          <w:rtl w:val="true"/>
        </w:rPr>
        <w:t>آزمندى‌هاى شخصى</w:t>
      </w:r>
      <w:bookmarkEnd w:id="33"/>
    </w:p>
    <w:p>
      <w:pPr>
        <w:pStyle w:val="BookText"/>
        <w:rPr/>
      </w:pPr>
      <w:r>
        <w:rPr>
          <w:rFonts w:ascii="Amiri" w:hAnsi="Amiri" w:eastAsia="Amiri" w:cs="Amiri"/>
          <w:color w:val="111111"/>
          <w:sz w:val="28"/>
          <w:sz w:val="28"/>
          <w:szCs w:val="28"/>
          <w:rtl w:val="true"/>
          <w:lang w:bidi="ar-SA"/>
        </w:rPr>
        <w:t xml:space="preserve">از نمونه‌هاى اين منشأ، مى‌توان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محمدبن‌نصير فهرى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حسن‌بن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 برد كه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رسوا كرد؛ چنان‌كه در </w:t>
      </w:r>
      <w:bookmarkStart w:id="34" w:name="pg1547_14438"/>
    </w:p>
    <w:p>
      <w:pPr>
        <w:pStyle w:val="BookText"/>
        <w:rPr/>
      </w:pPr>
      <w:bookmarkEnd w:id="34"/>
      <w:r>
        <w:rPr>
          <w:rFonts w:ascii="Amiri" w:hAnsi="Amiri" w:eastAsia="Amiri" w:cs="Amiri"/>
          <w:color w:val="111111"/>
          <w:sz w:val="28"/>
          <w:sz w:val="28"/>
          <w:szCs w:val="28"/>
          <w:rtl w:val="true"/>
          <w:lang w:bidi="ar-SA"/>
        </w:rPr>
        <w:t xml:space="preserve">نامه آن حضرت خطاب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بن باباى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پيشگاه خدا بيزارى مى‌جويم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نيز از آنها بيزارى 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همه پيروانم را از آنها برحذر مى‌دارم و من لعنت خدا را نثارشان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ما از مردم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فتنه‌گر و آزاررسانند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بيازارد و در فتنه فرو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 است كه من او را به پيامبرى فرستاده‌ام و او باب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او را به تمسخر گرفته و گمراهش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كسى كه اين گمراهى را از او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توانستى كه سرش را با سنگ بشكنى اين كار را انجام بده؛ چراكه او مرا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دنيا و آخرت او را بيازارد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اين سخنان بدين‌علت است كه آن دو، از غاليان بزرگ بودند؛ به‌گونه‌اى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محمدبن‌نصير فهرى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كرد كه پيامبر و فرستاده است و امام‌هادى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پيامبرى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درباره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تناسخ و غلو اعتقاد داشت</w:t>
      </w:r>
      <w:r>
        <w:rPr>
          <w:rFonts w:eastAsia="IRNazanin" w:cs="IRNazanin"/>
          <w:color w:val="111111"/>
          <w:sz w:val="28"/>
          <w:szCs w:val="28"/>
          <w:rtl w:val="true"/>
          <w:lang w:bidi="fa-IR"/>
        </w:rPr>
        <w:t>.</w:t>
      </w:r>
    </w:p>
    <w:p>
      <w:pPr>
        <w:pStyle w:val="Heading3"/>
        <w:numPr>
          <w:ilvl w:val="2"/>
          <w:numId w:val="1"/>
        </w:numPr>
        <w:rPr/>
      </w:pPr>
      <w:bookmarkStart w:id="35" w:name="__RefHeading___Toc610210_3650668749"/>
      <w:bookmarkStart w:id="36" w:name="_Toc13"/>
      <w:bookmarkEnd w:id="35"/>
      <w:r>
        <w:rPr>
          <w:rtl w:val="true"/>
        </w:rPr>
        <w:t>سومين منشأ</w:t>
      </w:r>
      <w:r>
        <w:rPr>
          <w:rtl w:val="true"/>
        </w:rPr>
        <w:t xml:space="preserve">: </w:t>
      </w:r>
      <w:r>
        <w:rPr>
          <w:rtl w:val="true"/>
        </w:rPr>
        <w:t>عقب‌ماندگى فكرى</w:t>
      </w:r>
      <w:bookmarkEnd w:id="36"/>
    </w:p>
    <w:p>
      <w:pPr>
        <w:pStyle w:val="BookText"/>
        <w:rPr/>
      </w:pPr>
      <w:r>
        <w:rPr>
          <w:rFonts w:ascii="IRNazanin" w:hAnsi="IRNazanin" w:eastAsia="IRNazanin"/>
          <w:color w:val="111111"/>
          <w:sz w:val="28"/>
          <w:sz w:val="28"/>
          <w:szCs w:val="28"/>
          <w:rtl w:val="true"/>
          <w:lang w:bidi="fa-IR"/>
        </w:rPr>
        <w:t xml:space="preserve">ناآگاهى و نداشتن توانايى فهم حقيقت بندگى، حيرت برابر كرامت‌هاى پيامبران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ناتوانى تشخيص و بررسى احاديثى كه تزويرگران جعل كرده‌اند، از عوامل زمينه‌ساز غلو است كه</w:t>
      </w:r>
    </w:p>
    <w:p>
      <w:pPr>
        <w:pStyle w:val="BookText"/>
        <w:rPr/>
      </w:pPr>
      <w:r>
        <w:rPr>
          <w:rFonts w:ascii="IRNazanin" w:hAnsi="IRNazanin" w:eastAsia="IRNazanin"/>
          <w:color w:val="111111"/>
          <w:sz w:val="28"/>
          <w:sz w:val="28"/>
          <w:szCs w:val="28"/>
          <w:rtl w:val="true"/>
          <w:lang w:bidi="fa-IR"/>
        </w:rPr>
        <w:t xml:space="preserve">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پاسخ كسى تبيين فرمود كه گفت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غاليان مدعى‌اند آن‌گاه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w:t>
      </w:r>
    </w:p>
    <w:p>
      <w:pPr>
        <w:pStyle w:val="BookText"/>
        <w:rPr/>
      </w:pPr>
      <w:r>
        <w:rPr>
          <w:rFonts w:ascii="IRNazanin" w:hAnsi="IRNazanin" w:eastAsia="IRNazanin"/>
          <w:color w:val="111111"/>
          <w:sz w:val="28"/>
          <w:sz w:val="28"/>
          <w:szCs w:val="28"/>
          <w:rtl w:val="true"/>
          <w:lang w:bidi="fa-IR"/>
        </w:rPr>
        <w:t xml:space="preserve">معجزاتى را بروز داد كه غير از خدا كسى قادر بر انجام‌دادن آنها نبود، خود دلالت دارد كه او خداست و هنگامى‌كه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ويژگى آفريدگان ناتوان برايشان آشكار شد، آنان را به اشتباه انداخته و آزموده است تا او را خوب بشناسند و ايمانشان به او از روى اختيار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اين گروه كافر و گمراه، از نادانى و جهلشان، در حد و اندازه خودشان سرچشمه مى‌گيرد؛ به‌گونه‌اى كه موجب شگفتى و مدح و تعظيمشان از آن گشته است و نسبت به نظريات فاسدشان استبداد ورزيدند و به عقل‌هاى قاصر و كوتاهشان بسنده كردند و راه غير واجب را پيمودند تا جايى كه مقام خدا را كوچك شمردند و امر او را تحقيركردند و جايگاه پرشكوهش را خوار شمردند؛ زيرا آنان نمى‌دانند كه خداوند خود، قادر و بى‌نياز است و قدرت و غنايش را از ديگرى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را بخواهد، نيازمند، و هركس را بخواهد بى‌نياز مى‌گرداند و هركس را بخواهد پس از قدرت، ناتوان، و پس از بى‌نيازى، نيازمند مى‌گرداند</w:t>
      </w:r>
      <w:r>
        <w:rPr>
          <w:rFonts w:eastAsia="IRNazanin" w:cs="IRNazanin"/>
          <w:color w:val="111111"/>
          <w:sz w:val="28"/>
          <w:szCs w:val="28"/>
          <w:rtl w:val="true"/>
          <w:lang w:bidi="fa-IR"/>
        </w:rPr>
        <w:t>.</w:t>
      </w:r>
      <w:r>
        <w:rPr>
          <w:rStyle w:val="FootnoteAnchor"/>
          <w:rtl w:val="true"/>
        </w:rPr>
        <w:footnoteReference w:id="2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شيوه‌هاى ديگرى نيز وجود دارد كه موجب پيدايش غلو شده است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1547_14441"/>
      <w:bookmarkStart w:id="38" w:name="pg1547_14441"/>
      <w:bookmarkEnd w:id="38"/>
    </w:p>
    <w:p>
      <w:pPr>
        <w:pStyle w:val="Heading2"/>
        <w:numPr>
          <w:ilvl w:val="1"/>
          <w:numId w:val="1"/>
        </w:numPr>
        <w:rPr/>
      </w:pPr>
      <w:bookmarkStart w:id="39" w:name="pg1547_14441"/>
      <w:bookmarkStart w:id="40" w:name="__RefHeading___Toc610212_3650668749"/>
      <w:bookmarkStart w:id="41" w:name="_Toc14"/>
      <w:bookmarkEnd w:id="39"/>
      <w:bookmarkEnd w:id="40"/>
      <w:r>
        <w:rPr>
          <w:rtl w:val="true"/>
        </w:rPr>
        <w:t>سخن غاليان درباره اهل‌بيت</w:t>
      </w:r>
      <w:r>
        <w:rPr>
          <w:rtl w:val="true"/>
        </w:rPr>
        <w:t>:</w:t>
      </w:r>
      <w:bookmarkEnd w:id="41"/>
    </w:p>
    <w:p>
      <w:pPr>
        <w:pStyle w:val="Heading3"/>
        <w:numPr>
          <w:ilvl w:val="2"/>
          <w:numId w:val="1"/>
        </w:numPr>
        <w:rPr/>
      </w:pPr>
      <w:bookmarkStart w:id="42" w:name="__RefHeading___Toc610214_3650668749"/>
      <w:bookmarkStart w:id="43" w:name="_Toc15"/>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 xml:space="preserve">ادعاها و سخنان غاليان درباره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گوناگون است؛ مانند ادعاى خدايى، پيامبرى، تفويض، تناسخ ارواح آنان يا حلول و سخنانى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مى‌كوشيم با موارد مهم اين گفته‌ها آشنا شويم و به نقد و بررسى آنها بپردازيم</w:t>
      </w:r>
      <w:r>
        <w:rPr>
          <w:rFonts w:eastAsia="IRNazanin" w:cs="IRNazanin"/>
          <w:color w:val="111111"/>
          <w:sz w:val="28"/>
          <w:szCs w:val="28"/>
          <w:rtl w:val="true"/>
          <w:lang w:bidi="fa-IR"/>
        </w:rPr>
        <w:t>:</w:t>
      </w:r>
    </w:p>
    <w:p>
      <w:pPr>
        <w:pStyle w:val="Heading3"/>
        <w:numPr>
          <w:ilvl w:val="2"/>
          <w:numId w:val="1"/>
        </w:numPr>
        <w:rPr/>
      </w:pPr>
      <w:bookmarkStart w:id="44" w:name="__RefHeading___Toc610216_3650668749"/>
      <w:bookmarkStart w:id="45" w:name="_Toc16"/>
      <w:bookmarkEnd w:id="44"/>
      <w:r>
        <w:rPr>
          <w:rtl w:val="true"/>
        </w:rPr>
        <w:t>گفتار نخست</w:t>
      </w:r>
      <w:r>
        <w:rPr>
          <w:rtl w:val="true"/>
        </w:rPr>
        <w:t xml:space="preserve">: </w:t>
      </w:r>
      <w:r>
        <w:rPr>
          <w:rtl w:val="true"/>
        </w:rPr>
        <w:t>ادعاى خدايى براى پيامبر و امام</w:t>
      </w:r>
      <w:bookmarkEnd w:id="45"/>
    </w:p>
    <w:p>
      <w:pPr>
        <w:pStyle w:val="BookText"/>
        <w:rPr/>
      </w:pPr>
      <w:r>
        <w:rPr>
          <w:rFonts w:ascii="Amiri" w:hAnsi="Amiri" w:eastAsia="Amiri" w:cs="Amiri"/>
          <w:color w:val="111111"/>
          <w:sz w:val="28"/>
          <w:sz w:val="28"/>
          <w:szCs w:val="28"/>
          <w:rtl w:val="true"/>
          <w:lang w:bidi="ar-SA"/>
        </w:rPr>
        <w:t xml:space="preserve">از جمله سخنان مشهور غاليان، ادعاى خدايى براى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به‌طور خاص، و براى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فرزندان آن حضرت به‌طور عام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از غاليان مدعى‌اند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خداست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تكذيب مى‌كنند و او را دشنام مى‌دهند و مى‌گويند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فرستاد تا خدايى‌اش را بيان و روشن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را براى</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خودش ادعا كرد</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از جمله آنها ابوالخطاب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محمدبن‌مقلاص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ادعا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پيامبرند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مدعى شد كه آنها خدايند و فرزندان حسن و حسين پسران خدا و دوستداران خداوند هستند</w:t>
      </w:r>
      <w:r>
        <w:rPr>
          <w:rFonts w:eastAsia="IRNazanin" w:cs="IRNazanin"/>
          <w:color w:val="111111"/>
          <w:sz w:val="28"/>
          <w:szCs w:val="28"/>
          <w:rtl w:val="true"/>
          <w:lang w:bidi="fa-IR"/>
        </w:rPr>
        <w:t>»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را چنين بيان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غاليان از جمله كسانى‌اند كه به اسلام تظاهر نمودند و به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فرزندان آن حضرت، نسبت خدايى دادند و ايشان را در فضايل دينى و دنيوى بيش از حد توصيف كردند و از اعتدال بيرون رفتند</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احمدبن‌حنبل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ربيعۀ‌بن‌ناجد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 شباهتى به عيسى است كه يهوديان نسبت به وى بغض و كينه ورزيدند؛ به‌گونه‌اى كه به مادرش بهتان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مسيحيان او را دوست داشتند و به چنان مقامى توصيف كردند كه از آن جايگاه و مقام برخوردار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من دو گروه به هلاك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ثناگويى كه درباره‌ام افراط مى‌كند و چيزهايى مى‌گويد كه در من نيست و دشمن دروغگويى كه كينه‌توزى‌اش در مورد من او را وا مى‌دارد تا به من بهتان بزند</w:t>
      </w:r>
      <w:r>
        <w:rPr>
          <w:rFonts w:eastAsia="IRNazanin" w:cs="IRNazanin"/>
          <w:color w:val="111111"/>
          <w:sz w:val="28"/>
          <w:szCs w:val="28"/>
          <w:rtl w:val="true"/>
          <w:lang w:bidi="fa-IR"/>
        </w:rPr>
        <w:t>» .</w:t>
      </w:r>
      <w:r>
        <w:rPr>
          <w:rStyle w:val="FootnoteAnchor"/>
          <w:rtl w:val="true"/>
        </w:rPr>
        <w:footnoteReference w:id="2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اين روايت صحيح است، ولى بخارى و مسلم آن را نقل نكرده‌اند</w:t>
      </w:r>
      <w:r>
        <w:rPr>
          <w:rFonts w:eastAsia="IRNazanin" w:cs="IRNazanin"/>
          <w:color w:val="111111"/>
          <w:sz w:val="28"/>
          <w:szCs w:val="28"/>
          <w:rtl w:val="true"/>
          <w:lang w:bidi="fa-IR"/>
        </w:rPr>
        <w:t xml:space="preserve">» .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ميان امت من همان مَثَل مسيح، عيسى‌بن‌مريم، است كه قوم او سه گروه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مؤمنان كه همان حواريون بودند و گروهى كه با او دشمنى ورزيدند و آنها يهود بودند و گروهى كه درباره او غلو كردند و از ايمان خارج شدند، و امت من نيز درباره تو سه گروه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طرفداران تو هستند كه همان مؤمنانند و گروهى كه دشمن تواند و آنان شكاكان‌اند و گروهى كه درباره تو غلو كنند و آنان منكران‌اند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بنابراين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بسيارى براى باطل، و محو كردن اين عقيده، به شدت با آن مقابله، و تأكيد كرده‌اند كه آنان بندگان خدايند؛ براى نمونه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درباره ما غلو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ما بندگان خداييم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فضايل ما هرچه مى‌خواهيد، بگوييد</w:t>
      </w:r>
      <w:r>
        <w:rPr>
          <w:rFonts w:eastAsia="IRNazanin" w:cs="IRNazanin"/>
          <w:color w:val="111111"/>
          <w:sz w:val="28"/>
          <w:szCs w:val="28"/>
          <w:rtl w:val="true"/>
          <w:lang w:bidi="fa-IR"/>
        </w:rPr>
        <w:t>»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همچنين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داراى پروردگارى هستيم كه شب و روز ما را پناه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مى‌پرستيم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آفريده خداوند متعال</w:t>
      </w:r>
    </w:p>
    <w:p>
      <w:pPr>
        <w:pStyle w:val="BookText"/>
        <w:rPr/>
      </w:pP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هرچه مى‌خواهيد درباره ما بگوييد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حنان‌بن‌سدير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چنين نقل مى‌كند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مدعى‌اند كه شما خداييد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چشم، مو، پوست، گوشت و خونم از اينان بيزار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رسولش از آنان بيزار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 دين </w:t>
      </w:r>
    </w:p>
    <w:p>
      <w:pPr>
        <w:pStyle w:val="BookText"/>
        <w:rPr/>
      </w:pPr>
      <w:r>
        <w:rPr>
          <w:rFonts w:ascii="IRNazanin" w:hAnsi="IRNazanin" w:eastAsia="IRNazanin"/>
          <w:color w:val="111111"/>
          <w:sz w:val="28"/>
          <w:sz w:val="28"/>
          <w:szCs w:val="28"/>
          <w:rtl w:val="true"/>
          <w:lang w:bidi="fa-IR"/>
        </w:rPr>
        <w:t>من و پدرانم نيستند و خداوند در روز قيامت كه من و آنان را گرد مى‌آورد، بر آنان خشمگين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خزانه‌داران علم خدا و مفسران وحى الهى و ما قومى معصوم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فرمانبرى از ما دستور داده، و از سرپيچى از ما نهى فرموده است، و ما حجت و برهان رسا بر كسانى هستيم كه زير آسمان و روى زمين هستند</w:t>
      </w:r>
      <w:r>
        <w:rPr>
          <w:rFonts w:eastAsia="IRNazanin" w:cs="IRNazanin"/>
          <w:color w:val="111111"/>
          <w:sz w:val="28"/>
          <w:szCs w:val="28"/>
          <w:rtl w:val="true"/>
          <w:lang w:bidi="fa-IR"/>
        </w:rPr>
        <w:t>»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صالح‌بن‌سهل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براى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خدايى كرده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اى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ما بندگان آفريده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پروردگارى داريم كه او را مى‌پرستيم و اگر او را نپرستيم، عذابمان مى‌كند</w:t>
      </w:r>
      <w:r>
        <w:rPr>
          <w:rFonts w:eastAsia="IRNazanin" w:cs="IRNazanin"/>
          <w:color w:val="111111"/>
          <w:sz w:val="28"/>
          <w:szCs w:val="28"/>
          <w:rtl w:val="true"/>
          <w:lang w:bidi="fa-IR"/>
        </w:rPr>
        <w:t>»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ابان‌بن‌عثمان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عبدالله‌بن‌سبا را لعنت كند كه درباره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خدايى كرد، با اينكه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فرمانبر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كسانى كه بر ما دروغ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درباره ما مطالبى</w:t>
      </w:r>
    </w:p>
    <w:p>
      <w:pPr>
        <w:pStyle w:val="BookText"/>
        <w:rPr/>
      </w:pPr>
      <w:r>
        <w:rPr>
          <w:rFonts w:ascii="IRNazanin" w:hAnsi="IRNazanin" w:eastAsia="IRNazanin"/>
          <w:color w:val="111111"/>
          <w:sz w:val="28"/>
          <w:sz w:val="28"/>
          <w:szCs w:val="28"/>
          <w:rtl w:val="true"/>
          <w:lang w:bidi="fa-IR"/>
        </w:rPr>
        <w:t>مى‌گويند كه ما درباره خودمان قائل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آنان به پيشگاه خدا بيزارى مى‌جوييم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به پيشگاه خدا بيزارى مى‌جوييم</w:t>
      </w:r>
      <w:r>
        <w:rPr>
          <w:rFonts w:eastAsia="IRNazanin" w:cs="IRNazanin"/>
          <w:color w:val="111111"/>
          <w:sz w:val="28"/>
          <w:szCs w:val="28"/>
          <w:rtl w:val="true"/>
          <w:lang w:bidi="fa-IR"/>
        </w:rPr>
        <w:t>»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لعنت كند كسى را كه به ما دروغ ببندد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ياد عبدالله‌بن‌سبا افتادم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موهاى‌تنم راست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ادعاى </w:t>
      </w:r>
    </w:p>
    <w:p>
      <w:pPr>
        <w:pStyle w:val="BookText"/>
        <w:rPr/>
      </w:pPr>
      <w:r>
        <w:rPr>
          <w:rFonts w:ascii="IRNazanin" w:hAnsi="IRNazanin" w:eastAsia="IRNazanin"/>
          <w:color w:val="111111"/>
          <w:sz w:val="28"/>
          <w:sz w:val="28"/>
          <w:szCs w:val="28"/>
          <w:rtl w:val="true"/>
          <w:lang w:bidi="fa-IR"/>
        </w:rPr>
        <w:t>بزرگى را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ادعايى كرد؟ خدا او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صالح خدا و برادر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تنها با اطاعت از خدا و رسولش به كرامت الهى دست يافت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اطاعت از خدا به كرامت الهى رسيد</w:t>
      </w:r>
      <w:r>
        <w:rPr>
          <w:rFonts w:eastAsia="IRNazanin" w:cs="IRNazanin"/>
          <w:color w:val="111111"/>
          <w:sz w:val="28"/>
          <w:szCs w:val="28"/>
          <w:rtl w:val="true"/>
          <w:lang w:bidi="fa-IR"/>
        </w:rPr>
        <w:t xml:space="preserve">» .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ابن‌مسكان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يكى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وى مى‌گويد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مغيرۀ‌بن‌سعيد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كند كه به پدرم دروغ مى‌بست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حرارت و گرماى آهن را بدو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كسى را كه درباره ما چيزى بگويد كه ما درباره خودمان قائل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كسى را كه بندگى خدايى كه ما را آفريده و بازگشتمان به‌سوى وى و اختيار ما به دست اوست، از ما سلب نمايد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حتى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نفى ادعاى خدايى‌شان استدلال مى‌كنند؛ چنان‌كه در روايتى چنين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كسانى كه با من هستند و ادعاى ولايتمدارى شما را دارند، ادعا مى‌كنند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خداوند، پروردگار جهانيان است</w:t>
      </w:r>
      <w:r>
        <w:rPr>
          <w:rFonts w:eastAsia="IRNazanin" w:cs="IRNazanin"/>
          <w:color w:val="111111"/>
          <w:sz w:val="28"/>
          <w:szCs w:val="28"/>
          <w:rtl w:val="true"/>
          <w:lang w:bidi="fa-IR"/>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جمله، اعضاى بدنش لرزيد و بر آنها عرق ظاهر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آنچه ستمگران مى‌گويند مقامش بس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w:t>
      </w:r>
    </w:p>
    <w:p>
      <w:pPr>
        <w:pStyle w:val="BookText"/>
        <w:rPr/>
      </w:pPr>
      <w:r>
        <w:rPr>
          <w:rFonts w:ascii="IRNazanin" w:hAnsi="IRNazanin" w:eastAsia="IRNazanin"/>
          <w:color w:val="111111"/>
          <w:sz w:val="28"/>
          <w:sz w:val="28"/>
          <w:szCs w:val="28"/>
          <w:rtl w:val="true"/>
          <w:lang w:bidi="fa-IR"/>
        </w:rPr>
        <w:t>زمره خورندگان و نوشندگان و ازدواج‌كنندگان و مخلوقى از مخلوقات نبود؟ و آيا با خضوع و خشوع در برابر خدا نماز نمى‌گزارد و در پيشگاه خدا بسيار توبه‌كننده نبود؟ آيا كسى كه چنين ويژگى دارد خداست؟ اگر او با اين ويژگى، خدا باشد، هريك از شما نيز خداييد؛ زيرا در چنين ويژگى‌هايى كه دلالت بر حدوث هر موصوفى به آن مى‌كند، با او شريك هستيد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مرد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مدعى‌اند وقتى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معجزاتى را بروز داد كه غير از خدا كسى قادر بر انجام دادن آنها نيست، خود دلالت مى‌كند كه او خداست، و آن‌گاه كه حضرت با صفات مخلوقاتِ ناتوان براى مردم آشكار شد، آنان را به شك انداخت و آزمود تا او را خوب بشناسند و ايمانشان به وى از سرِ اختيار از جانب خودشان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نكته‌اى كه اينجا مطرح مى‌شود اين است كه آنها بركنار و جداى از اين مطلب نيستند كه فردى همين عقيده را بر آنها برگردانده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نادارى ظاهر مى‌شود، دلالت دارد فردى</w:t>
      </w:r>
    </w:p>
    <w:p>
      <w:pPr>
        <w:pStyle w:val="BookText"/>
        <w:rPr/>
      </w:pPr>
      <w:r>
        <w:rPr>
          <w:rFonts w:ascii="IRNazanin" w:hAnsi="IRNazanin" w:eastAsia="IRNazanin"/>
          <w:color w:val="111111"/>
          <w:sz w:val="28"/>
          <w:sz w:val="28"/>
          <w:szCs w:val="28"/>
          <w:rtl w:val="true"/>
          <w:lang w:bidi="fa-IR"/>
        </w:rPr>
        <w:t>كه داراى اين ويژگى‌هاست و افراد ضعيف و نيازمند نيز مانند اويند، ديگر عمل و كردار او معجزه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همين‌جا دريابد كسى كه آن معجزات را ظاهر ساخته، تنها از جانب قادر و توانايى بوده كه هيچ‌گونه شباهتى به آفريدگان نداشته است، نه كار آفريده‌اى باشد كه در صفات ضعف و ناتوانى با ديگر ضعيفان، شريك است</w:t>
      </w:r>
      <w:r>
        <w:rPr>
          <w:rFonts w:eastAsia="IRNazanin" w:cs="IRNazanin"/>
          <w:color w:val="111111"/>
          <w:sz w:val="28"/>
          <w:szCs w:val="28"/>
          <w:rtl w:val="true"/>
          <w:lang w:bidi="fa-IR"/>
        </w:rPr>
        <w:t>.</w:t>
      </w:r>
      <w:r>
        <w:rPr>
          <w:rStyle w:val="FootnoteAnchor"/>
          <w:rtl w:val="true"/>
        </w:rPr>
        <w:footnoteReference w:id="3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اينجا لازم است به اين سخن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شود كه مقصود از </w:t>
      </w:r>
    </w:p>
    <w:p>
      <w:pPr>
        <w:pStyle w:val="BookText"/>
        <w:rPr/>
      </w:pPr>
      <w:r>
        <w:rPr>
          <w:rFonts w:ascii="IRNazanin" w:hAnsi="IRNazanin" w:eastAsia="IRNazanin"/>
          <w:color w:val="111111"/>
          <w:sz w:val="28"/>
          <w:sz w:val="28"/>
          <w:szCs w:val="28"/>
          <w:rtl w:val="true"/>
          <w:lang w:bidi="fa-IR"/>
        </w:rPr>
        <w:t>اينكه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مى‌خواهيد درباره ما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كه هر چيزى درباره آنان گفته شود؛ حتى اگر با قواعد عقلى و نصوص قطعى و حقايق طبيعى سازگار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منظور اين است كه كمالات و مقامات آنان بى‌شمار است و چنان‌كه گذشت، برخى از آنها فراتر از فهم عقول و ادراكات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بعضى روايات اين عبارت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بدان نمى‌رسيد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فراتر از بندگى ندانيد، آن‌گاه هرچه مى‌خواهيد درباره ما بگوييد</w:t>
      </w:r>
      <w:r>
        <w:rPr>
          <w:rFonts w:eastAsia="IRNazanin" w:cs="IRNazanin"/>
          <w:color w:val="111111"/>
          <w:sz w:val="28"/>
          <w:szCs w:val="28"/>
          <w:rtl w:val="true"/>
          <w:lang w:bidi="fa-IR"/>
        </w:rPr>
        <w:t>»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جاى ديگر نيز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معرفى خود به ابوذر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خداوند عزوجل و جانشين او بر بندگانش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ارباب و پروردگار خود ندانيد، آن‌گاه در فضيلت ما هرچه مى‌خواهيد،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به حقيقت و نهايت آنچه درباره ماست، نخواهيد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بيشتر و بزرگ‌تر از آنچه</w:t>
      </w:r>
    </w:p>
    <w:p>
      <w:pPr>
        <w:pStyle w:val="BookText"/>
        <w:rPr/>
      </w:pPr>
      <w:r>
        <w:rPr>
          <w:rFonts w:ascii="IRNazanin" w:hAnsi="IRNazanin" w:eastAsia="IRNazanin"/>
          <w:color w:val="111111"/>
          <w:sz w:val="28"/>
          <w:sz w:val="28"/>
          <w:szCs w:val="28"/>
          <w:rtl w:val="true"/>
          <w:lang w:bidi="fa-IR"/>
        </w:rPr>
        <w:t xml:space="preserve">توصيف‌كنندگان شما مى‌گويند يا بر دل هريك از شما خطور مى‌كند،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هرگاه ما را چنين شناختيد،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از اين‌رو،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پروردگارى قرار دهيد كه به‌سوى او باز 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هرچه مى‌خواهيد، درباره ما بگوييد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برايتان خدايى كه به سويش بازمى‌گرديد قرار دهيم، آن‌گاه هرچه مى‌خواهيم درباره </w:t>
      </w:r>
    </w:p>
    <w:p>
      <w:pPr>
        <w:pStyle w:val="BookText"/>
        <w:rPr/>
      </w:pPr>
      <w:r>
        <w:rPr>
          <w:rFonts w:ascii="IRNazanin" w:hAnsi="IRNazanin" w:eastAsia="IRNazanin"/>
          <w:color w:val="111111"/>
          <w:sz w:val="28"/>
          <w:sz w:val="28"/>
          <w:szCs w:val="28"/>
          <w:rtl w:val="true"/>
          <w:lang w:bidi="fa-IR"/>
        </w:rPr>
        <w:t>شما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مى‌توانم بگويم آنچه از علم ما براى شما نمايان شد به اندازه يك الفِ كامل نيست</w:t>
      </w:r>
      <w:r>
        <w:rPr>
          <w:rFonts w:eastAsia="IRNazanin" w:cs="IRNazanin"/>
          <w:color w:val="111111"/>
          <w:sz w:val="28"/>
          <w:szCs w:val="28"/>
          <w:rtl w:val="true"/>
          <w:lang w:bidi="fa-IR"/>
        </w:rPr>
        <w:t xml:space="preserve">» . </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اين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ألفاً غير معطوفۀ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نصف حرف، كه كنايه از نهايت اندك است؛ زيرا نصف ألف در خط كوفى، مستقيم و نصف ديگرش معطوف به اين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خميدگى دارد</w:t>
      </w:r>
      <w:r>
        <w:rPr>
          <w:rFonts w:eastAsia="IRNazanin" w:cs="IRNazanin"/>
          <w:color w:val="111111"/>
          <w:sz w:val="28"/>
          <w:szCs w:val="28"/>
          <w:rtl w:val="true"/>
          <w:lang w:bidi="fa-IR"/>
        </w:rPr>
        <w:t>»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در واقع اين گفته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ما تشريح مى‌كند كه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بيم آن نداشتم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 همان مطالبى را بگويند كه مسيحيان درباره مسيح گفتند، امروز درباره تو سخنى مى‌گفتم كه هرگاه به جمعى از مسلمانان بگذرى، خاك كفش‌ها و آب اضافه وضويت را جهت شفا برمى‌گرفتند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را كافى است كه از من</w:t>
      </w:r>
    </w:p>
    <w:p>
      <w:pPr>
        <w:pStyle w:val="BookText"/>
        <w:rPr/>
      </w:pPr>
      <w:r>
        <w:rPr>
          <w:rFonts w:ascii="IRNazanin" w:hAnsi="IRNazanin" w:eastAsia="IRNazanin"/>
          <w:color w:val="111111"/>
          <w:sz w:val="28"/>
          <w:sz w:val="28"/>
          <w:szCs w:val="28"/>
          <w:rtl w:val="true"/>
          <w:lang w:bidi="fa-IR"/>
        </w:rPr>
        <w:t>باشى و من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ارث مى‌برى و از تو ارث مى‌برم</w:t>
      </w:r>
      <w:r>
        <w:rPr>
          <w:rFonts w:eastAsia="IRNazanin" w:cs="IRNazanin"/>
          <w:color w:val="111111"/>
          <w:sz w:val="28"/>
          <w:szCs w:val="28"/>
          <w:rtl w:val="true"/>
          <w:lang w:bidi="fa-IR"/>
        </w:rPr>
        <w:t>.</w:t>
      </w:r>
      <w:r>
        <w:rPr>
          <w:rStyle w:val="FootnoteAnchor"/>
          <w:rtl w:val="true"/>
        </w:rPr>
        <w:footnoteReference w:id="4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بيهودگى ادعاى حلول خدا، يا اتحاد او با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روشن مى‌شود؛ زيرا بازگشت حلول و اتحاد، به مدعى‌شدن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براى غير خدا نيز خواهد بود؛ چون حلول و اتحاد به لحاظ عرفى، واسطه در ثبوت‌الوهيت براى غير خدايند و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 و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 به مفهوم عرفى گواهى دادن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تنها با جايگاه و تركيب مستثنى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بلكه با جايگاه مستثنى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منافات دارد؛ زيرا وجود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جايگاه مستثنى بر اساس مفهوم </w:t>
      </w:r>
      <w:bookmarkStart w:id="46" w:name="pg1547_14449"/>
    </w:p>
    <w:p>
      <w:pPr>
        <w:pStyle w:val="BookText"/>
        <w:rPr/>
      </w:pPr>
      <w:bookmarkEnd w:id="46"/>
      <w:r>
        <w:rPr>
          <w:rFonts w:ascii="IRNazanin" w:hAnsi="IRNazanin" w:eastAsia="IRNazanin"/>
          <w:color w:val="111111"/>
          <w:sz w:val="28"/>
          <w:sz w:val="28"/>
          <w:szCs w:val="28"/>
          <w:rtl w:val="true"/>
          <w:lang w:bidi="fa-IR"/>
        </w:rPr>
        <w:t xml:space="preserve">ثابتش، نفى بسيارى از ويژگى‌هاى كسى كه درباره‌اش غلو شده، نظير راه‌رفتن در بازار، خوردن و آشاميدن را شامل مى‌شود؛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داراى تمام صفات كمالى است و اين ويژگى، خوردن، آشاميدن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نفى مى‌كند</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47" w:name="__RefHeading___Toc610218_3650668749"/>
      <w:bookmarkStart w:id="48" w:name="_Toc17"/>
      <w:bookmarkEnd w:id="47"/>
      <w:r>
        <w:rPr>
          <w:rtl w:val="true"/>
        </w:rPr>
        <w:t>گفتار دوم</w:t>
      </w:r>
      <w:r>
        <w:rPr>
          <w:rtl w:val="true"/>
        </w:rPr>
        <w:t xml:space="preserve">: </w:t>
      </w:r>
      <w:r>
        <w:rPr>
          <w:rtl w:val="true"/>
        </w:rPr>
        <w:t>ادعاى نبوت براى امامان</w:t>
      </w:r>
      <w:bookmarkEnd w:id="48"/>
    </w:p>
    <w:p>
      <w:pPr>
        <w:pStyle w:val="BookText"/>
        <w:rPr/>
      </w:pPr>
      <w:r>
        <w:rPr>
          <w:rFonts w:ascii="IRNazanin" w:hAnsi="IRNazanin" w:eastAsia="IRNazanin"/>
          <w:color w:val="111111"/>
          <w:sz w:val="28"/>
          <w:sz w:val="28"/>
          <w:szCs w:val="28"/>
          <w:rtl w:val="true"/>
          <w:lang w:bidi="fa-IR"/>
        </w:rPr>
        <w:t xml:space="preserve">گروه ديگرى از غاليان براى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نبوت كرده‌اند؛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گروهى‌اند كه مدعى‌اند شما رسول هستيد و در اين‌باره اين آيه قرآن را براى ما مى‌خوانند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غذاهاى پاكيزه بخوريد و عمل صالح</w:t>
      </w:r>
    </w:p>
    <w:p>
      <w:pPr>
        <w:pStyle w:val="BookText"/>
        <w:rPr/>
      </w:pPr>
      <w:r>
        <w:rPr>
          <w:rFonts w:ascii="IRNazanin" w:hAnsi="IRNazanin" w:eastAsia="IRNazanin"/>
          <w:color w:val="111111"/>
          <w:sz w:val="28"/>
          <w:sz w:val="28"/>
          <w:szCs w:val="28"/>
          <w:rtl w:val="true"/>
          <w:lang w:bidi="fa-IR"/>
        </w:rPr>
        <w:t>انجام دهيد كه من به آنچه انجام مى‌دهيد، آگاهم</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و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پاسخ به اين گفتار با تدبير و شدت تمام اقدام كرده، و با لعنت غاليان، از آنان اعلام بيزارى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ذيلِ روايتى كه از سدير گذشت،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چشم، مو، پوست، گوشت و خون من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 است و خدا و رسولش از آنها بيزارند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پايبند به دين من و پدرانم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خدا روز قيامت، من و آنها را يك‌جا گرد نمى‌آورد، مگر اينكه بر آنان خشم گيرد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همچنين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براى پيامبران، خدايى و براى امامان، خدايى يا پيامبرى يا براى غير امامان، امامت ادعا كند، ما در دنيا و آخرت از او بيزاريم</w:t>
      </w:r>
      <w:r>
        <w:rPr>
          <w:rFonts w:eastAsia="IRNazanin" w:cs="IRNazanin"/>
          <w:color w:val="111111"/>
          <w:sz w:val="28"/>
          <w:szCs w:val="28"/>
          <w:rtl w:val="true"/>
          <w:lang w:bidi="fa-IR"/>
        </w:rPr>
        <w:t>»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بقباق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ابن‌ابى‌يعفور و معلى‌بن‌خنيس با يكديگر بحث و گفت‌وگو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ابن‌ابى‌يعفور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اوصيا، دانشمندانى نيك‌سرشت و پرهيزكارند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ابن‌خنيس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اوصيا، پيامبرند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آن دو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نشستند و آرام شدند، امام سخن آغاز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كسى كه بگويد ما پيامبريم بيزارم</w:t>
      </w:r>
      <w:r>
        <w:rPr>
          <w:rFonts w:eastAsia="IRNazanin" w:cs="IRNazanin"/>
          <w:color w:val="111111"/>
          <w:sz w:val="28"/>
          <w:szCs w:val="28"/>
          <w:rtl w:val="true"/>
          <w:lang w:bidi="fa-IR"/>
        </w:rPr>
        <w:t>»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برخى اصحاب،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بگويد ما پيامبريم،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در اين مسئله ترديد كند، لعنت خدا بر او باد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كه مدعى است ما خداييم، بيزارى مى‌جويم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او بيزار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كسى كه ادعا مى‌كند ما پيامبريم، بيزارى مى‌جويم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او بيزار باشد</w:t>
      </w:r>
      <w:r>
        <w:rPr>
          <w:rFonts w:eastAsia="IRNazanin" w:cs="IRNazanin"/>
          <w:color w:val="111111"/>
          <w:sz w:val="28"/>
          <w:szCs w:val="28"/>
          <w:rtl w:val="true"/>
          <w:lang w:bidi="fa-IR"/>
        </w:rPr>
        <w:t>!»</w:t>
      </w:r>
      <w:r>
        <w:rPr>
          <w:rStyle w:val="FootnoteAnchor"/>
          <w:rtl w:val="true"/>
        </w:rPr>
        <w:footnoteReference w:id="5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بريدبن‌معاويه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bookmarkStart w:id="49" w:name="pg1547_14451"/>
    </w:p>
    <w:p>
      <w:pPr>
        <w:pStyle w:val="BookText"/>
        <w:rPr/>
      </w:pPr>
      <w:bookmarkEnd w:id="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و منزلت شما چيست؟ و شبيه چه كسانى از گذشتگان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شبيه رفيق موسى و ذوالقرنين كه هر دو دانشمند بودند، ولى پيامبر نبودند</w:t>
      </w:r>
      <w:r>
        <w:rPr>
          <w:rFonts w:eastAsia="IRNazanin" w:cs="IRNazanin"/>
          <w:color w:val="111111"/>
          <w:sz w:val="28"/>
          <w:szCs w:val="28"/>
          <w:rtl w:val="true"/>
          <w:lang w:bidi="fa-IR"/>
        </w:rPr>
        <w:t xml:space="preserve">» . </w:t>
      </w:r>
      <w:r>
        <w:rPr>
          <w:rStyle w:val="FootnoteAnchor"/>
          <w:rtl w:val="true"/>
        </w:rPr>
        <w:footnoteReference w:id="52"/>
      </w:r>
    </w:p>
    <w:p>
      <w:pPr>
        <w:pStyle w:val="Heading3"/>
        <w:numPr>
          <w:ilvl w:val="2"/>
          <w:numId w:val="1"/>
        </w:numPr>
        <w:rPr/>
      </w:pPr>
      <w:bookmarkStart w:id="50" w:name="__RefHeading___Toc610220_3650668749"/>
      <w:bookmarkStart w:id="51" w:name="_Toc18"/>
      <w:bookmarkEnd w:id="50"/>
      <w:r>
        <w:rPr>
          <w:rtl w:val="true"/>
        </w:rPr>
        <w:t>گفتار سوم</w:t>
      </w:r>
      <w:r>
        <w:rPr>
          <w:rtl w:val="true"/>
        </w:rPr>
        <w:t xml:space="preserve">: </w:t>
      </w:r>
      <w:r>
        <w:rPr>
          <w:rtl w:val="true"/>
        </w:rPr>
        <w:t xml:space="preserve">ادعاى علم غيب براى اهل‌بيت </w:t>
      </w:r>
      <w:r>
        <w:rPr>
          <w:rtl w:val="true"/>
        </w:rPr>
        <w:t>(</w:t>
      </w:r>
      <w:r>
        <w:rPr>
          <w:rtl w:val="true"/>
        </w:rPr>
        <w:t>عليهم السلام</w:t>
      </w:r>
      <w:r>
        <w:rPr>
          <w:rtl w:val="true"/>
        </w:rPr>
        <w:t xml:space="preserve">) </w:t>
      </w:r>
      <w:r>
        <w:rPr>
          <w:rtl w:val="true"/>
        </w:rPr>
        <w:t>بدون الهام و تعليم الهى</w:t>
      </w:r>
      <w:bookmarkEnd w:id="51"/>
    </w:p>
    <w:p>
      <w:pPr>
        <w:pStyle w:val="BookText"/>
        <w:rPr/>
      </w:pPr>
      <w:r>
        <w:rPr>
          <w:rFonts w:ascii="Amiri" w:hAnsi="Amiri" w:eastAsia="Amiri" w:cs="Amiri"/>
          <w:color w:val="111111"/>
          <w:sz w:val="28"/>
          <w:sz w:val="28"/>
          <w:szCs w:val="28"/>
          <w:rtl w:val="true"/>
          <w:lang w:bidi="ar-SA"/>
        </w:rPr>
        <w:t xml:space="preserve">از سخنان غاليان درباره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ادعاى علم غيب داشتن آنان به صورت مستقل، و بدون الهام يا تعليم الهى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بيهوده بودن اين ادعا از واضحات است؛ چون روشن است كه استقلال در علم غيب، ويژه خداى متعال است و هيچ آفريده‌اى هر اندازه</w:t>
      </w:r>
    </w:p>
    <w:p>
      <w:pPr>
        <w:pStyle w:val="BookText"/>
        <w:rPr/>
      </w:pPr>
      <w:r>
        <w:rPr>
          <w:rFonts w:ascii="IRNazanin" w:hAnsi="IRNazanin" w:eastAsia="IRNazanin"/>
          <w:color w:val="111111"/>
          <w:sz w:val="28"/>
          <w:sz w:val="28"/>
          <w:szCs w:val="28"/>
          <w:rtl w:val="true"/>
          <w:lang w:bidi="fa-IR"/>
        </w:rPr>
        <w:t>هم از جايگاه والايى برخوردار، و به خدا بسيار نزديك باشد، به صورت مستقل قادر بر آگاهى از علم غيب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روشن است كه همه علوم و معارف نزد پيامبران و امامان، با تعليم و اذن خداى متعال است و محال است آنان بدون فيض الهى، مطلبى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پيامى كه بر رد غاليان، از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محمدبن‌على‌بن‌هلال كرخى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چنين آمده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محمدبن‌على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فراتر از آن است كه توصيفش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پاك و منزه و درخور ستايش است و ما در علم و قدرتش با او شريك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غيب را جز او كسى نمى‌داند؛ چنان‌كه در آيه محكم كتابش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كسانى كه در آسمان‌ها و زمين‌اند غيب نمى‌دانند مگر خداوند</w:t>
      </w:r>
      <w:r>
        <w:rPr>
          <w:rFonts w:eastAsia="IRNazanin" w:cs="IRNazanin"/>
          <w:color w:val="111111"/>
          <w:sz w:val="28"/>
          <w:szCs w:val="28"/>
          <w:rtl w:val="true"/>
          <w:lang w:bidi="fa-IR"/>
        </w:rPr>
        <w:t>» .</w:t>
      </w:r>
      <w:r>
        <w:rPr>
          <w:rStyle w:val="FootnoteAnchor"/>
          <w:rtl w:val="true"/>
        </w:rPr>
        <w:footnoteReference w:id="53"/>
      </w:r>
      <w:r>
        <w:rPr>
          <w:rFonts w:ascii="IRNazanin" w:hAnsi="IRNazanin" w:eastAsia="IRNazanin"/>
          <w:color w:val="111111"/>
          <w:sz w:val="28"/>
          <w:sz w:val="28"/>
          <w:szCs w:val="28"/>
          <w:rtl w:val="true"/>
          <w:lang w:bidi="fa-IR"/>
        </w:rPr>
        <w:t>من و همه پدرانم از شخصيت‌هاى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نوح و ابراهيم و موسى و </w:t>
      </w:r>
    </w:p>
    <w:p>
      <w:pPr>
        <w:pStyle w:val="BookText"/>
        <w:rPr/>
      </w:pPr>
      <w:r>
        <w:rPr>
          <w:rFonts w:ascii="IRNazanin" w:hAnsi="IRNazanin" w:eastAsia="IRNazanin"/>
          <w:color w:val="111111"/>
          <w:sz w:val="28"/>
          <w:sz w:val="28"/>
          <w:szCs w:val="28"/>
          <w:rtl w:val="true"/>
          <w:lang w:bidi="fa-IR"/>
        </w:rPr>
        <w:t>ديگر پيامبران و از آخرين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خدا و على بن ابى‌طالب و حسن و حسين و ديگر امامان گذشته تا آخرين روزهاى عمرم و پايان عصر من، همگى بندگان خداى عزوجل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مى‌گيرم خدايى را كه جز او معبودى نيست و گواه‌بودن وى، مرا بس است و محمد فرستاده او و فرشتگان و پيامبران و اوليايش و تو و هركه پيامم را بشنود، گواه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كسانى كه قائلند ما غيب را مى‌دانيم يا با خدا در قلمرو حاكميتش شريكيم يا ما را در جايگاهى غير از جايگاهى كه خدا ما را در آن قرار داده و براى</w:t>
      </w:r>
    </w:p>
    <w:p>
      <w:pPr>
        <w:pStyle w:val="BookText"/>
        <w:rPr/>
      </w:pPr>
      <w:r>
        <w:rPr>
          <w:rFonts w:ascii="IRNazanin" w:hAnsi="IRNazanin" w:eastAsia="IRNazanin"/>
          <w:color w:val="111111"/>
          <w:sz w:val="28"/>
          <w:sz w:val="28"/>
          <w:szCs w:val="28"/>
          <w:rtl w:val="true"/>
          <w:lang w:bidi="fa-IR"/>
        </w:rPr>
        <w:t>آن خلق نموده يا درباره ما از حدى كه در صدر پيامم بيان كردم بگذرد، به پيشگاه خدا و رسولش بيزارى مى‌جويم، و شما را گواه مى‌گيرم از هركه ما بيزارى جوييم، خدا و فرشتگان و رسولان و اوليايش از او بيزارند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پيامى را كه در اين نامه است به صورت امانت بر عهده تو و كسى كه آن را بشنود قرار دادم كه آن را از پيروان و شيعيانم كتمان نكند تا همه پيروانم از محتواى اين پيام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خداوند عزوجل آنها را هدايت كند و به دين حق بازگردند و از امورى كه پايانش را نمى‌دانند و بدان نمى‌رسند بپرهيزند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هركس نامه‌ام را دريابد و به آنچه فرمان دادم بازنگردد، لعنت خدا و بندگان شايسته خدا بر او باد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ابن‌ابى‌عمير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عبدالله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 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داشتيم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يحيى به آن حضرت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ادعا مى‌كنند كه شما غيب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سرم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موهاى سر و تنم راست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من مى‌دانم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برده‌ام</w:t>
      </w:r>
      <w:r>
        <w:rPr>
          <w:rFonts w:eastAsia="IRNazanin" w:cs="IRNazanin"/>
          <w:color w:val="111111"/>
          <w:sz w:val="28"/>
          <w:szCs w:val="28"/>
          <w:rtl w:val="true"/>
          <w:lang w:bidi="fa-IR"/>
        </w:rPr>
        <w:t>»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ازاين‌رو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بيهودگى و فسادِ گفتنِ اين كلام كه امامان، غيب مى‌دانند، آشكار است؛ زيرا اين وصف شايسته كسى است كه خود به اشيا علم دارد</w:t>
      </w:r>
    </w:p>
    <w:p>
      <w:pPr>
        <w:pStyle w:val="BookText"/>
        <w:rPr/>
      </w:pPr>
      <w:r>
        <w:rPr>
          <w:rFonts w:ascii="IRNazanin" w:hAnsi="IRNazanin" w:eastAsia="IRNazanin"/>
          <w:color w:val="111111"/>
          <w:sz w:val="28"/>
          <w:sz w:val="28"/>
          <w:szCs w:val="28"/>
          <w:rtl w:val="true"/>
          <w:lang w:bidi="fa-IR"/>
        </w:rPr>
        <w:t>نه با علمى كه از ديگرى دريافت كرده است و اين ويژگى جز بر خداى عزوجل صادق نمى‌باشد و فرقه اماميه جز تعداد اندكى از مفوضه و غاليانى كه به آنها گرايش و وابستگى دارند، همين نظريه را پذيرفته‌اند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كسانى كه در آسمان‌ها و زمين هستند غيب نمى‌دانند مگر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اين است كه گفته شود علم غيبى كه از غير خداوند عزوجل نفى شده، علمى است كه بدون واسطه براى شخص ثابت شود و چنين موضوعى براى هيچ‌يك از آسمانيان و زمينيان معقول نيست؛ زيرا آنها در ذات و صفت، موجوداتى ممكن هستند و ممكن الوجود بودن، مانع از اين است كه آنان چيزى را بدون واسطه بدانند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علمى كه براى بندگان خاص حاصل مى‌شود، از اين نوع علم </w:t>
      </w:r>
      <w:bookmarkStart w:id="52" w:name="pg1547_14454"/>
    </w:p>
    <w:p>
      <w:pPr>
        <w:pStyle w:val="BookText"/>
        <w:rPr/>
      </w:pPr>
      <w:bookmarkEnd w:id="52"/>
      <w:r>
        <w:rPr>
          <w:rFonts w:ascii="IRNazanin" w:hAnsi="IRNazanin" w:eastAsia="IRNazanin"/>
          <w:color w:val="111111"/>
          <w:sz w:val="28"/>
          <w:sz w:val="28"/>
          <w:szCs w:val="28"/>
          <w:rtl w:val="true"/>
          <w:lang w:bidi="fa-IR"/>
        </w:rPr>
        <w:t>نفى‌شده استقلالى،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قهراً بايد از ناحيه خداوند واجب‌الوجود به طريقى بر آنها افاضه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به آنها گفته نمى‌شود كه علم غيب را بدون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و هركس قائل به اين معنا باشد، قطعاً كفر 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گفته مى‌شود كه آنها بر غيب آگاه گشتند يا غيب براى آنها آشكار شد يا مانند آن، كه واسطه در ثبوت علم براى آنها فهميده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آنچه يادآورى شد اين نكته است كه در قرآن كريم اصلاً نسبت‌دادن علم غيب به غير خدا نيامده، ولى آشكارساختن غيب</w:t>
      </w:r>
    </w:p>
    <w:p>
      <w:pPr>
        <w:pStyle w:val="BookText"/>
        <w:rPr/>
      </w:pPr>
      <w:r>
        <w:rPr>
          <w:rFonts w:ascii="Amiri" w:hAnsi="Amiri" w:eastAsia="Amiri" w:cs="Amiri"/>
          <w:color w:val="111111"/>
          <w:sz w:val="28"/>
          <w:sz w:val="28"/>
          <w:szCs w:val="28"/>
          <w:rtl w:val="true"/>
          <w:lang w:bidi="ar-SA"/>
        </w:rPr>
        <w:t>براى رسولى كه خداوند سبحان از او راضى باشد آمده است</w:t>
      </w:r>
      <w:r>
        <w:rPr>
          <w:rFonts w:eastAsia="Amiri" w:cs="Amiri" w:ascii="Amiri" w:hAnsi="Amiri"/>
          <w:color w:val="111111"/>
          <w:sz w:val="28"/>
          <w:szCs w:val="28"/>
          <w:rtl w:val="true"/>
          <w:lang w:bidi="ar-SA"/>
        </w:rPr>
        <w:t>.</w:t>
      </w:r>
      <w:r>
        <w:rPr>
          <w:rStyle w:val="FootnoteAnchor"/>
          <w:rtl w:val="true"/>
        </w:rPr>
        <w:footnoteReference w:id="57"/>
      </w:r>
    </w:p>
    <w:p>
      <w:pPr>
        <w:pStyle w:val="Heading3"/>
        <w:numPr>
          <w:ilvl w:val="2"/>
          <w:numId w:val="1"/>
        </w:numPr>
        <w:rPr/>
      </w:pPr>
      <w:bookmarkStart w:id="53" w:name="__RefHeading___Toc610222_3650668749"/>
      <w:bookmarkStart w:id="54" w:name="_Toc19"/>
      <w:bookmarkEnd w:id="53"/>
      <w:r>
        <w:rPr>
          <w:rtl w:val="true"/>
        </w:rPr>
        <w:t>گفتار چهارم</w:t>
      </w:r>
      <w:r>
        <w:rPr>
          <w:rtl w:val="true"/>
        </w:rPr>
        <w:t xml:space="preserve">: </w:t>
      </w:r>
      <w:r>
        <w:rPr>
          <w:rtl w:val="true"/>
        </w:rPr>
        <w:t>اعتقاد به تناسخ ارواح امامان</w:t>
      </w:r>
      <w:bookmarkEnd w:id="54"/>
    </w:p>
    <w:p>
      <w:pPr>
        <w:pStyle w:val="BookText"/>
        <w:rPr/>
      </w:pPr>
      <w:r>
        <w:rPr>
          <w:rFonts w:ascii="IRNazanin" w:hAnsi="IRNazanin" w:eastAsia="IRNazanin"/>
          <w:color w:val="111111"/>
          <w:sz w:val="28"/>
          <w:sz w:val="28"/>
          <w:szCs w:val="28"/>
          <w:rtl w:val="true"/>
          <w:lang w:bidi="fa-IR"/>
        </w:rPr>
        <w:t>آن‌گونه كه قائلان به تناسخ، كه منكر معاد جسمانى‌اند، معتقدند، تناسخ به معناى انتقال نفس ناطقه پس از مرگ، از بدنى به بدن انسان ديگر در اين دنياست</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اين گروه‌از غاليان، مدعى‌اند ارواح امامان ميان خودشان تناسخ و انتقال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واضح است كه اين ادعا نيز از نگاه عقل و نقل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بطلان آن از جنبه عقلى به اين دليل است كه در مباحث معاد ثابت شده است كه اصل اعتقاد به تناسخ ارواح محال است؛ زيرا مستلزم ازلى‌بودن نفس انسانى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افزون بر اينكه مستلزم نامتناهى‌بودن عدد اجسام متناسخ است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اعتقاد به تناسخ در صورتى صحيح است كه نفس تدبيركننده اجساد يكى بعد از ديگرى بنابر قول به تناقل و تناسخ، ازلى باشد و همچنين به ازلى‌و غيرمتناهى‌بودن عددِ اين اجساد متناسخ قائل باشيم؛ چنان‌كه ميان معتقدان به تناسخ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براهين استوار بر محال بودن غيرمتناهى‌بودن عددِ اجساد با وجود تحقق ترتب و اجتماع در وجود، به حسب متن واقع كه از آن به ظرف زمانى و روزگار تعبير مى‌شود، قائم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حسب ظرف سيلان و تدريج و فوت و لحوق، يعنى زمان، جز</w:t>
      </w:r>
    </w:p>
    <w:p>
      <w:pPr>
        <w:pStyle w:val="BookText"/>
        <w:rPr/>
      </w:pPr>
      <w:r>
        <w:rPr>
          <w:rFonts w:ascii="IRNazanin" w:hAnsi="IRNazanin" w:eastAsia="IRNazanin"/>
          <w:color w:val="111111"/>
          <w:sz w:val="28"/>
          <w:sz w:val="28"/>
          <w:szCs w:val="28"/>
          <w:rtl w:val="true"/>
          <w:lang w:bidi="fa-IR"/>
        </w:rPr>
        <w:t>حصول تعاقبى چيزى حاصل نمى‌شود كه در اين صورت، براى سلسله اجسادى كه يكى بعد از ديگرى مى‌آيند، از جهت ازلى بودن، بايد جسد نخست را مبدأ و آغاز اين سلسله تعيين كرد كه از جهت استعداد مزاجى اين قابليت را داشته باشد كه نفس مجردى به او تعلق بگيرد كه اين جسد نخست را تدبير و در او تصرف كند و همين قابليت، ملاك افاضه فيض از جانب فياض حقيقى، يعنى حق‌تعالى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روشن‌شدن اين مطلب، آشكار مى‌شود كه هر جسد هيولايى با ويژگى مزاج جسمانى و استحقاق استعدادى‌اش، سزاوار جوهرى مجرد ويژه خود است تا او را تدبير كند و به او وابسته بوده و در او تصرف كند و بر او چيره باشد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اما بطلان نقلى تناسخ، همان سخنان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چنين اعتقادى را باطل دانسته‌اند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حسن‌بن‌جهم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bookmarkStart w:id="55" w:name="pg1547_14456"/>
    </w:p>
    <w:p>
      <w:pPr>
        <w:pStyle w:val="BookText"/>
        <w:rPr/>
      </w:pPr>
      <w:bookmarkEnd w:id="55"/>
      <w:r>
        <w:rPr>
          <w:rFonts w:ascii="IRNazanin" w:hAnsi="IRNazanin" w:eastAsia="IRNazanin"/>
          <w:color w:val="111111"/>
          <w:sz w:val="28"/>
          <w:sz w:val="28"/>
          <w:szCs w:val="28"/>
          <w:rtl w:val="true"/>
          <w:lang w:bidi="fa-IR"/>
        </w:rPr>
        <w:t xml:space="preserve">مأمون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قائلان به تناسخ چه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به تناسخ قائل باشد، به خداى بزرگ كفر ورزيده، و بهشت و دوزخ را تكذيب كرده است</w:t>
      </w:r>
      <w:r>
        <w:rPr>
          <w:rFonts w:eastAsia="IRNazanin" w:cs="IRNazanin"/>
          <w:color w:val="111111"/>
          <w:sz w:val="28"/>
          <w:szCs w:val="28"/>
          <w:rtl w:val="true"/>
          <w:lang w:bidi="fa-IR"/>
        </w:rPr>
        <w:t>» .</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حسين‌بن‌خالد صيرفى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تناسخ اعتقاد داشته باشد، كافر است</w:t>
      </w:r>
      <w:r>
        <w:rPr>
          <w:rFonts w:eastAsia="IRNazanin" w:cs="IRNazanin"/>
          <w:color w:val="111111"/>
          <w:sz w:val="28"/>
          <w:szCs w:val="28"/>
          <w:rtl w:val="true"/>
          <w:lang w:bidi="fa-IR"/>
        </w:rPr>
        <w:t xml:space="preserve">» . </w:t>
      </w:r>
      <w:r>
        <w:rPr>
          <w:rStyle w:val="FootnoteAnchor"/>
          <w:rtl w:val="true"/>
        </w:rPr>
        <w:footnoteReference w:id="61"/>
      </w:r>
    </w:p>
    <w:p>
      <w:pPr>
        <w:pStyle w:val="Heading3"/>
        <w:numPr>
          <w:ilvl w:val="2"/>
          <w:numId w:val="1"/>
        </w:numPr>
        <w:rPr/>
      </w:pPr>
      <w:bookmarkStart w:id="56" w:name="__RefHeading___Toc610224_3650668749"/>
      <w:bookmarkStart w:id="57" w:name="_Toc20"/>
      <w:bookmarkEnd w:id="56"/>
      <w:r>
        <w:rPr>
          <w:rtl w:val="true"/>
        </w:rPr>
        <w:t>گفتار پنجم</w:t>
      </w:r>
      <w:r>
        <w:rPr>
          <w:rtl w:val="true"/>
        </w:rPr>
        <w:t xml:space="preserve">: </w:t>
      </w:r>
      <w:r>
        <w:rPr>
          <w:rtl w:val="true"/>
        </w:rPr>
        <w:t>ادعاى تفويض استقلالى</w:t>
      </w:r>
      <w:bookmarkEnd w:id="57"/>
    </w:p>
    <w:p>
      <w:pPr>
        <w:pStyle w:val="BookText"/>
        <w:rPr/>
      </w:pPr>
      <w:r>
        <w:rPr>
          <w:rFonts w:ascii="IRNazanin" w:hAnsi="IRNazanin" w:eastAsia="IRNazanin"/>
          <w:color w:val="111111"/>
          <w:sz w:val="28"/>
          <w:sz w:val="28"/>
          <w:szCs w:val="28"/>
          <w:rtl w:val="true"/>
          <w:lang w:bidi="fa-IR"/>
        </w:rPr>
        <w:t xml:space="preserve">از سخنان غاليان اين است كه خداى متعال كار بندگان، همچون زنده‌كردن، ميراندن، روزى‌دادن، بخشش و منع و مانند آن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خداى متعال كار قانون‌گذارى را به پيامبر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آنان به‌طورمستقل، چه در عالم تكوين و چه در عالم تشريع و قانون‌گذارى، به تدبير امور مردم مى‌پردازند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پانزدهم غاليان مدعى‌اند كه خداى عزوجل همه كارها 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نموده، و او بر آفرينش جهان تواناتر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آن را آفريده و تدبير كرده و خداى سبحان اندكى از آن را نيافريد و بسيارى از آنان همين سخن را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ادعا مى‌كنند كه امامان شرايع و اديان را نسخ مى‌كنند</w:t>
      </w:r>
      <w:r>
        <w:rPr>
          <w:rFonts w:eastAsia="IRNazanin" w:cs="IRNazanin"/>
          <w:color w:val="111111"/>
          <w:sz w:val="28"/>
          <w:szCs w:val="28"/>
          <w:rtl w:val="true"/>
          <w:lang w:bidi="fa-IR"/>
        </w:rPr>
        <w:t xml:space="preserve">. </w:t>
      </w:r>
      <w:r>
        <w:rPr>
          <w:rStyle w:val="FootnoteAnchor"/>
          <w:rtl w:val="true"/>
        </w:rPr>
        <w:footnoteReference w:id="62"/>
      </w:r>
      <w:bookmarkStart w:id="58" w:name="pg1547_14457"/>
    </w:p>
    <w:p>
      <w:pPr>
        <w:pStyle w:val="BookText"/>
        <w:rPr/>
      </w:pPr>
      <w:bookmarkEnd w:id="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برخى از غاليان به الوهيت خداى سبحان اعتراف دارند، اما متعقدند كه همه امور مربوط به تشريع و تكوين به دست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يكى از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عقيده دارند كه او زنده مى‌كند و مى‌ميراند و مى‌آفريند و روزى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بيان گشت همان عقيده تفويض است؛ زيرا معناى آن اين است كه خداى سبحان بسان برخى پادشاهان و حاكمان، خود را از امور مربوطه به تدبير مملكتش عزل كرده و آن را به يكى از</w:t>
      </w:r>
    </w:p>
    <w:p>
      <w:pPr>
        <w:pStyle w:val="BookText"/>
        <w:rPr/>
      </w:pPr>
      <w:r>
        <w:rPr>
          <w:rFonts w:ascii="IRNazanin" w:hAnsi="IRNazanin" w:eastAsia="IRNazanin"/>
          <w:color w:val="111111"/>
          <w:sz w:val="28"/>
          <w:sz w:val="28"/>
          <w:szCs w:val="28"/>
          <w:rtl w:val="true"/>
          <w:lang w:bidi="fa-IR"/>
        </w:rPr>
        <w:t>وزيرانش واگذار نموده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براى روشن‌شدن اشكال اين عقيده، به‌گونه‌اى دقيق، شايسته است مقدمه‌اى تقديم شود تا دستيابى به هدف را آسان كند و مانع وقوع اشتباه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مطلب اين است كه تفويض بر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عالم تكوين و گاهى در عالم تشريع</w:t>
      </w:r>
      <w:r>
        <w:rPr>
          <w:rFonts w:eastAsia="IRNazanin" w:cs="IRNazanin"/>
          <w:color w:val="111111"/>
          <w:sz w:val="28"/>
          <w:szCs w:val="28"/>
          <w:rtl w:val="true"/>
          <w:lang w:bidi="fa-IR"/>
        </w:rPr>
        <w:t>.</w:t>
      </w:r>
    </w:p>
    <w:p>
      <w:pPr>
        <w:pStyle w:val="Heading3"/>
        <w:numPr>
          <w:ilvl w:val="2"/>
          <w:numId w:val="1"/>
        </w:numPr>
        <w:rPr/>
      </w:pPr>
      <w:bookmarkStart w:id="59" w:name="__RefHeading___Toc610226_3650668749"/>
      <w:bookmarkStart w:id="60" w:name="_Toc21"/>
      <w:bookmarkEnd w:id="59"/>
      <w:r>
        <w:rPr>
          <w:rtl w:val="true"/>
        </w:rPr>
        <w:t>تفويض در جهان تكوين</w:t>
      </w:r>
      <w:bookmarkEnd w:id="60"/>
    </w:p>
    <w:p>
      <w:pPr>
        <w:pStyle w:val="Heading4"/>
        <w:numPr>
          <w:ilvl w:val="3"/>
          <w:numId w:val="1"/>
        </w:numPr>
        <w:rPr/>
      </w:pPr>
      <w:bookmarkStart w:id="61" w:name="__RefHeading___Toc610228_3650668749"/>
      <w:bookmarkStart w:id="62" w:name="_Toc22"/>
      <w:bookmarkEnd w:id="61"/>
      <w:r>
        <w:rPr>
          <w:rtl w:val="true"/>
        </w:rPr>
        <w:t>اشاره</w:t>
      </w:r>
      <w:bookmarkEnd w:id="62"/>
    </w:p>
    <w:p>
      <w:pPr>
        <w:pStyle w:val="BookText"/>
        <w:rPr/>
      </w:pPr>
      <w:r>
        <w:rPr>
          <w:rFonts w:ascii="Amiri" w:hAnsi="Amiri" w:eastAsia="Amiri" w:cs="Amiri"/>
          <w:color w:val="111111"/>
          <w:sz w:val="28"/>
          <w:sz w:val="28"/>
          <w:szCs w:val="28"/>
          <w:rtl w:val="true"/>
          <w:lang w:bidi="ar-SA"/>
        </w:rPr>
        <w:t>تفويض در جهان تكوين به دو صورت است</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610230_3650668749"/>
      <w:bookmarkStart w:id="64" w:name="_Toc23"/>
      <w:bookmarkEnd w:id="63"/>
      <w:r>
        <w:rPr/>
        <w:t>١</w:t>
      </w:r>
      <w:r>
        <w:rPr>
          <w:rtl w:val="true"/>
        </w:rPr>
        <w:t xml:space="preserve">. </w:t>
      </w:r>
      <w:r>
        <w:rPr>
          <w:rtl w:val="true"/>
        </w:rPr>
        <w:t>تفويض استقلالى</w:t>
      </w:r>
      <w:bookmarkEnd w:id="6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اشاره شد منظور اين است كه خداى متعال، امور مردم را به نحو استقلال و اصالت حاكميت مطلق در تصرف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آنان هرچه مى‌خواهند و اراده مى‌كنند،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از تفويض، همان مدعاى غاليان در اين بحث است</w:t>
      </w:r>
      <w:r>
        <w:rPr>
          <w:rFonts w:eastAsia="IRNazanin" w:cs="IRNazanin"/>
          <w:color w:val="111111"/>
          <w:sz w:val="28"/>
          <w:szCs w:val="28"/>
          <w:rtl w:val="true"/>
          <w:lang w:bidi="fa-IR"/>
        </w:rPr>
        <w:t xml:space="preserve">. </w:t>
      </w:r>
      <w:bookmarkStart w:id="65" w:name="pg1547_14458"/>
    </w:p>
    <w:p>
      <w:pPr>
        <w:pStyle w:val="Heading4"/>
        <w:numPr>
          <w:ilvl w:val="3"/>
          <w:numId w:val="1"/>
        </w:numPr>
        <w:rPr/>
      </w:pPr>
      <w:bookmarkStart w:id="66" w:name="__RefHeading___Toc610232_3650668749"/>
      <w:bookmarkStart w:id="67" w:name="_Toc24"/>
      <w:bookmarkEnd w:id="65"/>
      <w:bookmarkEnd w:id="66"/>
      <w:r>
        <w:rPr/>
        <w:t>٢</w:t>
      </w:r>
      <w:r>
        <w:rPr>
          <w:rtl w:val="true"/>
        </w:rPr>
        <w:t xml:space="preserve">. </w:t>
      </w:r>
      <w:r>
        <w:rPr>
          <w:rtl w:val="true"/>
        </w:rPr>
        <w:t>تفويض با اذن الهى</w:t>
      </w:r>
      <w:bookmarkEnd w:id="67"/>
    </w:p>
    <w:p>
      <w:pPr>
        <w:pStyle w:val="BookText"/>
        <w:rPr/>
      </w:pPr>
      <w:r>
        <w:rPr>
          <w:rFonts w:ascii="IRNazanin" w:hAnsi="IRNazanin" w:eastAsia="IRNazanin"/>
          <w:color w:val="111111"/>
          <w:sz w:val="28"/>
          <w:sz w:val="28"/>
          <w:szCs w:val="28"/>
          <w:rtl w:val="true"/>
          <w:lang w:bidi="fa-IR"/>
        </w:rPr>
        <w:t xml:space="preserve">مقصود اين است كه خداى متعال، ولايت و قدرت بر تصرف در امور تكوينى را با اذن خود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آنان كارى را جز با قدرت خداى متعال انجام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مى‌آفرينند، زنده مى‌كنند و مى‌ميرانند، ولى نه به نحو</w:t>
      </w:r>
    </w:p>
    <w:p>
      <w:pPr>
        <w:pStyle w:val="BookText"/>
        <w:rPr/>
      </w:pPr>
      <w:r>
        <w:rPr>
          <w:rFonts w:ascii="Amiri" w:hAnsi="Amiri" w:eastAsia="Amiri" w:cs="Amiri"/>
          <w:color w:val="111111"/>
          <w:sz w:val="28"/>
          <w:sz w:val="28"/>
          <w:szCs w:val="28"/>
          <w:rtl w:val="true"/>
          <w:lang w:bidi="ar-SA"/>
        </w:rPr>
        <w:t>استقلال، بلكه به اذن خداى 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روشن‌شدن اين مقدمه، ما قائليم كه تفويض استقلالى به يقين، باطل و محال است و دلايل عقلى و نقلى بر بطلان آن اقامه شده است؛ زيرا تفويض بشر براى تصرف در جهان تكوين به نحو استقلال، به معناى خارج شدن از قلمرو حاكميت و قدرت خدا، و لازمه آن اثبات شريك براى خداوند سبحان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و روايات فراوانى به روشنى بيانگر بطلان اين‌گونه تفويض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موجود ممكن، در هر لحظه‌اى، در حدوث و بقا، به خداى متعال نيازمند است و خارج شدن و استقلال‌يافتن از قدرت خداى يگانه نيرومند امكان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تفويض استقلالى كه غاليان ادعا مى‌كنند، همان موضوعى است كه معتزله در بحث قضا و قدر بدان معتقدند</w:t>
      </w:r>
      <w:r>
        <w:rPr>
          <w:rFonts w:eastAsia="IRNazanin" w:cs="IRNazanin"/>
          <w:color w:val="111111"/>
          <w:sz w:val="28"/>
          <w:szCs w:val="28"/>
          <w:rtl w:val="true"/>
          <w:lang w:bidi="fa-IR"/>
        </w:rPr>
        <w:t>.</w:t>
      </w:r>
      <w:r>
        <w:rPr>
          <w:rStyle w:val="FootnoteAnchor"/>
          <w:rtl w:val="true"/>
        </w:rPr>
        <w:footnoteReference w:id="6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انسان در اصل وجود و قدرت، نيازمند خداى سبحان است، ولى در به‌كارگيرى اين قدرت در فعل و ترك، به‌طور كامل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به معتقدان چنين تفكرى نسبت مى‌دهند كه قائل‌اند </w:t>
      </w:r>
    </w:p>
    <w:p>
      <w:pPr>
        <w:pStyle w:val="BookText"/>
        <w:rPr/>
      </w:pPr>
      <w:r>
        <w:rPr>
          <w:rFonts w:ascii="IRNazanin" w:hAnsi="IRNazanin" w:eastAsia="IRNazanin"/>
          <w:color w:val="111111"/>
          <w:sz w:val="28"/>
          <w:sz w:val="28"/>
          <w:szCs w:val="28"/>
          <w:rtl w:val="true"/>
          <w:lang w:bidi="fa-IR"/>
        </w:rPr>
        <w:t xml:space="preserve">اگر واجب‌الوجود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ايجاد انسان معدوم شود، به وجود انسان زيانى نمى‌رساند؛ زيرا وجود انسان در اصل نيازمند به مبدأ است نه در به‌كاربردن قدرت در فعل و ترك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اين‌گونه تفويض، به تفويض اعتزالى معروف است و از نگاه مكتب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به نظريه امر بين‌الامرين قائل‌اند، مردود است؛</w:t>
      </w:r>
    </w:p>
    <w:p>
      <w:pPr>
        <w:pStyle w:val="BookText"/>
        <w:rPr/>
      </w:pPr>
      <w:r>
        <w:rPr>
          <w:rFonts w:ascii="IRNazanin" w:hAnsi="IRNazanin" w:eastAsia="IRNazanin"/>
          <w:color w:val="111111"/>
          <w:sz w:val="28"/>
          <w:sz w:val="28"/>
          <w:szCs w:val="28"/>
          <w:rtl w:val="true"/>
          <w:lang w:bidi="fa-IR"/>
        </w:rPr>
        <w:t>چنان‌كه آن را در جاى خود توضيح داده‌ايم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بهترين سخنى كه بين اين دوگونه تفويض را تمييز مى‌دهد كلام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حضرت 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گروهى از كوفيان مى‌گذشت كه در مورد قَدَر الهى با يكديگر بحث و مناقشه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سخنگوى ايشان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كارهايت را با كمك خداوند، يا به همراه يارى او، يا تنها با توانايى خود انجام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ندانست پاسخ حضرت را چه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مدعى هستى كه به سبب كمك خدا توانايى دارى، بدين‌سان، تو از خود چيزى ندارى و اگر ادعا دارى كه به همراهى و يارى خدا توانايى دارى، بدين‌ترتيب، ادعاى شريك‌بودن با خداوند در ملكش را دارى و اگر مدعى هستى كه بدون خدا توانايى دارى، ادعاى ربوبيت و خدايى به جاى خداوند عزوجل را كرده‌اى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كمك خدا توانايى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پاسخى غير اين داده بودى تو را گردن مى‌زدم</w:t>
      </w:r>
      <w:r>
        <w:rPr>
          <w:rFonts w:eastAsia="IRNazanin" w:cs="IRNazanin"/>
          <w:color w:val="111111"/>
          <w:sz w:val="28"/>
          <w:szCs w:val="28"/>
          <w:rtl w:val="true"/>
          <w:lang w:bidi="fa-IR"/>
        </w:rPr>
        <w:t xml:space="preserve">» .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عبايۀ بن ربعى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استطاعت و توانايى پرسش كرد 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استطاعت و توانايى پرسيدى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بدون خدا، يا به همراه خدا صاحب آن استطاعتى؟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عبايه ساكت شد و پاسخى نداد؛ زيرا اگر مى‌گفت بدون خدا</w:t>
      </w:r>
    </w:p>
    <w:p>
      <w:pPr>
        <w:pStyle w:val="BookText"/>
        <w:rPr/>
      </w:pPr>
      <w:r>
        <w:rPr>
          <w:rFonts w:ascii="IRNazanin" w:hAnsi="IRNazanin" w:eastAsia="IRNazanin"/>
          <w:color w:val="111111"/>
          <w:sz w:val="28"/>
          <w:sz w:val="28"/>
          <w:szCs w:val="28"/>
          <w:rtl w:val="true"/>
          <w:lang w:bidi="fa-IR"/>
        </w:rPr>
        <w:t>صاحب آنم، همان تفويض باطل بود و اگر مى‌گفت به همراه خدا صاحب آنم، سخنش شرك تلقى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عبايه، ميان اين دو محذور چاره‌اى جز اين نداشت كه سكوت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به سبب يارى خداوند متعال من مالك توانايى هستم؛ همان كسى كه اين توانايى را به ديگرى نيز داده است، و اگر تو را صاحب آن كرده، از عطاى اوست و اگر آن را از تو سلب نمايد از آزمون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مالك و صاحب هر چيزى است كه تو را صاحب آن كرده است و خود بر چيزى كه تو را بر آن قدرت داده، قادر است</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بيانات روشن مى‌شود كه مالكيت انسان بر هر چيزى، به سبب خداوند متعال است؛ همان‌گونه كه هر چيزى كه انسان قادر بر آن است، به سبب كمك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هرچه نزد انسان است از قدرت و سلطنت و خواست خدا خارج نيست و از اين مطلب، رد آشكار و مستقيم نظريه تفويض استقلالى به دست مى‌آيد و اگر در اين ميان تفويضى هست، به سبب يارى و تمليك خداست و معناى اذن الهى همين است كه در شمارى از آيات قرآن بيان شده است</w:t>
      </w:r>
      <w:r>
        <w:rPr>
          <w:rFonts w:eastAsia="IRNazanin" w:cs="IRNazanin"/>
          <w:color w:val="111111"/>
          <w:sz w:val="28"/>
          <w:szCs w:val="28"/>
          <w:rtl w:val="true"/>
          <w:lang w:bidi="fa-IR"/>
        </w:rPr>
        <w:t xml:space="preserve">. </w:t>
      </w:r>
      <w:bookmarkStart w:id="68" w:name="pg1547_14461"/>
    </w:p>
    <w:p>
      <w:pPr>
        <w:pStyle w:val="Heading3"/>
        <w:numPr>
          <w:ilvl w:val="2"/>
          <w:numId w:val="1"/>
        </w:numPr>
        <w:rPr/>
      </w:pPr>
      <w:bookmarkStart w:id="69" w:name="__RefHeading___Toc610234_3650668749"/>
      <w:bookmarkStart w:id="70" w:name="_Toc25"/>
      <w:bookmarkEnd w:id="68"/>
      <w:bookmarkEnd w:id="69"/>
      <w:r>
        <w:rPr>
          <w:rtl w:val="true"/>
        </w:rPr>
        <w:t>شواهد قرآنى بر تفويض غير استقلالى</w:t>
      </w:r>
      <w:bookmarkEnd w:id="70"/>
    </w:p>
    <w:p>
      <w:pPr>
        <w:pStyle w:val="BookText"/>
        <w:rPr/>
      </w:pPr>
      <w:r>
        <w:rPr>
          <w:rFonts w:ascii="IRNazanin" w:hAnsi="IRNazanin" w:eastAsia="IRNazanin"/>
          <w:color w:val="111111"/>
          <w:sz w:val="28"/>
          <w:sz w:val="28"/>
          <w:szCs w:val="28"/>
          <w:rtl w:val="true"/>
          <w:lang w:bidi="fa-IR"/>
        </w:rPr>
        <w:t>مجموعه‌اى از آيات قرآنى بيانگر اين است كه خداى متعال به برخى از پيامبران و بندگان ديگرش ولايت و قدرت تصرف در امور تكوينى را</w:t>
      </w:r>
    </w:p>
    <w:p>
      <w:pPr>
        <w:pStyle w:val="BookText"/>
        <w:rPr/>
      </w:pPr>
      <w:r>
        <w:rPr>
          <w:rFonts w:ascii="Amiri" w:hAnsi="Amiri" w:eastAsia="Amiri" w:cs="Amiri"/>
          <w:color w:val="111111"/>
          <w:sz w:val="28"/>
          <w:sz w:val="28"/>
          <w:szCs w:val="28"/>
          <w:rtl w:val="true"/>
          <w:lang w:bidi="ar-SA"/>
        </w:rPr>
        <w:t>عطا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آنها را در اينجا يادآور مى‌شويم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از قول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رَسُولاً إِلى بَنِى إِسْرائِيلَ أَنِّي قَدْ جِئْتُكُمْ بِآيةً مِنْ رَبِّكُمْ أَنِّي أَخْلُقُ لَكُمْ مِنَ الطِّينِ كَهَيةٍ الطَّيْرِ فَأَنْفُخُ فِيهِ فَيَكُونُ طَيْراً بِإِذْنِ اللهِ وَ أُبْرِئُ الْأَكْمَهَ وَ الْأَبْرَصَ وَ أُحْىِ الْمَوْتى بِإِذْنِ اللهِ وَ أُنَبِّئُكُمْ بِما تَأْكُلُونَ وَ ما تَدَّخِرُونَ فِي بُيُوتِكُمْ إِنَّ فِي ذلِكَ لَآيَةً لَكُمْ إِنْ كُنْتُمْ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نشانه‌اى از طرف پروردگار شما برايتان آورده‌ام؛ من از گِل، چيزى به شكل پرنده مى‌سازم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مى‌دمم و به اذن خدا پرنده‌اى مى‌گردد و به اذن خدا، كور مادرزاد و مبتلا به بيمارى پيسى را بهبودى مى‌بخشم و مردگان را به اذن خدا زنده مى‌كنم و به شما خبر مى‌دهم از آنچه مى‌خوريد، و آنچه را در خانه‌هاى خود ذخيره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نشانه‌اى براى شماست، اگر ايمان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اشاره دارد اين معجزات كه از نمونه‌هاى تصرف در نظام تكوين است، از آن حضرت صادر شده، و وجود خارجى پيدا كرده است؛ نه اينكه صِرف ادعا و احتجاج و رقابت‌طلبى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سزاوار بود در كلام، قيدى آورده شود كه اين معنا را برساند؛ مانند اينكه مى‌گوييم اگر بپرسيد يا بخواهيد و نظير آن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اينجا ملاحظه مى‌كنيم كه حضرت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مى‌كند كه همه </w:t>
      </w:r>
    </w:p>
    <w:p>
      <w:pPr>
        <w:pStyle w:val="BookText"/>
        <w:rPr/>
      </w:pPr>
      <w:r>
        <w:rPr>
          <w:rFonts w:ascii="IRNazanin" w:hAnsi="IRNazanin" w:eastAsia="IRNazanin"/>
          <w:color w:val="111111"/>
          <w:sz w:val="28"/>
          <w:sz w:val="28"/>
          <w:szCs w:val="28"/>
          <w:rtl w:val="true"/>
          <w:lang w:bidi="fa-IR"/>
        </w:rPr>
        <w:t>اين كارها را به اذن خداى متعال انجام مى‌دهد تا بفهماند همه اين امور، مستند به خداى متعال‌اند و چيزى را مستقل انجام نمى‌دهد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تكرار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اين است كه زمينه و انتظار گمراهى ميان مردم بوده كه با استدلال به معجزاتى كه از او صادر شده، به الوهيت او اعتقاد پيدا نمايند؛ به همين دليل پيوسته هر آيه و معجزه‌اى مانند آفرينش و زنده‌كردن مردگان را به اذن خدا بودن، مقيد مى‌كرد تا مردم به گمراهى نيفتند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 إِبْراهِيمُ رَبِّ أَرِنِى كَيْفَ تُحْىِ الْمَوْتى قالَ أَ وَ لَمْ تُؤْمِنْ قالَ بَلى وَ لكِنْ لِيَطْمَئِنَّ قَلْبِي قالَ فَخُذْ أَرْبَعةً مِنَ الطَّيْرِ فَصُرْهُنَّ إِلَيْكَ ثُمَّ اجْعَلْ عَلى كُلِّ جَبَلٍ مِنْهُنَّ جُزْءاً ثُمَّ ادْعُهُنَّ يَأْتِينَكَ سَعْياً وَ اعْلَمْ أَنَّ اللهَ عَزِيزٌ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٢۶٠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بنمايان چگونه مردگان را زنده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ايمان نياورده‌اى؟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مى‌خواهم قلبم آرامش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چهار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گونه‌هاى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كن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ذبح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قطعه‌قطعه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 بياميز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هر كوهى، قسمتى از آن را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آنها را صدا بزن، به سرعت به‌سوى تو مى‌آيند و بدان‌كه خداوند، توانا و حكيم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صراحت دارد كه زنده‌كردن پرندگانِ قطعه‌قطعه شده و مرده </w:t>
      </w:r>
    </w:p>
    <w:p>
      <w:pPr>
        <w:pStyle w:val="BookText"/>
        <w:rPr/>
      </w:pPr>
      <w:r>
        <w:rPr>
          <w:rFonts w:ascii="IRNazanin" w:hAnsi="IRNazanin" w:eastAsia="IRNazanin"/>
          <w:color w:val="111111"/>
          <w:sz w:val="28"/>
          <w:sz w:val="28"/>
          <w:szCs w:val="28"/>
          <w:rtl w:val="true"/>
          <w:lang w:bidi="fa-IR"/>
        </w:rPr>
        <w:t xml:space="preserve">فقط با درخواست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زيرا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آنها را صدا بزن، به‌سرعت به‌سوى تو مى‌آيند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چنين نبوده است كه ابراهيم از خداى متعال بخواهد و خدا زندگى را به آنها بازگردانده</w:t>
      </w:r>
    </w:p>
    <w:p>
      <w:pPr>
        <w:pStyle w:val="BookText"/>
        <w:rPr/>
      </w:pPr>
      <w:r>
        <w:rPr>
          <w:rFonts w:ascii="IRNazanin" w:hAnsi="IRNazanin" w:eastAsia="IRNazanin"/>
          <w:color w:val="111111"/>
          <w:sz w:val="28"/>
          <w:sz w:val="28"/>
          <w:szCs w:val="28"/>
          <w:rtl w:val="true"/>
          <w:lang w:bidi="fa-IR"/>
        </w:rPr>
        <w:t>باشد؛ چنان‌كه برخى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طباطبايى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كه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آن را قطعه‌قطعه كن، سپس قرار دِه، با صيغه‌امر،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آنها را بخوان تا به‌سرعت به‌سوى تو آيند، خداى متعال شتابان‌آمدن، و زنده‌بودن آنها را مرتبط و متفرع بر درخواست حضرت ابراهيم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اين درخواست همان دعوتى است كه سبب زنده‌شدن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زنده‌كردن، جز به امر و اذن خدا محقق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صدا زدن پرندگان توسط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 بوده است؛ به نحوى اين صدا زدن و درخواست حضرت، متصل به امر خداست كه زندگى زندگان از او ناشى مى‌شود و در اين‌هنگام ابراهيم شاهد زنده‌شدن و كيفيت نزول فيض در امر زنده‌شدن آنها شد و اگر فراخوان و درخواست ابراهيم به فرمان خدايى كه هرگاه به چيزى كه اراده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 موجود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نبود و همانند سخنان ما مى‌شد، كه جز با خيال به چيزى متصل نيست، يا هرگاه به چيزى مى‌گوييم موجود باش، موجود نمى‌شود، تأثير گزافى در وجود نمى‌گذارد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نتيجه، آيه تصريح مى‌كند كه خداوند متعال به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داده است تا به امر و اذن او، مردگان را زنده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حضرت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فَسَخَّرْنا لَهُ الرِّيحَ تَجْرِى بِأَمْرِهِ رُخاءً حَيْثُ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الشَّياطِينَ كُلَّ بَنَّاءٍ وَ غَوَّاصٍ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آخَرِينَ مُقَرَّنِينَ فِى الْأَصْفادِ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أَمْسِكْ بِغَيْرِ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ما باد را مسخر او ساختيم تا به فرمانش به نرمى به هرجا او مى‌خواهد برود و هر بنّا و غواصى از شياطين را مسخر او كرديم و گروه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شياطين متمرد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غُل و زنجير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سلطه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عطاى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هركس مى‌خواهى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بى‌حساب ببخش و از هركس مى‌خواهى امساك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درباره حضرت داوود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آتَيْنا داوُدَ مِنَّا فَضْلاً يا جِبالُ أَوِّبِى مَعَهُ وَ الطَّيْرَ وَ أَلَنَّا لَهُ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به داوود از سوى خود فضيلتى بزرگ بخشيديم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كوه‌ها و پرندگان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كوه‌ها و اى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تسبيح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هم‌آواز شويد و آهن را براى او نرم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درباره حضرت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أَوْحَيْنا إِلى مُوسى أَنْ أَسْرِ بِعِبادِى فَاضْرِبْ لَهُمْ طَرِيقاً فِى الْبَحْرِ يَبَساً لَا تَخافُ دَرَكاً وَ لَا تَخْشى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به موسى وحى فرستاديم كه شبانه بندگانم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ده و براى آنها راهى خشك در دريا بگشا كه نه از تعقيب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خواهى ترسيد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غرق شدن در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هراس مى‌افتى</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آيات و نظاير آنها در قرآن بسيار است و همه آنها بيانگر اين </w:t>
      </w:r>
    </w:p>
    <w:p>
      <w:pPr>
        <w:pStyle w:val="BookText"/>
        <w:rPr/>
      </w:pPr>
      <w:r>
        <w:rPr>
          <w:rFonts w:ascii="IRNazanin" w:hAnsi="IRNazanin" w:eastAsia="IRNazanin"/>
          <w:color w:val="111111"/>
          <w:sz w:val="28"/>
          <w:sz w:val="28"/>
          <w:szCs w:val="28"/>
          <w:rtl w:val="true"/>
          <w:lang w:bidi="fa-IR"/>
        </w:rPr>
        <w:t>حقيقت روشن است كه خداوند به اذن و فرمان خود، برخى از بندگانش را بر تصرف در نظام تكوين توانا ساخته است و اين مطلب همان</w:t>
      </w:r>
    </w:p>
    <w:p>
      <w:pPr>
        <w:pStyle w:val="BookText"/>
        <w:rPr/>
      </w:pPr>
      <w:r>
        <w:rPr>
          <w:rFonts w:ascii="Amiri" w:hAnsi="Amiri" w:eastAsia="Amiri" w:cs="Amiri"/>
          <w:color w:val="111111"/>
          <w:sz w:val="28"/>
          <w:sz w:val="28"/>
          <w:szCs w:val="28"/>
          <w:rtl w:val="true"/>
          <w:lang w:bidi="ar-SA"/>
        </w:rPr>
        <w:t>موضوعى است كه از تفويض به اذن الهى، مقصود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چنين تفويضى را تنها براى پيامبران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شواهد ديگرى از قرآن وجود دارد كه تصرف در نظام تكوين را، به نحوى كه اقتضاى شيوه‌هاى مادى طبيعى نيست، براى غير پيامبران، اعم از جن و انس، نيز ثابت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خداى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جنيان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عِفْرِيتٌ مِنَ الْجِنِّ أَنَا آتِيكَ بِهِ قَبْلَ أَنْ تَقُومَ مِنْ مَقامِكَ وَ إِنِّى عَلَيْهِ لَقَوِىٌّ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 نيرومندى از 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نزد تو مى‌آورم پيش از آنكه از جايگاهت برخيزى و من نسبت به اين امر، توانا و امينم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درباره وزير سليمان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الَّذِى عِنْدَهُ عِلْمٌ مِنَ الْكِتابِ أَنَا آتِيكَ بِهِ قَبْلَ أَنْ يَرْتَدَّ إِلَيْكَ طَرْفُكَ فَلَمَّا رَآهُ مُسْتَقِرًّا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كسى كه دانشى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چشم برهم زنى، آن را نزد تو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در بيان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يَسْئَلُونَكَ عَنْ ذِى الْقَرْنَيْنِ قُلْ سَأَتْلُوا عَلَيْكُمْ مِنْهُ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مَكَّنَّا لَهُ فِى الْأَرْضِ وَ آتَيْناهُ مِنْ كُلِّ شَىْءٍ سَبَباً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٨۴</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تو درباره ذوالقرنين مى‌پرسند،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به‌زودى بخشى از سرگذشت او را براى شما بازگو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در روى زمين، قدرت و حكومت داديم و اسباب هر چيز را در اختيارش گذاشتيم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افزون بر شواهد قرآنى، شواهدى از روايات نيز وجود دارد كه اين حقيقت را ثابت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گفت‌وگوى با جاثليق</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همان كارى را كرد كه عيساى پيامبر انجام داد؛ بر روى آب راه رفت و مردگان را زنده كرد و نابينا و پيس را درمان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حزقيل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كارى را كرد كه عيسى‌بن‌مريم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w:t>
      </w:r>
      <w:r>
        <w:rPr>
          <w:rFonts w:ascii="IRNazanin" w:hAnsi="IRNazanin" w:eastAsia="IRNazanin"/>
          <w:color w:val="111111"/>
          <w:sz w:val="28"/>
          <w:sz w:val="28"/>
          <w:szCs w:val="28"/>
          <w:lang w:bidi="fa-IR"/>
        </w:rPr>
        <w:t>٣۵٠٠٠</w:t>
      </w:r>
      <w:r>
        <w:rPr>
          <w:rFonts w:ascii="IRNazanin" w:hAnsi="IRNazanin" w:eastAsia="IRNazanin"/>
          <w:color w:val="111111"/>
          <w:sz w:val="28"/>
          <w:sz w:val="28"/>
          <w:szCs w:val="28"/>
          <w:rtl w:val="true"/>
          <w:lang w:bidi="fa-IR"/>
        </w:rPr>
        <w:t xml:space="preserve"> مرده را پس از شصت سال سپرى شدن از مرگشان،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حارث‌بن‌حبيب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نزد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يافت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ذوالقرنين مرا آگاه ساز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ابرها به تسخير او درآمد و وسايل و امكانات در اختيارش قرار گرفت و نور برايش گسترده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پدرش و او با واسطه، از فردى منسوب به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ذوالقرنين فردى شايسته بود كه وسايل و امكانات در اختيارش قرار گرفته، و در سرزمين‌ها قدرت پيدا كرده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٣</w:t>
      </w:r>
    </w:p>
    <w:p>
      <w:pPr>
        <w:pStyle w:val="BookText"/>
        <w:rPr/>
      </w:pPr>
      <w:r>
        <w:rPr>
          <w:rFonts w:ascii="Amiri" w:hAnsi="Amiri" w:eastAsia="Amiri" w:cs="Amiri"/>
          <w:color w:val="111111"/>
          <w:sz w:val="28"/>
          <w:sz w:val="28"/>
          <w:szCs w:val="28"/>
          <w:rtl w:val="true"/>
          <w:lang w:bidi="ar-SA"/>
        </w:rPr>
        <w:t>در ارشاد القلوب روايت شده كه خداى متعال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زنده‌ام و نمى‌ميرم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فرمانت مى‌دهم اطاعتم كن تا تو را زنده‌اى مقرر دارم كه نميرى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 شيخ صدوق، ص </w:t>
      </w:r>
      <w:r>
        <w:rPr>
          <w:rFonts w:ascii="Amiri" w:hAnsi="Amiri" w:eastAsia="Amiri" w:cs="Amiri"/>
          <w:color w:val="111111"/>
          <w:sz w:val="28"/>
          <w:sz w:val="28"/>
          <w:szCs w:val="28"/>
          <w:lang w:bidi="ar-SA"/>
        </w:rPr>
        <w:t>۴١٠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عياشى، 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١١٢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١١١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شواهد قرآنى، شواهدى از روايات نيز وجود دارد كه اين حقيقت را ثابت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گفت‌وگوى با جاثليق</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همان كارى را كرد كه عيساى پيامبر انجام داد؛ بر روى آب راه رفت و مردگان را زنده كرد و نابينا و پيس را درمان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حزقيل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كارى را كرد كه عيسى‌بن‌مريم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w:t>
      </w:r>
      <w:r>
        <w:rPr>
          <w:rFonts w:ascii="IRNazanin" w:hAnsi="IRNazanin" w:eastAsia="IRNazanin"/>
          <w:color w:val="111111"/>
          <w:sz w:val="28"/>
          <w:sz w:val="28"/>
          <w:szCs w:val="28"/>
          <w:lang w:bidi="fa-IR"/>
        </w:rPr>
        <w:t>٣۵٠٠٠</w:t>
      </w:r>
      <w:r>
        <w:rPr>
          <w:rFonts w:ascii="IRNazanin" w:hAnsi="IRNazanin" w:eastAsia="IRNazanin"/>
          <w:color w:val="111111"/>
          <w:sz w:val="28"/>
          <w:sz w:val="28"/>
          <w:szCs w:val="28"/>
          <w:rtl w:val="true"/>
          <w:lang w:bidi="fa-IR"/>
        </w:rPr>
        <w:t xml:space="preserve"> مرده را پس از شصت سال سپرى شدن از مرگشان، زنده كرد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حارث‌بن‌حبيب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نزد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يافت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ذوالقرنين مرا آگاه ساز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ابرها به تسخير او درآمد و وسايل و امكانات در اختيارش قرار گرفت و نور برايش گسترده شد</w:t>
      </w:r>
      <w:r>
        <w:rPr>
          <w:rFonts w:eastAsia="IRNazanin" w:cs="IRNazanin"/>
          <w:color w:val="111111"/>
          <w:sz w:val="28"/>
          <w:szCs w:val="28"/>
          <w:rtl w:val="true"/>
          <w:lang w:bidi="fa-IR"/>
        </w:rPr>
        <w:t>»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پدرش و او با واسطه، از فردى منسوب به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ذوالقرنين فردى شايسته بود كه وسايل و امكانات در اختيارش قرار گرفته، و در سرزمين‌ها قدرت پيدا كرده بود</w:t>
      </w:r>
      <w:r>
        <w:rPr>
          <w:rFonts w:eastAsia="IRNazanin" w:cs="IRNazanin"/>
          <w:color w:val="111111"/>
          <w:sz w:val="28"/>
          <w:szCs w:val="28"/>
          <w:rtl w:val="true"/>
          <w:lang w:bidi="fa-IR"/>
        </w:rPr>
        <w:t>»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در ارشاد القلوب روايت شده كه خداى متعال مى‌فرمايد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زنده‌ام و نمى‌ميرم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فرمانت مى‌دهم اطاعتم كن تا تو را زنده‌اى مقرر دارم كه نميرى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bookmarkStart w:id="71" w:name="pg1547_14467"/>
    </w:p>
    <w:p>
      <w:pPr>
        <w:pStyle w:val="BookText"/>
        <w:rPr/>
      </w:pPr>
      <w:bookmarkEnd w:id="71"/>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بگويم باش، موجود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فرمانت مى‌دهم اطاعتم كن تا تو را به‌گونه‌اى قرار دهم كه به چيزى بگويى</w:t>
      </w:r>
    </w:p>
    <w:p>
      <w:pPr>
        <w:pStyle w:val="BookText"/>
        <w:rPr/>
      </w:pPr>
      <w:r>
        <w:rPr>
          <w:rFonts w:ascii="IRNazanin" w:hAnsi="IRNazanin" w:eastAsia="IRNazanin"/>
          <w:color w:val="111111"/>
          <w:sz w:val="28"/>
          <w:sz w:val="28"/>
          <w:szCs w:val="28"/>
          <w:rtl w:val="true"/>
          <w:lang w:bidi="fa-IR"/>
        </w:rPr>
        <w:t>باش، موجود بشود</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72" w:name="__RefHeading___Toc610236_3650668749"/>
      <w:bookmarkStart w:id="73" w:name="_Toc26"/>
      <w:bookmarkEnd w:id="72"/>
      <w:r>
        <w:rPr>
          <w:rtl w:val="true"/>
        </w:rPr>
        <w:t xml:space="preserve">ولايت تكوينى و اهل‌بيت </w:t>
      </w:r>
      <w:r>
        <w:rPr>
          <w:rtl w:val="true"/>
        </w:rPr>
        <w:t>(</w:t>
      </w:r>
      <w:r>
        <w:rPr>
          <w:rtl w:val="true"/>
        </w:rPr>
        <w:t>عليهم السلام</w:t>
      </w:r>
      <w:r>
        <w:rPr>
          <w:rtl w:val="true"/>
        </w:rPr>
        <w:t>)</w:t>
      </w:r>
      <w:bookmarkEnd w:id="73"/>
    </w:p>
    <w:p>
      <w:pPr>
        <w:pStyle w:val="BookText"/>
        <w:rPr/>
      </w:pPr>
      <w:r>
        <w:rPr>
          <w:rFonts w:ascii="IRNazanin" w:hAnsi="IRNazanin" w:eastAsia="IRNazanin"/>
          <w:color w:val="111111"/>
          <w:sz w:val="28"/>
          <w:sz w:val="28"/>
          <w:szCs w:val="28"/>
          <w:rtl w:val="true"/>
          <w:lang w:bidi="fa-IR"/>
        </w:rPr>
        <w:t xml:space="preserve">تعدادى از متون روايى تصريح كرده‌اند كه خداى سبحان،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تصرف در نظام تكوين توانا ساخته است و آنان اين قدرت تصرف را از جدشان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اهل‌بيت بر همه آنچه خدا، پيامبران و اوصياى گذشته را بر آن قادر كرده، توانا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بررسى برخى از اين روايات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ساز كه آيا وارث همه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آدم تا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همه پيامبران داناتر مبعوث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عيسى‌بن‌مريم مردگان را به اذن خدا زنده مى‌كرد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مى‌گويى و سليمان‌بن‌داوود زبان پرندگان را مى‌دانست،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اين مقامات توانا بود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امام براى اينكه ثابت كند اهل‌بيت همه جايگاه‌هاى پيامبران گذشته و بيش از آن را به ارث برده‌اند، 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كتابش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وسيله قرآن كوه‌ها به حركت درآيند يا زمين‌ها قطعه‌قطعه شوند يا به‌وسيله آن با مردگان سخن </w:t>
      </w:r>
    </w:p>
    <w:p>
      <w:pPr>
        <w:pStyle w:val="BookText"/>
        <w:rPr/>
      </w:pPr>
      <w:r>
        <w:rPr>
          <w:rFonts w:ascii="IRNazanin" w:hAnsi="IRNazanin" w:eastAsia="IRNazanin"/>
          <w:color w:val="111111"/>
          <w:sz w:val="28"/>
          <w:sz w:val="28"/>
          <w:szCs w:val="28"/>
          <w:rtl w:val="true"/>
          <w:lang w:bidi="fa-IR"/>
        </w:rPr>
        <w:t xml:space="preserve">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ايمان نخواهند آورد</w:t>
      </w:r>
      <w:r>
        <w:rPr>
          <w:rFonts w:eastAsia="IRNazanin" w:cs="IRNazanin"/>
          <w:color w:val="111111"/>
          <w:sz w:val="28"/>
          <w:szCs w:val="28"/>
          <w:rtl w:val="true"/>
          <w:lang w:bidi="fa-IR"/>
        </w:rPr>
        <w:t xml:space="preserve">]» .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حقيقت، ما اين قرآن را كه به وسيله آن كوه‌ها روان و شهرها بدان قطعه‌قطعه مى‌شوند و مردگان به وسيله آن زنده مى‌گردند، به ارث برده‌ايم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قرآن آياتى است كه به‌وسيله آنها هيچ‌كارى اراده نمى‌شود، مگر آنكه خداوند اذن انجام دادن آن را مى‌دهد؛ نظير همه آنچه به گذشتگان اذن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آنها را در ام‌الكتاب براى ما قرار داده است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هيچ موجود پنهانى در آسمان و زمين نيست مگر اينكه در كتاب مبين ثبت است</w:t>
      </w:r>
      <w:r>
        <w:rPr>
          <w:rFonts w:eastAsia="IRNazanin" w:cs="IRNazanin"/>
          <w:color w:val="111111"/>
          <w:sz w:val="28"/>
          <w:szCs w:val="28"/>
          <w:rtl w:val="true"/>
          <w:lang w:bidi="fa-IR"/>
        </w:rPr>
        <w:t>» .</w:t>
      </w:r>
      <w:r>
        <w:rPr>
          <w:rStyle w:val="FootnoteAnchor"/>
          <w:rtl w:val="true"/>
        </w:rPr>
        <w:footnoteReference w:id="74"/>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اين كتاب آسمانى را به گروهى از بندگان برگزيده خود به ميراث داديم</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و ما همان كسانى هستيم كه خداوند عزوجل ما را برگزيد و كتابى را كه در آن همه چيز بيان گشته است، به ارث برده‌ايم</w:t>
      </w:r>
      <w:r>
        <w:rPr>
          <w:rFonts w:eastAsia="IRNazanin" w:cs="IRNazanin"/>
          <w:color w:val="111111"/>
          <w:sz w:val="28"/>
          <w:szCs w:val="28"/>
          <w:rtl w:val="true"/>
          <w:lang w:bidi="fa-IR"/>
        </w:rPr>
        <w:t>.</w:t>
      </w:r>
      <w:r>
        <w:rPr>
          <w:rStyle w:val="FootnoteAnchor"/>
          <w:rtl w:val="true"/>
        </w:rPr>
        <w:footnoteReference w:id="7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علمى و دانشى كه در اين روايت به آن اشاره شد، چنان‌كه در بسيارى از روايات ديگر آمده است، از نوع علوم حصولى نيست كه آموخته شود؛ بلكه نوع ديگرى از علم است كه در سخن خدا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الَّذِى عِنْدَهُ عِلْمٌ مِنَ الْكِتابِ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دانشى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گفت</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آيه به‌دست مى‌آيد كه اين دانش خاص، در صدور آن كار از جانشين سليمان، دخالت داشته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 حكم بر وصف، بيانگر عليت آن وصف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ازاين‌رو اگر </w:t>
      </w:r>
    </w:p>
    <w:p>
      <w:pPr>
        <w:pStyle w:val="BookText"/>
        <w:rPr/>
      </w:pPr>
      <w:r>
        <w:rPr>
          <w:rFonts w:ascii="Amiri" w:hAnsi="Amiri" w:eastAsia="Amiri" w:cs="Amiri"/>
          <w:color w:val="111111"/>
          <w:sz w:val="28"/>
          <w:sz w:val="28"/>
          <w:szCs w:val="28"/>
          <w:rtl w:val="true"/>
          <w:lang w:bidi="ar-SA"/>
        </w:rPr>
        <w:t>اين علم در انجام دادن آن كار مدخليتى نداشت، ذكر آن بيهوده و غير ضرورى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براساس روايات،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علم را از پيامبران گذشته به ارث برده است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علم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ارث برده‌اند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مثنّى 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ابوبصير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حضور يافتم و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شما ورثه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رسول خدا وارث پيامبران بوده و همه آنچه را آنان مى‌دانستند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مى‌توانيد مردگان را زنده كنيد و نابينا و پيس را درمان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به اذن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نزديك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دستش را بر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چهره‌ام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خورشيد و آسمان و زمين و خانه‌ها و همه‌چيز خانه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دوست دارى اين‌گونه بمانى و حساب و كتاب مردم عادى را داشته باشى و هر آنچه روز قيامت بر آنان است، بر تو هم باشد يا به همان حالت كه 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نابينايى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برگردى و بهشت خالص براى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مى‌خواهم به همان حال قبلى بازگردم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حضرت دستش را بر چشم من كشيد و به حال قبلى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ماجرا را براى ابن‌ابى‌عمير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اين ماجرا حق است؛ همان‌گونه كه روز</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امامان، مردگان را زنده مى‌كنند و نابينا و پيس را درمان مى‌نمايند و روى آب راه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هر موهبتى را به پيامبرى داد، همان 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 و موهبت‌هايى را كه آنان از آن برخوردار نبودند نيز به آن حضرت عطا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هرچه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آن را به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به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هر امامى تا روز قيامت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هر ماجرايى كه در هر سال و هر ماه رخ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در هر ساعت اتفاق مى‌افتد</w:t>
      </w:r>
      <w:r>
        <w:rPr>
          <w:rFonts w:eastAsia="IRNazanin" w:cs="IRNazanin"/>
          <w:color w:val="111111"/>
          <w:sz w:val="28"/>
          <w:szCs w:val="28"/>
          <w:rtl w:val="true"/>
          <w:lang w:bidi="fa-IR"/>
        </w:rPr>
        <w:t>» .</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ابوحمزه ثمالى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از آن حضرت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الواح و عصاى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ماست و ما وارثان پيامبرانيم</w:t>
      </w:r>
      <w:r>
        <w:rPr>
          <w:rFonts w:eastAsia="IRNazanin" w:cs="IRNazanin"/>
          <w:color w:val="111111"/>
          <w:sz w:val="28"/>
          <w:szCs w:val="28"/>
          <w:rtl w:val="true"/>
          <w:lang w:bidi="fa-IR"/>
        </w:rPr>
        <w:t>» .</w:t>
      </w:r>
      <w:r>
        <w:rPr>
          <w:rStyle w:val="FootnoteAnchor"/>
          <w:rtl w:val="true"/>
        </w:rPr>
        <w:footnoteReference w:id="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مفضل‌بن‌عمر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از آن حضرت شنيدم كه مى‌فرمود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مى‌دانى پيراهن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كه آتش براى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افروخته شد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پيراهنى بهشتى برايش آورد و آن را بدو پوشاند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پس گرما و سرما به او زيان نرسانيد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هنگامى‌كه ابراهيم در آستانه رحلت قرار گرفت، آن را در حِرْزى قرار داد و بر اسحاق آويخت، و اسحاق آن را بر </w:t>
      </w:r>
    </w:p>
    <w:p>
      <w:pPr>
        <w:pStyle w:val="BookText"/>
        <w:rPr/>
      </w:pPr>
      <w:r>
        <w:rPr>
          <w:rFonts w:ascii="IRNazanin" w:hAnsi="IRNazanin" w:eastAsia="IRNazanin"/>
          <w:color w:val="111111"/>
          <w:sz w:val="28"/>
          <w:sz w:val="28"/>
          <w:szCs w:val="28"/>
          <w:rtl w:val="true"/>
          <w:lang w:bidi="fa-IR"/>
        </w:rPr>
        <w:t>يعقوب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آن را بر او آويخت، و آن حرز در بازويش بود تا آن ماجرا برايش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آن را در مصر، از حرز بيرون آورد، يعقوب بوى آن را احساس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بوى يوسف را احساس مى‌كنم، اگر مرا به نادانى وكم‌عقلى نسبت ندهيد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اين همان پيراهن است كه خدا آن را از بهشت فرو فرستاد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پيراهن به چه كسى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اهلش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پيامبرى، علم يا چيز ديگرى را به ارث مى‌نهد، سرانجام به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 xml:space="preserve">» .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بنابراين خداى سبحان آفريدن، روزى‌دادن، زنده‌كردن، ميراندن و غير آن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 است و ايشان را واسطه‌هاى فيض خود قرار داده است؛ چنان‌كه در روايات بى‌شمارى آمده است؛ مانند روايتى كه در امالى صدوق، به نقل از امام صادق، جعفربن‌محمد، از پدرش، محمدبن‌على، از پدرش، على‌بن‌حسين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اما اين نوع تفويض، از تفويضى كه بطلان و محال بودنش ثابت شده است، به‌شمار نمى‌آيد؛ زيرا همه اين امور، با قدرت الهى و اذن و فرمان او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امام</w:t>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كسانى هستيم كه خدا به سبب ما آسمان را نگاه داشته كه بر زمين نيفتد، مگر به اذن خودش، و به سبب ما زمين را نگاه داشته كه ساكنانش را فرو نبرد، و به سبب ما باران را مى‌باراند، و به سبب ما رحمتش را مى‌گستراند و بركات زمين را نمايان </w:t>
      </w:r>
      <w:bookmarkStart w:id="74" w:name="pg1547_14472"/>
    </w:p>
    <w:p>
      <w:pPr>
        <w:pStyle w:val="BookText"/>
        <w:rPr/>
      </w:pPr>
      <w:bookmarkEnd w:id="74"/>
      <w:r>
        <w:rPr>
          <w:rFonts w:ascii="IRNazanin" w:hAnsi="IRNazanin" w:eastAsia="IRNazanin"/>
          <w:color w:val="111111"/>
          <w:sz w:val="28"/>
          <w:sz w:val="28"/>
          <w:szCs w:val="28"/>
          <w:rtl w:val="true"/>
          <w:lang w:bidi="fa-IR"/>
        </w:rPr>
        <w:t>مى‌كند و اگر در زمين فردى از ما وجود نداشته باشد، ساكنانش را در خود فرو مى‌برد</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غاليان به ربوبيت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تفويض امور به او اعتقاد ندارند، بلكه معتقدند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امامان پاك، متوليان امور و كارگزاران خداى سبحان‌و گرامى‌ترين بندگان در پيشگاه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روزى‌دادن و آفريدن و نظير آن به آنها نسبت داده مى‌شود، نه به معناى اسناد حقيقى به آنان باشد؛ چرا كه اعتقاد دارند عامل حقيقى در آنها خداست؛ به دليل اين سخن خداى متعال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آفريننده هر چيزى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اسناد مرگ، به فرشته مرگ، و اسناد باران به فرشته باران، و زنده‌كردن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چنان‌كه در كتاب خدا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مردگان را به اذن خدا زنده مى‌كنم</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و نظاير آنها كه كارى از كارهاى خداى سبحان، به نوعى، به عاملان او اسناد داده مى‌شود، و نظير چنين اعتقادى، مستلزم كفر نيست و انكار ضرورى دين نيز به شمار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قسم را از اقسام غلو به</w:t>
      </w:r>
    </w:p>
    <w:p>
      <w:pPr>
        <w:pStyle w:val="BookText"/>
        <w:rPr/>
      </w:pPr>
      <w:r>
        <w:rPr>
          <w:rFonts w:ascii="IRNazanin" w:hAnsi="IRNazanin" w:eastAsia="IRNazanin"/>
          <w:color w:val="111111"/>
          <w:sz w:val="28"/>
          <w:sz w:val="28"/>
          <w:szCs w:val="28"/>
          <w:rtl w:val="true"/>
          <w:lang w:bidi="fa-IR"/>
        </w:rPr>
        <w:t>شمار آوردن، معنا ندارد و از التزام ضمنى به آن راه گريزى نيست</w:t>
      </w:r>
      <w:r>
        <w:rPr>
          <w:rFonts w:eastAsia="IRNazanin" w:cs="IRNazanin"/>
          <w:color w:val="111111"/>
          <w:sz w:val="28"/>
          <w:szCs w:val="28"/>
          <w:rtl w:val="true"/>
          <w:lang w:bidi="fa-IR"/>
        </w:rPr>
        <w:t xml:space="preserve">. </w:t>
      </w:r>
      <w:r>
        <w:rPr>
          <w:rStyle w:val="FootnoteAnchor"/>
          <w:rtl w:val="true"/>
        </w:rPr>
        <w:footnoteReference w:id="84"/>
      </w:r>
    </w:p>
    <w:p>
      <w:pPr>
        <w:pStyle w:val="Heading3"/>
        <w:numPr>
          <w:ilvl w:val="2"/>
          <w:numId w:val="1"/>
        </w:numPr>
        <w:rPr/>
      </w:pPr>
      <w:bookmarkStart w:id="75" w:name="__RefHeading___Toc610238_3650668749"/>
      <w:bookmarkStart w:id="76" w:name="_Toc27"/>
      <w:bookmarkEnd w:id="75"/>
      <w:r>
        <w:rPr>
          <w:rtl w:val="true"/>
        </w:rPr>
        <w:t xml:space="preserve">تفويض در نظام تشريع </w:t>
      </w:r>
      <w:r>
        <w:rPr>
          <w:rtl w:val="true"/>
        </w:rPr>
        <w:t>(</w:t>
      </w:r>
      <w:r>
        <w:rPr>
          <w:rtl w:val="true"/>
        </w:rPr>
        <w:t>قانون‌گذارى</w:t>
      </w:r>
      <w:r>
        <w:rPr>
          <w:rtl w:val="true"/>
        </w:rPr>
        <w:t>)</w:t>
      </w:r>
      <w:bookmarkEnd w:id="7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قواعد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اصل قانون‌گذارى، منحصر به خداى متعال است؛ زيرا خود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حكم، تنها از آنِ </w:t>
      </w:r>
    </w:p>
    <w:p>
      <w:pPr>
        <w:pStyle w:val="BookText"/>
        <w:rPr/>
      </w:pPr>
      <w:r>
        <w:rPr>
          <w:rFonts w:ascii="IRNazanin" w:hAnsi="IRNazanin" w:eastAsia="IRNazanin"/>
          <w:color w:val="111111"/>
          <w:sz w:val="28"/>
          <w:sz w:val="28"/>
          <w:szCs w:val="28"/>
          <w:rtl w:val="true"/>
          <w:lang w:bidi="fa-IR"/>
        </w:rPr>
        <w:t>خداست؛ فرمان داده كه غير از او را نپرستيد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برخى از غاليان عقيده دارند كه خداى سبحان، ولايت قانون‌گذارى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آنها به‌گونه‌اى مستقل از اراده و خواست خدا، بدون هيچ وحى و الهامى، هرچه را بخواهند، تشريع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بطلان اين‌گونه تفويض در تشريع، ترديدى نيست؛ زيرا آن‌كس كه اعتقاد دارد غير از خداى سبحان، كسى حق قانون‌گذارى دارد و زمام حلال و حرام به دست اوست، در واقع پروردگار ديگرى اختيار كرده، و كارى را كه مخصوص خداست، به ديگرى نسبت داده، و با تعميم اين حق به غير خداى سبحان، از توحيد خارج، و بدين‌ترتيب مشرك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 معتقديم كه خداى سبحان احكام بسيارى از رويدادها را بيان كرد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برخى از آنها را براى مردم، به‌طور عام، و برخى ديگر را براى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به‌طور خاص، ابلاغ كرد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احكام را به مردم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خداوند در برخى موضوعات و حوادث، به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داد،</w:t>
      </w:r>
    </w:p>
    <w:p>
      <w:pPr>
        <w:pStyle w:val="BookText"/>
        <w:rPr/>
      </w:pPr>
      <w:r>
        <w:rPr>
          <w:rFonts w:ascii="Amiri" w:hAnsi="Amiri" w:eastAsia="Amiri" w:cs="Amiri"/>
          <w:color w:val="111111"/>
          <w:sz w:val="28"/>
          <w:sz w:val="28"/>
          <w:szCs w:val="28"/>
          <w:rtl w:val="true"/>
          <w:lang w:bidi="ar-SA"/>
        </w:rPr>
        <w:t>بى‌آنكه بدو وحى شود، در آنها حكم وضع كند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امورى كه خداى سبحان به وى آموخته است، به اذن خدا قانون‌گذارى مى‌كند و اين كار درباره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صادق است؛ زيرا آنان بر اساس شيوه‌اى كه خداى متعال آنها را تربيت كرده است، برخى از قوانينى را كه خداى متعال و پيامبرش تشريع نكرده‌اند، وضع مى‌كنند؛ به‌گونه‌اى كه هرچه را تشريع كنند و هر مطلبى را بگويند، مطابق با اراده خداى سبحان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معناى تفويض در قانون‌گذارى، با عقل سازگار است و اگر اين معنا طبق ادله براى كسى ثابت شود، از آن، هيچ‌گونه منعى لازم نمى‌آيد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تفويض در موضوع دين دو احتمال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به‌طور عام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تفويض كند كه بدون هيچ‌گونه وحى و الهامى، هرچه را مى‌خواهند حلال، و هرچه را مى‌خواهند حرام نمايند يا آنچه را به آنها وحى مى‌شود با نظرات خودشان تغيير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عقيده‌اى باطل است و هيچ عاقلى بدان قائل نيست؛ چرا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زيادى را براى پاسخ به يك پرسش‌كننده، منتظر وحى مى‌ماند و از پيش خود پاسخ نمى‌داد و 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هرگز از سرِ هواى نفس سخن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مى‌گويد چيزى جز وحى نازل شده بر او نيست</w:t>
      </w:r>
      <w:r>
        <w:rPr>
          <w:rFonts w:eastAsia="IRNazanin" w:cs="IRNazanin"/>
          <w:color w:val="111111"/>
          <w:sz w:val="28"/>
          <w:szCs w:val="28"/>
          <w:rtl w:val="true"/>
          <w:lang w:bidi="fa-IR"/>
        </w:rPr>
        <w:t>» .</w:t>
      </w:r>
      <w:r>
        <w:rPr>
          <w:rStyle w:val="FootnoteAnchor"/>
          <w:rtl w:val="true"/>
        </w:rPr>
        <w:footnoteReference w:id="8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آن‌گاه كه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به‌گونه‌اى كمال بخشيد كه كار را جز موافق حق و صواب اختيار نمى‌كند و هيچ‌گاه موضوعى برخلاف مشيّت و اراده خدا در هر بابى به ذهنش خطور نمى‌كند، خداوند نيز به‌خاطر نشان‌دادن ارج و مقام وى در پيشگاه خود، تعيين برخى از امور مانند افزايش در نماز و تعيين نوافل در نماز و روزه و ارث جدّ و موضوعات ديگرى كه گذشت و خواهد آمد، به آن حضرت تفويض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اصل تعيين، فقط به وسيله وحى بود، اما اختيار، تنها با الهام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حضرت نيز پيوسته بر آنچه به وسيله وحى اختيار نموده بود تأكيد مى‌ورزيد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تفويضى از ديدگاه عقل نيز اعتقادى فاسد نيست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مجموعه فراوانى از روايات بر اين مطلب دلالت دارند؛ براى مثال،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خداى متعال،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بنده خود آفريد و او را آموزش داد و تربيت كرد تا به چهل سالگى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بدو وحى كرد و دستورات را به او تفويض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آنچه را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آورده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شما را نهى كرده خوددارى نماييد</w:t>
      </w:r>
      <w:r>
        <w:rPr>
          <w:rFonts w:eastAsia="IRNazanin" w:cs="IRNazanin"/>
          <w:color w:val="111111"/>
          <w:sz w:val="28"/>
          <w:szCs w:val="28"/>
          <w:rtl w:val="true"/>
          <w:lang w:bidi="fa-IR"/>
        </w:rPr>
        <w:t>» .</w:t>
      </w:r>
      <w:r>
        <w:rPr>
          <w:rStyle w:val="FootnoteAnchor"/>
          <w:rtl w:val="true"/>
        </w:rPr>
        <w:footnoteReference w:id="87"/>
      </w:r>
      <w:r>
        <w:rPr>
          <w:rFonts w:ascii="IRNazanin" w:hAnsi="IRNazanin" w:eastAsia="IRNazanin"/>
          <w:color w:val="111111"/>
          <w:sz w:val="28"/>
          <w:sz w:val="28"/>
          <w:szCs w:val="28"/>
          <w:rtl w:val="true"/>
          <w:lang w:bidi="fa-IR"/>
        </w:rPr>
        <w:t xml:space="preserve">و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يا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كار بندگانش را به پيامبرش سپرد تا چگونگى اطاعتشان را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آيه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آنچه را رسول‌خدا برايتان آورده،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شما را نهى كرده، خوددارى كنيد</w:t>
      </w:r>
      <w:r>
        <w:rPr>
          <w:rFonts w:eastAsia="IRNazanin" w:cs="IRNazanin"/>
          <w:color w:val="111111"/>
          <w:sz w:val="28"/>
          <w:szCs w:val="28"/>
          <w:rtl w:val="true"/>
          <w:lang w:bidi="fa-IR"/>
        </w:rPr>
        <w:t>» .</w:t>
      </w:r>
      <w:r>
        <w:rPr>
          <w:rStyle w:val="FootnoteAnchor"/>
          <w:rtl w:val="true"/>
        </w:rPr>
        <w:footnoteReference w:id="89"/>
      </w:r>
      <w:r>
        <w:rPr>
          <w:rFonts w:ascii="IRNazanin" w:hAnsi="IRNazanin" w:eastAsia="IRNazanin"/>
          <w:color w:val="111111"/>
          <w:sz w:val="28"/>
          <w:sz w:val="28"/>
          <w:szCs w:val="28"/>
          <w:rtl w:val="true"/>
          <w:lang w:bidi="fa-IR"/>
        </w:rPr>
        <w:t xml:space="preserve">و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برخى روايات، تعدادى از قوانينى را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وحى تشريع كرده، و سپس خداى سبحان آنها را تأييد و اجازه داده، يادآور شده‌است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زراره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چشم و نَفْس و بينى را وضع كرد و شراب و هر مست‌كننده‌اى را حرام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اين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بى‌آنكه در مورد آن وحى رسيده باشد، وضع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تا بداند چه كسى از رسول خدا فرمان مى‌برد و چه كسى سرپيچى مى‌كند</w:t>
      </w:r>
      <w:r>
        <w:rPr>
          <w:rFonts w:eastAsia="IRNazanin" w:cs="IRNazanin"/>
          <w:color w:val="111111"/>
          <w:sz w:val="28"/>
          <w:szCs w:val="28"/>
          <w:rtl w:val="true"/>
          <w:lang w:bidi="fa-IR"/>
        </w:rPr>
        <w:t xml:space="preserve">» . </w:t>
      </w:r>
      <w:r>
        <w:rPr>
          <w:rStyle w:val="FootnoteAnchor"/>
          <w:rtl w:val="true"/>
        </w:rPr>
        <w:footnoteReference w:id="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اسحاق‌بن‌عمار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آن‌گونه كه خود مى‌خواست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ادب و تربيت كرد و آن‌گاه وى را به جايى كه مى‌خواست رساند، بدو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اخلاق عظيم و برجسته‌اى دارى</w:t>
      </w:r>
      <w:r>
        <w:rPr>
          <w:rFonts w:eastAsia="IRNazanin" w:cs="IRNazanin"/>
          <w:color w:val="111111"/>
          <w:sz w:val="28"/>
          <w:szCs w:val="28"/>
          <w:rtl w:val="true"/>
          <w:lang w:bidi="fa-IR"/>
        </w:rPr>
        <w:t xml:space="preserve">» </w:t>
      </w:r>
      <w:r>
        <w:rPr>
          <w:rStyle w:val="FootnoteAnchor"/>
        </w:rPr>
        <w:footnoteReference w:id="92"/>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و امور دينش را بدو تفويض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رسول خدا برايتان آورده،</w:t>
      </w:r>
    </w:p>
    <w:p>
      <w:pPr>
        <w:pStyle w:val="BookText"/>
        <w:rPr/>
      </w:pPr>
      <w:r>
        <w:rPr>
          <w:rFonts w:ascii="IRNazanin" w:hAnsi="IRNazanin" w:eastAsia="IRNazanin"/>
          <w:color w:val="111111"/>
          <w:sz w:val="28"/>
          <w:sz w:val="28"/>
          <w:szCs w:val="28"/>
          <w:rtl w:val="true"/>
          <w:lang w:bidi="fa-IR"/>
        </w:rPr>
        <w:t xml:space="preserve">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شما را نهى كرده، خوددارى كنيد</w:t>
      </w:r>
      <w:r>
        <w:rPr>
          <w:rFonts w:eastAsia="IRNazanin" w:cs="IRNazanin"/>
          <w:color w:val="111111"/>
          <w:sz w:val="28"/>
          <w:szCs w:val="28"/>
          <w:rtl w:val="true"/>
          <w:lang w:bidi="fa-IR"/>
        </w:rPr>
        <w:t xml:space="preserve">» .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خدا در قرآن سهم ارث را ذكر كرده، ولى براى جد سهمى قرار نداده است 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مست‌كننده‌اى را حرام كرد و خدا اجازه آن را بدو داد و اين فرموده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عطاى ماست؛ به هركس مى‌خواهى ببخش و از هركس مى‌خواهى امساك كن و حسابى بر تو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امين هستى</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و </w:t>
      </w: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اسحاق‌بن‌عمار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پيامبرش را ادب و تربيت كرد تا اينكه او را به جايى كه </w:t>
      </w:r>
    </w:p>
    <w:p>
      <w:pPr>
        <w:pStyle w:val="BookText"/>
        <w:rPr/>
      </w:pPr>
      <w:r>
        <w:rPr>
          <w:rFonts w:ascii="IRNazanin" w:hAnsi="IRNazanin" w:eastAsia="IRNazanin"/>
          <w:color w:val="111111"/>
          <w:sz w:val="28"/>
          <w:sz w:val="28"/>
          <w:szCs w:val="28"/>
          <w:rtl w:val="true"/>
          <w:lang w:bidi="fa-IR"/>
        </w:rPr>
        <w:t>مى‌خواست رساند، بدو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مدارا كن و عذرشان را بپذير و به نيكى‌ها دعوت نما و از جاهلان رو بگردان</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 او را مدح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اخلاق عظيم و برجسته‌اى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آن‌گاه كه او را مدح نمود دينش را بدو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آنچه را رسول خدا برايتان آورده،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شما را نهى كرده، خوددارى نماييد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متعال شراب را حرام كرد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مست‌كننده‌اى را حرام نمود و خداوند در همه اين امور به او اجازه داد و خدا نماز را نازل كرد و اوقات آن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نمود و خداوند متعال آن را</w:t>
      </w:r>
    </w:p>
    <w:p>
      <w:pPr>
        <w:pStyle w:val="BookText"/>
        <w:rPr/>
      </w:pPr>
      <w:r>
        <w:rPr>
          <w:rFonts w:ascii="Amiri" w:hAnsi="Amiri" w:eastAsia="Amiri" w:cs="Amiri"/>
          <w:color w:val="111111"/>
          <w:sz w:val="28"/>
          <w:sz w:val="28"/>
          <w:szCs w:val="28"/>
          <w:rtl w:val="true"/>
          <w:lang w:bidi="ar-SA"/>
        </w:rPr>
        <w:t>تأييد فرمود</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تفويض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 تعالى پادشاهى‌اش را به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تفويض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عطاى ماست؛ به هركس مى‌خواهى ببخش و از هركس مى‌خواهى امساك كن و حسابى بر تو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امين هستى</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 و خداوند تبارك و تعالى دينش 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آنچه را رسول خدا برايتان آورده،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شما را نهى كرده، خوددارى نماييد</w:t>
      </w:r>
      <w:r>
        <w:rPr>
          <w:rFonts w:eastAsia="IRNazanin" w:cs="IRNazanin"/>
          <w:color w:val="111111"/>
          <w:sz w:val="28"/>
          <w:szCs w:val="28"/>
          <w:rtl w:val="true"/>
          <w:lang w:bidi="fa-IR"/>
        </w:rPr>
        <w:t xml:space="preserve">» . </w:t>
      </w:r>
      <w:r>
        <w:rPr>
          <w:rStyle w:val="FootnoteAnchor"/>
          <w:rtl w:val="true"/>
        </w:rPr>
        <w:footnoteReference w:id="9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امور مربوط به رزق و روزى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تفويض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خشم از او رو گردانيد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 همه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 شده است</w:t>
      </w:r>
      <w:r>
        <w:rPr>
          <w:rFonts w:eastAsia="IRNazanin" w:cs="IRNazanin"/>
          <w:color w:val="111111"/>
          <w:sz w:val="28"/>
          <w:szCs w:val="28"/>
          <w:rtl w:val="true"/>
          <w:lang w:bidi="fa-IR"/>
        </w:rPr>
        <w:t xml:space="preserve">]» .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شراب‌خوار چگونه رفتار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حدش مى‌زد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تكرار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حدش مى‌زد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تكرار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سه مرتبه او را حدش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تكرار مى‌كرد، او را مى‌كشت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آشامنده مست‌كننده، چگونه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حدّش مى‌زد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تكرار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حدّش مى‌زد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تكرار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حدّش مى‌زد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تكرار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مى‌كشت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كسى كه شراب مى‌خورد با كسى كه مست‌كننده ديگر مى‌خورد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يكسان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درك اين مطلب برايم سنگين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بزرگ نشمار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خدا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تربيت نمود، او نيز ادب و تربيت خداوند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تفويض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مكه را حرمت بخشيد و آن را حرم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را حرمت بخشيد و آنجا را حرم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شراب را حرام كرد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مست‌كننده‌اى را حرام نمود و خدا همه آنها را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 تعالى فريضه‌هاى ارث از صلب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واجب ساخت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جد را واجب نمود، و خدا آن را اجازه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از رسول خدا فرمان برد، از خدا فرمان برده است</w:t>
      </w:r>
      <w:r>
        <w:rPr>
          <w:rFonts w:eastAsia="IRNazanin" w:cs="IRNazanin"/>
          <w:color w:val="111111"/>
          <w:sz w:val="28"/>
          <w:szCs w:val="28"/>
          <w:rtl w:val="true"/>
          <w:lang w:bidi="fa-IR"/>
        </w:rPr>
        <w:t>»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اسحاق‌بن‌عمار چنين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نماز، يك ركعت با دو سجده شد؟ و چرا دو سجده دو ركعت نشد؟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مطلبى را پرسيدى، دلت را براى فهم و درك آن مهيا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نمازى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گزارد در آسمان،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پيشگاه خداى متعال و مقابل عرش وى به‌جا آورد، و آن زمانى بود كه وقتى او را معراج بردند، مقابل عرش خداوند تبارك و تعالى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صاد </w:t>
      </w:r>
      <w:r>
        <w:rPr>
          <w:rStyle w:val="FootnoteAnchor"/>
          <w:rtl w:val="true"/>
        </w:rPr>
        <w:footnoteReference w:id="102"/>
      </w:r>
      <w:r>
        <w:rPr>
          <w:rFonts w:ascii="IRNazanin" w:hAnsi="IRNazanin" w:eastAsia="IRNazanin"/>
          <w:color w:val="111111"/>
          <w:sz w:val="28"/>
          <w:sz w:val="28"/>
          <w:szCs w:val="28"/>
          <w:rtl w:val="true"/>
          <w:lang w:bidi="fa-IR"/>
        </w:rPr>
        <w:t>نزديك شو و مواضع سجود خود را شست‌وشو ده و پاكيزه نما و براى پروردگارت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به‌جايى كه خداى تبارك و تعالى به او دستور داده بود نزديك شد و وضوى شادابى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خداى جبار ايستاد و خدا وى را به آغازِ نماز فرمان داد و او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دستور داد كه صفت و نسبت پروردگارش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متعال از سخن گفتن باز ايستاد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يَلِدْ وَ لَمْ يُولَدْ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يَكُنْ لَهُ كُفُواً أَحَدٌ و از سخن بازماند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كذلك الله 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اين چنين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جملات را گفت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پروردگارت ركوع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انجام داد و در حال ركوع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العظيم و بحمده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سه‌بار آن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تبارك و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و در پيشگاه خدا راست ايستاد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بعد از 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w:t>
      </w:r>
    </w:p>
    <w:p>
      <w:pPr>
        <w:pStyle w:val="BookText"/>
        <w:rPr/>
      </w:pPr>
      <w:r>
        <w:rPr>
          <w:rFonts w:ascii="IRNazanin" w:hAnsi="IRNazanin" w:eastAsia="IRNazanin"/>
          <w:color w:val="111111"/>
          <w:sz w:val="28"/>
          <w:sz w:val="28"/>
          <w:szCs w:val="28"/>
          <w:rtl w:val="true"/>
          <w:lang w:bidi="fa-IR"/>
        </w:rPr>
        <w:t>پروردگارت سجده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 به سجده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الاعلى و بحمده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سه‌بار آن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صاف نشست و عظمت خدا را ياد كرد، به اختيار خود به سجده افتاد، نه به امر پروردگار عزوجل، و سه‌بار نيز تسبيح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 بايست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انجام داد و از آن پس، آن عظمت پروردگارش را كه ديده بود، مشاهده نكرد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انجام ده همان‌گونه كه در ركعت نخست به‌جا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حمد و سوره را خواند و ركوع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 سجده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سر از سجده برداشت، عظمتِ خدا را ياد كرد و به اختيار خود به سجده افتاد، نه به امر پروردگار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تسبيح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را بلند كن كه خدا تو را ثابت قدم بدارد و گواهى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معبودى جز خدا نيست و محمد رسول خداست و قيامت بى‌ترديد فرا خواهد رسيد و خداوند مردگان را برمى‌انگيزد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درود فرست؛ همان‌گونه كه بر ابراهيم و </w:t>
      </w:r>
    </w:p>
    <w:p>
      <w:pPr>
        <w:pStyle w:val="BookText"/>
        <w:rPr/>
      </w:pPr>
      <w:r>
        <w:rPr>
          <w:rFonts w:ascii="IRNazanin" w:hAnsi="IRNazanin" w:eastAsia="IRNazanin"/>
          <w:color w:val="111111"/>
          <w:sz w:val="28"/>
          <w:sz w:val="28"/>
          <w:szCs w:val="28"/>
          <w:rtl w:val="true"/>
          <w:lang w:bidi="fa-IR"/>
        </w:rPr>
        <w:t>خاندان ابراهيم درود فرستادى و بركت دادى و رحم كردى، تو ستوده و ارجمندى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او را درباره امتش بپذير و درجه‌اش را بالا ببر و حضرت، اين امور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به‌سوى خداى تبارك و تعالى نمود و سكوت كرد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جبار پاسخش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سلام باد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نعمت خودم تو را بر طاعتم نيرو بخشيدم و با عصمتم تو را پيامبر و حبيبم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امر شده بود، دو ركعت و دو سجده بود و چنان‌كه نقل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عظمت خداى تبارك و تعالى در هر ركعت دو سجده به‌جا آورد و خدا آن را واجب نمود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صاد چيست كه خداوند دستور داد حضرت خود را با آن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چشمه‌اى است كه از يكى از ركن‌هاى عرش مى‌جوشد و به آن آب حيات گفته مى‌شود و منظور از صاد، همان است كه خداوند عزوجل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 الْقُرْآنِ ذِى الذِّكْرِ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بسازد و بخواند و نماز بگزارد</w:t>
      </w:r>
      <w:r>
        <w:rPr>
          <w:rFonts w:eastAsia="IRNazanin" w:cs="IRNazanin"/>
          <w:color w:val="111111"/>
          <w:sz w:val="28"/>
          <w:szCs w:val="28"/>
          <w:rtl w:val="true"/>
          <w:lang w:bidi="fa-IR"/>
        </w:rPr>
        <w:t xml:space="preserve">» . </w:t>
      </w:r>
      <w:r>
        <w:rPr>
          <w:rStyle w:val="FootnoteAnchor"/>
          <w:rtl w:val="true"/>
        </w:rPr>
        <w:footnoteReference w:id="10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روايت، كه نظايرش بسيار است، به‌گونه‌اى روشن بيان مى‌كند، نمازى كه ما مى‌خوانيم از اجزايى تشكيل شده است كه خداوند به انجام دادن برخى از آنها مستقيم دستور فرموده، و اجزاى ديگرش را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و خداوند آن را بر امتش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در برخى روايات اجزايى را كه خداى متعال واجب ساخته، از آنچه سنت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جدا مى‌داند؛ براى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عمربن‌اذينه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نماز ده ركعت است كه شامل دو ركعت ظهر و دو ركعت عصر و دو ركعت صبح و دو ركعت مغرب و دو ركعت عشا مى‌باشد و شك و اشتباه كردن در آن جايز نيست و هركس در آن خطا كند بايد نمازى را كه خداوند عزوجل در قرآن بر مؤمنان واجب نموده است از سر گيرد، و خدا آن 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تفويض كرد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نماز، هفت ركعت افزود و آن سنتى است كه در آن قرائت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تسبيح و تهليل و تكبير و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شك و خطا در آن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در ظهر و عصر و عشا در نماز غير مسافر و يك ركعت به نماز مغرب غير مسافر و مسافر اضافه كرد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عبدالله‌بن‌سليمان عامرى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معراج برده شد، نماز ده ركعت و به صورت دو ركعت، دو ركعت، نازل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حسن و حسين متولد شدند،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ركعت را افزود و خداوند نيز به او اجازه داد و نماز صبح را به‌خاطر تنگى وقتش چيزى به آن نيفزود؛ زيرا فرشتگان شب و روز در آن حاضر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خداوند به نماز شكسته در مسافرت دستور داد،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ركعت را از امتش برداشت و از مغرب </w:t>
      </w:r>
      <w:bookmarkStart w:id="77" w:name="pg1547_14483"/>
    </w:p>
    <w:p>
      <w:pPr>
        <w:pStyle w:val="BookText"/>
        <w:rPr/>
      </w:pPr>
      <w:bookmarkEnd w:id="77"/>
      <w:r>
        <w:rPr>
          <w:rFonts w:ascii="IRNazanin" w:hAnsi="IRNazanin" w:eastAsia="IRNazanin"/>
          <w:color w:val="111111"/>
          <w:sz w:val="28"/>
          <w:sz w:val="28"/>
          <w:szCs w:val="28"/>
          <w:rtl w:val="true"/>
          <w:lang w:bidi="fa-IR"/>
        </w:rPr>
        <w:t>چيزى نكاست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بخش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سهو و اشتباه ممكن است، و كسى كه در اصل واجب در دو ركعت نخست، شك كند بايد نمازش را از</w:t>
      </w:r>
    </w:p>
    <w:p>
      <w:pPr>
        <w:pStyle w:val="BookText"/>
        <w:rPr/>
      </w:pPr>
      <w:r>
        <w:rPr>
          <w:rFonts w:ascii="IRNazanin" w:hAnsi="IRNazanin" w:eastAsia="IRNazanin"/>
          <w:color w:val="111111"/>
          <w:sz w:val="28"/>
          <w:sz w:val="28"/>
          <w:szCs w:val="28"/>
          <w:rtl w:val="true"/>
          <w:lang w:bidi="fa-IR"/>
        </w:rPr>
        <w:t>سر بگيرد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فضيل‌بن‌يسار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عزوجل تا ده ركعت نماز را دو ركعت، دو ركعت، واجب كرد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و به مغرب يك ركعت افزود كه معادل فريضه شد، و ترك آنها جز در سفر جايز نيست و مغرب را فرد قرار داد و آن را در سفر و حضر يكسان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نيز آن را براى وى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فريضه‌هفده ركعت شد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تا آنجا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اجازه نداد دو ركعتى را كه به نماز فرض الهى افزوده،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آن‌را بر همه واجب نمود، و جز به مسافر حق نداد چيزى را از آن بكاهد و كسى حق ندارد چيزى را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نداده،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دستور رسول خدا با فرمان خدا، و نهى او با نهى خدا موافق است و بر بندگان واجب است همانند تسليم در برابر امر خدا، تسليم رسول خدا نيز بشوند</w:t>
      </w:r>
      <w:r>
        <w:rPr>
          <w:rFonts w:eastAsia="IRNazanin" w:cs="IRNazanin"/>
          <w:color w:val="111111"/>
          <w:sz w:val="28"/>
          <w:szCs w:val="28"/>
          <w:rtl w:val="true"/>
          <w:lang w:bidi="fa-IR"/>
        </w:rPr>
        <w:t>» .</w:t>
      </w:r>
      <w:r>
        <w:rPr>
          <w:rStyle w:val="FootnoteAnchor"/>
          <w:rtl w:val="true"/>
        </w:rPr>
        <w:footnoteReference w:id="107"/>
      </w:r>
    </w:p>
    <w:p>
      <w:pPr>
        <w:pStyle w:val="Heading3"/>
        <w:numPr>
          <w:ilvl w:val="2"/>
          <w:numId w:val="1"/>
        </w:numPr>
        <w:rPr/>
      </w:pPr>
      <w:bookmarkStart w:id="78" w:name="__RefHeading___Toc610240_3650668749"/>
      <w:bookmarkStart w:id="79" w:name="_Toc28"/>
      <w:bookmarkEnd w:id="78"/>
      <w:r>
        <w:rPr>
          <w:rtl w:val="true"/>
        </w:rPr>
        <w:t xml:space="preserve">تفويض به اهل‌بيت </w:t>
      </w:r>
      <w:r>
        <w:rPr>
          <w:rtl w:val="true"/>
        </w:rPr>
        <w:t>(</w:t>
      </w:r>
      <w:r>
        <w:rPr>
          <w:rtl w:val="true"/>
        </w:rPr>
        <w:t>عليهم السلام</w:t>
      </w:r>
      <w:r>
        <w:rPr>
          <w:rtl w:val="true"/>
        </w:rPr>
        <w:t>)</w:t>
      </w:r>
      <w:bookmarkEnd w:id="7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 فراوانى وجود دارد كه هرچه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تفويض شده، به اهل‌بيت او نيز تفويض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محمدبن‌حسن ميثمى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ادب و تربيت كرد و او را طبق خواسته‌اش استوار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تفويض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آنچه را رسول خدا برايتان آورده، بگيريد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هرچه شما را نهى كرده، خوددارى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آنچه را خدا به رسولش تفويض نمود، وى نيز آنها را به ما تفويض فرمود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دين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هيچ‌يك از بندگانش جز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تفويض نكرد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 إِلَيكَ الْكِتَابَ بِالْحَقِّ لِتَحْكُمَ بَينَ النَّاسِ بِمَا أَرَاكَ اللهُ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 كتاب را به‌حق بر تو نازل كرديم تا به آنچه خداوند به تو آموخته، ميان مردم قضاوت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 شيوه در مورد اوصيا و جانشينان آن حضرت نيز جارى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 خبر اين است كه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أَرَاكَ اللهُ را به الهام و احكامى كه در دل‌هاى ايشان القا مى‌كند، تفسير نموده تا بر برخى معانى تفويض، دلالت كند</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 نحوى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پيامبرش را بر پايه محبتش ادب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داراى</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اخلاق </w:t>
      </w:r>
    </w:p>
    <w:p>
      <w:pPr>
        <w:pStyle w:val="BookText"/>
        <w:rPr/>
      </w:pPr>
      <w:r>
        <w:rPr>
          <w:rFonts w:ascii="Amiri" w:hAnsi="Amiri" w:eastAsia="Amiri" w:cs="Amiri"/>
          <w:color w:val="111111"/>
          <w:sz w:val="28"/>
          <w:sz w:val="28"/>
          <w:szCs w:val="28"/>
          <w:rtl w:val="true"/>
          <w:lang w:bidi="ar-SA"/>
        </w:rPr>
        <w:t>عظيم و برجسته‌اى هستى</w:t>
      </w:r>
      <w:r>
        <w:rPr>
          <w:rFonts w:eastAsia="Amiri" w:cs="Amiri" w:ascii="Amiri" w:hAnsi="Amiri"/>
          <w:color w:val="111111"/>
          <w:sz w:val="28"/>
          <w:szCs w:val="28"/>
          <w:rtl w:val="true"/>
          <w:lang w:bidi="ar-SA"/>
        </w:rPr>
        <w:t>» .</w:t>
      </w:r>
      <w:r>
        <w:rPr>
          <w:rStyle w:val="FootnoteAnchor"/>
          <w:rtl w:val="true"/>
        </w:rPr>
        <w:footnoteReference w:id="112"/>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دين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تفويض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رسول خدا برايتان آورده،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شما را نهى كرده، خوددارى نماييد</w:t>
      </w:r>
      <w:r>
        <w:rPr>
          <w:rFonts w:eastAsia="IRNazanin" w:cs="IRNazanin"/>
          <w:color w:val="111111"/>
          <w:sz w:val="28"/>
          <w:szCs w:val="28"/>
          <w:rtl w:val="true"/>
          <w:lang w:bidi="fa-IR"/>
        </w:rPr>
        <w:t>»</w:t>
      </w:r>
      <w:r>
        <w:rPr>
          <w:rStyle w:val="FootnoteAnchor"/>
          <w:rtl w:val="true"/>
        </w:rPr>
        <w:footnoteReference w:id="113"/>
      </w:r>
      <w:r>
        <w:rPr>
          <w:rFonts w:ascii="Amiri" w:hAnsi="Amiri" w:eastAsia="Amiri" w:cs="Amiri"/>
          <w:color w:val="111111"/>
          <w:sz w:val="28"/>
          <w:sz w:val="28"/>
          <w:szCs w:val="28"/>
          <w:rtl w:val="true"/>
          <w:lang w:bidi="ar-SA"/>
        </w:rPr>
        <w:t>،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هركس از رسول خدا فرمان برد از خدا فرمان برده است</w:t>
      </w:r>
      <w:r>
        <w:rPr>
          <w:rFonts w:eastAsia="Amiri" w:cs="Amiri" w:ascii="Amiri" w:hAnsi="Amiri"/>
          <w:color w:val="111111"/>
          <w:sz w:val="28"/>
          <w:szCs w:val="28"/>
          <w:rtl w:val="true"/>
          <w:lang w:bidi="ar-SA"/>
        </w:rPr>
        <w:t xml:space="preserve">» .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تفويض كرد و او را امين شمرد و شما تسليم شديد، ولى مردم انكار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داريم كه هرگاه ما چيزى گفتيم، شما نيز بگوييد و هرگاه ما سكوت كرديم، شما نيز سكوت كنيد و ما ميان شما و خداوند عزوجل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مخالفت دستور ما براى هيچ‌كس خيرى قرار نداده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ممكن است گفته شود اگر مواردى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تفويض شده است، بدون فرمان و اذن خدا باشد، با سخن خداى متعال منافات دارد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سر هوا و هوس سخن نمى‌گويد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و اگر به فرمان و اراده خداى متعال باشد، بين آنها و دستوراتى كه خدا واجب، و تشريع كرده تفاوتى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سخن اخير را برمى‌گزينيم؛ زيرا همه تشريعات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پس از اذن خداى تعالى به تشريع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تفويض امر به آنان، صادر شده است و تفاوت بين آن دو روشن است؛ زيرا آنچه را خداى سبحان واجب كرده و به‌طور مستقيم تشريع نموده،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فرمانى قطعى </w:t>
      </w:r>
      <w:bookmarkStart w:id="80" w:name="pg1547_14486"/>
    </w:p>
    <w:p>
      <w:pPr>
        <w:pStyle w:val="BookText"/>
        <w:rPr/>
      </w:pPr>
      <w:bookmarkEnd w:id="8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موارد ديگر، به پيامبر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تفويض شده است و آنان اختيار دارند مواردى را اضافه كنند كه در اين صورت، خدا نيز آن موارد را بر امت واجب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بندگان واجب است كه در اين موارد هم تسليم باشند؛ همان‌گونه كه برابر خداى سبحان تسليم‌اند و پيش‌تر گذشت</w:t>
      </w:r>
      <w:r>
        <w:rPr>
          <w:rFonts w:eastAsia="IRNazanin" w:cs="IRNazanin"/>
          <w:color w:val="111111"/>
          <w:sz w:val="28"/>
          <w:szCs w:val="28"/>
          <w:rtl w:val="true"/>
          <w:lang w:bidi="fa-IR"/>
        </w:rPr>
        <w:t>.</w:t>
      </w:r>
    </w:p>
    <w:p>
      <w:pPr>
        <w:pStyle w:val="Heading3"/>
        <w:numPr>
          <w:ilvl w:val="2"/>
          <w:numId w:val="1"/>
        </w:numPr>
        <w:rPr/>
      </w:pPr>
      <w:bookmarkStart w:id="81" w:name="__RefHeading___Toc610242_3650668749"/>
      <w:bookmarkStart w:id="82" w:name="_Toc29"/>
      <w:bookmarkEnd w:id="81"/>
      <w:r>
        <w:rPr>
          <w:rtl w:val="true"/>
        </w:rPr>
        <w:t>دل‌هاى ائمه خاستگاه اراده خدا</w:t>
      </w:r>
      <w:bookmarkEnd w:id="82"/>
    </w:p>
    <w:p>
      <w:pPr>
        <w:pStyle w:val="BookText"/>
        <w:rPr/>
      </w:pPr>
      <w:r>
        <w:rPr>
          <w:rFonts w:ascii="IRNazanin" w:hAnsi="IRNazanin" w:eastAsia="IRNazanin"/>
          <w:color w:val="111111"/>
          <w:sz w:val="28"/>
          <w:sz w:val="28"/>
          <w:szCs w:val="28"/>
          <w:rtl w:val="true"/>
          <w:lang w:bidi="fa-IR"/>
        </w:rPr>
        <w:t xml:space="preserve">گفتنى است هر چند درباره تشريعاتى كه از ناحيه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مى‌شود، فرمان مستقيمى از طرف خدا صادر نشده، اما همه آنها با امر و نهى خدا موافق است كه روايات متعددى نيز به اين معنا تصريح كرده است؛ براى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ابونعيم محمدبن‌احمد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از مفوضه و مقصّره،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كامل‌بن‌ابراهيم 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نمايندگى خود نزد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مى‌گويد با خود گفتم آيا از او بپرسم، جز كسى كه مثل من شناخت داشته باشد و مانند من سخن بگويد، هيچ‌كس وارد بهشت نمى‌شود؟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حضور سرورم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نگاهم به لباس سفيد لطيفى كه بر تن آن حضرت بود،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 و حجت او چنين لباس لطيفى بر تن مى‌كند و ما را به همسانى با برادران دينى فرمان مى‌دهد و از پوشيدن چنين لباسى نهى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لبخند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آستينش را بالا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ديدم لباس سياه خشنى در زير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 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خدا و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 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شما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سلام كردم و كنار درى كه پرده‌اى بر آن آويزان بود،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وزيد و پرده را كنار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كودكى به‌سان پاره ماه، در سن چهار سال يا همان حدود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كامل‌بن‌ابراهيم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شنيدن صداى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تنم لرزيد و به من الهام شد كه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اى 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ولى خدا آمده‌اى كه درباره سخنان مفوضه بپرسى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دل‌هاى ما خاستگاه اراده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 بخواهد ما مى‌خواهيم و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هيچ چيز را نمى‌خواهيد مگر اينكه خدا بخواهد</w:t>
      </w:r>
      <w:r>
        <w:rPr>
          <w:rFonts w:eastAsia="IRNazanin" w:cs="IRNazanin"/>
          <w:color w:val="111111"/>
          <w:sz w:val="28"/>
          <w:szCs w:val="28"/>
          <w:rtl w:val="true"/>
          <w:lang w:bidi="fa-IR"/>
        </w:rPr>
        <w:t xml:space="preserve">» . </w:t>
      </w:r>
      <w:r>
        <w:rPr>
          <w:rStyle w:val="FootnoteAnchor"/>
        </w:rPr>
        <w:footnoteReference w:id="117"/>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سپس پرده به حالت نخست خود بازگشت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داشتم و از اختلاف شيعه ياد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هميشه در يگانگى، فرد و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محمد و على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آفريد و هزار روزگار صبر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اشياء را آفريد و آنان را بر آفرينش اشياء گواه گرفت و اطاعت آنان را بر آن اشياء جارى ساخت و امور آنها را به ايشان تفويض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آنان آنچه را مى‌خواهند، حلال و آنچه را مى‌خواهند، حرام مى‌نمايند و هرگز چيزى را نمى‌خواهند مگر آنچه را خداى تبارك و تعالى بخواهد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هركس از اين ديانت پيشى گيرد، در درياى افراط غرق مى‌شود و هركس از آن مراتبى كه خدا براى آنها ترتيب داده </w:t>
      </w:r>
    </w:p>
    <w:p>
      <w:pPr>
        <w:pStyle w:val="BookText"/>
        <w:rPr/>
      </w:pPr>
      <w:r>
        <w:rPr>
          <w:rFonts w:ascii="IRNazanin" w:hAnsi="IRNazanin" w:eastAsia="IRNazanin"/>
          <w:color w:val="111111"/>
          <w:sz w:val="28"/>
          <w:sz w:val="28"/>
          <w:szCs w:val="28"/>
          <w:rtl w:val="true"/>
          <w:lang w:bidi="fa-IR"/>
        </w:rPr>
        <w:t>بكاهد، در خشكى تفريط نابود مى‌شود و در راستاى شناخت آنان كه بر مؤمن واجب است، حق خاندان محمد را ادا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بگير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علم مخزون و مكنون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بنابراين بين تفويض قانون‌گذارى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خداى متعال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هيچ‌گونه اختيارى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منافاتى وجود ندارد و دليل آن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جعفى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لَيْسَ لَكَ مِنَ الْأَمْرِ شَىْءٌ </w:t>
      </w:r>
      <w:r>
        <w:rPr>
          <w:rStyle w:val="FootnoteAnchor"/>
          <w:rtl w:val="true"/>
        </w:rPr>
        <w:footnoteReference w:id="120"/>
      </w:r>
      <w:r>
        <w:rPr>
          <w:rFonts w:ascii="IRNazanin" w:hAnsi="IRNazanin" w:eastAsia="IRNazanin"/>
          <w:color w:val="111111"/>
          <w:sz w:val="28"/>
          <w:sz w:val="28"/>
          <w:szCs w:val="28"/>
          <w:rtl w:val="true"/>
          <w:lang w:bidi="fa-IR"/>
        </w:rPr>
        <w:t xml:space="preserve">را نزد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 همه چيز در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نه آن‌گونه كه تو عقيده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تو را آگاه مى‌سازم آن‌گاه كه خداى تبارك و تعالى به پيامبرش دستور داد كه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ابراز و اعلان نمايد، درباره دشمنى قومش و شناختى كه نسبت به آنها داشت، انديشيد و دشمنى قومش بدين جهت بود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سبب ويژگى‌هايش بر همه برترى داده بود؛ زيرا وى نخستين كسى بود كه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فرستاده حق ايمان آورد و يارى‌كننده‌ترين مردم نسبت به خدا و رسول او و جنگاورترين آنها نسبت به دشمن خدا و رسول بود و بيش از آنها نسبت به مخالفان خدا و رسول دشمنى مى‌كرد و در برترى علمش كسى نتوانست با او برابرى كند و شرف و ديگر فضيلت‌هاى او كه قابل شمارش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دشمنى و حسد قومش با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برخوردارى وى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ويژگى‌ها انديشيد، 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w:t>
      </w:r>
    </w:p>
    <w:p>
      <w:pPr>
        <w:pStyle w:val="BookText"/>
        <w:rPr/>
      </w:pPr>
      <w:r>
        <w:rPr>
          <w:rFonts w:ascii="IRNazanin" w:hAnsi="IRNazanin" w:eastAsia="IRNazanin"/>
          <w:color w:val="111111"/>
          <w:sz w:val="28"/>
          <w:sz w:val="28"/>
          <w:szCs w:val="28"/>
          <w:rtl w:val="true"/>
          <w:lang w:bidi="fa-IR"/>
        </w:rPr>
        <w:t>آگاه ساخت كه تو در اين‌باره اختيارى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ماجراى او به خدا مربوط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وصى و ولى امر پس از او گردانَد و مقصود خداى متعال همين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اختيارى ندارد با اينكه بدو تفويض كرد هرچه را او حلال كرده، حلال و هرچه را حرام كرده،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برايتان آورده،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هرچه شما را نهى كرده، خوددارى نماييد</w:t>
      </w:r>
      <w:r>
        <w:rPr>
          <w:rFonts w:eastAsia="IRNazanin" w:cs="IRNazanin"/>
          <w:color w:val="111111"/>
          <w:sz w:val="28"/>
          <w:szCs w:val="28"/>
          <w:rtl w:val="true"/>
          <w:lang w:bidi="fa-IR"/>
        </w:rPr>
        <w:t>»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به هر حال، حاصل همه مطالب گذشته اين است كه آنچه از امر تشريع و قانون‌گذارى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تفويض شده، اين نيست كه با اراده خود و بدون هيچ وحى و الهامى، هرچه را بخواهند حلال، و هرچه را بخواهند، حرام نمايند؛ زيرا چنين موضوعى به ضرورت عقلى و نقلى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مقصود از تفويض در تشريع اين است كه با اذن خدا باشد؛ بدين‌معنا كه خداى متعال هنگامى كه عقول آنها را كامل گرداند و به‌گونه‌اى تربيتشان كرد كه جز خواسته خدا چيزى را اختيار نكنند، برخى تشريعات را به آنان تفويض كرد تا مقام و جايگاه ايشان را در پيشگاه خود آشكار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درخور ذكر است كه اين مبنا در تفويض تشريع و قانون‌گذارى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نظريه‌اى كه برخى بدان قائلند و مى‌گويند امامان، تنها راوى از پيامبرند و</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همين اندازه در تشريع نقش ندارند،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كه بنابر نظريه اين گروه، ولايت تشريعى براى امامان 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w:t>
      </w:r>
      <w:r>
        <w:rPr>
          <w:rFonts w:eastAsia="IRNazanin" w:cs="IRNazanin"/>
          <w:color w:val="111111"/>
          <w:sz w:val="28"/>
          <w:szCs w:val="28"/>
          <w:rtl w:val="true"/>
          <w:lang w:bidi="fa-IR"/>
        </w:rPr>
        <w:t xml:space="preserve">. </w:t>
      </w:r>
      <w:bookmarkStart w:id="83" w:name="pg1547_14490"/>
    </w:p>
    <w:p>
      <w:pPr>
        <w:pStyle w:val="Heading3"/>
        <w:numPr>
          <w:ilvl w:val="2"/>
          <w:numId w:val="1"/>
        </w:numPr>
        <w:rPr/>
      </w:pPr>
      <w:bookmarkStart w:id="84" w:name="__RefHeading___Toc610244_3650668749"/>
      <w:bookmarkStart w:id="85" w:name="_Toc30"/>
      <w:bookmarkEnd w:id="83"/>
      <w:bookmarkEnd w:id="84"/>
      <w:r>
        <w:rPr>
          <w:rtl w:val="true"/>
        </w:rPr>
        <w:t>مصاديق ديگر تفويض</w:t>
      </w:r>
      <w:bookmarkEnd w:id="85"/>
    </w:p>
    <w:p>
      <w:pPr>
        <w:pStyle w:val="BookText"/>
        <w:rPr/>
      </w:pPr>
      <w:r>
        <w:rPr>
          <w:rFonts w:ascii="IRNazanin" w:hAnsi="IRNazanin" w:eastAsia="IRNazanin"/>
          <w:color w:val="111111"/>
          <w:sz w:val="28"/>
          <w:sz w:val="28"/>
          <w:szCs w:val="28"/>
          <w:rtl w:val="true"/>
          <w:lang w:bidi="fa-IR"/>
        </w:rPr>
        <w:t>علامه مجلسى بيان داشته است كه براى تفويض، كاربردها و مصاديق ديگرى در روايات وجود دارد كه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تفويض امور مردم، از جمله سياست، تأديب، تكميل و آموزش آنان و امركردن مردم به اطاعت ايشان در آنچه دوست مى‌دارند و امورى كه نمى‌پسندند و در آنچه دليل مصلحت آن را مى‌دانند و مواردى كه نمى‌دانند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سخن حق است؛ به دليل سخن خدا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رسول خدا برايتان آورده،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هرچه شما را نهى كرده، خوددارى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و اخبار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خدا آسمان‌ها و زمين را آفريد، آنها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اجابت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نبوت من و ولايت على‌بن‌ابى‌طالب را بر آنها عرضه كرد، آنها نيز پذيرا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مردم را آفريد و امور مربوط به دين را به ما تفويض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سعادتمند كسى است كه به واسطه‌اطاعت ما به سعادت برسد و بدبخت كسى است كه به‌خاطر دورى از اطاعت ما بدبخت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حلال‌كننده حلالِ خدا و حرام‌كننده حرامش</w:t>
      </w:r>
    </w:p>
    <w:p>
      <w:pPr>
        <w:pStyle w:val="BookText"/>
        <w:rPr/>
      </w:pPr>
      <w:r>
        <w:rPr>
          <w:rFonts w:ascii="Amiri" w:hAnsi="Amiri" w:eastAsia="Amiri" w:cs="Amiri"/>
          <w:color w:val="111111"/>
          <w:sz w:val="28"/>
          <w:sz w:val="28"/>
          <w:szCs w:val="28"/>
          <w:rtl w:val="true"/>
          <w:lang w:bidi="ar-SA"/>
        </w:rPr>
        <w:t>هستيم</w:t>
      </w:r>
      <w:r>
        <w:rPr>
          <w:rFonts w:eastAsia="Amiri" w:cs="Amiri" w:ascii="Amiri" w:hAnsi="Amiri"/>
          <w:color w:val="111111"/>
          <w:sz w:val="28"/>
          <w:szCs w:val="28"/>
          <w:rtl w:val="true"/>
          <w:lang w:bidi="ar-SA"/>
        </w:rPr>
        <w:t>.</w:t>
      </w:r>
      <w:r>
        <w:rPr>
          <w:rStyle w:val="FootnoteAnchor"/>
          <w:rtl w:val="true"/>
        </w:rPr>
        <w:footnoteReference w:id="12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تفويض شرح و بيان علوم و احكام، به‌گونه‌اى كه مصلحت مى‌دانند، با توجه به تفاوت عقول مردم يا به سبب 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به برخى </w:t>
      </w:r>
    </w:p>
    <w:p>
      <w:pPr>
        <w:pStyle w:val="BookText"/>
        <w:rPr/>
      </w:pPr>
      <w:r>
        <w:rPr>
          <w:rFonts w:ascii="IRNazanin" w:hAnsi="IRNazanin" w:eastAsia="IRNazanin"/>
          <w:color w:val="111111"/>
          <w:sz w:val="28"/>
          <w:sz w:val="28"/>
          <w:szCs w:val="28"/>
          <w:rtl w:val="true"/>
          <w:lang w:bidi="fa-IR"/>
        </w:rPr>
        <w:t>از مردم با احكام واقعى و به برخى با تقيه فتوا مى‌دهند و تفسير و تأويل آيات را بيان مى‌كنند، و معارف را به حسب تحمل عقل هر پرسشگرى ارائه مى‌نمايند و آن‌گونه كه در روايات فراوان آمده، آنها مى‌توانند اين‌گونه معارف را بيان كنند يا سكوت نمايند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صفوان‌بن‌يحيى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محمدبن‌حكيم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مى‌شود امام درباره حلال و حرام و احكامِ مورد نياز مردم، مورد پرسش قرار گيرد، ولى پاسخ آن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مى‌داند، ولى ممكن است پاسخ ندهد؛ چون اختيار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پاسخ مى‌دهد و اگر نخواست پاسخ نمى‌دهد</w:t>
      </w:r>
      <w:r>
        <w:rPr>
          <w:rFonts w:eastAsia="IRNazanin" w:cs="IRNazanin"/>
          <w:color w:val="111111"/>
          <w:sz w:val="28"/>
          <w:szCs w:val="28"/>
          <w:rtl w:val="true"/>
          <w:lang w:bidi="fa-IR"/>
        </w:rPr>
        <w:t xml:space="preserve">» . </w:t>
      </w:r>
      <w:r>
        <w:rPr>
          <w:rStyle w:val="FootnoteAnchor"/>
          <w:rtl w:val="true"/>
        </w:rPr>
        <w:footnoteReference w:id="1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عبدالله‌بن‌سنان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موسى‌بن‌اشيم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شدم و درباره مسئله‌اى از او پرسش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كه نشسته بودم مردى وارد شد و عين همان مسئله را پرسيد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پاسخى كه به من داده بود،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ديگرى آمد و همان مسئله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دو پاسخ قبلى به وى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شگفت‌زده شدم و بر من دشوار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رفتند، حضرت به من نگريست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أشيم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گويى بى‌تاب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پاسخ درباره يك مسئله شگفت‌زده شدم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أشيم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امر پادشاهى‌اش را به سليمان‌بن‌داوود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تفويض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عطاى ماست، به هركس مى‌خواهى ببخش و از هركس مى‌خواهى </w:t>
      </w:r>
    </w:p>
    <w:p>
      <w:pPr>
        <w:pStyle w:val="BookText"/>
        <w:rPr/>
      </w:pPr>
      <w:r>
        <w:rPr>
          <w:rFonts w:ascii="Amiri" w:hAnsi="Amiri" w:eastAsia="Amiri" w:cs="Amiri"/>
          <w:color w:val="111111"/>
          <w:sz w:val="28"/>
          <w:sz w:val="28"/>
          <w:szCs w:val="28"/>
          <w:rtl w:val="true"/>
          <w:lang w:bidi="ar-SA"/>
        </w:rPr>
        <w:t>امساك كن و بر تو حسابى نيست</w:t>
      </w:r>
      <w:r>
        <w:rPr>
          <w:rFonts w:eastAsia="Amiri" w:cs="Amiri" w:ascii="Amiri" w:hAnsi="Amiri"/>
          <w:color w:val="111111"/>
          <w:sz w:val="28"/>
          <w:szCs w:val="28"/>
          <w:rtl w:val="true"/>
          <w:lang w:bidi="ar-SA"/>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 و امر دينش 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رسول خدا برايتان آورده،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هرچه شما را نهى كرده، خوددارى كنيد</w:t>
      </w:r>
      <w:r>
        <w:rPr>
          <w:rFonts w:eastAsia="IRNazanin" w:cs="IRNazanin"/>
          <w:color w:val="111111"/>
          <w:sz w:val="28"/>
          <w:szCs w:val="28"/>
          <w:rtl w:val="true"/>
          <w:lang w:bidi="fa-IR"/>
        </w:rPr>
        <w:t xml:space="preserve">» . </w:t>
      </w:r>
      <w:r>
        <w:rPr>
          <w:rStyle w:val="FootnoteAnchor"/>
          <w:rtl w:val="true"/>
        </w:rPr>
        <w:footnoteReference w:id="125"/>
      </w:r>
      <w:r>
        <w:rPr>
          <w:rFonts w:ascii="IRNazanin" w:hAnsi="IRNazanin" w:eastAsia="IRNazanin"/>
          <w:color w:val="111111"/>
          <w:sz w:val="28"/>
          <w:sz w:val="28"/>
          <w:szCs w:val="28"/>
          <w:rtl w:val="true"/>
          <w:lang w:bidi="fa-IR"/>
        </w:rPr>
        <w:t xml:space="preserve">خداى تبارك و تعالى هرچه 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تفويض نمود، آن را به ما نيز تفويض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بى‌تابى نكن</w:t>
      </w:r>
      <w:r>
        <w:rPr>
          <w:rFonts w:eastAsia="IRNazanin" w:cs="IRNazanin"/>
          <w:color w:val="111111"/>
          <w:sz w:val="28"/>
          <w:szCs w:val="28"/>
          <w:rtl w:val="true"/>
          <w:lang w:bidi="fa-IR"/>
        </w:rPr>
        <w:t>» .</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نيز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تفويض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دليل پرسش اين بود كه وقتى مردى از امام درباره مسئله‌اى پرسيد، پاسخش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همان مسئله را مرد ديگرى پرسيد، امام پاسخى ديگر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 سومى آن را پرسيد، امام پاسخى غير از اول و دوم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عطاى ماست، به هركس مى‌خواهى ببخش و از هركس مى‌خواهى امساك كن و بر تو حسابى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امورت 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اين‌گونه به آنها پاسخ داد، آنان را مى‌شناخت؟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 آيا نشنيده‌اى خدا در كتابش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فِى ذلِكَ لَآياتٍ لِلْمُتَوَسِّمِينَ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عبرت‌انگيز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نشانه‌هايى است براى هوشياران</w:t>
      </w:r>
      <w:r>
        <w:rPr>
          <w:rFonts w:eastAsia="IRNazanin" w:cs="IRNazanin"/>
          <w:color w:val="111111"/>
          <w:sz w:val="28"/>
          <w:szCs w:val="28"/>
          <w:rtl w:val="true"/>
          <w:lang w:bidi="fa-IR"/>
        </w:rPr>
        <w:t xml:space="preserve">» . </w:t>
      </w:r>
      <w:r>
        <w:rPr>
          <w:rStyle w:val="FootnoteAnchor"/>
          <w:rtl w:val="true"/>
        </w:rPr>
        <w:footnoteReference w:id="127"/>
      </w:r>
      <w:r>
        <w:rPr>
          <w:rFonts w:ascii="IRNazanin" w:hAnsi="IRNazanin" w:eastAsia="IRNazanin"/>
          <w:color w:val="111111"/>
          <w:sz w:val="28"/>
          <w:sz w:val="28"/>
          <w:szCs w:val="28"/>
          <w:rtl w:val="true"/>
          <w:lang w:bidi="fa-IR"/>
        </w:rPr>
        <w:t>و متوسّمين همان امامان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إِنَّها لَبِسَبِيلٍ مُقِيمٍ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بر سر راه هميشگى آنان است</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 و </w:t>
      </w:r>
    </w:p>
    <w:p>
      <w:pPr>
        <w:pStyle w:val="BookText"/>
        <w:rPr/>
      </w:pPr>
      <w:r>
        <w:rPr>
          <w:rFonts w:ascii="IRNazanin" w:hAnsi="IRNazanin" w:eastAsia="IRNazanin"/>
          <w:color w:val="111111"/>
          <w:sz w:val="28"/>
          <w:sz w:val="28"/>
          <w:szCs w:val="28"/>
          <w:rtl w:val="true"/>
          <w:lang w:bidi="fa-IR"/>
        </w:rPr>
        <w:t>هرگز از آنها بيرون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هرگاه امام به مردى بنگرد، او را مى‌شناسد و رنگش را مى‌داند، و اگر سخنش را از پشت ديوار بشنود، او را مى‌شناسد و مى‌داند چه منظورى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نشانه‌هاى او آفرينش آسمان‌ها و زمين و تفاوت زبان‌ها و رنگ‌هاى شماست و در اين امر، نشانه‌هايى براى عالمان است</w:t>
      </w:r>
      <w:r>
        <w:rPr>
          <w:rFonts w:eastAsia="IRNazanin" w:cs="IRNazanin"/>
          <w:color w:val="111111"/>
          <w:sz w:val="28"/>
          <w:szCs w:val="28"/>
          <w:rtl w:val="true"/>
          <w:lang w:bidi="fa-IR"/>
        </w:rPr>
        <w:t xml:space="preserve">» . </w:t>
      </w:r>
      <w:r>
        <w:rPr>
          <w:rStyle w:val="FootnoteAnchor"/>
          <w:rtl w:val="true"/>
        </w:rPr>
        <w:footnoteReference w:id="129"/>
      </w:r>
      <w:r>
        <w:rPr>
          <w:rFonts w:ascii="IRNazanin" w:hAnsi="IRNazanin" w:eastAsia="IRNazanin"/>
          <w:color w:val="111111"/>
          <w:sz w:val="28"/>
          <w:sz w:val="28"/>
          <w:szCs w:val="28"/>
          <w:rtl w:val="true"/>
          <w:lang w:bidi="fa-IR"/>
        </w:rPr>
        <w:t>آنان عالمان‌اند و هرگاه مطلبى را از انسانى كه سخن مى‌گويد بشنود، مى‌داند كه وى اهل هلاك است يا نجات‌يافته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همين آگاهى است كه به مقتضاى نياز به آنان پاسخ مى‌دهد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عبدالاعلى‌بن‌اعين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و على‌بن‌حنظله 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على‌بن‌حنظله درباره مسئله‌اى از آن حضرت پرسشى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مسئله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و چنان باشد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مسئله، به‌گونه ديگرى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و</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باشد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ديگرى داد، تا اينكه امام در آن مسئله به چهار صورت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على‌بن‌حنظله به من رو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محكومش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شنيد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باتقوايى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اشياء، دايره گسترده‌اى ندارند و جز بر يك صورت جارى نشوند؛ از آن جمله، وقت نماز جمعه است كه جز يك وقت ندارد و آن </w:t>
      </w:r>
    </w:p>
    <w:p>
      <w:pPr>
        <w:pStyle w:val="BookText"/>
        <w:rPr/>
      </w:pPr>
      <w:r>
        <w:rPr>
          <w:rFonts w:ascii="IRNazanin" w:hAnsi="IRNazanin" w:eastAsia="IRNazanin"/>
          <w:color w:val="111111"/>
          <w:sz w:val="28"/>
          <w:sz w:val="28"/>
          <w:szCs w:val="28"/>
          <w:rtl w:val="true"/>
          <w:lang w:bidi="fa-IR"/>
        </w:rPr>
        <w:t>هنگام زوال خورشيد است و برخى از چيزها دايره‌اى گسترده دارند كه بر گونه‌هاى بسيارى جارى مى‌گردند؛ از جمله اين مسئله</w:t>
      </w:r>
      <w:r>
        <w:rPr>
          <w:rFonts w:eastAsia="IRNazanin" w:cs="IRNazanin"/>
          <w:color w:val="111111"/>
          <w:sz w:val="28"/>
          <w:szCs w:val="28"/>
          <w:rtl w:val="true"/>
          <w:lang w:bidi="fa-IR"/>
        </w:rPr>
        <w:t>»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اين حديث بيانگرِ همان روايات فراوانى است كه مى‌گويند سخنان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وجوه بسيارى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 مى‌كند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سخنى كه مى‌گوييم داراى هفتاد وجه است و از هريك مقصودى داريم</w:t>
      </w:r>
      <w:r>
        <w:rPr>
          <w:rFonts w:eastAsia="IRNazanin" w:cs="IRNazanin"/>
          <w:color w:val="111111"/>
          <w:sz w:val="28"/>
          <w:szCs w:val="28"/>
          <w:rtl w:val="true"/>
          <w:lang w:bidi="fa-IR"/>
        </w:rPr>
        <w:t>» .</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على‌بن‌ابى‌حمزه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ابوبصير 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كه نشسته بوديم،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گفته، از سخنانى است كه بايد آن را به شيعيان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نظير آن را نشنيده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نگاهى به صورتم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تنها يك حرف را بيان مى‌كنم،</w:t>
      </w:r>
    </w:p>
    <w:p>
      <w:pPr>
        <w:pStyle w:val="BookText"/>
        <w:rPr/>
      </w:pPr>
      <w:r>
        <w:rPr>
          <w:rFonts w:ascii="IRNazanin" w:hAnsi="IRNazanin" w:eastAsia="IRNazanin"/>
          <w:color w:val="111111"/>
          <w:sz w:val="28"/>
          <w:sz w:val="28"/>
          <w:szCs w:val="28"/>
          <w:rtl w:val="true"/>
          <w:lang w:bidi="fa-IR"/>
        </w:rPr>
        <w:t>ولى برايم هفتاد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خواستى، آن را اين‌گونه بفهم و اگر خواستى، آن‌گونه بدان</w:t>
      </w:r>
      <w:r>
        <w:rPr>
          <w:rFonts w:eastAsia="IRNazanin" w:cs="IRNazanin"/>
          <w:color w:val="111111"/>
          <w:sz w:val="28"/>
          <w:szCs w:val="28"/>
          <w:rtl w:val="true"/>
          <w:lang w:bidi="fa-IR"/>
        </w:rPr>
        <w:t xml:space="preserve">» . </w:t>
      </w:r>
      <w:r>
        <w:rPr>
          <w:rStyle w:val="FootnoteAnchor"/>
          <w:rtl w:val="true"/>
        </w:rPr>
        <w:footnoteReference w:id="13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حسن‌بن‌محبوب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شما داناترين مردم نسبت به شناخت و فهم سخنان ما هستيد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ما به هفتاد صورت توجيه مى‌شود</w:t>
      </w:r>
      <w:r>
        <w:rPr>
          <w:rFonts w:eastAsia="Amiri" w:cs="Amiri" w:ascii="Amiri" w:hAnsi="Amiri"/>
          <w:color w:val="111111"/>
          <w:sz w:val="28"/>
          <w:szCs w:val="28"/>
          <w:rtl w:val="true"/>
          <w:lang w:bidi="ar-SA"/>
        </w:rPr>
        <w:t>»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تفويض در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زمين و هرچه را در آن است براى ايشان آفريد و انفال و خمس و غنائم را براى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آنان مى‌توانند هرچه خواستند، ببخشند و هرچه خواستند باز دارند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 را ديدى كه به مردى صدهزار درهم مى‌بخشد و به تو يك درهم، نگران نشو؛ چرا كه اين كار بدو تفويض شده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ما نيز در پايان، همچون مجلسى مى‌گوييم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نسبت به معانى‌اى كه از تفويض بيان كرديم، آشنايى كامل پيدا كردى، فهميدن اخبارى كه در اين‌باره‌وارد شده بر تو آسان مى‌گردد و سستى گفتار كسانى كه به‌طور مطلق تفويض را نفى مى‌كنند، ولى به معانى آن آشنايى ندارند، درك مى‌كنى</w:t>
      </w:r>
      <w:r>
        <w:rPr>
          <w:rFonts w:eastAsia="IRNazanin" w:cs="IRNazanin"/>
          <w:color w:val="111111"/>
          <w:sz w:val="28"/>
          <w:szCs w:val="28"/>
          <w:rtl w:val="true"/>
          <w:lang w:bidi="fa-IR"/>
        </w:rPr>
        <w:t>.</w:t>
      </w:r>
      <w:r>
        <w:rPr>
          <w:rStyle w:val="FootnoteAnchor"/>
          <w:rtl w:val="true"/>
        </w:rPr>
        <w:footnoteReference w:id="13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1547_14497"/>
      <w:bookmarkStart w:id="87" w:name="pg1547_14497"/>
      <w:bookmarkEnd w:id="87"/>
    </w:p>
    <w:p>
      <w:pPr>
        <w:pStyle w:val="Heading2"/>
        <w:numPr>
          <w:ilvl w:val="1"/>
          <w:numId w:val="1"/>
        </w:numPr>
        <w:rPr/>
      </w:pPr>
      <w:bookmarkStart w:id="88" w:name="pg1547_14497"/>
      <w:bookmarkStart w:id="89" w:name="__RefHeading___Toc610246_3650668749"/>
      <w:bookmarkStart w:id="90" w:name="_Toc31"/>
      <w:bookmarkEnd w:id="88"/>
      <w:bookmarkEnd w:id="89"/>
      <w:r>
        <w:rPr>
          <w:rtl w:val="true"/>
        </w:rPr>
        <w:t xml:space="preserve">غاليان از نگاه اهل‌بيت </w:t>
      </w:r>
      <w:r>
        <w:rPr>
          <w:rtl w:val="true"/>
        </w:rPr>
        <w:t>(</w:t>
      </w:r>
      <w:r>
        <w:rPr>
          <w:rtl w:val="true"/>
        </w:rPr>
        <w:t>عليهم السلام</w:t>
      </w:r>
      <w:r>
        <w:rPr>
          <w:rtl w:val="true"/>
        </w:rPr>
        <w:t>)</w:t>
      </w:r>
      <w:bookmarkEnd w:id="90"/>
    </w:p>
    <w:p>
      <w:pPr>
        <w:pStyle w:val="Heading3"/>
        <w:numPr>
          <w:ilvl w:val="2"/>
          <w:numId w:val="1"/>
        </w:numPr>
        <w:rPr/>
      </w:pPr>
      <w:bookmarkStart w:id="91" w:name="__RefHeading___Toc610248_3650668749"/>
      <w:bookmarkStart w:id="92" w:name="_Toc32"/>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 xml:space="preserve">در واقع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برابر مسئله غلو و غاليان موضع قاطعى گرفتند كه نظير آن را درباره مسائل ديگر نمى‌بينيم؛ زيرا آنان با قاطعيت مقابل غلو ايستادند و براى مقابله با اين مشكل بزرگ و مهم، كه به‌طور عام تفكر دينى، و به‌طور خاص مكتب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چالش كشيده، از روش‌هاى بسيار گوناگونى استفاده كردند؛ زيرا اشاره كرديم كه قدرت‌هاى حاكم، پيوسته مى‌كوشيدند، غاليان را به شيعيان ملحق كنند تا از ارزش عقايدشان بكاهند و آنها را به زشت‌ترين و زننده‌ترين صورت براى مردم جلوه دهند و به جهان اعلام كنند كه شيعه به خدايىِ امامان خود معتقد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ازاين‌رو صلاحيت ندارند جزء مسلمانان به شمار آيند و بدين‌بهانه بايد خونشان ريخته شود و اموالشان به غارت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از اين فجايع سياه، بسيار براى ما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در تاريخ معاصر، فتاوايى كه در گوشه و كنار عليه پيروان مكتب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مى‌شود، بهترين گواه گفتار ماست</w:t>
      </w:r>
      <w:r>
        <w:rPr>
          <w:rFonts w:eastAsia="IRNazanin" w:cs="IRNazanin"/>
          <w:color w:val="111111"/>
          <w:sz w:val="28"/>
          <w:szCs w:val="28"/>
          <w:rtl w:val="true"/>
          <w:lang w:bidi="fa-IR"/>
        </w:rPr>
        <w:t xml:space="preserve">. </w:t>
      </w:r>
      <w:bookmarkStart w:id="93" w:name="pg1547_14498"/>
    </w:p>
    <w:p>
      <w:pPr>
        <w:pStyle w:val="BookText"/>
        <w:rPr/>
      </w:pPr>
      <w:bookmarkEnd w:id="93"/>
      <w:r>
        <w:rPr>
          <w:rFonts w:ascii="IRNazanin" w:hAnsi="IRNazanin" w:eastAsia="IRNazanin"/>
          <w:color w:val="111111"/>
          <w:sz w:val="28"/>
          <w:sz w:val="28"/>
          <w:szCs w:val="28"/>
          <w:rtl w:val="true"/>
          <w:lang w:bidi="fa-IR"/>
        </w:rPr>
        <w:t xml:space="preserve">همين موارد،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واداشت تا از غاليان، ابراز بيزارى نمايند، آشكارا لعنشان كنند، به كفرشان حكم دهند، نيت‌هاى مغرضانه آنها را برملا سازند و پيروانشان را از همنشينى با آنان، و گوش‌دادن به سخنان و ارتباط با آنها برحذر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در گذر تاريخ خود، اين دستورها را پذيرفته، و از غاليان ابراز بيزارى كرده‌اند؛ به‌گونه‌اى كه كتاب‌هايشان پر از ابراز بيزارى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برخى از رواياتى اشاره مى‌كنيم كه بيانگر قاطعيت رفتار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مسئله غلو و غاليان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اين‌گونه روايات چند دسته‌اند</w:t>
      </w:r>
      <w:r>
        <w:rPr>
          <w:rFonts w:eastAsia="IRNazanin" w:cs="IRNazanin"/>
          <w:color w:val="111111"/>
          <w:sz w:val="28"/>
          <w:szCs w:val="28"/>
          <w:rtl w:val="true"/>
          <w:lang w:bidi="fa-IR"/>
        </w:rPr>
        <w:t>:</w:t>
      </w:r>
    </w:p>
    <w:p>
      <w:pPr>
        <w:pStyle w:val="Heading3"/>
        <w:numPr>
          <w:ilvl w:val="2"/>
          <w:numId w:val="1"/>
        </w:numPr>
        <w:rPr/>
      </w:pPr>
      <w:bookmarkStart w:id="94" w:name="__RefHeading___Toc610250_3650668749"/>
      <w:bookmarkStart w:id="95" w:name="_Toc33"/>
      <w:bookmarkEnd w:id="94"/>
      <w:r>
        <w:rPr>
          <w:rtl w:val="true"/>
        </w:rPr>
        <w:t>دسته نخست</w:t>
      </w:r>
      <w:r>
        <w:rPr>
          <w:rtl w:val="true"/>
        </w:rPr>
        <w:t xml:space="preserve">: </w:t>
      </w:r>
      <w:r>
        <w:rPr>
          <w:rtl w:val="true"/>
        </w:rPr>
        <w:t>غاليان بدترين آفريدگان خدا</w:t>
      </w:r>
      <w:bookmarkEnd w:id="95"/>
    </w:p>
    <w:p>
      <w:pPr>
        <w:pStyle w:val="BookText"/>
        <w:rPr/>
      </w:pPr>
      <w:r>
        <w:rPr>
          <w:rFonts w:ascii="IRNazanin" w:hAnsi="IRNazanin" w:eastAsia="IRNazanin"/>
          <w:color w:val="111111"/>
          <w:sz w:val="28"/>
          <w:sz w:val="28"/>
          <w:szCs w:val="28"/>
          <w:rtl w:val="true"/>
          <w:lang w:bidi="fa-IR"/>
        </w:rPr>
        <w:t xml:space="preserve">در امالى طوسى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فضيل‌بن‌يسار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دست غاليان، مراقب جوانانتان باشيد كه آنان را به فساد نكشانند؛ زيرا غاليان بدترين آفريدگان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كوچك مى‌شمارند و خدا بودن را براى بندگان خدا ادعا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غاليان از يهود و نصارا و مجوس و مشركان بدترند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غالى به‌سوى ما بازگردد وى را نمى‌پذيريم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شخص مقصر در حق ما به ما بپيوندد، او را پذيرا مى‌شويم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زيرا غالى به ترك نماز و زكات و روزه و حج عادت كرده و هرگز نمى‌تواند ترك عادت كند و به طاعت خداوند </w:t>
      </w:r>
    </w:p>
    <w:p>
      <w:pPr>
        <w:pStyle w:val="BookText"/>
        <w:rPr/>
      </w:pPr>
      <w:r>
        <w:rPr>
          <w:rFonts w:ascii="IRNazanin" w:hAnsi="IRNazanin" w:eastAsia="IRNazanin"/>
          <w:color w:val="111111"/>
          <w:sz w:val="28"/>
          <w:sz w:val="28"/>
          <w:szCs w:val="28"/>
          <w:rtl w:val="true"/>
          <w:lang w:bidi="fa-IR"/>
        </w:rPr>
        <w:t>عزوجل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مقصر در حق ما اگر بداند، عمل و اطاعت مى‌كند</w:t>
      </w:r>
      <w:r>
        <w:rPr>
          <w:rFonts w:eastAsia="IRNazanin" w:cs="IRNazanin"/>
          <w:color w:val="111111"/>
          <w:sz w:val="28"/>
          <w:szCs w:val="28"/>
          <w:rtl w:val="true"/>
          <w:lang w:bidi="fa-IR"/>
        </w:rPr>
        <w:t xml:space="preserve">» . </w:t>
      </w:r>
      <w:r>
        <w:rPr>
          <w:rStyle w:val="FootnoteAnchor"/>
          <w:rtl w:val="true"/>
        </w:rPr>
        <w:footnoteReference w:id="1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سعدبن‌طريف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اصبغ‌بن‌نباته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من از غاليان بيزارم؛ همان‌گونه كه عيسى‌بن‌مريم از نصارا بيزارى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هميشه آنها را خوار كن و هيچ يك از آنان را يارى نكن</w:t>
      </w:r>
      <w:r>
        <w:rPr>
          <w:rFonts w:eastAsia="IRNazanin" w:cs="IRNazanin"/>
          <w:color w:val="111111"/>
          <w:sz w:val="28"/>
          <w:szCs w:val="28"/>
          <w:rtl w:val="true"/>
          <w:lang w:bidi="fa-IR"/>
        </w:rPr>
        <w:t>» .</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اصحابش، در حديثى مفصل،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ما جز بندگانى نيستيم كه خدا ما را آفريد و برگزيد و بر هيچ سود و زيانى توانا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رحم كند، به‌خاطر رحمت اوست و اگر كيفرمان دهد، به‌خاطر گناهان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بر خدا حجتى نداريم و از خدا برائتى به همراه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مى‌ميريم و دفن مى‌شويم و برانگيخته مى‌گرديم</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تا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غاليان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چه شده است؟ خدا لعنتشان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خدا را آزردند و رسولش را در قبرش آزار دادند و اميرمؤمنان و فاطمه و حسن و حسين و على‌بن‌حسين و محمدبن‌على را، كه درود خدا بر ايشان باد، آزردند و اكنون من كه گوشت و پوستم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ترسان و لرزان در بسترم مى‌خوابم</w:t>
      </w:r>
      <w:r>
        <w:rPr>
          <w:rFonts w:eastAsia="IRNazanin" w:cs="IRNazanin"/>
          <w:color w:val="111111"/>
          <w:sz w:val="28"/>
          <w:szCs w:val="28"/>
          <w:rtl w:val="true"/>
          <w:lang w:bidi="fa-IR"/>
        </w:rPr>
        <w:t>. . .»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به ما مبتلا مى‌شدند و ما آنها را به غلو امر مى‌كرديم، واجب بود كه از ما نپذيرند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bookmarkStart w:id="96" w:name="pg1547_14500"/>
    </w:p>
    <w:p>
      <w:pPr>
        <w:pStyle w:val="BookText"/>
        <w:rPr/>
      </w:pPr>
      <w:bookmarkEnd w:id="96"/>
      <w:r>
        <w:rPr>
          <w:rFonts w:ascii="IRNazanin" w:hAnsi="IRNazanin" w:eastAsia="IRNazanin"/>
          <w:color w:val="111111"/>
          <w:sz w:val="28"/>
          <w:sz w:val="28"/>
          <w:szCs w:val="28"/>
          <w:rtl w:val="true"/>
          <w:lang w:bidi="fa-IR"/>
        </w:rPr>
        <w:t>چگونه است كه آنها مرا ترسان و لرزان مى‌بينند كه خدا را به دشمنى بر آنان مى‌خوانم و از آنها به‌سوى خدا بيزارى مى‌جويم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مى‌گيرم كه من زاده رسول خدايم و از ناحيه خدا برائتى از آتش همراه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اطاعتش كنم به من رحم مى‌كند و اگر نافرمانى‌اش كنم عذابم خواهد كرد</w:t>
      </w:r>
      <w:r>
        <w:rPr>
          <w:rFonts w:eastAsia="IRNazanin" w:cs="IRNazanin"/>
          <w:color w:val="111111"/>
          <w:sz w:val="28"/>
          <w:szCs w:val="28"/>
          <w:rtl w:val="true"/>
          <w:lang w:bidi="fa-IR"/>
        </w:rPr>
        <w:t>. . .»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به همين علت در روايت وارد شده است كه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قيامت به شفاعت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نمى‌رسند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مسعدۀ‌بن‌صدقه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جعفر صادق از پدرش نقل كرد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گروه به شفاعت من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ستمكار بيدادگر و غالى در دين و منحرف از آن كه بازنگشته و غلو را رها نكرده است</w:t>
      </w:r>
      <w:r>
        <w:rPr>
          <w:rFonts w:eastAsia="IRNazanin" w:cs="IRNazanin"/>
          <w:color w:val="111111"/>
          <w:sz w:val="28"/>
          <w:szCs w:val="28"/>
          <w:rtl w:val="true"/>
          <w:lang w:bidi="fa-IR"/>
        </w:rPr>
        <w:t>» .</w:t>
      </w:r>
      <w:r>
        <w:rPr>
          <w:rStyle w:val="FootnoteAnchor"/>
          <w:rtl w:val="true"/>
        </w:rPr>
        <w:footnoteReference w:id="140"/>
      </w:r>
    </w:p>
    <w:p>
      <w:pPr>
        <w:pStyle w:val="Heading3"/>
        <w:numPr>
          <w:ilvl w:val="2"/>
          <w:numId w:val="1"/>
        </w:numPr>
        <w:rPr/>
      </w:pPr>
      <w:bookmarkStart w:id="97" w:name="__RefHeading___Toc610252_3650668749"/>
      <w:bookmarkStart w:id="98" w:name="_Toc34"/>
      <w:bookmarkEnd w:id="97"/>
      <w:r>
        <w:rPr>
          <w:rtl w:val="true"/>
        </w:rPr>
        <w:t>دسته دوم</w:t>
      </w:r>
      <w:r>
        <w:rPr>
          <w:rtl w:val="true"/>
        </w:rPr>
        <w:t xml:space="preserve">: </w:t>
      </w:r>
      <w:r>
        <w:rPr>
          <w:rtl w:val="true"/>
        </w:rPr>
        <w:t>بيزارى از سردمداران غاليان</w:t>
      </w:r>
      <w:bookmarkEnd w:id="98"/>
    </w:p>
    <w:p>
      <w:pPr>
        <w:pStyle w:val="BookText"/>
        <w:rPr/>
      </w:pPr>
      <w:r>
        <w:rPr>
          <w:rFonts w:ascii="Amiri" w:hAnsi="Amiri" w:eastAsia="Amiri" w:cs="Amiri"/>
          <w:color w:val="111111"/>
          <w:sz w:val="28"/>
          <w:sz w:val="28"/>
          <w:szCs w:val="28"/>
          <w:rtl w:val="true"/>
          <w:lang w:bidi="ar-SA"/>
        </w:rPr>
        <w:t xml:space="preserve">به منظور مقابله با تأثير سخنان فاسد غاليان، مذمت سرانشان و بيزارى جستن از آنها، احاديث زيادى از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 كه به برخى از آنها اشاره مى‌كنيم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ابن‌مسكان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از اصحاب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مغيرۀ‌بن‌سعيد را لعنت كند؛ زيرا او بر پدرم دروغ ميبست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گرمى آهن را به او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كسى كه درباره ما چيزى بگويد كه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قائل به آن نيستيم، و خدا لعنت كند كسى كه ما را از بندگى خدايى كه </w:t>
      </w:r>
    </w:p>
    <w:p>
      <w:pPr>
        <w:pStyle w:val="BookText"/>
        <w:rPr/>
      </w:pPr>
      <w:r>
        <w:rPr>
          <w:rFonts w:ascii="IRNazanin" w:hAnsi="IRNazanin" w:eastAsia="IRNazanin"/>
          <w:color w:val="111111"/>
          <w:sz w:val="28"/>
          <w:sz w:val="28"/>
          <w:szCs w:val="28"/>
          <w:rtl w:val="true"/>
          <w:lang w:bidi="fa-IR"/>
        </w:rPr>
        <w:t>ما را آفريد و بازگشت ما به‌سوى وى، و اختيار ما به دست اوست، دور مى‌كند</w:t>
      </w:r>
      <w:r>
        <w:rPr>
          <w:rFonts w:eastAsia="IRNazanin" w:cs="IRNazanin"/>
          <w:color w:val="111111"/>
          <w:sz w:val="28"/>
          <w:szCs w:val="28"/>
          <w:rtl w:val="true"/>
          <w:lang w:bidi="fa-IR"/>
        </w:rPr>
        <w:t>» .</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ابويحيى واسطى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بنان، پيوسته بر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گرمى آهن را به او چشانيد، و مغيرۀ‌بن‌سعيد همواره بر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ميبست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گرمى آهن را بدو چشانيد، و محمدبن‌بشير پيوسته بر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گرمى آهن را به او چشانيد، و محمدبن‌فرات كسى است كه بر من دروغ ميبندد</w:t>
      </w:r>
      <w:r>
        <w:rPr>
          <w:rFonts w:eastAsia="IRNazanin" w:cs="IRNazanin"/>
          <w:color w:val="111111"/>
          <w:sz w:val="28"/>
          <w:szCs w:val="28"/>
          <w:rtl w:val="true"/>
          <w:lang w:bidi="fa-IR"/>
        </w:rPr>
        <w:t>» .</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اهل‌بيت، راستگويانيم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دروغگويى كه بر ما دروغ بندد تا راستى ما را با دروغش نزد مردم ساقط كند، آزاد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راستگوترين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مسيلمه بر او دروغ ميبست، و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راستگوترين مردم بود، اما عبدالله‌بن‌سبا، خدا لعنتش كند، بر او دروغ ميبست و بر تكذيب سخنان راستش اقدام مى‌كرد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مختار مبتلا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امام صادق از حارث شامى و بنان ياد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دو، بر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ميبستند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مغيرۀ‌بن‌سعيد و</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بزيع و سرى و ابوخطاب و معمّر و بشار اشعرى و حمزه زبيدى و صائد نهدى را ياد كرد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آنها را لعنت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از فرد </w:t>
      </w:r>
    </w:p>
    <w:p>
      <w:pPr>
        <w:pStyle w:val="BookText"/>
        <w:rPr/>
      </w:pPr>
      <w:r>
        <w:rPr>
          <w:rFonts w:ascii="IRNazanin" w:hAnsi="IRNazanin" w:eastAsia="IRNazanin"/>
          <w:color w:val="111111"/>
          <w:sz w:val="28"/>
          <w:sz w:val="28"/>
          <w:szCs w:val="28"/>
          <w:rtl w:val="true"/>
          <w:lang w:bidi="fa-IR"/>
        </w:rPr>
        <w:t>دروغگو يا بيخردى كه بر ما دروغ بندد آزاد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زحمت دروغگويان را از دوش ما برداشت و گرمى آهن را به آنها چشانيد</w:t>
      </w:r>
      <w:r>
        <w:rPr>
          <w:rFonts w:eastAsia="IRNazanin" w:cs="IRNazanin"/>
          <w:color w:val="111111"/>
          <w:sz w:val="28"/>
          <w:szCs w:val="28"/>
          <w:rtl w:val="true"/>
          <w:lang w:bidi="fa-IR"/>
        </w:rPr>
        <w:t>» .</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ميبينى كه چگونه محمدبن‌فرات بر من دروغ ميبندد؟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و نابود و بدبختش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 او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گرمى آهن را به او چشاند؛ همانگونه كه به دروغگويان پيش از او 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گفتم تا ياران مرا از او برحذر دارى و به آنان فرمان دهى او را لعنت كنند و از او بيزارى جويند؛ زيرا كه خدا از او بيزار است</w:t>
      </w:r>
      <w:r>
        <w:rPr>
          <w:rFonts w:eastAsia="IRNazanin" w:cs="IRNazanin"/>
          <w:color w:val="111111"/>
          <w:sz w:val="28"/>
          <w:szCs w:val="28"/>
          <w:rtl w:val="true"/>
          <w:lang w:bidi="fa-IR"/>
        </w:rPr>
        <w:t>» .</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حنان‌بن‌سدير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١٣٨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آنجا حضور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ميسر بياع الزُطّى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شگفتم از گروهى كه با ما به اينجا ميآمدند، اما آثارشان از بين رفت و عمرشان تمام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منظورت چه كسانى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ابوخطاب و هوادارانش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تكيه داده بود، نشست، انگشتش را به آسمان بلند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و فرشتگان و همه مردم بر ابوخطاب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ميگيرم كه او فردى كافر، فاسق و مشرك بود و روز و شب در شديدترين عذاب با فرعون محشور ميشود</w:t>
      </w:r>
      <w:r>
        <w:rPr>
          <w:rFonts w:eastAsia="IRNazanin" w:cs="IRNazanin"/>
          <w:color w:val="111111"/>
          <w:sz w:val="28"/>
          <w:szCs w:val="28"/>
          <w:rtl w:val="true"/>
          <w:lang w:bidi="fa-IR"/>
        </w:rPr>
        <w:t>» .</w:t>
      </w:r>
      <w:r>
        <w:rPr>
          <w:rStyle w:val="FootnoteAnchor"/>
          <w:rtl w:val="true"/>
        </w:rPr>
        <w:footnoteReference w:id="145"/>
      </w:r>
      <w:bookmarkStart w:id="99" w:name="pg1547_14503"/>
    </w:p>
    <w:p>
      <w:pPr>
        <w:pStyle w:val="Heading3"/>
        <w:numPr>
          <w:ilvl w:val="2"/>
          <w:numId w:val="1"/>
        </w:numPr>
        <w:rPr/>
      </w:pPr>
      <w:bookmarkStart w:id="100" w:name="__RefHeading___Toc610254_3650668749"/>
      <w:bookmarkStart w:id="101" w:name="_Toc35"/>
      <w:bookmarkEnd w:id="99"/>
      <w:bookmarkEnd w:id="100"/>
      <w:r>
        <w:rPr>
          <w:rtl w:val="true"/>
        </w:rPr>
        <w:t>دسته سوم</w:t>
      </w:r>
      <w:r>
        <w:rPr>
          <w:rtl w:val="true"/>
        </w:rPr>
        <w:t xml:space="preserve">: </w:t>
      </w:r>
      <w:r>
        <w:rPr>
          <w:rtl w:val="true"/>
        </w:rPr>
        <w:t>قطع رابطه و همنشينى با غاليان</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حسين‌بن‌خالد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 به تشبيه و جبر قائل باشد، كافر و مشرك است و ما در دنيا و آخرت از او بيزاريم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غاليانى كه عظمت خداى متعال را كوچك مى‌شمارند، از زبان ما در مورد تشبيه و جبر، اخبار جعل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آنها را دوست بدارد كينه ما را به دل دارد، و هركس كينه آنها را به دل بگيرد ما را دوست داشته است، و هركس دوستدار آنان باشد با ما دشمنى ورزيده است، و هركس با آنان دشمنى ورزد دوستدار ماست، و هركس به آنان بپيوندد با ما قطع رابطه كرده است، و هركس با آنان قطع رابطه كند به ما پيوسته است، و هركس به آنان جفا روا دارد به ما نيكى كرده، و هركس به آنان نيكى نمايد در حق ما جفا روا داشته است، و هركس آنان را گرامى بدارد به ما اهانت ورزيده، و هركس به آنان اهانت روا دارد ما را گرامى داشته است، و هركس آنان را بپذيرد ما را رد كرده، و هركس آنان را رد كند ما را پذيرفته است، و هركس به آنان خوبى كند به ما بدى كرده، و هركس به آنان بدى كند به ما خوبى كرده است، و هركس آنان را تصديق كند ما را تكذيب كرده، و هركس آنان را تكذيب كند ما را تصديق نموده است، و هركس به آنان ببخشد ما را محروم كرده، و هركس آنان</w:t>
      </w:r>
    </w:p>
    <w:p>
      <w:pPr>
        <w:pStyle w:val="BookText"/>
        <w:rPr/>
      </w:pPr>
      <w:r>
        <w:rPr>
          <w:rFonts w:ascii="Amiri" w:hAnsi="Amiri" w:eastAsia="Amiri" w:cs="Amiri"/>
          <w:color w:val="111111"/>
          <w:sz w:val="28"/>
          <w:sz w:val="28"/>
          <w:szCs w:val="28"/>
          <w:rtl w:val="true"/>
          <w:lang w:bidi="ar-SA"/>
        </w:rPr>
        <w:t>را محروم كند به ما بخشيده است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پسر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پيروان ما باشد، آنان را دوست و ياور خود اختيار نميكند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حسين‌بن‌خالد صيرفى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به تناسخ معتقد باشد، كافر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غاليان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يهودى يا مجوسى يا نصارا يا قدريه يا مرجئه يا صروريه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فرقه‌هاى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همنشين نشويد و دوستى نكنيد و از ايشان بيزارى جوييد كه خدا از آنان بيزار است</w:t>
      </w:r>
      <w:r>
        <w:rPr>
          <w:rFonts w:eastAsia="IRNazanin" w:cs="IRNazanin"/>
          <w:color w:val="111111"/>
          <w:sz w:val="28"/>
          <w:szCs w:val="28"/>
          <w:rtl w:val="true"/>
          <w:lang w:bidi="fa-IR"/>
        </w:rPr>
        <w:t>» .</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غاليان و مفوضه پرسيدم،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غاليان كافرند و مفوضه مشرك‌اند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با آنان همنشينى يا آمد و شد كند يا هم‌غذا يا هم‌مشرب باشد يا با آنها ارتباط برقرار كند يا همسرى بدهد يا همسرى بگيرد يا پناهشان دهد يا در امانتى امينشان شمارد يا سخن آنها را باور كند يا با سخنى يارى‌شان نمايد، از ولايت خداوند عزوجل و ولايت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ولايت ما اهل‌بيت خارج گشته است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على‌بن‌سالم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نقل مى‌كند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كمترين چيزى كه مرد از ايمانش خارج مى‌شود اين است كه كنار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فردى غالى بنشيند و به سخن او گوش فرا دهد و آن را باور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پدرش از جدش برايم نقل كرد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گروه از امت من، يكى غاليان و ديگرى قدريه، بهره‌اى از اسلام ندارند</w:t>
      </w:r>
      <w:r>
        <w:rPr>
          <w:rFonts w:eastAsia="IRNazanin" w:cs="IRNazanin"/>
          <w:color w:val="111111"/>
          <w:sz w:val="28"/>
          <w:szCs w:val="28"/>
          <w:rtl w:val="true"/>
          <w:lang w:bidi="fa-IR"/>
        </w:rPr>
        <w:t xml:space="preserve">» . </w:t>
      </w:r>
      <w:r>
        <w:rPr>
          <w:rStyle w:val="FootnoteAnchor"/>
          <w:rtl w:val="true"/>
        </w:rPr>
        <w:footnoteReference w:id="149"/>
      </w:r>
      <w:bookmarkStart w:id="102" w:name="pg1547_14505"/>
    </w:p>
    <w:p>
      <w:pPr>
        <w:pStyle w:val="BookText"/>
        <w:rPr/>
      </w:pPr>
      <w:bookmarkEnd w:id="1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ابن‌ابى‌عمير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مفضل‌بن‌مزيد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مى‌كند كه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هواداران ابوخطاب و غاليان ياد كرد و به من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آنان همنشين و هم‌غذا و هم‌مشرب مشو و مصافحه نكن و آنها را مقدم مداريد</w:t>
      </w:r>
      <w:r>
        <w:rPr>
          <w:rFonts w:eastAsia="Amiri" w:cs="Amiri" w:ascii="Amiri" w:hAnsi="Amiri"/>
          <w:color w:val="111111"/>
          <w:sz w:val="28"/>
          <w:szCs w:val="28"/>
          <w:rtl w:val="true"/>
          <w:lang w:bidi="ar-SA"/>
        </w:rPr>
        <w:t xml:space="preserve">» . </w:t>
      </w:r>
      <w:r>
        <w:rPr>
          <w:rStyle w:val="FootnoteAnchor"/>
          <w:rtl w:val="true"/>
        </w:rPr>
        <w:footnoteReference w:id="150"/>
      </w:r>
    </w:p>
    <w:p>
      <w:pPr>
        <w:pStyle w:val="Heading3"/>
        <w:numPr>
          <w:ilvl w:val="2"/>
          <w:numId w:val="1"/>
        </w:numPr>
        <w:rPr/>
      </w:pPr>
      <w:bookmarkStart w:id="103" w:name="__RefHeading___Toc610256_3650668749"/>
      <w:bookmarkStart w:id="104" w:name="_Toc36"/>
      <w:bookmarkEnd w:id="103"/>
      <w:r>
        <w:rPr>
          <w:rtl w:val="true"/>
        </w:rPr>
        <w:t>دسته چهارم</w:t>
      </w:r>
      <w:r>
        <w:rPr>
          <w:rtl w:val="true"/>
        </w:rPr>
        <w:t xml:space="preserve">: </w:t>
      </w:r>
      <w:r>
        <w:rPr>
          <w:rtl w:val="true"/>
        </w:rPr>
        <w:t xml:space="preserve">برخورد عملى اهل‌بيت </w:t>
      </w:r>
      <w:r>
        <w:rPr>
          <w:rtl w:val="true"/>
        </w:rPr>
        <w:t>(</w:t>
      </w:r>
      <w:r>
        <w:rPr>
          <w:rtl w:val="true"/>
        </w:rPr>
        <w:t>عليهم السلام</w:t>
      </w:r>
      <w:r>
        <w:rPr>
          <w:rtl w:val="true"/>
        </w:rPr>
        <w:t xml:space="preserve">) </w:t>
      </w:r>
      <w:r>
        <w:rPr>
          <w:rtl w:val="true"/>
        </w:rPr>
        <w:t>با غاليان</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پدرش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زنى از قبيله عنزه، مادر عمرو، حضور داشت كه قنبر وارد شد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نفر پشت درند و مدعى‌اند كه شما پروردگار آنان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واردشان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وارد شدند،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پروردگار مايى و تويى كه ما را آفريدى و تويى كه ما را روزى مى‌دهى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به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نگوييد، من مخلوقى همانند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كنيد و بازگرديد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سخنمان بازنمى‌گرديم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روزى مى‌دهى و تو ما را آفريدى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كنيد و بازگرديد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w:t>
      </w:r>
    </w:p>
    <w:p>
      <w:pPr>
        <w:pStyle w:val="BookText"/>
        <w:rPr/>
      </w:pPr>
      <w:r>
        <w:rPr>
          <w:rFonts w:ascii="IRNazanin" w:hAnsi="IRNazanin" w:eastAsia="IRNazanin"/>
          <w:color w:val="111111"/>
          <w:sz w:val="28"/>
          <w:sz w:val="28"/>
          <w:szCs w:val="28"/>
          <w:rtl w:val="true"/>
          <w:lang w:bidi="fa-IR"/>
        </w:rPr>
        <w:t>كردند و گفتند بازنمى‌گرديم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قنبر، برايم كارگر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قنبر خارج شد و با ده مرد به همراه بيل و كلنگ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آنها دستور داد زمين را حفر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حفر كردند، دستور داد هيزم و آتش بياورند، و آن گودال را پر از هيزم كرد و آتش در آن شعله‌ور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شما، توبه كنيد و بازگرديد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آنها خوددارى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سخن خود بازنمى‌گرديم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را در آتش افكند و سپس بقيه را نيز در آتش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بيت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هرگاه كار منكرى ببينم</w:t>
      </w:r>
    </w:p>
    <w:p>
      <w:pPr>
        <w:pStyle w:val="BookText"/>
        <w:rPr/>
      </w:pPr>
      <w:r>
        <w:rPr>
          <w:rFonts w:ascii="IRNazanin" w:hAnsi="IRNazanin" w:eastAsia="IRNazanin"/>
          <w:color w:val="111111"/>
          <w:sz w:val="28"/>
          <w:sz w:val="28"/>
          <w:szCs w:val="28"/>
          <w:rtl w:val="true"/>
          <w:lang w:bidi="fa-IR"/>
        </w:rPr>
        <w:t xml:space="preserve">آتش برمى‌افروزم و قنبر را فرا مى‌خوانم </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على‌بن‌حديد مداينى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شخصى 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شنيدم محمدبن‌بشير قائل است كه شما آن موسى‌بن‌جعفرى نيستى كه امام و حجت ما بين ما و خداى تعالى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گرمى آهن را بدو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بدترين صورت بكشد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اين سخن را از او بشنوم، آيا خون او همانند خون دشنام‌دهنده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حلال و مباح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به خدا سوگند خونش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خونش حلال است و خداوند آن را براى تو و كسى كه آن سخن را از او بشنود مباح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او دشنام‌دهنده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دشنام‌دهنده خدا و رسول خدا و پدرانم و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w:t>
      </w:r>
    </w:p>
    <w:p>
      <w:pPr>
        <w:pStyle w:val="BookText"/>
        <w:rPr/>
      </w:pPr>
      <w:r>
        <w:rPr>
          <w:rFonts w:ascii="Amiri" w:hAnsi="Amiri" w:eastAsia="Amiri" w:cs="Amiri"/>
          <w:color w:val="111111"/>
          <w:sz w:val="28"/>
          <w:sz w:val="28"/>
          <w:szCs w:val="28"/>
          <w:rtl w:val="true"/>
          <w:lang w:bidi="ar-SA"/>
        </w:rPr>
        <w:t>دشنام كمتر از اين است؟ كدام دشنام است كه اين سخن، فراتر از آن نيست؟</w:t>
      </w:r>
      <w:r>
        <w:rPr>
          <w:rFonts w:eastAsia="Amiri" w:cs="Amiri" w:ascii="Amiri" w:hAnsi="Amiri"/>
          <w:color w:val="111111"/>
          <w:sz w:val="28"/>
          <w:szCs w:val="28"/>
          <w:rtl w:val="true"/>
          <w:lang w:bidi="ar-SA"/>
        </w:rPr>
        <w:t xml:space="preserve">» .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بهترين سخنى كه مى‌توانيم با آن بحث را به پايان بريم، دعايى از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مى‌فرمود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قدرت و نيرويى از خود ندارم و قدرت و نيرويى جز به </w:t>
      </w:r>
      <w:bookmarkStart w:id="105" w:name="pg1547_14507"/>
    </w:p>
    <w:p>
      <w:pPr>
        <w:pStyle w:val="BookText"/>
        <w:rPr/>
      </w:pPr>
      <w:bookmarkEnd w:id="105"/>
      <w:r>
        <w:rPr>
          <w:rFonts w:ascii="IRNazanin" w:hAnsi="IRNazanin" w:eastAsia="IRNazanin"/>
          <w:color w:val="111111"/>
          <w:sz w:val="28"/>
          <w:sz w:val="28"/>
          <w:szCs w:val="28"/>
          <w:rtl w:val="true"/>
          <w:lang w:bidi="fa-IR"/>
        </w:rPr>
        <w:t>سبب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مى‌جويم و به پيشگاهت بيزارى مى‌جويم از كسانى كه براى ما چيزى را ادعا كردند كه حق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پيشگاه تو بيزارى مى‌جويم از كسانى كه در حق ما چيزى مى‌گويند كه ما درباره خودمان بدان قائل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از آنِ تو، و روزى از جانب توست و تنها تو را مى‌پرستيم و تنها از تو يارى مى‌جوييم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آفريننده ما و پدران گذشته و حال ما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تو را نسزد و الوهيت جز براى تو نشايد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نصارايى را كه عظمت تو را كوچك شمردند، لعنت نما و بر كسانى كه شبيه قول نصارا به زبان آورند، لعنت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تو و فرزندان بندگان توييم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سود و زيان و مرگ و زندگى و برانگيختن خود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مدعى است ما خدا هستيم، از او بيزاريم و كسى كه ادعا مى‌كند آفرينش به‌دست ما، و روزى بر عهده ماست، ما از او، مانند بيزارى عيسى‌بن‌مريم از نصارا، بيزاريم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به ادعايشان فرانخوانديم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به‌خاطر گفتار آنان بازخواست نكن و به‌خاطر ادعاى آنان ما را ببخش و از آنان كسى را روى زمين باقى نگذار؛</w:t>
      </w:r>
    </w:p>
    <w:p>
      <w:pPr>
        <w:pStyle w:val="BookText"/>
        <w:rPr/>
      </w:pPr>
      <w:r>
        <w:rPr>
          <w:rFonts w:ascii="IRNazanin" w:hAnsi="IRNazanin" w:eastAsia="IRNazanin"/>
          <w:color w:val="111111"/>
          <w:sz w:val="28"/>
          <w:sz w:val="28"/>
          <w:szCs w:val="28"/>
          <w:rtl w:val="true"/>
          <w:lang w:bidi="fa-IR"/>
        </w:rPr>
        <w:t>زيرا اگر آنها را باقى بگذارى بندگانت را گمراه مى‌كنند و جز نسلى فاجر و كافر به وجود نمى‌آورند</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106" w:name="__RefHeading___Toc610258_3650668749"/>
      <w:bookmarkStart w:id="107" w:name="_Toc37"/>
      <w:bookmarkEnd w:id="106"/>
      <w:r>
        <w:rPr>
          <w:rtl w:val="true"/>
        </w:rPr>
        <w:t>غاليان از نگاه بزرگان شيعه</w:t>
      </w:r>
      <w:bookmarkEnd w:id="10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و فتاواى بزرگان شيعه نيز در راستاى همين راه و روش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به‌گونه‌اى كه به تكفير آنان حكم كرده، و از آنان بيزارى </w:t>
      </w:r>
    </w:p>
    <w:p>
      <w:pPr>
        <w:pStyle w:val="BookText"/>
        <w:rPr/>
      </w:pPr>
      <w:r>
        <w:rPr>
          <w:rFonts w:ascii="Amiri" w:hAnsi="Amiri" w:eastAsia="Amiri" w:cs="Amiri"/>
          <w:color w:val="111111"/>
          <w:sz w:val="28"/>
          <w:sz w:val="28"/>
          <w:szCs w:val="28"/>
          <w:rtl w:val="true"/>
          <w:lang w:bidi="ar-SA"/>
        </w:rPr>
        <w:t>جسته‌اند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برخى از آن سخنان را بيان مى‌كنيم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غاليان به ظاهر مسلمان، كسانى‌اند كه به اميرمؤمنان و امامان از فرزندان آن حضرت نسبت خدايى و پيامبرى مى‌دهند و در فضايل دينى و دنيوى، بيش از اندازه آنان را توصيف كرده، و از اعتدال و ميانه‌روى خارج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گمراه‌كنندگان و كفرورزانى هستند كه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موردشان به كشتن و سوزاندن با آتش حكم فرموده است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آنان به كفر و خروج از اسلام داورى كرده‌اند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هوش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درباره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 به سبب اعتقاد به خدايى آنان است، يا شريك‌بودنشان با خداى متعال در پرستيده‌شدن، يا شريك در آفرينش، يا در روزى‌دادن، يا خداى متعال در آنان حلول كرده، يا با آنان متحد شده، يا آنان بدون هيچ وحى و الهامى از ناحيه خدا غيب مى‌دانند،</w:t>
      </w:r>
    </w:p>
    <w:p>
      <w:pPr>
        <w:pStyle w:val="BookText"/>
        <w:rPr/>
      </w:pPr>
      <w:r>
        <w:rPr>
          <w:rFonts w:ascii="IRNazanin" w:hAnsi="IRNazanin" w:eastAsia="IRNazanin"/>
          <w:color w:val="111111"/>
          <w:sz w:val="28"/>
          <w:sz w:val="28"/>
          <w:szCs w:val="28"/>
          <w:rtl w:val="true"/>
          <w:lang w:bidi="fa-IR"/>
        </w:rPr>
        <w:t xml:space="preserve">يا بدين اعتقاد كه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پيامبرند يا به سبب اعتقاد تناسخ ارواح برخى از آنان در ديگرى و يا به اين سبب كه شناخت آنان، از انجام طاعات كفايت مى‌كند و تكليفى نسبت به ترك گناهان وجود ندارد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هريك از موارد يادشده، الحاد، كفر و خروج از دين تلقى مى‌شود؛ همان‌گونه كه دلايل عقلى و آيات و اخبار گذشته و غير آنها بر اين معنا دلالت دارد، و به خوبى دريافتيد كه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غاليان بيزارى جستند و به كفرشان حكم كردند و به كشتن آنها </w:t>
      </w:r>
    </w:p>
    <w:p>
      <w:pPr>
        <w:pStyle w:val="BookText"/>
        <w:rPr/>
      </w:pPr>
      <w:r>
        <w:rPr>
          <w:rFonts w:ascii="IRNazanin" w:hAnsi="IRNazanin" w:eastAsia="IRNazanin"/>
          <w:color w:val="111111"/>
          <w:sz w:val="28"/>
          <w:sz w:val="28"/>
          <w:szCs w:val="28"/>
          <w:rtl w:val="true"/>
          <w:lang w:bidi="fa-IR"/>
        </w:rPr>
        <w:t>دستور دادند و اگر برخى اخبارى كه به اين موارد اندكى اشاره دارد به گوشتان برسد، يا بايد تأويل و تفسير شود، يا از دروغ‌ها و افتراهاى غاليان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ما درباره غاليان و مفوضه اين است كه به خداى متعال كافرند و از يهود و نصارا و مجوس و قدريه و حروريه و از همه بدعتگذاران و هواپرستان گمراه‌كننده بدترند و هيچ چيز را مانند خداوند متعال كوچك نشمردند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كاشف‌الغطاء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خود، درباره غاليان و گفتارشان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شيعه اماميه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اين فرقه‌ها بيزار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ارتباط با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مى‌دانند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از گفتار آنان بيزارى جسته، و آنها را از بدترين نوع كفر و گمراهى به شمار مى‌آورند و دين شيعيان جز</w:t>
      </w:r>
    </w:p>
    <w:p>
      <w:pPr>
        <w:pStyle w:val="BookText"/>
        <w:rPr/>
      </w:pPr>
      <w:r>
        <w:rPr>
          <w:rFonts w:ascii="IRNazanin" w:hAnsi="IRNazanin" w:eastAsia="IRNazanin"/>
          <w:color w:val="111111"/>
          <w:sz w:val="28"/>
          <w:sz w:val="28"/>
          <w:szCs w:val="28"/>
          <w:rtl w:val="true"/>
          <w:lang w:bidi="fa-IR"/>
        </w:rPr>
        <w:t>توحيد محض، و منزه‌دانستن آفريدگار از هرگونه مشابهت به آفريدگان چيز ديگرى نيست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غاليان چند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معتقد به خدايى اميرمؤمنان يا يكى از امامان پاك‌سرشت‌اند و اعتقاد دارند كه او پروردگار جليل و خداى مجسمى است كه به زمين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نسبتى صحيح باشد و اعتقادشان به آن ثابت گردد، در نجاست و </w:t>
      </w:r>
      <w:bookmarkStart w:id="108" w:name="pg1547_14510"/>
    </w:p>
    <w:p>
      <w:pPr>
        <w:pStyle w:val="BookText"/>
        <w:rPr/>
      </w:pPr>
      <w:bookmarkEnd w:id="108"/>
      <w:r>
        <w:rPr>
          <w:rFonts w:ascii="IRNazanin" w:hAnsi="IRNazanin" w:eastAsia="IRNazanin"/>
          <w:color w:val="111111"/>
          <w:sz w:val="28"/>
          <w:sz w:val="28"/>
          <w:szCs w:val="28"/>
          <w:rtl w:val="true"/>
          <w:lang w:bidi="fa-IR"/>
        </w:rPr>
        <w:t xml:space="preserve">كفرشان ترديدى نيست؛ چراكه اين اعتقاد، انكار خدايىِ خداى سبحان است؛ زيرا روشن است كه در انكار خدايى، بين ادعاى ثبوت آن براى زيد يا بت‌ها و بين ادعاى ثبوت اين خدايى براى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وجود ندارد؛ چون در انكار خدايى خداى متعال مشترك‌اند و اين موضوع خود يكى از اسبابى است كه موجب كفر مى‌گردد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و ديگر سخنان بزرگان مكتب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كفر غاليان، و خروجشان از اسلام حكم كرده‌اند</w:t>
      </w:r>
      <w:r>
        <w:rPr>
          <w:rFonts w:eastAsia="IRNazanin" w:cs="IRNazanin"/>
          <w:color w:val="111111"/>
          <w:sz w:val="28"/>
          <w:szCs w:val="28"/>
          <w:rtl w:val="true"/>
          <w:lang w:bidi="fa-IR"/>
        </w:rPr>
        <w:t>.</w:t>
      </w:r>
    </w:p>
    <w:p>
      <w:pPr>
        <w:pStyle w:val="Heading3"/>
        <w:numPr>
          <w:ilvl w:val="2"/>
          <w:numId w:val="1"/>
        </w:numPr>
        <w:rPr/>
      </w:pPr>
      <w:bookmarkStart w:id="109" w:name="__RefHeading___Toc610260_3650668749"/>
      <w:bookmarkStart w:id="110" w:name="_Toc38"/>
      <w:bookmarkEnd w:id="109"/>
      <w:r>
        <w:rPr>
          <w:rtl w:val="true"/>
        </w:rPr>
        <w:t xml:space="preserve">جايگاه اهل‌بيت </w:t>
      </w:r>
      <w:r>
        <w:rPr>
          <w:rtl w:val="true"/>
        </w:rPr>
        <w:t>(</w:t>
      </w:r>
      <w:r>
        <w:rPr>
          <w:rtl w:val="true"/>
        </w:rPr>
        <w:t>عليهم السلام</w:t>
      </w:r>
      <w:r>
        <w:rPr>
          <w:rtl w:val="true"/>
        </w:rPr>
        <w:t xml:space="preserve">) </w:t>
      </w:r>
      <w:r>
        <w:rPr>
          <w:rtl w:val="true"/>
        </w:rPr>
        <w:t>و مسئله غلو</w:t>
      </w:r>
      <w:bookmarkEnd w:id="110"/>
    </w:p>
    <w:p>
      <w:pPr>
        <w:pStyle w:val="BookText"/>
        <w:rPr/>
      </w:pPr>
      <w:r>
        <w:rPr>
          <w:rFonts w:ascii="IRNazanin" w:hAnsi="IRNazanin" w:eastAsia="IRNazanin"/>
          <w:color w:val="111111"/>
          <w:sz w:val="28"/>
          <w:sz w:val="28"/>
          <w:szCs w:val="28"/>
          <w:rtl w:val="true"/>
          <w:lang w:bidi="fa-IR"/>
        </w:rPr>
        <w:t>پس از آنكه بيان شد مرز غلو بيش از حدود بشرى است و معناى آن، اعتقاد داشتن صفتى از صفات خداوندى براى آفريده‌اى است كه در حق آن غلو صورت گرفته است، روشن مى‌شود كه جايگاه برجسته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خداى متعال، از قبيل عصمت، آگاهى به غيب، ولايت و ارج و مقامى كه خداى متعال به ايشان افاضه فرموده، همگى از مسئله غلو خارج است؛ زيرا بهره‌مندى از اين مرتبه و جايگاه، به معناى خدايى كردن نيست؛ زيرا آنان هرچه دارند، از نعمت‌هاى خداوند است و در برابر خدا، مالك چيزى از خود نيستند؛ چنان‌كه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آنان بدون اذن خدا چيزى نمى‌دانند، و جز به خواسته خدا در چيزى تصرف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آنها بندگان‌گرامى‌اند كه بر انجام‌دادن كارى قادر نيستند، مگر اينكه آنها را بر انجام‌دادن آن كار قادر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آرى، اين مرتبه و جايگاه برجسته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واسطه فيض بين خدا و آفريدگان اويند، گاهى براى بسيارى از مردم، شگفت‌آور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شگفتى پس از توجه به ناتوانى مردم از شناخت ژرفاى وجود و حقيقت آنان برطرف مى‌شود؛ به همين دليل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ارزش و جايگاه امامت در ميان امت را مى‌دانند تا بتوانند آن را اختيار كنند؟ ارزش و اهميت امامت، برجسته‌تر، و مراتبش بزرگ‌تر، و جايگاه آن برتر، و مقامش ايمن‌تر، و عمقش ژرف‌تر از آن است كه مردم با عقل و خرد خويش به آن دست يابند و يا با نظريات خود آن را دريابند و يا با اختيارشان، امامى را انتخاب كنند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از اين‌رو در بخشى از روايات گذشته وارد شده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w:t>
      </w:r>
    </w:p>
    <w:p>
      <w:pPr>
        <w:pStyle w:val="BookText"/>
        <w:rPr/>
      </w:pPr>
      <w:r>
        <w:rPr>
          <w:rFonts w:ascii="IRNazanin" w:hAnsi="IRNazanin" w:eastAsia="IRNazanin"/>
          <w:color w:val="111111"/>
          <w:sz w:val="28"/>
          <w:sz w:val="28"/>
          <w:szCs w:val="28"/>
          <w:rtl w:val="true"/>
          <w:lang w:bidi="fa-IR"/>
        </w:rPr>
        <w:t>پروردگارى قرار دهيد كه به‌سوى او بازمى‌گرديم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درباره فضائل ما هرچه مى‌خواهيد بگوييد كه هرگز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فضائل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رسيد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 اين اساس، سزاوار است شخص با ايمان در رد فضايل و جايگاه و مراتب آنان كه در روايات وارد شده، شتاب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آنچه به آنان نسبت داده شده، از محالات عقلى، يا خلاف ضرورت 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بايد تسليم آنها باشد؛ به همين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حسين‌بن‌علوان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رسولان اولواالعزم را به واسطه علم، بر پيامبران ديگر برترى داد و علم آنها را براى ما به ارث نهاد و ما را در فضيلت بر </w:t>
      </w:r>
      <w:bookmarkStart w:id="111" w:name="pg1547_14512"/>
    </w:p>
    <w:p>
      <w:pPr>
        <w:pStyle w:val="BookText"/>
        <w:rPr/>
      </w:pPr>
      <w:bookmarkEnd w:id="111"/>
      <w:r>
        <w:rPr>
          <w:rFonts w:ascii="IRNazanin" w:hAnsi="IRNazanin" w:eastAsia="IRNazanin"/>
          <w:color w:val="111111"/>
          <w:sz w:val="28"/>
          <w:sz w:val="28"/>
          <w:szCs w:val="28"/>
          <w:rtl w:val="true"/>
          <w:lang w:bidi="fa-IR"/>
        </w:rPr>
        <w:t xml:space="preserve">آنان برترى داد و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امورى را كه آنان نمى‌دانند، آموخت و علم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ياد داد و ما آن را به شيعيانمان روايت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آنان، پذيراى آن گردد، برتر از همه آنهاست و ما هر كجا باشيم شيعيانمان با ما هستند</w:t>
      </w:r>
      <w:r>
        <w:rPr>
          <w:rFonts w:eastAsia="IRNazanin" w:cs="IRNazanin"/>
          <w:color w:val="111111"/>
          <w:sz w:val="28"/>
          <w:szCs w:val="28"/>
          <w:rtl w:val="true"/>
          <w:lang w:bidi="fa-IR"/>
        </w:rPr>
        <w:t xml:space="preserve">. </w:t>
      </w:r>
      <w:r>
        <w:rPr>
          <w:rStyle w:val="FootnoteAnchor"/>
          <w:rtl w:val="true"/>
        </w:rPr>
        <w:footnoteReference w:id="160"/>
      </w:r>
    </w:p>
    <w:p>
      <w:pPr>
        <w:pStyle w:val="Heading3"/>
        <w:numPr>
          <w:ilvl w:val="2"/>
          <w:numId w:val="1"/>
        </w:numPr>
        <w:rPr/>
      </w:pPr>
      <w:bookmarkStart w:id="112" w:name="__RefHeading___Toc610262_3650668749"/>
      <w:bookmarkStart w:id="113" w:name="_Toc39"/>
      <w:bookmarkEnd w:id="112"/>
      <w:r>
        <w:rPr>
          <w:rtl w:val="true"/>
        </w:rPr>
        <w:t>چكيده</w:t>
      </w:r>
      <w:bookmarkEnd w:id="113"/>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بررسى كتاب‌هاى لغت و كاربردهاى قرآنى و روايى و سخنان بزرگان شيعه و سنى در تعيين ملاك و معيار غلو، اين است كه غلو به معناى خارج‌شدن هر چيزى از حد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زمينه‌هاى پيدايش غلو، اهداف سياسى و طمع‌ورزى‌هاى شخصى</w:t>
      </w:r>
    </w:p>
    <w:p>
      <w:pPr>
        <w:pStyle w:val="BookText"/>
        <w:rPr/>
      </w:pPr>
      <w:r>
        <w:rPr>
          <w:rFonts w:ascii="IRNazanin" w:hAnsi="IRNazanin" w:eastAsia="IRNazanin"/>
          <w:color w:val="111111"/>
          <w:sz w:val="28"/>
          <w:sz w:val="28"/>
          <w:szCs w:val="28"/>
          <w:rtl w:val="true"/>
          <w:lang w:bidi="fa-IR"/>
        </w:rPr>
        <w:t>و عقب‌ماندگى‌هاى فكرى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گفته‌هاى غاليان، ادعاى خدايى براى پيامبران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ادعاى آگاهى آنان بر غيب به نحو استقلال، اعتقاد به تناسخ ارواح آنها و ديگر گفته‌هايى است كه آنان را از بشر بودن و بندگى خداى متعال خارج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فراوانى، اين‌گونه گفته‌ها را به شدت انكار، و به كفر مدعيان آن حكم كرده، و از آنان بيزارى جسته، و لعنتشان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مكتب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همين مسير گام برداشته، و به تكفير و خروج آنان از اسلام نظر داده‌اند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و مراتب فراوان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نظير علم غيب يا تفويض در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تكوين و تشريع و قانون‌گذارى، همگى از محدوده غلو خارج‌اند؛ زيرا همه آنها موهبتى است كه خداى متعال به آنها بخشيده، و به اذن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آنان براى خود چيزى را مالك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درك و دريافت اين جايگاه و مراتب، بر برخى دشوار است</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1547_14515"/>
      <w:bookmarkStart w:id="115" w:name="pg1547_14515"/>
      <w:bookmarkEnd w:id="115"/>
    </w:p>
    <w:p>
      <w:pPr>
        <w:pStyle w:val="Heading2"/>
        <w:numPr>
          <w:ilvl w:val="1"/>
          <w:numId w:val="1"/>
        </w:numPr>
        <w:rPr/>
      </w:pPr>
      <w:bookmarkStart w:id="116" w:name="pg1547_14515"/>
      <w:bookmarkStart w:id="117" w:name="__RefHeading___Toc610264_3650668749"/>
      <w:bookmarkStart w:id="118" w:name="_Toc40"/>
      <w:bookmarkEnd w:id="116"/>
      <w:bookmarkEnd w:id="117"/>
      <w:r>
        <w:rPr>
          <w:rtl w:val="true"/>
        </w:rPr>
        <w:t>كتابنامه</w:t>
      </w:r>
      <w:bookmarkEnd w:id="1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احمدبن‌على طبرسى، نجف، مطابع نعمان، </w:t>
      </w:r>
      <w:r>
        <w:rPr>
          <w:rFonts w:ascii="IRNazanin" w:hAnsi="IRNazanin" w:eastAsia="IRNazanin"/>
          <w:color w:val="111111"/>
          <w:sz w:val="28"/>
          <w:sz w:val="28"/>
          <w:szCs w:val="28"/>
          <w:lang w:bidi="fa-IR"/>
        </w:rPr>
        <w:t>١٣٨۶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محمدبن‌محمدبن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دفتر انتشارات اسلامى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شيخ طوسى، قم، مؤسسۀ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لاحياء التراث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الشيعه و اصولها، كاشف‌الغطاء، چاپ اول، مؤسسه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١۴١۵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كافى، محمدبن‌يعقوب كلينى، چاپ چهارم، بيروت، دارالتعارف، </w:t>
      </w:r>
      <w:r>
        <w:rPr>
          <w:rFonts w:ascii="IRNazanin" w:hAnsi="IRNazanin" w:eastAsia="IRNazanin"/>
          <w:color w:val="111111"/>
          <w:sz w:val="28"/>
          <w:sz w:val="28"/>
          <w:szCs w:val="28"/>
          <w:lang w:bidi="fa-IR"/>
        </w:rPr>
        <w:t>١۴٠١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الاعتقادات فى دين الاماميّة، شيخ صدوق، مؤسسه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الصادق والمذاهب الاربعة، اسد حيدر، بيروت، دارالكتاب العربى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اوائل المقالات، محمد بن محمد بن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تبريز، </w:t>
      </w:r>
      <w:r>
        <w:rPr>
          <w:rFonts w:ascii="Amiri" w:hAnsi="Amiri" w:eastAsia="Amiri" w:cs="Amiri"/>
          <w:color w:val="111111"/>
          <w:sz w:val="28"/>
          <w:sz w:val="28"/>
          <w:szCs w:val="28"/>
          <w:lang w:bidi="ar-SA"/>
        </w:rPr>
        <w:t>١٣٧٠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محمد باقر مجلسى، چاپ سوم، بيروت، مؤسسة الوفاء، </w:t>
      </w:r>
      <w:r>
        <w:rPr>
          <w:rFonts w:ascii="IRNazanin" w:hAnsi="IRNazanin" w:eastAsia="IRNazanin"/>
          <w:color w:val="111111"/>
          <w:sz w:val="28"/>
          <w:sz w:val="28"/>
          <w:szCs w:val="28"/>
          <w:lang w:bidi="fa-IR"/>
        </w:rPr>
        <w:t>١۴٠٣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بحوث فى الملل والنحل، جعفر سبحانى، چاپ اول، قم، مؤسسه </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بحوث فى شرح العروة الوثقى، محمدباقر صدر، چاپ اول، مركز الابحاث و الدراسات التخصصية للشهيد الصدر، </w:t>
      </w:r>
      <w:r>
        <w:rPr>
          <w:rFonts w:ascii="IRNazanin" w:hAnsi="IRNazanin" w:eastAsia="IRNazanin"/>
          <w:color w:val="111111"/>
          <w:sz w:val="28"/>
          <w:sz w:val="28"/>
          <w:szCs w:val="28"/>
          <w:lang w:bidi="fa-IR"/>
        </w:rPr>
        <w:t>١۴٢١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صفار قمى، منشورات مكتبة المرعشى، قم،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التحرير و التنوير، ابن‌عاشور محمدبن‌طاهر، چاپ اول، بيروت، مؤسسة التاريخ، </w:t>
      </w:r>
      <w:r>
        <w:rPr>
          <w:rFonts w:ascii="IRNazanin" w:hAnsi="IRNazanin" w:eastAsia="IRNazanin"/>
          <w:color w:val="111111"/>
          <w:sz w:val="28"/>
          <w:sz w:val="28"/>
          <w:szCs w:val="28"/>
          <w:lang w:bidi="fa-IR"/>
        </w:rPr>
        <w:t>١۴٢٠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ابن‌شعبه حرانى، چاپ دوم، قم، دفتر انتشارات اسلامى، </w:t>
      </w:r>
      <w:r>
        <w:rPr>
          <w:rFonts w:ascii="IRNazanin" w:hAnsi="IRNazanin" w:eastAsia="IRNazanin"/>
          <w:color w:val="111111"/>
          <w:sz w:val="28"/>
          <w:sz w:val="28"/>
          <w:szCs w:val="28"/>
          <w:lang w:bidi="fa-IR"/>
        </w:rPr>
        <w:t>١۴٠۴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الامالى، محمدجواد محمودى، چاپ اول، قم، مؤسسه معارف اسلامى، </w:t>
      </w:r>
      <w:r>
        <w:rPr>
          <w:rFonts w:ascii="IRNazanin" w:hAnsi="IRNazanin" w:eastAsia="IRNazanin"/>
          <w:color w:val="111111"/>
          <w:sz w:val="28"/>
          <w:sz w:val="28"/>
          <w:szCs w:val="28"/>
          <w:lang w:bidi="fa-IR"/>
        </w:rPr>
        <w:t>١۴٢٠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اعتقادات الامامية،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دوم، بيروت، دارالمفيد، </w:t>
      </w:r>
      <w:r>
        <w:rPr>
          <w:rFonts w:ascii="IRNazanin" w:hAnsi="IRNazanin" w:eastAsia="IRNazanin"/>
          <w:color w:val="111111"/>
          <w:sz w:val="28"/>
          <w:sz w:val="28"/>
          <w:szCs w:val="28"/>
          <w:lang w:bidi="fa-IR"/>
        </w:rPr>
        <w:t>١۴١۴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عياشى، محمدبن‌مسعود عياشى، چاپ اول، قم، مؤسسه بعثت، </w:t>
      </w:r>
      <w:r>
        <w:rPr>
          <w:rFonts w:ascii="IRNazanin" w:hAnsi="IRNazanin" w:eastAsia="IRNazanin"/>
          <w:color w:val="111111"/>
          <w:sz w:val="28"/>
          <w:sz w:val="28"/>
          <w:szCs w:val="28"/>
          <w:lang w:bidi="fa-IR"/>
        </w:rPr>
        <w:t>١۴٢١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التنقيح فى شرح العروة الوثقى، ابوالقاسم خويى، چاپ دوم، نجف، مؤسسة آل البيت للطباعة والنشر، مطبعة الآداب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سيد كمال حيدرى، چاپ پنجم، بيروت، دار فراقد، </w:t>
      </w:r>
      <w:r>
        <w:rPr>
          <w:rFonts w:ascii="IRNazanin" w:hAnsi="IRNazanin" w:eastAsia="IRNazanin"/>
          <w:color w:val="111111"/>
          <w:sz w:val="28"/>
          <w:sz w:val="28"/>
          <w:szCs w:val="28"/>
          <w:lang w:bidi="fa-IR"/>
        </w:rPr>
        <w:t>١۴٢٧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 الجرائح، قطب الدين راوندى، قم، مؤسسۀ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w:t>
      </w:r>
      <w:r>
        <w:rPr>
          <w:rFonts w:ascii="IRNazanin" w:hAnsi="IRNazanin" w:eastAsia="IRNazanin"/>
          <w:color w:val="111111"/>
          <w:sz w:val="28"/>
          <w:sz w:val="28"/>
          <w:szCs w:val="28"/>
          <w:lang w:bidi="fa-IR"/>
        </w:rPr>
        <w:t>١۴٠٩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المعانى، آلوسى بغدادى، بيروت، دار احياء التراث العربى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 شيخ صدوق، نجف، منشورات حيدرى</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شيخ صدوق، بيروت، مؤسسه اعلمى،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كافى، محمدبن‌يعقوب كلينى، چاپ سوم، بيروت، دارالتعارف، </w:t>
      </w:r>
      <w:r>
        <w:rPr>
          <w:rFonts w:ascii="IRNazanin" w:hAnsi="IRNazanin" w:eastAsia="IRNazanin"/>
          <w:color w:val="111111"/>
          <w:sz w:val="28"/>
          <w:sz w:val="28"/>
          <w:szCs w:val="28"/>
          <w:lang w:bidi="fa-IR"/>
        </w:rPr>
        <w:t>١۴٠١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عبدالله‌بن‌جعفر حميرى، چاپ اول، قم، مؤسسۀ آل البيت لاحياء التراث، </w:t>
      </w:r>
      <w:r>
        <w:rPr>
          <w:rFonts w:ascii="IRNazanin" w:hAnsi="IRNazanin" w:eastAsia="IRNazanin"/>
          <w:color w:val="111111"/>
          <w:sz w:val="28"/>
          <w:sz w:val="28"/>
          <w:szCs w:val="28"/>
          <w:lang w:bidi="fa-IR"/>
        </w:rPr>
        <w:t>١۴١٣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ابن‌منظور، چاپ اول، بيروت، دار احياء التراث العربى، </w:t>
      </w:r>
      <w:r>
        <w:rPr>
          <w:rFonts w:ascii="IRNazanin" w:hAnsi="IRNazanin" w:eastAsia="IRNazanin"/>
          <w:color w:val="111111"/>
          <w:sz w:val="28"/>
          <w:sz w:val="28"/>
          <w:szCs w:val="28"/>
          <w:lang w:bidi="fa-IR"/>
        </w:rPr>
        <w:t>١٩٨٨</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فخرالدين طريحى، چاپ دوم، مكتبة المرتضويه، </w:t>
      </w:r>
      <w:r>
        <w:rPr>
          <w:rFonts w:ascii="IRNazanin" w:hAnsi="IRNazanin" w:eastAsia="IRNazanin"/>
          <w:color w:val="111111"/>
          <w:sz w:val="28"/>
          <w:sz w:val="28"/>
          <w:szCs w:val="28"/>
          <w:lang w:bidi="fa-IR"/>
        </w:rPr>
        <w:t>١٣٩۵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حاكم نيشابورى، چاپ اول، بيروت، دارالكتب العلمية، </w:t>
      </w:r>
      <w:r>
        <w:rPr>
          <w:rFonts w:ascii="IRNazanin" w:hAnsi="IRNazanin" w:eastAsia="IRNazanin"/>
          <w:color w:val="111111"/>
          <w:sz w:val="28"/>
          <w:sz w:val="28"/>
          <w:szCs w:val="28"/>
          <w:lang w:bidi="fa-IR"/>
        </w:rPr>
        <w:t>١۴١١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المفردات فى غريب القرآن، راغب اصفهانى، بيروت، دارالمعرفة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الاسلاميين و اختلاف المصلين، ابوالحسن اشعرى،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هلموت ريتر، چاپ سوم، </w:t>
      </w:r>
      <w:r>
        <w:rPr>
          <w:rFonts w:ascii="IRNazanin" w:hAnsi="IRNazanin" w:eastAsia="IRNazanin"/>
          <w:color w:val="111111"/>
          <w:sz w:val="28"/>
          <w:sz w:val="28"/>
          <w:szCs w:val="28"/>
          <w:lang w:bidi="fa-IR"/>
        </w:rPr>
        <w:t>١۴٠٠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الملل والنحل، محمدبن‌عبدالكريم شهرستانى، بيروت، دارالمعرفة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ابى‌طالب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على بن شهر آشوب، نجف، مطبعة الحيدرية، </w:t>
      </w:r>
      <w:r>
        <w:rPr>
          <w:rFonts w:ascii="Amiri" w:hAnsi="Amiri" w:eastAsia="Amiri" w:cs="Amiri"/>
          <w:color w:val="111111"/>
          <w:sz w:val="28"/>
          <w:sz w:val="28"/>
          <w:szCs w:val="28"/>
          <w:lang w:bidi="ar-SA"/>
        </w:rPr>
        <w:t>١٣٧۶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كشاف اصطلاحات الفنون والعلوم، محمدعلى تهانوى، چاپ اول، مكتبة لبنان ناشرون، </w:t>
      </w:r>
      <w:r>
        <w:rPr>
          <w:rFonts w:ascii="IRNazanin" w:hAnsi="IRNazanin" w:eastAsia="IRNazanin"/>
          <w:color w:val="111111"/>
          <w:sz w:val="28"/>
          <w:sz w:val="28"/>
          <w:szCs w:val="28"/>
          <w:lang w:bidi="fa-IR"/>
        </w:rPr>
        <w:t>١٩٩۶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فى تفسير القرآن، محمدحسين طباطبايى، چاپ سوم، بيروت، مؤسسه اعلمى، </w:t>
      </w:r>
      <w:r>
        <w:rPr>
          <w:rFonts w:ascii="IRNazanin" w:hAnsi="IRNazanin" w:eastAsia="IRNazanin"/>
          <w:color w:val="111111"/>
          <w:sz w:val="28"/>
          <w:sz w:val="28"/>
          <w:szCs w:val="28"/>
          <w:lang w:bidi="fa-IR"/>
        </w:rPr>
        <w:t>١٣٩٣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الشيعه، محمدبن‌حسن حر عاملى، چاپ اول، قم، مؤسسۀ آل‌البيت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لاحياء التراث، </w:t>
      </w:r>
      <w:r>
        <w:rPr>
          <w:rFonts w:ascii="IRNazanin" w:hAnsi="IRNazanin" w:eastAsia="IRNazanin"/>
          <w:color w:val="111111"/>
          <w:sz w:val="28"/>
          <w:sz w:val="28"/>
          <w:szCs w:val="28"/>
          <w:lang w:bidi="fa-IR"/>
        </w:rPr>
        <w:t>١۴١٢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مجلسى، ج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١١٢</w:t>
      </w:r>
      <w:r>
        <w:rPr>
          <w:rFonts w:ascii="IRNazanin" w:hAnsi="IRNazanin" w:eastAsia="IRNazanin"/>
          <w:b w:val="false"/>
          <w:b w:val="false"/>
          <w:bCs w:val="false"/>
          <w:i w:val="false"/>
          <w:i w:val="false"/>
          <w:iCs w:val="false"/>
          <w:color w:val="333333"/>
          <w:sz w:val="20"/>
          <w:sz w:val="20"/>
          <w:szCs w:val="20"/>
          <w:rtl w:val="true"/>
        </w:rPr>
        <w:t>، مادّه غلا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طريحى،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٣١٨</w:t>
      </w:r>
      <w:r>
        <w:rPr>
          <w:rFonts w:ascii="IRNazanin" w:hAnsi="IRNazanin" w:eastAsia="IRNazanin"/>
          <w:b w:val="false"/>
          <w:b w:val="false"/>
          <w:bCs w:val="false"/>
          <w:i w:val="false"/>
          <w:i w:val="false"/>
          <w:iCs w:val="false"/>
          <w:color w:val="333333"/>
          <w:sz w:val="20"/>
          <w:sz w:val="20"/>
          <w:szCs w:val="20"/>
          <w:rtl w:val="true"/>
        </w:rPr>
        <w:t>، مادّه غلا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فى غريب القرآن، راغب اصفهانى، ص </w:t>
      </w:r>
      <w:r>
        <w:rPr>
          <w:rFonts w:ascii="IRNazanin" w:hAnsi="IRNazanin" w:eastAsia="IRNazanin"/>
          <w:b w:val="false"/>
          <w:b w:val="false"/>
          <w:bCs w:val="false"/>
          <w:i w:val="false"/>
          <w:i w:val="false"/>
          <w:iCs w:val="false"/>
          <w:color w:val="333333"/>
          <w:sz w:val="20"/>
          <w:sz w:val="20"/>
          <w:szCs w:val="20"/>
        </w:rPr>
        <w:t>٣۶۴</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ابن‌عاشور تونسى،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٣٣٠</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حميرى، ص </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شيخ صدوق،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٢١۶</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١١۶</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١١٧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مجلسى، ج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ابن‌شهرآشوب،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الاماميه، شيخ مفيد، ص </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شيخ مفيد، ص </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فى شرح العروۀ الوثقى، شهيد صدر،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٣٨۴</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شهرستانى،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والمذاهب الاربعه، اسد حيدر،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٢٣۴</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٢٨٩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معرفۀ الرجال، شيخ طوسى،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٨٠۵</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٢٧۶</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و اختلاف المصلين، ابوالحسن اشعرى، ص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فى الملل و النحل، جعفر سبحانى،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الاماميه، ص </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احمدبن‌حنبل،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١۶٠</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٢۶۴</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٢٧٠</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٢٨٩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ابن‌شهرآشوب،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معرفۀ الرجال،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٣٢۴</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معرفۀ الرجال،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٣٢۴</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۴٨٩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٢٣۴</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٢٣٣</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٢٨۴</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فى شرح العروۀ الوثقى،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٣٨۵</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كلينى،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معرفۀ الرجال،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۵١۵</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۵٩٠</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۵٨٧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الامالى، محمدجواد محمودى،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آلوسى، ج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موسوعۀ كشاف اصطلاحات الفنون و العلوم، تهانوى،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۵١٢</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٣٢١</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و اختلاف المصلين، ص </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فى شرح العروۀ الوثقى، سيد ابوالقاسم خويى،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بحوث فى مراتبه و معطياته، سيد كمال حيدرى،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شيخ صدوق، ص </w:t>
      </w:r>
      <w:r>
        <w:rPr>
          <w:rFonts w:ascii="IRNazanin" w:hAnsi="IRNazanin" w:eastAsia="IRNazanin"/>
          <w:b w:val="false"/>
          <w:b w:val="false"/>
          <w:bCs w:val="false"/>
          <w:i w:val="false"/>
          <w:i w:val="false"/>
          <w:iCs w:val="false"/>
          <w:color w:val="333333"/>
          <w:sz w:val="20"/>
          <w:sz w:val="20"/>
          <w:szCs w:val="20"/>
        </w:rPr>
        <w:t>٣۴٣</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ابن شعبه حرانى، ص </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علامه طباطبايى،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٣٧۵</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شيخ صدوق، ص </w:t>
      </w:r>
      <w:r>
        <w:rPr>
          <w:rFonts w:ascii="IRNazanin" w:hAnsi="IRNazanin" w:eastAsia="IRNazanin"/>
          <w:b w:val="false"/>
          <w:b w:val="false"/>
          <w:bCs w:val="false"/>
          <w:i w:val="false"/>
          <w:i w:val="false"/>
          <w:iCs w:val="false"/>
          <w:color w:val="333333"/>
          <w:sz w:val="20"/>
          <w:sz w:val="20"/>
          <w:szCs w:val="20"/>
        </w:rPr>
        <w:t>۴١٠</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مستدرك الوسائل،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٢٢۶</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٢٣٢</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الأمالى،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فى شرح العروۀ الوثقى،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٢٣۴</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٢٣٣</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جايى در عرش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صدوق،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٢٣۵</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كلينى،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ص </w:t>
      </w:r>
      <w:r>
        <w:rPr>
          <w:rFonts w:ascii="IRNazanin" w:hAnsi="IRNazanin" w:eastAsia="IRNazanin"/>
          <w:b w:val="false"/>
          <w:b w:val="false"/>
          <w:bCs w:val="false"/>
          <w:i w:val="false"/>
          <w:i w:val="false"/>
          <w:iCs w:val="false"/>
          <w:color w:val="333333"/>
          <w:sz w:val="20"/>
          <w:sz w:val="20"/>
          <w:szCs w:val="20"/>
        </w:rPr>
        <w:t>۴٨٧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٢۴٢</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٣٣۴</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٢۶۵</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٣٣۶</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۴۴١</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٢۴١</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شيخ مفيد، ص </w:t>
      </w:r>
      <w:r>
        <w:rPr>
          <w:rFonts w:ascii="IRNazanin" w:hAnsi="IRNazanin" w:eastAsia="IRNazanin"/>
          <w:b w:val="false"/>
          <w:b w:val="false"/>
          <w:bCs w:val="false"/>
          <w:i w:val="false"/>
          <w:i w:val="false"/>
          <w:iCs w:val="false"/>
          <w:color w:val="333333"/>
          <w:sz w:val="20"/>
          <w:sz w:val="20"/>
          <w:szCs w:val="20"/>
        </w:rPr>
        <w:t>٣٣٢</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الأمالى،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۵٧</w:t>
      </w:r>
      <w:r>
        <w:rPr>
          <w:rFonts w:ascii="IRNazanin" w:hAnsi="IRNazanin" w:eastAsia="IRNazanin"/>
          <w:b w:val="false"/>
          <w:b w:val="false"/>
          <w:bCs w:val="false"/>
          <w:i w:val="false"/>
          <w:i w:val="false"/>
          <w:iCs w:val="false"/>
          <w:color w:val="333333"/>
          <w:sz w:val="20"/>
          <w:sz w:val="20"/>
          <w:szCs w:val="20"/>
          <w:rtl w:val="true"/>
        </w:rPr>
        <w:t xml:space="preserve">؛ امالى طوسى، مجلس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اختيارمعرفۀ الرجال،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۴٩١</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معرفۀ الرجال،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۵٩٠</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۵٩١</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معرفۀ الرجال،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۵٩٣</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٨٢٩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۵٨۴</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معرفۀ الرجال،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۵٨۶</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معرفۀ الرجال،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۵٩۶</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٣١٢</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٣۴٣</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الاماميه، ص </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٣۴۶</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فى دين الاماميه، ص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الشيعۀ و اصولها، صص </w:t>
      </w:r>
      <w:r>
        <w:rPr>
          <w:rFonts w:ascii="IRNazanin" w:hAnsi="IRNazanin" w:eastAsia="IRNazanin"/>
          <w:b w:val="false"/>
          <w:b w:val="false"/>
          <w:bCs w:val="false"/>
          <w:i w:val="false"/>
          <w:i w:val="false"/>
          <w:iCs w:val="false"/>
          <w:color w:val="333333"/>
          <w:sz w:val="20"/>
          <w:sz w:val="20"/>
          <w:szCs w:val="20"/>
        </w:rPr>
        <w:t>١٧۴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١٧۵</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فى شرح العروۀ الوثقى،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٧٩۶</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image" Target="media/image2.jpeg"/><Relationship Id="rId110" Type="http://schemas.openxmlformats.org/officeDocument/2006/relationships/image" Target="media/image2.jpeg"/><Relationship Id="rId111" Type="http://schemas.openxmlformats.org/officeDocument/2006/relationships/footer" Target="footer104.xml"/><Relationship Id="rId112" Type="http://schemas.openxmlformats.org/officeDocument/2006/relationships/footnotes" Target="footnotes.xml"/><Relationship Id="rId113" Type="http://schemas.openxmlformats.org/officeDocument/2006/relationships/numbering" Target="numbering.xml"/><Relationship Id="rId114" Type="http://schemas.openxmlformats.org/officeDocument/2006/relationships/fontTable" Target="fontTable.xml"/><Relationship Id="rId115" Type="http://schemas.openxmlformats.org/officeDocument/2006/relationships/settings" Target="settings.xml"/><Relationship Id="rId1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107</Pages>
  <Words>21811</Words>
  <Characters>86502</Characters>
  <CharactersWithSpaces>107644</CharactersWithSpaces>
  <Paragraphs>951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2026-08-16T16:57:22Z</dcterms:created>
  <dc:creator>ghaemiyeh.com</dc:creator>
  <dc:description/>
  <dc:language>en-US</dc:language>
  <cp:lastModifiedBy/>
  <dcterms:modified xsi:type="dcterms:W3CDTF">2026-08-16T20:27:26Z</dcterms:modified>
  <cp:revision>1</cp:revision>
  <dc:subject/>
  <dc:title>غلو حقیقت و اقسام آن</dc:title>
</cp:coreProperties>
</file>

<file path=docProps/custom.xml><?xml version="1.0" encoding="utf-8"?>
<Properties xmlns="http://schemas.openxmlformats.org/officeDocument/2006/custom-properties" xmlns:vt="http://schemas.openxmlformats.org/officeDocument/2006/docPropsVTypes"/>
</file>