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الاجتهاد و التقلید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4916_365066874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54918_3650668749">
            <w:r>
              <w:rPr>
                <w:webHidden/>
                <w:rStyle w:val="IndexLink"/>
                <w:rtl w:val="true"/>
              </w:rPr>
              <w:t>مقدّمة التحقيق</w:t>
            </w:r>
            <w:r>
              <w:rPr>
                <w:rStyle w:val="IndexLink"/>
                <w:rtl w:val="true"/>
              </w:rPr>
              <w:tab/>
            </w:r>
            <w:r>
              <w:rPr>
                <w:rStyle w:val="IndexLink"/>
              </w:rPr>
              <w:t>5</w:t>
            </w:r>
          </w:hyperlink>
        </w:p>
        <w:p>
          <w:pPr>
            <w:pStyle w:val="Contents3"/>
            <w:tabs>
              <w:tab w:val="clear" w:pos="8459"/>
              <w:tab w:val="right" w:pos="9026" w:leader="dot"/>
            </w:tabs>
            <w:rPr/>
          </w:pPr>
          <w:hyperlink w:anchor="__RefHeading___Toc554920_3650668749">
            <w:r>
              <w:rPr>
                <w:webHidden/>
                <w:rStyle w:val="IndexLink"/>
                <w:rtl w:val="true"/>
              </w:rPr>
              <w:t>اشارة</w:t>
            </w:r>
            <w:r>
              <w:rPr>
                <w:rStyle w:val="IndexLink"/>
                <w:rtl w:val="true"/>
              </w:rPr>
              <w:tab/>
            </w:r>
            <w:r>
              <w:rPr>
                <w:rStyle w:val="IndexLink"/>
              </w:rPr>
              <w:t>5</w:t>
            </w:r>
          </w:hyperlink>
        </w:p>
        <w:p>
          <w:pPr>
            <w:pStyle w:val="Contents3"/>
            <w:tabs>
              <w:tab w:val="clear" w:pos="8459"/>
              <w:tab w:val="right" w:pos="9026" w:leader="dot"/>
            </w:tabs>
            <w:rPr/>
          </w:pPr>
          <w:hyperlink w:anchor="__RefHeading___Toc554922_3650668749">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554924_3650668749">
            <w:r>
              <w:rPr>
                <w:webHidden/>
                <w:rStyle w:val="IndexLink"/>
                <w:rtl w:val="true"/>
              </w:rPr>
              <w:t>[</w:t>
            </w:r>
            <w:r>
              <w:rPr>
                <w:rStyle w:val="IndexLink"/>
                <w:rtl w:val="true"/>
              </w:rPr>
              <w:t>مسألتان مهمتان في مضمار الاجتهاد و التقليد</w:t>
            </w:r>
            <w:r>
              <w:rPr>
                <w:rStyle w:val="IndexLink"/>
                <w:rtl w:val="true"/>
              </w:rPr>
              <w:t>]</w:t>
              <w:tab/>
            </w:r>
            <w:r>
              <w:rPr>
                <w:rStyle w:val="IndexLink"/>
              </w:rPr>
              <w:t>9</w:t>
            </w:r>
          </w:hyperlink>
        </w:p>
        <w:p>
          <w:pPr>
            <w:pStyle w:val="Contents4"/>
            <w:tabs>
              <w:tab w:val="clear" w:pos="8176"/>
              <w:tab w:val="right" w:pos="9026" w:leader="dot"/>
            </w:tabs>
            <w:rPr/>
          </w:pPr>
          <w:hyperlink w:anchor="__RefHeading___Toc554926_3650668749">
            <w:r>
              <w:rPr>
                <w:webHidden/>
                <w:rStyle w:val="IndexLink"/>
                <w:rtl w:val="true"/>
              </w:rPr>
              <w:t xml:space="preserve">المسألة الاولى الاجتهاد لدى الشيعة </w:t>
            </w:r>
            <w:r>
              <w:rPr>
                <w:rStyle w:val="IndexLink"/>
                <w:rtl w:val="true"/>
              </w:rPr>
              <w:t xml:space="preserve">... </w:t>
            </w:r>
            <w:r>
              <w:rPr>
                <w:rStyle w:val="IndexLink"/>
                <w:rtl w:val="true"/>
              </w:rPr>
              <w:t>المعالم والمزايا</w:t>
            </w:r>
            <w:r>
              <w:rPr>
                <w:rStyle w:val="IndexLink"/>
                <w:rtl w:val="true"/>
              </w:rPr>
              <w:tab/>
            </w:r>
            <w:r>
              <w:rPr>
                <w:rStyle w:val="IndexLink"/>
              </w:rPr>
              <w:t>9</w:t>
            </w:r>
          </w:hyperlink>
        </w:p>
        <w:p>
          <w:pPr>
            <w:pStyle w:val="Contents5"/>
            <w:tabs>
              <w:tab w:val="clear" w:pos="7892"/>
              <w:tab w:val="right" w:pos="9026" w:leader="dot"/>
            </w:tabs>
            <w:rPr/>
          </w:pPr>
          <w:hyperlink w:anchor="__RefHeading___Toc554928_3650668749">
            <w:r>
              <w:rPr>
                <w:webHidden/>
                <w:rStyle w:val="IndexLink"/>
                <w:rtl w:val="true"/>
              </w:rPr>
              <w:t>اشارة</w:t>
            </w:r>
            <w:r>
              <w:rPr>
                <w:rStyle w:val="IndexLink"/>
                <w:rtl w:val="true"/>
              </w:rPr>
              <w:tab/>
            </w:r>
            <w:r>
              <w:rPr>
                <w:rStyle w:val="IndexLink"/>
              </w:rPr>
              <w:t>9</w:t>
            </w:r>
          </w:hyperlink>
        </w:p>
        <w:p>
          <w:pPr>
            <w:pStyle w:val="Contents5"/>
            <w:tabs>
              <w:tab w:val="clear" w:pos="7892"/>
              <w:tab w:val="right" w:pos="9026" w:leader="dot"/>
            </w:tabs>
            <w:rPr/>
          </w:pPr>
          <w:hyperlink w:anchor="__RefHeading___Toc554930_3650668749">
            <w:r>
              <w:rPr>
                <w:webHidden/>
                <w:rStyle w:val="IndexLink"/>
                <w:rtl w:val="true"/>
              </w:rPr>
              <w:t>الاجتهاد ومؤثّرات الزمان والمكان</w:t>
            </w:r>
            <w:r>
              <w:rPr>
                <w:rStyle w:val="IndexLink"/>
                <w:rtl w:val="true"/>
              </w:rPr>
              <w:tab/>
            </w:r>
            <w:r>
              <w:rPr>
                <w:rStyle w:val="IndexLink"/>
              </w:rPr>
              <w:t>16</w:t>
            </w:r>
          </w:hyperlink>
        </w:p>
        <w:p>
          <w:pPr>
            <w:pStyle w:val="Contents4"/>
            <w:tabs>
              <w:tab w:val="clear" w:pos="8176"/>
              <w:tab w:val="right" w:pos="9026" w:leader="dot"/>
            </w:tabs>
            <w:rPr/>
          </w:pPr>
          <w:hyperlink w:anchor="__RefHeading___Toc554932_3650668749">
            <w:r>
              <w:rPr>
                <w:webHidden/>
                <w:rStyle w:val="IndexLink"/>
                <w:rtl w:val="true"/>
              </w:rPr>
              <w:t>المسألة الثانية مؤهلات المرجعيّة العليا والزعامة الدينيّة</w:t>
            </w:r>
            <w:r>
              <w:rPr>
                <w:rStyle w:val="IndexLink"/>
                <w:rtl w:val="true"/>
              </w:rPr>
              <w:tab/>
            </w:r>
            <w:r>
              <w:rPr>
                <w:rStyle w:val="IndexLink"/>
              </w:rPr>
              <w:t>19</w:t>
            </w:r>
          </w:hyperlink>
        </w:p>
        <w:p>
          <w:pPr>
            <w:pStyle w:val="Contents3"/>
            <w:tabs>
              <w:tab w:val="clear" w:pos="8459"/>
              <w:tab w:val="right" w:pos="9026" w:leader="dot"/>
            </w:tabs>
            <w:rPr/>
          </w:pPr>
          <w:hyperlink w:anchor="__RefHeading___Toc554934_3650668749">
            <w:r>
              <w:rPr>
                <w:webHidden/>
                <w:rStyle w:val="IndexLink"/>
                <w:rtl w:val="true"/>
              </w:rPr>
              <w:t>اسلوبنا في تحقيق الكتاب</w:t>
            </w:r>
            <w:r>
              <w:rPr>
                <w:rStyle w:val="IndexLink"/>
                <w:rtl w:val="true"/>
              </w:rPr>
              <w:t>:</w:t>
              <w:tab/>
            </w:r>
            <w:r>
              <w:rPr>
                <w:rStyle w:val="IndexLink"/>
              </w:rPr>
              <w:t>24</w:t>
            </w:r>
          </w:hyperlink>
        </w:p>
        <w:p>
          <w:pPr>
            <w:pStyle w:val="Contents3"/>
            <w:tabs>
              <w:tab w:val="clear" w:pos="8459"/>
              <w:tab w:val="right" w:pos="9026" w:leader="dot"/>
            </w:tabs>
            <w:rPr/>
          </w:pPr>
          <w:hyperlink w:anchor="__RefHeading___Toc554936_3650668749">
            <w:r>
              <w:rPr>
                <w:webHidden/>
                <w:rStyle w:val="IndexLink"/>
                <w:rtl w:val="true"/>
              </w:rPr>
              <w:t>عملنا في الكتاب</w:t>
            </w:r>
            <w:r>
              <w:rPr>
                <w:rStyle w:val="IndexLink"/>
                <w:rtl w:val="true"/>
              </w:rPr>
              <w:t>:</w:t>
              <w:tab/>
            </w:r>
            <w:r>
              <w:rPr>
                <w:rStyle w:val="IndexLink"/>
              </w:rPr>
              <w:t>24</w:t>
            </w:r>
          </w:hyperlink>
        </w:p>
        <w:p>
          <w:pPr>
            <w:pStyle w:val="Contents2"/>
            <w:tabs>
              <w:tab w:val="clear" w:pos="8743"/>
              <w:tab w:val="right" w:pos="9026" w:leader="dot"/>
            </w:tabs>
            <w:rPr/>
          </w:pPr>
          <w:hyperlink w:anchor="__RefHeading___Toc554938_3650668749">
            <w:r>
              <w:rPr>
                <w:webHidden/>
                <w:rStyle w:val="IndexLink"/>
                <w:rtl w:val="true"/>
              </w:rPr>
              <w:t>المدخل</w:t>
            </w:r>
            <w:r>
              <w:rPr>
                <w:rStyle w:val="IndexLink"/>
                <w:rtl w:val="true"/>
              </w:rPr>
              <w:tab/>
            </w:r>
            <w:r>
              <w:rPr>
                <w:rStyle w:val="IndexLink"/>
              </w:rPr>
              <w:t>25</w:t>
            </w:r>
          </w:hyperlink>
        </w:p>
        <w:p>
          <w:pPr>
            <w:pStyle w:val="Contents2"/>
            <w:tabs>
              <w:tab w:val="clear" w:pos="8743"/>
              <w:tab w:val="right" w:pos="9026" w:leader="dot"/>
            </w:tabs>
            <w:rPr/>
          </w:pPr>
          <w:hyperlink w:anchor="__RefHeading___Toc554940_3650668749">
            <w:r>
              <w:rPr>
                <w:webHidden/>
                <w:rStyle w:val="IndexLink"/>
                <w:rtl w:val="true"/>
              </w:rPr>
              <w:t>الفصل الأوّل ذكر شؤون الفقيه</w:t>
            </w:r>
            <w:r>
              <w:rPr>
                <w:rStyle w:val="IndexLink"/>
                <w:rtl w:val="true"/>
              </w:rPr>
              <w:tab/>
            </w:r>
            <w:r>
              <w:rPr>
                <w:rStyle w:val="IndexLink"/>
              </w:rPr>
              <w:t>27</w:t>
            </w:r>
          </w:hyperlink>
        </w:p>
        <w:p>
          <w:pPr>
            <w:pStyle w:val="Contents3"/>
            <w:tabs>
              <w:tab w:val="clear" w:pos="8459"/>
              <w:tab w:val="right" w:pos="9026" w:leader="dot"/>
            </w:tabs>
            <w:rPr/>
          </w:pPr>
          <w:hyperlink w:anchor="__RefHeading___Toc554942_3650668749">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554944_3650668749">
            <w:r>
              <w:rPr>
                <w:webHidden/>
                <w:rStyle w:val="IndexLink"/>
                <w:rtl w:val="true"/>
              </w:rPr>
              <w:t>الأمر الأوّل حكم من له قوّة الاستنباط فعلًا</w:t>
            </w:r>
            <w:r>
              <w:rPr>
                <w:rStyle w:val="IndexLink"/>
                <w:rtl w:val="true"/>
              </w:rPr>
              <w:tab/>
            </w:r>
            <w:r>
              <w:rPr>
                <w:rStyle w:val="IndexLink"/>
              </w:rPr>
              <w:t>28</w:t>
            </w:r>
          </w:hyperlink>
        </w:p>
        <w:p>
          <w:pPr>
            <w:pStyle w:val="Contents3"/>
            <w:tabs>
              <w:tab w:val="clear" w:pos="8459"/>
              <w:tab w:val="right" w:pos="9026" w:leader="dot"/>
            </w:tabs>
            <w:rPr/>
          </w:pPr>
          <w:hyperlink w:anchor="__RefHeading___Toc554946_3650668749">
            <w:r>
              <w:rPr>
                <w:webHidden/>
                <w:rStyle w:val="IndexLink"/>
                <w:rtl w:val="true"/>
              </w:rPr>
              <w:t>الأمر الثاني بيان مقدّمات الاجتهاد</w:t>
            </w:r>
            <w:r>
              <w:rPr>
                <w:rStyle w:val="IndexLink"/>
                <w:rtl w:val="true"/>
              </w:rPr>
              <w:tab/>
            </w:r>
            <w:r>
              <w:rPr>
                <w:rStyle w:val="IndexLink"/>
              </w:rPr>
              <w:t>31</w:t>
            </w:r>
          </w:hyperlink>
        </w:p>
        <w:p>
          <w:pPr>
            <w:pStyle w:val="Contents3"/>
            <w:tabs>
              <w:tab w:val="clear" w:pos="8459"/>
              <w:tab w:val="right" w:pos="9026" w:leader="dot"/>
            </w:tabs>
            <w:rPr/>
          </w:pPr>
          <w:hyperlink w:anchor="__RefHeading___Toc554948_3650668749">
            <w:r>
              <w:rPr>
                <w:webHidden/>
                <w:rStyle w:val="IndexLink"/>
                <w:rtl w:val="true"/>
              </w:rPr>
              <w:t>الأمر الثالث البحث حول منصب القضاء والحكومة</w:t>
            </w:r>
            <w:r>
              <w:rPr>
                <w:rStyle w:val="IndexLink"/>
                <w:rtl w:val="true"/>
              </w:rPr>
              <w:tab/>
            </w:r>
            <w:r>
              <w:rPr>
                <w:rStyle w:val="IndexLink"/>
              </w:rPr>
              <w:t>41</w:t>
            </w:r>
          </w:hyperlink>
        </w:p>
        <w:p>
          <w:pPr>
            <w:pStyle w:val="Contents4"/>
            <w:tabs>
              <w:tab w:val="clear" w:pos="8176"/>
              <w:tab w:val="right" w:pos="9026" w:leader="dot"/>
            </w:tabs>
            <w:rPr/>
          </w:pPr>
          <w:hyperlink w:anchor="__RefHeading___Toc554950_3650668749">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554952_3650668749">
            <w:r>
              <w:rPr>
                <w:webHidden/>
                <w:rStyle w:val="IndexLink"/>
                <w:rtl w:val="true"/>
              </w:rPr>
              <w:t>القضاء والحكومة في زمان الغيبة</w:t>
            </w:r>
            <w:r>
              <w:rPr>
                <w:rStyle w:val="IndexLink"/>
                <w:rtl w:val="true"/>
              </w:rPr>
              <w:tab/>
            </w:r>
            <w:r>
              <w:rPr>
                <w:rStyle w:val="IndexLink"/>
              </w:rPr>
              <w:t>43</w:t>
            </w:r>
          </w:hyperlink>
        </w:p>
        <w:p>
          <w:pPr>
            <w:pStyle w:val="Contents4"/>
            <w:tabs>
              <w:tab w:val="clear" w:pos="8176"/>
              <w:tab w:val="right" w:pos="9026" w:leader="dot"/>
            </w:tabs>
            <w:rPr/>
          </w:pPr>
          <w:hyperlink w:anchor="__RefHeading___Toc554954_3650668749">
            <w:r>
              <w:rPr>
                <w:webHidden/>
                <w:rStyle w:val="IndexLink"/>
                <w:rtl w:val="true"/>
              </w:rPr>
              <w:t>في الاستدلال بمقبولة عمر بن حنظلة</w:t>
            </w:r>
            <w:r>
              <w:rPr>
                <w:rStyle w:val="IndexLink"/>
                <w:rtl w:val="true"/>
              </w:rPr>
              <w:tab/>
            </w:r>
            <w:r>
              <w:rPr>
                <w:rStyle w:val="IndexLink"/>
              </w:rPr>
              <w:t>49</w:t>
            </w:r>
          </w:hyperlink>
        </w:p>
        <w:p>
          <w:pPr>
            <w:pStyle w:val="Contents4"/>
            <w:tabs>
              <w:tab w:val="clear" w:pos="8176"/>
              <w:tab w:val="right" w:pos="9026" w:leader="dot"/>
            </w:tabs>
            <w:rPr/>
          </w:pPr>
          <w:hyperlink w:anchor="__RefHeading___Toc554956_3650668749">
            <w:r>
              <w:rPr>
                <w:webHidden/>
                <w:rStyle w:val="IndexLink"/>
                <w:rtl w:val="true"/>
              </w:rPr>
              <w:t>هل الاجتهاد المطلق شرط أم لا؟</w:t>
            </w:r>
            <w:r>
              <w:rPr>
                <w:rStyle w:val="IndexLink"/>
                <w:rtl w:val="true"/>
              </w:rPr>
              <w:tab/>
            </w:r>
            <w:r>
              <w:rPr>
                <w:rStyle w:val="IndexLink"/>
              </w:rPr>
              <w:t>53</w:t>
            </w:r>
          </w:hyperlink>
        </w:p>
        <w:p>
          <w:pPr>
            <w:pStyle w:val="Contents4"/>
            <w:tabs>
              <w:tab w:val="clear" w:pos="8176"/>
              <w:tab w:val="right" w:pos="9026" w:leader="dot"/>
            </w:tabs>
            <w:rPr/>
          </w:pPr>
          <w:hyperlink w:anchor="__RefHeading___Toc554958_3650668749">
            <w:r>
              <w:rPr>
                <w:webHidden/>
                <w:rStyle w:val="IndexLink"/>
                <w:rtl w:val="true"/>
              </w:rPr>
              <w:t>الاستدلال بروايتي القدّاح وأبي البختريّ</w:t>
            </w:r>
            <w:r>
              <w:rPr>
                <w:rStyle w:val="IndexLink"/>
                <w:rtl w:val="true"/>
              </w:rPr>
              <w:tab/>
            </w:r>
            <w:r>
              <w:rPr>
                <w:rStyle w:val="IndexLink"/>
              </w:rPr>
              <w:t>55</w:t>
            </w:r>
          </w:hyperlink>
        </w:p>
        <w:p>
          <w:pPr>
            <w:pStyle w:val="Contents4"/>
            <w:tabs>
              <w:tab w:val="clear" w:pos="8176"/>
              <w:tab w:val="right" w:pos="9026" w:leader="dot"/>
            </w:tabs>
            <w:rPr/>
          </w:pPr>
          <w:hyperlink w:anchor="__RefHeading___Toc554960_3650668749">
            <w:r>
              <w:rPr>
                <w:webHidden/>
                <w:rStyle w:val="IndexLink"/>
                <w:rtl w:val="true"/>
              </w:rPr>
              <w:t>بحث حول مشهورة أبي خديجة وصحيحته</w:t>
            </w:r>
            <w:r>
              <w:rPr>
                <w:rStyle w:val="IndexLink"/>
                <w:rtl w:val="true"/>
              </w:rPr>
              <w:tab/>
            </w:r>
            <w:r>
              <w:rPr>
                <w:rStyle w:val="IndexLink"/>
              </w:rPr>
              <w:t>57</w:t>
            </w:r>
          </w:hyperlink>
        </w:p>
        <w:p>
          <w:pPr>
            <w:pStyle w:val="Contents4"/>
            <w:tabs>
              <w:tab w:val="clear" w:pos="8176"/>
              <w:tab w:val="right" w:pos="9026" w:leader="dot"/>
            </w:tabs>
            <w:rPr/>
          </w:pPr>
          <w:hyperlink w:anchor="__RefHeading___Toc554962_3650668749">
            <w:r>
              <w:rPr>
                <w:webHidden/>
                <w:rStyle w:val="IndexLink"/>
                <w:rtl w:val="true"/>
              </w:rPr>
              <w:t>فيما استدلّ به على استقلال العاميّ في القضاء وجوابه</w:t>
            </w:r>
            <w:r>
              <w:rPr>
                <w:rStyle w:val="IndexLink"/>
                <w:rtl w:val="true"/>
              </w:rPr>
              <w:tab/>
            </w:r>
            <w:r>
              <w:rPr>
                <w:rStyle w:val="IndexLink"/>
              </w:rPr>
              <w:t>62</w:t>
            </w:r>
          </w:hyperlink>
        </w:p>
        <w:p>
          <w:pPr>
            <w:pStyle w:val="Contents4"/>
            <w:tabs>
              <w:tab w:val="clear" w:pos="8176"/>
              <w:tab w:val="right" w:pos="9026" w:leader="dot"/>
            </w:tabs>
            <w:rPr/>
          </w:pPr>
          <w:hyperlink w:anchor="__RefHeading___Toc554964_3650668749">
            <w:r>
              <w:rPr>
                <w:webHidden/>
                <w:rStyle w:val="IndexLink"/>
                <w:rtl w:val="true"/>
              </w:rPr>
              <w:t>وجه آخر لجواز الرجوع إلى المقلّد وجوابه</w:t>
            </w:r>
            <w:r>
              <w:rPr>
                <w:rStyle w:val="IndexLink"/>
                <w:rtl w:val="true"/>
              </w:rPr>
              <w:tab/>
            </w:r>
            <w:r>
              <w:rPr>
                <w:rStyle w:val="IndexLink"/>
              </w:rPr>
              <w:t>71</w:t>
            </w:r>
          </w:hyperlink>
        </w:p>
        <w:p>
          <w:pPr>
            <w:pStyle w:val="Contents4"/>
            <w:tabs>
              <w:tab w:val="clear" w:pos="8176"/>
              <w:tab w:val="right" w:pos="9026" w:leader="dot"/>
            </w:tabs>
            <w:rPr/>
          </w:pPr>
          <w:hyperlink w:anchor="__RefHeading___Toc554966_3650668749">
            <w:r>
              <w:rPr>
                <w:webHidden/>
                <w:rStyle w:val="IndexLink"/>
                <w:rtl w:val="true"/>
              </w:rPr>
              <w:t>هل يجوز للفقيه نصب العامّي للقضاء أم لا؟</w:t>
            </w:r>
            <w:r>
              <w:rPr>
                <w:rStyle w:val="IndexLink"/>
                <w:rtl w:val="true"/>
              </w:rPr>
              <w:tab/>
            </w:r>
            <w:r>
              <w:rPr>
                <w:rStyle w:val="IndexLink"/>
              </w:rPr>
              <w:t>73</w:t>
            </w:r>
          </w:hyperlink>
        </w:p>
        <w:p>
          <w:pPr>
            <w:pStyle w:val="Contents4"/>
            <w:tabs>
              <w:tab w:val="clear" w:pos="8176"/>
              <w:tab w:val="right" w:pos="9026" w:leader="dot"/>
            </w:tabs>
            <w:rPr/>
          </w:pPr>
          <w:hyperlink w:anchor="__RefHeading___Toc554968_3650668749">
            <w:r>
              <w:rPr>
                <w:webHidden/>
                <w:rStyle w:val="IndexLink"/>
                <w:rtl w:val="true"/>
              </w:rPr>
              <w:t>هل يجوز توكيل العامّي للقضاء؟</w:t>
            </w:r>
            <w:r>
              <w:rPr>
                <w:rStyle w:val="IndexLink"/>
                <w:rtl w:val="true"/>
              </w:rPr>
              <w:tab/>
            </w:r>
            <w:r>
              <w:rPr>
                <w:rStyle w:val="IndexLink"/>
              </w:rPr>
              <w:t>77</w:t>
            </w:r>
          </w:hyperlink>
        </w:p>
        <w:p>
          <w:pPr>
            <w:pStyle w:val="Contents3"/>
            <w:tabs>
              <w:tab w:val="clear" w:pos="8459"/>
              <w:tab w:val="right" w:pos="9026" w:leader="dot"/>
            </w:tabs>
            <w:rPr/>
          </w:pPr>
          <w:hyperlink w:anchor="__RefHeading___Toc554970_3650668749">
            <w:r>
              <w:rPr>
                <w:webHidden/>
                <w:rStyle w:val="IndexLink"/>
                <w:rtl w:val="true"/>
              </w:rPr>
              <w:t>الأمر الرابع تشخيص مرجع التقليد والفتوى</w:t>
            </w:r>
            <w:r>
              <w:rPr>
                <w:rStyle w:val="IndexLink"/>
                <w:rtl w:val="true"/>
              </w:rPr>
              <w:tab/>
            </w:r>
            <w:r>
              <w:rPr>
                <w:rStyle w:val="IndexLink"/>
              </w:rPr>
              <w:t>81</w:t>
            </w:r>
          </w:hyperlink>
        </w:p>
        <w:p>
          <w:pPr>
            <w:pStyle w:val="Contents4"/>
            <w:tabs>
              <w:tab w:val="clear" w:pos="8176"/>
              <w:tab w:val="right" w:pos="9026" w:leader="dot"/>
            </w:tabs>
            <w:rPr/>
          </w:pPr>
          <w:hyperlink w:anchor="__RefHeading___Toc554972_3650668749">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554974_3650668749">
            <w:r>
              <w:rPr>
                <w:webHidden/>
                <w:rStyle w:val="IndexLink"/>
                <w:rtl w:val="true"/>
              </w:rPr>
              <w:t>تقرير الأصل في جواز تقليد المفضول</w:t>
            </w:r>
            <w:r>
              <w:rPr>
                <w:rStyle w:val="IndexLink"/>
                <w:rtl w:val="true"/>
              </w:rPr>
              <w:tab/>
            </w:r>
            <w:r>
              <w:rPr>
                <w:rStyle w:val="IndexLink"/>
              </w:rPr>
              <w:t>83</w:t>
            </w:r>
          </w:hyperlink>
        </w:p>
        <w:p>
          <w:pPr>
            <w:pStyle w:val="Contents4"/>
            <w:tabs>
              <w:tab w:val="clear" w:pos="8176"/>
              <w:tab w:val="right" w:pos="9026" w:leader="dot"/>
            </w:tabs>
            <w:rPr/>
          </w:pPr>
          <w:hyperlink w:anchor="__RefHeading___Toc554976_3650668749">
            <w:r>
              <w:rPr>
                <w:webHidden/>
                <w:rStyle w:val="IndexLink"/>
                <w:rtl w:val="true"/>
              </w:rPr>
              <w:t>بحث حول بناء العقلاء</w:t>
            </w:r>
            <w:r>
              <w:rPr>
                <w:rStyle w:val="IndexLink"/>
                <w:rtl w:val="true"/>
              </w:rPr>
              <w:tab/>
            </w:r>
            <w:r>
              <w:rPr>
                <w:rStyle w:val="IndexLink"/>
              </w:rPr>
              <w:t>86</w:t>
            </w:r>
          </w:hyperlink>
        </w:p>
        <w:p>
          <w:pPr>
            <w:pStyle w:val="Contents4"/>
            <w:tabs>
              <w:tab w:val="clear" w:pos="8176"/>
              <w:tab w:val="right" w:pos="9026" w:leader="dot"/>
            </w:tabs>
            <w:rPr/>
          </w:pPr>
          <w:hyperlink w:anchor="__RefHeading___Toc554978_3650668749">
            <w:r>
              <w:rPr>
                <w:webHidden/>
                <w:rStyle w:val="IndexLink"/>
                <w:rtl w:val="true"/>
              </w:rPr>
              <w:t>إشكال على بناء العقلاء</w:t>
            </w:r>
            <w:r>
              <w:rPr>
                <w:rStyle w:val="IndexLink"/>
                <w:rtl w:val="true"/>
              </w:rPr>
              <w:tab/>
            </w:r>
            <w:r>
              <w:rPr>
                <w:rStyle w:val="IndexLink"/>
              </w:rPr>
              <w:t>87</w:t>
            </w:r>
          </w:hyperlink>
        </w:p>
        <w:p>
          <w:pPr>
            <w:pStyle w:val="Contents5"/>
            <w:tabs>
              <w:tab w:val="clear" w:pos="7892"/>
              <w:tab w:val="right" w:pos="9026" w:leader="dot"/>
            </w:tabs>
            <w:rPr/>
          </w:pPr>
          <w:hyperlink w:anchor="__RefHeading___Toc554980_3650668749">
            <w:r>
              <w:rPr>
                <w:webHidden/>
                <w:rStyle w:val="IndexLink"/>
                <w:rtl w:val="true"/>
              </w:rPr>
              <w:t>اشارة</w:t>
            </w:r>
            <w:r>
              <w:rPr>
                <w:rStyle w:val="IndexLink"/>
                <w:rtl w:val="true"/>
              </w:rPr>
              <w:tab/>
            </w:r>
            <w:r>
              <w:rPr>
                <w:rStyle w:val="IndexLink"/>
              </w:rPr>
              <w:t>87</w:t>
            </w:r>
          </w:hyperlink>
        </w:p>
        <w:p>
          <w:pPr>
            <w:pStyle w:val="Contents5"/>
            <w:tabs>
              <w:tab w:val="clear" w:pos="7892"/>
              <w:tab w:val="right" w:pos="9026" w:leader="dot"/>
            </w:tabs>
            <w:rPr/>
          </w:pPr>
          <w:hyperlink w:anchor="__RefHeading___Toc554982_3650668749">
            <w:r>
              <w:rPr>
                <w:webHidden/>
                <w:rStyle w:val="IndexLink"/>
                <w:rtl w:val="true"/>
              </w:rPr>
              <w:t>في جواب الإشكال</w:t>
            </w:r>
            <w:r>
              <w:rPr>
                <w:rStyle w:val="IndexLink"/>
                <w:rtl w:val="true"/>
              </w:rPr>
              <w:tab/>
            </w:r>
            <w:r>
              <w:rPr>
                <w:rStyle w:val="IndexLink"/>
              </w:rPr>
              <w:t>92</w:t>
            </w:r>
          </w:hyperlink>
        </w:p>
        <w:p>
          <w:pPr>
            <w:pStyle w:val="Contents4"/>
            <w:tabs>
              <w:tab w:val="clear" w:pos="8176"/>
              <w:tab w:val="right" w:pos="9026" w:leader="dot"/>
            </w:tabs>
            <w:rPr/>
          </w:pPr>
          <w:hyperlink w:anchor="__RefHeading___Toc554984_3650668749">
            <w:r>
              <w:rPr>
                <w:webHidden/>
                <w:rStyle w:val="IndexLink"/>
                <w:rtl w:val="true"/>
              </w:rPr>
              <w:t>تعارف الاجتهاد سابقاً وإرجاع الأئمّة عليهم السلام شيعتهم إلى الفقهاء</w:t>
            </w:r>
            <w:r>
              <w:rPr>
                <w:rStyle w:val="IndexLink"/>
                <w:rtl w:val="true"/>
              </w:rPr>
              <w:tab/>
            </w:r>
            <w:r>
              <w:rPr>
                <w:rStyle w:val="IndexLink"/>
              </w:rPr>
              <w:t>93</w:t>
            </w:r>
          </w:hyperlink>
        </w:p>
        <w:p>
          <w:pPr>
            <w:pStyle w:val="Contents5"/>
            <w:tabs>
              <w:tab w:val="clear" w:pos="7892"/>
              <w:tab w:val="right" w:pos="9026" w:leader="dot"/>
            </w:tabs>
            <w:rPr/>
          </w:pPr>
          <w:hyperlink w:anchor="__RefHeading___Toc554986_3650668749">
            <w:r>
              <w:rPr>
                <w:webHidden/>
                <w:rStyle w:val="IndexLink"/>
                <w:rtl w:val="true"/>
              </w:rPr>
              <w:t>اشارة</w:t>
            </w:r>
            <w:r>
              <w:rPr>
                <w:rStyle w:val="IndexLink"/>
                <w:rtl w:val="true"/>
              </w:rPr>
              <w:tab/>
            </w:r>
            <w:r>
              <w:rPr>
                <w:rStyle w:val="IndexLink"/>
              </w:rPr>
              <w:t>93</w:t>
            </w:r>
          </w:hyperlink>
        </w:p>
        <w:p>
          <w:pPr>
            <w:pStyle w:val="Contents5"/>
            <w:tabs>
              <w:tab w:val="clear" w:pos="7892"/>
              <w:tab w:val="right" w:pos="9026" w:leader="dot"/>
            </w:tabs>
            <w:rPr/>
          </w:pPr>
          <w:hyperlink w:anchor="__RefHeading___Toc554988_3650668749">
            <w:r>
              <w:rPr>
                <w:webHidden/>
                <w:rStyle w:val="IndexLink"/>
                <w:rtl w:val="true"/>
              </w:rPr>
              <w:t>تداول الاجتهاد في عصر الأئمّة عليهم السلام</w:t>
            </w:r>
            <w:r>
              <w:rPr>
                <w:rStyle w:val="IndexLink"/>
                <w:rtl w:val="true"/>
              </w:rPr>
              <w:tab/>
            </w:r>
            <w:r>
              <w:rPr>
                <w:rStyle w:val="IndexLink"/>
              </w:rPr>
              <w:t>93</w:t>
            </w:r>
          </w:hyperlink>
        </w:p>
        <w:p>
          <w:pPr>
            <w:pStyle w:val="Contents5"/>
            <w:tabs>
              <w:tab w:val="clear" w:pos="7892"/>
              <w:tab w:val="right" w:pos="9026" w:leader="dot"/>
            </w:tabs>
            <w:rPr/>
          </w:pPr>
          <w:hyperlink w:anchor="__RefHeading___Toc554990_3650668749">
            <w:r>
              <w:rPr>
                <w:webHidden/>
                <w:rStyle w:val="IndexLink"/>
                <w:rtl w:val="true"/>
              </w:rPr>
              <w:t>ما يدلّ على إرجاع الأئمّة إلى الفقهاء</w:t>
            </w:r>
            <w:r>
              <w:rPr>
                <w:rStyle w:val="IndexLink"/>
                <w:rtl w:val="true"/>
              </w:rPr>
              <w:tab/>
            </w:r>
            <w:r>
              <w:rPr>
                <w:rStyle w:val="IndexLink"/>
              </w:rPr>
              <w:t>101</w:t>
            </w:r>
          </w:hyperlink>
        </w:p>
        <w:p>
          <w:pPr>
            <w:pStyle w:val="Contents4"/>
            <w:tabs>
              <w:tab w:val="clear" w:pos="8176"/>
              <w:tab w:val="right" w:pos="9026" w:leader="dot"/>
            </w:tabs>
            <w:rPr/>
          </w:pPr>
          <w:hyperlink w:anchor="__RefHeading___Toc554992_3650668749">
            <w:r>
              <w:rPr>
                <w:webHidden/>
                <w:rStyle w:val="IndexLink"/>
                <w:rtl w:val="true"/>
              </w:rPr>
              <w:t>عدم ردع الأئمة عليهم السلام عن ارتكاز العقلاء كاشف عن رضاهم</w:t>
            </w:r>
            <w:r>
              <w:rPr>
                <w:rStyle w:val="IndexLink"/>
                <w:rtl w:val="true"/>
              </w:rPr>
              <w:tab/>
            </w:r>
            <w:r>
              <w:rPr>
                <w:rStyle w:val="IndexLink"/>
              </w:rPr>
              <w:t>104</w:t>
            </w:r>
          </w:hyperlink>
        </w:p>
        <w:p>
          <w:pPr>
            <w:pStyle w:val="Contents4"/>
            <w:tabs>
              <w:tab w:val="clear" w:pos="8176"/>
              <w:tab w:val="right" w:pos="9026" w:leader="dot"/>
            </w:tabs>
            <w:rPr/>
          </w:pPr>
          <w:hyperlink w:anchor="__RefHeading___Toc554994_3650668749">
            <w:r>
              <w:rPr>
                <w:webHidden/>
                <w:rStyle w:val="IndexLink"/>
                <w:rtl w:val="true"/>
              </w:rPr>
              <w:t>كيفيّة السيرة العقلائيّة ومناطها</w:t>
            </w:r>
            <w:r>
              <w:rPr>
                <w:rStyle w:val="IndexLink"/>
                <w:rtl w:val="true"/>
              </w:rPr>
              <w:tab/>
            </w:r>
            <w:r>
              <w:rPr>
                <w:rStyle w:val="IndexLink"/>
              </w:rPr>
              <w:t>105</w:t>
            </w:r>
          </w:hyperlink>
        </w:p>
        <w:p>
          <w:pPr>
            <w:pStyle w:val="Contents4"/>
            <w:tabs>
              <w:tab w:val="clear" w:pos="8176"/>
              <w:tab w:val="right" w:pos="9026" w:leader="dot"/>
            </w:tabs>
            <w:rPr/>
          </w:pPr>
          <w:hyperlink w:anchor="__RefHeading___Toc554996_3650668749">
            <w:r>
              <w:rPr>
                <w:webHidden/>
                <w:rStyle w:val="IndexLink"/>
                <w:rtl w:val="true"/>
              </w:rPr>
              <w:t>هل ترجيح قول الأفضل لزوميّ أم لا؟</w:t>
            </w:r>
            <w:r>
              <w:rPr>
                <w:rStyle w:val="IndexLink"/>
                <w:rtl w:val="true"/>
              </w:rPr>
              <w:tab/>
            </w:r>
            <w:r>
              <w:rPr>
                <w:rStyle w:val="IndexLink"/>
              </w:rPr>
              <w:t>110</w:t>
            </w:r>
          </w:hyperlink>
        </w:p>
        <w:p>
          <w:pPr>
            <w:pStyle w:val="Contents4"/>
            <w:tabs>
              <w:tab w:val="clear" w:pos="8176"/>
              <w:tab w:val="right" w:pos="9026" w:leader="dot"/>
            </w:tabs>
            <w:rPr/>
          </w:pPr>
          <w:hyperlink w:anchor="__RefHeading___Toc554998_3650668749">
            <w:r>
              <w:rPr>
                <w:webHidden/>
                <w:rStyle w:val="IndexLink"/>
                <w:rtl w:val="true"/>
              </w:rPr>
              <w:t>أدلّة جواز الرجوع إلى المفضول</w:t>
            </w:r>
            <w:r>
              <w:rPr>
                <w:rStyle w:val="IndexLink"/>
                <w:rtl w:val="true"/>
              </w:rPr>
              <w:tab/>
            </w:r>
            <w:r>
              <w:rPr>
                <w:rStyle w:val="IndexLink"/>
              </w:rPr>
              <w:t>112</w:t>
            </w:r>
          </w:hyperlink>
        </w:p>
        <w:p>
          <w:pPr>
            <w:pStyle w:val="Contents5"/>
            <w:tabs>
              <w:tab w:val="clear" w:pos="7892"/>
              <w:tab w:val="right" w:pos="9026" w:leader="dot"/>
            </w:tabs>
            <w:rPr/>
          </w:pPr>
          <w:hyperlink w:anchor="__RefHeading___Toc555000_3650668749">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555002_3650668749">
            <w:r>
              <w:rPr>
                <w:webHidden/>
                <w:rStyle w:val="IndexLink"/>
                <w:rtl w:val="true"/>
              </w:rPr>
              <w:t>الأوّل</w:t>
            </w:r>
            <w:r>
              <w:rPr>
                <w:rStyle w:val="IndexLink"/>
                <w:rtl w:val="true"/>
              </w:rPr>
              <w:t xml:space="preserve">: </w:t>
            </w:r>
            <w:r>
              <w:rPr>
                <w:rStyle w:val="IndexLink"/>
                <w:rtl w:val="true"/>
              </w:rPr>
              <w:t>بعض الآيات الشريفة</w:t>
            </w:r>
            <w:r>
              <w:rPr>
                <w:rStyle w:val="IndexLink"/>
                <w:rtl w:val="true"/>
              </w:rPr>
              <w:tab/>
            </w:r>
            <w:r>
              <w:rPr>
                <w:rStyle w:val="IndexLink"/>
              </w:rPr>
              <w:t>112</w:t>
            </w:r>
          </w:hyperlink>
        </w:p>
        <w:p>
          <w:pPr>
            <w:pStyle w:val="Contents5"/>
            <w:tabs>
              <w:tab w:val="clear" w:pos="7892"/>
              <w:tab w:val="right" w:pos="9026" w:leader="dot"/>
            </w:tabs>
            <w:rPr/>
          </w:pPr>
          <w:hyperlink w:anchor="__RefHeading___Toc555004_3650668749">
            <w:r>
              <w:rPr>
                <w:webHidden/>
                <w:rStyle w:val="IndexLink"/>
                <w:rtl w:val="true"/>
              </w:rPr>
              <w:t>الثاني</w:t>
            </w:r>
            <w:r>
              <w:rPr>
                <w:rStyle w:val="IndexLink"/>
                <w:rtl w:val="true"/>
              </w:rPr>
              <w:t xml:space="preserve">: </w:t>
            </w:r>
            <w:r>
              <w:rPr>
                <w:rStyle w:val="IndexLink"/>
                <w:rtl w:val="true"/>
              </w:rPr>
              <w:t>الأخبار التي استدلّ بها على حجّية قول المفضول</w:t>
            </w:r>
            <w:r>
              <w:rPr>
                <w:rStyle w:val="IndexLink"/>
                <w:rtl w:val="true"/>
              </w:rPr>
              <w:tab/>
            </w:r>
            <w:r>
              <w:rPr>
                <w:rStyle w:val="IndexLink"/>
              </w:rPr>
              <w:t>118</w:t>
            </w:r>
          </w:hyperlink>
        </w:p>
        <w:p>
          <w:pPr>
            <w:pStyle w:val="Contents4"/>
            <w:tabs>
              <w:tab w:val="clear" w:pos="8176"/>
              <w:tab w:val="right" w:pos="9026" w:leader="dot"/>
            </w:tabs>
            <w:rPr/>
          </w:pPr>
          <w:hyperlink w:anchor="__RefHeading___Toc555006_3650668749">
            <w:r>
              <w:rPr>
                <w:webHidden/>
                <w:rStyle w:val="IndexLink"/>
                <w:rtl w:val="true"/>
              </w:rPr>
              <w:t>فيما استدلّ به على ترجيح قول الأفضل</w:t>
            </w:r>
            <w:r>
              <w:rPr>
                <w:rStyle w:val="IndexLink"/>
                <w:rtl w:val="true"/>
              </w:rPr>
              <w:tab/>
            </w:r>
            <w:r>
              <w:rPr>
                <w:rStyle w:val="IndexLink"/>
              </w:rPr>
              <w:t>127</w:t>
            </w:r>
          </w:hyperlink>
        </w:p>
        <w:p>
          <w:pPr>
            <w:pStyle w:val="Contents4"/>
            <w:tabs>
              <w:tab w:val="clear" w:pos="8176"/>
              <w:tab w:val="right" w:pos="9026" w:leader="dot"/>
            </w:tabs>
            <w:rPr/>
          </w:pPr>
          <w:hyperlink w:anchor="__RefHeading___Toc555008_3650668749">
            <w:r>
              <w:rPr>
                <w:webHidden/>
                <w:rStyle w:val="IndexLink"/>
                <w:rtl w:val="true"/>
              </w:rPr>
              <w:t>في حال المجتهدين المتساويين مع اختلاف فتواهما</w:t>
            </w:r>
            <w:r>
              <w:rPr>
                <w:rStyle w:val="IndexLink"/>
                <w:rtl w:val="true"/>
              </w:rPr>
              <w:tab/>
            </w:r>
            <w:r>
              <w:rPr>
                <w:rStyle w:val="IndexLink"/>
              </w:rPr>
              <w:t>134</w:t>
            </w:r>
          </w:hyperlink>
        </w:p>
        <w:p>
          <w:pPr>
            <w:pStyle w:val="Contents4"/>
            <w:tabs>
              <w:tab w:val="clear" w:pos="8176"/>
              <w:tab w:val="right" w:pos="9026" w:leader="dot"/>
            </w:tabs>
            <w:rPr/>
          </w:pPr>
          <w:hyperlink w:anchor="__RefHeading___Toc555010_3650668749">
            <w:r>
              <w:rPr>
                <w:webHidden/>
                <w:rStyle w:val="IndexLink"/>
                <w:rtl w:val="true"/>
              </w:rPr>
              <w:t>الاستدلال على التخيير بين المتساويين بأدلّة العلاج</w:t>
            </w:r>
            <w:r>
              <w:rPr>
                <w:rStyle w:val="IndexLink"/>
                <w:rtl w:val="true"/>
              </w:rPr>
              <w:tab/>
            </w:r>
            <w:r>
              <w:rPr>
                <w:rStyle w:val="IndexLink"/>
              </w:rPr>
              <w:t>137</w:t>
            </w:r>
          </w:hyperlink>
        </w:p>
        <w:p>
          <w:pPr>
            <w:pStyle w:val="Contents2"/>
            <w:tabs>
              <w:tab w:val="clear" w:pos="8743"/>
              <w:tab w:val="right" w:pos="9026" w:leader="dot"/>
            </w:tabs>
            <w:rPr/>
          </w:pPr>
          <w:hyperlink w:anchor="__RefHeading___Toc555012_3650668749">
            <w:r>
              <w:rPr>
                <w:webHidden/>
                <w:rStyle w:val="IndexLink"/>
                <w:rtl w:val="true"/>
              </w:rPr>
              <w:t>الفصل الثاني في أ نّه هل تشترط الحياة في المفتي أم لا؟</w:t>
            </w:r>
            <w:r>
              <w:rPr>
                <w:rStyle w:val="IndexLink"/>
                <w:rtl w:val="true"/>
              </w:rPr>
              <w:tab/>
            </w:r>
            <w:r>
              <w:rPr>
                <w:rStyle w:val="IndexLink"/>
              </w:rPr>
              <w:t>141</w:t>
            </w:r>
          </w:hyperlink>
        </w:p>
        <w:p>
          <w:pPr>
            <w:pStyle w:val="Contents3"/>
            <w:tabs>
              <w:tab w:val="clear" w:pos="8459"/>
              <w:tab w:val="right" w:pos="9026" w:leader="dot"/>
            </w:tabs>
            <w:rPr/>
          </w:pPr>
          <w:hyperlink w:anchor="__RefHeading___Toc555014_3650668749">
            <w:r>
              <w:rPr>
                <w:webHidden/>
                <w:rStyle w:val="IndexLink"/>
                <w:rtl w:val="true"/>
              </w:rPr>
              <w:t>اشارة</w:t>
            </w:r>
            <w:r>
              <w:rPr>
                <w:rStyle w:val="IndexLink"/>
                <w:rtl w:val="true"/>
              </w:rPr>
              <w:tab/>
            </w:r>
            <w:r>
              <w:rPr>
                <w:rStyle w:val="IndexLink"/>
              </w:rPr>
              <w:t>141</w:t>
            </w:r>
          </w:hyperlink>
        </w:p>
        <w:p>
          <w:pPr>
            <w:pStyle w:val="Contents3"/>
            <w:tabs>
              <w:tab w:val="clear" w:pos="8459"/>
              <w:tab w:val="right" w:pos="9026" w:leader="dot"/>
            </w:tabs>
            <w:rPr/>
          </w:pPr>
          <w:hyperlink w:anchor="__RefHeading___Toc555016_3650668749">
            <w:r>
              <w:rPr>
                <w:webHidden/>
                <w:rStyle w:val="IndexLink"/>
                <w:rtl w:val="true"/>
              </w:rPr>
              <w:t>التمسّك بالاستصحاب على الجواز</w:t>
            </w:r>
            <w:r>
              <w:rPr>
                <w:rStyle w:val="IndexLink"/>
                <w:rtl w:val="true"/>
              </w:rPr>
              <w:tab/>
            </w:r>
            <w:r>
              <w:rPr>
                <w:rStyle w:val="IndexLink"/>
              </w:rPr>
              <w:t>142</w:t>
            </w:r>
          </w:hyperlink>
        </w:p>
        <w:p>
          <w:pPr>
            <w:pStyle w:val="Contents3"/>
            <w:tabs>
              <w:tab w:val="clear" w:pos="8459"/>
              <w:tab w:val="right" w:pos="9026" w:leader="dot"/>
            </w:tabs>
            <w:rPr/>
          </w:pPr>
          <w:hyperlink w:anchor="__RefHeading___Toc555018_3650668749">
            <w:r>
              <w:rPr>
                <w:webHidden/>
                <w:rStyle w:val="IndexLink"/>
                <w:rtl w:val="true"/>
              </w:rPr>
              <w:t>إشكال عدم بقاء موضوع الاستصحاب والجواب عنه</w:t>
            </w:r>
            <w:r>
              <w:rPr>
                <w:rStyle w:val="IndexLink"/>
                <w:rtl w:val="true"/>
              </w:rPr>
              <w:tab/>
            </w:r>
            <w:r>
              <w:rPr>
                <w:rStyle w:val="IndexLink"/>
              </w:rPr>
              <w:t>144</w:t>
            </w:r>
          </w:hyperlink>
        </w:p>
        <w:p>
          <w:pPr>
            <w:pStyle w:val="Contents4"/>
            <w:tabs>
              <w:tab w:val="clear" w:pos="8176"/>
              <w:tab w:val="right" w:pos="9026" w:leader="dot"/>
            </w:tabs>
            <w:rPr/>
          </w:pPr>
          <w:hyperlink w:anchor="__RefHeading___Toc555020_3650668749">
            <w:r>
              <w:rPr>
                <w:webHidden/>
                <w:rStyle w:val="IndexLink"/>
                <w:rtl w:val="true"/>
              </w:rPr>
              <w:t>اشارة</w:t>
            </w:r>
            <w:r>
              <w:rPr>
                <w:rStyle w:val="IndexLink"/>
                <w:rtl w:val="true"/>
              </w:rPr>
              <w:tab/>
            </w:r>
            <w:r>
              <w:rPr>
                <w:rStyle w:val="IndexLink"/>
              </w:rPr>
              <w:t>144</w:t>
            </w:r>
          </w:hyperlink>
        </w:p>
        <w:p>
          <w:pPr>
            <w:pStyle w:val="Contents4"/>
            <w:tabs>
              <w:tab w:val="clear" w:pos="8176"/>
              <w:tab w:val="right" w:pos="9026" w:leader="dot"/>
            </w:tabs>
            <w:rPr/>
          </w:pPr>
          <w:hyperlink w:anchor="__RefHeading___Toc555022_3650668749">
            <w:r>
              <w:rPr>
                <w:webHidden/>
                <w:rStyle w:val="IndexLink"/>
                <w:rtl w:val="true"/>
              </w:rPr>
              <w:t>تقرير إشكال آخر على الاستصحاب</w:t>
            </w:r>
            <w:r>
              <w:rPr>
                <w:rStyle w:val="IndexLink"/>
                <w:rtl w:val="true"/>
              </w:rPr>
              <w:tab/>
            </w:r>
            <w:r>
              <w:rPr>
                <w:rStyle w:val="IndexLink"/>
              </w:rPr>
              <w:t>148</w:t>
            </w:r>
          </w:hyperlink>
        </w:p>
        <w:p>
          <w:pPr>
            <w:pStyle w:val="Contents3"/>
            <w:tabs>
              <w:tab w:val="clear" w:pos="8459"/>
              <w:tab w:val="right" w:pos="9026" w:leader="dot"/>
            </w:tabs>
            <w:rPr/>
          </w:pPr>
          <w:hyperlink w:anchor="__RefHeading___Toc555024_3650668749">
            <w:r>
              <w:rPr>
                <w:webHidden/>
                <w:rStyle w:val="IndexLink"/>
                <w:rtl w:val="true"/>
              </w:rPr>
              <w:t>التفصّي عن الإشكال</w:t>
            </w:r>
            <w:r>
              <w:rPr>
                <w:rStyle w:val="IndexLink"/>
                <w:rtl w:val="true"/>
              </w:rPr>
              <w:tab/>
            </w:r>
            <w:r>
              <w:rPr>
                <w:rStyle w:val="IndexLink"/>
              </w:rPr>
              <w:t>152</w:t>
            </w:r>
          </w:hyperlink>
        </w:p>
        <w:p>
          <w:pPr>
            <w:pStyle w:val="Contents3"/>
            <w:tabs>
              <w:tab w:val="clear" w:pos="8459"/>
              <w:tab w:val="right" w:pos="9026" w:leader="dot"/>
            </w:tabs>
            <w:rPr/>
          </w:pPr>
          <w:hyperlink w:anchor="__RefHeading___Toc555026_3650668749">
            <w:r>
              <w:rPr>
                <w:webHidden/>
                <w:rStyle w:val="IndexLink"/>
                <w:rtl w:val="true"/>
              </w:rPr>
              <w:t>حال بناء العقلاء في تقليد الميّت</w:t>
            </w:r>
            <w:r>
              <w:rPr>
                <w:rStyle w:val="IndexLink"/>
                <w:rtl w:val="true"/>
              </w:rPr>
              <w:tab/>
            </w:r>
            <w:r>
              <w:rPr>
                <w:rStyle w:val="IndexLink"/>
              </w:rPr>
              <w:t>154</w:t>
            </w:r>
          </w:hyperlink>
        </w:p>
        <w:p>
          <w:pPr>
            <w:pStyle w:val="Contents2"/>
            <w:tabs>
              <w:tab w:val="clear" w:pos="8743"/>
              <w:tab w:val="right" w:pos="9026" w:leader="dot"/>
            </w:tabs>
            <w:rPr/>
          </w:pPr>
          <w:hyperlink w:anchor="__RefHeading___Toc555028_3650668749">
            <w:r>
              <w:rPr>
                <w:webHidden/>
                <w:rStyle w:val="IndexLink"/>
                <w:rtl w:val="true"/>
              </w:rPr>
              <w:t>الفصل الثالث في تبدّل الاجتهاد</w:t>
            </w:r>
            <w:r>
              <w:rPr>
                <w:rStyle w:val="IndexLink"/>
                <w:rtl w:val="true"/>
              </w:rPr>
              <w:tab/>
            </w:r>
            <w:r>
              <w:rPr>
                <w:rStyle w:val="IndexLink"/>
              </w:rPr>
              <w:t>157</w:t>
            </w:r>
          </w:hyperlink>
        </w:p>
        <w:p>
          <w:pPr>
            <w:pStyle w:val="Contents3"/>
            <w:tabs>
              <w:tab w:val="clear" w:pos="8459"/>
              <w:tab w:val="right" w:pos="9026" w:leader="dot"/>
            </w:tabs>
            <w:rPr/>
          </w:pPr>
          <w:hyperlink w:anchor="__RefHeading___Toc555030_3650668749">
            <w:r>
              <w:rPr>
                <w:webHidden/>
                <w:rStyle w:val="IndexLink"/>
                <w:rtl w:val="true"/>
              </w:rPr>
              <w:t>تكليف المجتهد عند تبدّل رأيه</w:t>
            </w:r>
            <w:r>
              <w:rPr>
                <w:rStyle w:val="IndexLink"/>
                <w:rtl w:val="true"/>
              </w:rPr>
              <w:tab/>
            </w:r>
            <w:r>
              <w:rPr>
                <w:rStyle w:val="IndexLink"/>
              </w:rPr>
              <w:t>157</w:t>
            </w:r>
          </w:hyperlink>
        </w:p>
        <w:p>
          <w:pPr>
            <w:pStyle w:val="Contents3"/>
            <w:tabs>
              <w:tab w:val="clear" w:pos="8459"/>
              <w:tab w:val="right" w:pos="9026" w:leader="dot"/>
            </w:tabs>
            <w:rPr/>
          </w:pPr>
          <w:hyperlink w:anchor="__RefHeading___Toc555032_3650668749">
            <w:r>
              <w:rPr>
                <w:webHidden/>
                <w:rStyle w:val="IndexLink"/>
                <w:rtl w:val="true"/>
              </w:rPr>
              <w:t>حال الفتوى المستندة إلى القطع</w:t>
            </w:r>
            <w:r>
              <w:rPr>
                <w:rStyle w:val="IndexLink"/>
                <w:rtl w:val="true"/>
              </w:rPr>
              <w:tab/>
            </w:r>
            <w:r>
              <w:rPr>
                <w:rStyle w:val="IndexLink"/>
              </w:rPr>
              <w:t>157</w:t>
            </w:r>
          </w:hyperlink>
        </w:p>
        <w:p>
          <w:pPr>
            <w:pStyle w:val="Contents3"/>
            <w:tabs>
              <w:tab w:val="clear" w:pos="8459"/>
              <w:tab w:val="right" w:pos="9026" w:leader="dot"/>
            </w:tabs>
            <w:rPr/>
          </w:pPr>
          <w:hyperlink w:anchor="__RefHeading___Toc555034_3650668749">
            <w:r>
              <w:rPr>
                <w:webHidden/>
                <w:rStyle w:val="IndexLink"/>
                <w:rtl w:val="true"/>
              </w:rPr>
              <w:t>حال الفتوى المستندة إلى الأمارات</w:t>
            </w:r>
            <w:r>
              <w:rPr>
                <w:rStyle w:val="IndexLink"/>
                <w:rtl w:val="true"/>
              </w:rPr>
              <w:tab/>
            </w:r>
            <w:r>
              <w:rPr>
                <w:rStyle w:val="IndexLink"/>
              </w:rPr>
              <w:t>158</w:t>
            </w:r>
          </w:hyperlink>
        </w:p>
        <w:p>
          <w:pPr>
            <w:pStyle w:val="Contents3"/>
            <w:tabs>
              <w:tab w:val="clear" w:pos="8459"/>
              <w:tab w:val="right" w:pos="9026" w:leader="dot"/>
            </w:tabs>
            <w:rPr/>
          </w:pPr>
          <w:hyperlink w:anchor="__RefHeading___Toc555036_3650668749">
            <w:r>
              <w:rPr>
                <w:webHidden/>
                <w:rStyle w:val="IndexLink"/>
                <w:rtl w:val="true"/>
              </w:rPr>
              <w:t>حال الفتوى المستندة إلى الاصول</w:t>
            </w:r>
            <w:r>
              <w:rPr>
                <w:rStyle w:val="IndexLink"/>
                <w:rtl w:val="true"/>
              </w:rPr>
              <w:tab/>
            </w:r>
            <w:r>
              <w:rPr>
                <w:rStyle w:val="IndexLink"/>
              </w:rPr>
              <w:t>160</w:t>
            </w:r>
          </w:hyperlink>
        </w:p>
        <w:p>
          <w:pPr>
            <w:pStyle w:val="Contents3"/>
            <w:tabs>
              <w:tab w:val="clear" w:pos="8459"/>
              <w:tab w:val="right" w:pos="9026" w:leader="dot"/>
            </w:tabs>
            <w:rPr/>
          </w:pPr>
          <w:hyperlink w:anchor="__RefHeading___Toc555038_3650668749">
            <w:r>
              <w:rPr>
                <w:webHidden/>
                <w:rStyle w:val="IndexLink"/>
                <w:rtl w:val="true"/>
              </w:rPr>
              <w:t>في الإشارة إلى الخلط الواقع من بعض الأعاظم في المقام</w:t>
            </w:r>
            <w:r>
              <w:rPr>
                <w:rStyle w:val="IndexLink"/>
                <w:rtl w:val="true"/>
              </w:rPr>
              <w:tab/>
            </w:r>
            <w:r>
              <w:rPr>
                <w:rStyle w:val="IndexLink"/>
              </w:rPr>
              <w:t>165</w:t>
            </w:r>
          </w:hyperlink>
        </w:p>
        <w:p>
          <w:pPr>
            <w:pStyle w:val="Contents3"/>
            <w:tabs>
              <w:tab w:val="clear" w:pos="8459"/>
              <w:tab w:val="right" w:pos="9026" w:leader="dot"/>
            </w:tabs>
            <w:rPr/>
          </w:pPr>
          <w:hyperlink w:anchor="__RefHeading___Toc555040_3650668749">
            <w:r>
              <w:rPr>
                <w:webHidden/>
                <w:rStyle w:val="IndexLink"/>
                <w:rtl w:val="true"/>
              </w:rPr>
              <w:t>تكليف المقلّد مع تبدّل رأي مجتهده</w:t>
            </w:r>
            <w:r>
              <w:rPr>
                <w:rStyle w:val="IndexLink"/>
                <w:rtl w:val="true"/>
              </w:rPr>
              <w:tab/>
            </w:r>
            <w:r>
              <w:rPr>
                <w:rStyle w:val="IndexLink"/>
              </w:rPr>
              <w:t>166</w:t>
            </w:r>
          </w:hyperlink>
        </w:p>
        <w:p>
          <w:pPr>
            <w:pStyle w:val="Contents2"/>
            <w:tabs>
              <w:tab w:val="clear" w:pos="8743"/>
              <w:tab w:val="right" w:pos="9026" w:leader="dot"/>
            </w:tabs>
            <w:rPr/>
          </w:pPr>
          <w:hyperlink w:anchor="__RefHeading___Toc555042_3650668749">
            <w:r>
              <w:rPr>
                <w:webHidden/>
                <w:rStyle w:val="IndexLink"/>
                <w:rtl w:val="true"/>
              </w:rPr>
              <w:t>الفصل الرابع هل التخيير بدويّ أو استمراريّ؟</w:t>
            </w:r>
            <w:r>
              <w:rPr>
                <w:rStyle w:val="IndexLink"/>
                <w:rtl w:val="true"/>
              </w:rPr>
              <w:tab/>
            </w:r>
            <w:r>
              <w:rPr>
                <w:rStyle w:val="IndexLink"/>
              </w:rPr>
              <w:t>171</w:t>
            </w:r>
          </w:hyperlink>
        </w:p>
        <w:p>
          <w:pPr>
            <w:pStyle w:val="Contents2"/>
            <w:tabs>
              <w:tab w:val="clear" w:pos="8743"/>
              <w:tab w:val="right" w:pos="9026" w:leader="dot"/>
            </w:tabs>
            <w:rPr/>
          </w:pPr>
          <w:hyperlink w:anchor="__RefHeading___Toc555044_3650668749">
            <w:r>
              <w:rPr>
                <w:webHidden/>
                <w:rStyle w:val="IndexLink"/>
                <w:rtl w:val="true"/>
              </w:rPr>
              <w:t>الفصل الخامس في اختلاف الحيّ والميّت في مسألة البقاء</w:t>
            </w:r>
            <w:r>
              <w:rPr>
                <w:rStyle w:val="IndexLink"/>
                <w:rtl w:val="true"/>
              </w:rPr>
              <w:tab/>
            </w:r>
            <w:r>
              <w:rPr>
                <w:rStyle w:val="IndexLink"/>
              </w:rPr>
              <w:t>176</w:t>
            </w:r>
          </w:hyperlink>
        </w:p>
        <w:p>
          <w:pPr>
            <w:pStyle w:val="Contents3"/>
            <w:tabs>
              <w:tab w:val="clear" w:pos="8459"/>
              <w:tab w:val="right" w:pos="9026" w:leader="dot"/>
            </w:tabs>
            <w:rPr/>
          </w:pPr>
          <w:hyperlink w:anchor="__RefHeading___Toc555046_3650668749">
            <w:r>
              <w:rPr>
                <w:webHidden/>
                <w:rStyle w:val="IndexLink"/>
                <w:rtl w:val="true"/>
              </w:rPr>
              <w:t>اشارة</w:t>
            </w:r>
            <w:r>
              <w:rPr>
                <w:rStyle w:val="IndexLink"/>
                <w:rtl w:val="true"/>
              </w:rPr>
              <w:tab/>
            </w:r>
            <w:r>
              <w:rPr>
                <w:rStyle w:val="IndexLink"/>
              </w:rPr>
              <w:t>176</w:t>
            </w:r>
          </w:hyperlink>
        </w:p>
        <w:p>
          <w:pPr>
            <w:pStyle w:val="Contents3"/>
            <w:tabs>
              <w:tab w:val="clear" w:pos="8459"/>
              <w:tab w:val="right" w:pos="9026" w:leader="dot"/>
            </w:tabs>
            <w:rPr/>
          </w:pPr>
          <w:hyperlink w:anchor="__RefHeading___Toc555048_3650668749">
            <w:r>
              <w:rPr>
                <w:webHidden/>
                <w:rStyle w:val="IndexLink"/>
                <w:rtl w:val="true"/>
              </w:rPr>
              <w:t>هل يرجع بفتوى الثالث إلى الأوّل أو الثاني؟</w:t>
            </w:r>
            <w:r>
              <w:rPr>
                <w:rStyle w:val="IndexLink"/>
                <w:rtl w:val="true"/>
              </w:rPr>
              <w:tab/>
            </w:r>
            <w:r>
              <w:rPr>
                <w:rStyle w:val="IndexLink"/>
              </w:rPr>
              <w:t>177</w:t>
            </w:r>
          </w:hyperlink>
        </w:p>
        <w:p>
          <w:pPr>
            <w:pStyle w:val="Contents3"/>
            <w:tabs>
              <w:tab w:val="clear" w:pos="8459"/>
              <w:tab w:val="right" w:pos="9026" w:leader="dot"/>
            </w:tabs>
            <w:rPr/>
          </w:pPr>
          <w:hyperlink w:anchor="__RefHeading___Toc555050_3650668749">
            <w:r>
              <w:rPr>
                <w:webHidden/>
                <w:rStyle w:val="IndexLink"/>
                <w:rtl w:val="true"/>
              </w:rPr>
              <w:t>كلام العلّامة الحائري قدس سره</w:t>
            </w:r>
            <w:r>
              <w:rPr>
                <w:rStyle w:val="IndexLink"/>
                <w:rtl w:val="true"/>
              </w:rPr>
              <w:tab/>
            </w:r>
            <w:r>
              <w:rPr>
                <w:rStyle w:val="IndexLink"/>
              </w:rPr>
              <w:t>178</w:t>
            </w:r>
          </w:hyperlink>
        </w:p>
        <w:p>
          <w:pPr>
            <w:pStyle w:val="Contents3"/>
            <w:tabs>
              <w:tab w:val="clear" w:pos="8459"/>
              <w:tab w:val="right" w:pos="9026" w:leader="dot"/>
            </w:tabs>
            <w:rPr/>
          </w:pPr>
          <w:hyperlink w:anchor="__RefHeading___Toc555052_3650668749">
            <w:r>
              <w:rPr>
                <w:webHidden/>
                <w:rStyle w:val="IndexLink"/>
                <w:rtl w:val="true"/>
              </w:rPr>
              <w:t>الإيراد على مختار العلامة الحائري قدس سره</w:t>
            </w:r>
            <w:r>
              <w:rPr>
                <w:rStyle w:val="IndexLink"/>
                <w:rtl w:val="true"/>
              </w:rPr>
              <w:tab/>
            </w:r>
            <w:r>
              <w:rPr>
                <w:rStyle w:val="IndexLink"/>
              </w:rPr>
              <w:t>181</w:t>
            </w:r>
          </w:hyperlink>
        </w:p>
        <w:p>
          <w:pPr>
            <w:pStyle w:val="Contents2"/>
            <w:tabs>
              <w:tab w:val="clear" w:pos="8743"/>
              <w:tab w:val="right" w:pos="9026" w:leader="dot"/>
            </w:tabs>
            <w:rPr/>
          </w:pPr>
          <w:hyperlink w:anchor="__RefHeading___Toc555054_3650668749">
            <w:r>
              <w:rPr>
                <w:webHidden/>
                <w:rStyle w:val="IndexLink"/>
                <w:rtl w:val="true"/>
              </w:rPr>
              <w:t>الفهارس العامّة</w:t>
            </w:r>
            <w:r>
              <w:rPr>
                <w:rStyle w:val="IndexLink"/>
                <w:rtl w:val="true"/>
              </w:rPr>
              <w:tab/>
            </w:r>
            <w:r>
              <w:rPr>
                <w:rStyle w:val="IndexLink"/>
              </w:rPr>
              <w:t>187</w:t>
            </w:r>
          </w:hyperlink>
        </w:p>
        <w:p>
          <w:pPr>
            <w:pStyle w:val="Contents3"/>
            <w:tabs>
              <w:tab w:val="clear" w:pos="8459"/>
              <w:tab w:val="right" w:pos="9026" w:leader="dot"/>
            </w:tabs>
            <w:rPr/>
          </w:pPr>
          <w:hyperlink w:anchor="__RefHeading___Toc555056_3650668749">
            <w:r>
              <w:rPr>
                <w:webHidden/>
                <w:rStyle w:val="IndexLink"/>
                <w:rtl w:val="true"/>
              </w:rPr>
              <w:t>اشارة</w:t>
            </w:r>
            <w:r>
              <w:rPr>
                <w:rStyle w:val="IndexLink"/>
                <w:rtl w:val="true"/>
              </w:rPr>
              <w:tab/>
            </w:r>
            <w:r>
              <w:rPr>
                <w:rStyle w:val="IndexLink"/>
              </w:rPr>
              <w:t>187</w:t>
            </w:r>
          </w:hyperlink>
        </w:p>
        <w:p>
          <w:pPr>
            <w:pStyle w:val="Contents3"/>
            <w:tabs>
              <w:tab w:val="clear" w:pos="8459"/>
              <w:tab w:val="right" w:pos="9026" w:leader="dot"/>
            </w:tabs>
            <w:rPr/>
          </w:pPr>
          <w:hyperlink w:anchor="__RefHeading___Toc555058_3650668749">
            <w:r>
              <w:rPr>
                <w:webHidden/>
                <w:rStyle w:val="IndexLink"/>
              </w:rPr>
              <w:t>1</w:t>
            </w:r>
            <w:r>
              <w:rPr>
                <w:rStyle w:val="IndexLink"/>
                <w:rtl w:val="true"/>
              </w:rPr>
              <w:t xml:space="preserve">- </w:t>
            </w:r>
            <w:r>
              <w:rPr>
                <w:rStyle w:val="IndexLink"/>
                <w:rtl w:val="true"/>
              </w:rPr>
              <w:t>فهرس الآيات الكريمة</w:t>
            </w:r>
            <w:r>
              <w:rPr>
                <w:rStyle w:val="IndexLink"/>
                <w:rtl w:val="true"/>
              </w:rPr>
              <w:tab/>
            </w:r>
            <w:r>
              <w:rPr>
                <w:rStyle w:val="IndexLink"/>
              </w:rPr>
              <w:t>188</w:t>
            </w:r>
          </w:hyperlink>
        </w:p>
        <w:p>
          <w:pPr>
            <w:pStyle w:val="Contents3"/>
            <w:tabs>
              <w:tab w:val="clear" w:pos="8459"/>
              <w:tab w:val="right" w:pos="9026" w:leader="dot"/>
            </w:tabs>
            <w:rPr/>
          </w:pPr>
          <w:hyperlink w:anchor="__RefHeading___Toc555060_3650668749">
            <w:r>
              <w:rPr>
                <w:webHidden/>
                <w:rStyle w:val="IndexLink"/>
              </w:rPr>
              <w:t>2</w:t>
            </w:r>
            <w:r>
              <w:rPr>
                <w:rStyle w:val="IndexLink"/>
                <w:rtl w:val="true"/>
              </w:rPr>
              <w:t xml:space="preserve">- </w:t>
            </w:r>
            <w:r>
              <w:rPr>
                <w:rStyle w:val="IndexLink"/>
                <w:rtl w:val="true"/>
              </w:rPr>
              <w:t>فهرس الأحاديث الشريفة</w:t>
            </w:r>
            <w:r>
              <w:rPr>
                <w:rStyle w:val="IndexLink"/>
                <w:rtl w:val="true"/>
              </w:rPr>
              <w:tab/>
            </w:r>
            <w:r>
              <w:rPr>
                <w:rStyle w:val="IndexLink"/>
              </w:rPr>
              <w:t>190</w:t>
            </w:r>
          </w:hyperlink>
        </w:p>
        <w:p>
          <w:pPr>
            <w:pStyle w:val="Contents3"/>
            <w:tabs>
              <w:tab w:val="clear" w:pos="8459"/>
              <w:tab w:val="right" w:pos="9026" w:leader="dot"/>
            </w:tabs>
            <w:rPr/>
          </w:pPr>
          <w:hyperlink w:anchor="__RefHeading___Toc555062_3650668749">
            <w:r>
              <w:rPr>
                <w:webHidden/>
                <w:rStyle w:val="IndexLink"/>
              </w:rPr>
              <w:t>3</w:t>
            </w:r>
            <w:r>
              <w:rPr>
                <w:rStyle w:val="IndexLink"/>
                <w:rtl w:val="true"/>
              </w:rPr>
              <w:t xml:space="preserve">- </w:t>
            </w:r>
            <w:r>
              <w:rPr>
                <w:rStyle w:val="IndexLink"/>
                <w:rtl w:val="true"/>
              </w:rPr>
              <w:t>فهرس أسماء الأنبياء والمعصومين عليهم السلام</w:t>
            </w:r>
            <w:r>
              <w:rPr>
                <w:rStyle w:val="IndexLink"/>
                <w:rtl w:val="true"/>
              </w:rPr>
              <w:tab/>
            </w:r>
            <w:r>
              <w:rPr>
                <w:rStyle w:val="IndexLink"/>
              </w:rPr>
              <w:t>192</w:t>
            </w:r>
          </w:hyperlink>
        </w:p>
        <w:p>
          <w:pPr>
            <w:pStyle w:val="Contents3"/>
            <w:tabs>
              <w:tab w:val="clear" w:pos="8459"/>
              <w:tab w:val="right" w:pos="9026" w:leader="dot"/>
            </w:tabs>
            <w:rPr/>
          </w:pPr>
          <w:hyperlink w:anchor="__RefHeading___Toc555064_3650668749">
            <w:r>
              <w:rPr>
                <w:webHidden/>
                <w:rStyle w:val="IndexLink"/>
              </w:rPr>
              <w:t>4</w:t>
            </w:r>
            <w:r>
              <w:rPr>
                <w:rStyle w:val="IndexLink"/>
                <w:rtl w:val="true"/>
              </w:rPr>
              <w:t xml:space="preserve">- </w:t>
            </w:r>
            <w:r>
              <w:rPr>
                <w:rStyle w:val="IndexLink"/>
                <w:rtl w:val="true"/>
              </w:rPr>
              <w:t>فهرس الأعلام</w:t>
            </w:r>
            <w:r>
              <w:rPr>
                <w:rStyle w:val="IndexLink"/>
                <w:rtl w:val="true"/>
              </w:rPr>
              <w:tab/>
            </w:r>
            <w:r>
              <w:rPr>
                <w:rStyle w:val="IndexLink"/>
              </w:rPr>
              <w:t>193</w:t>
            </w:r>
          </w:hyperlink>
        </w:p>
        <w:p>
          <w:pPr>
            <w:pStyle w:val="Contents3"/>
            <w:tabs>
              <w:tab w:val="clear" w:pos="8459"/>
              <w:tab w:val="right" w:pos="9026" w:leader="dot"/>
            </w:tabs>
            <w:rPr/>
          </w:pPr>
          <w:hyperlink w:anchor="__RefHeading___Toc555066_3650668749">
            <w:r>
              <w:rPr>
                <w:webHidden/>
                <w:rStyle w:val="IndexLink"/>
              </w:rPr>
              <w:t>5</w:t>
            </w:r>
            <w:r>
              <w:rPr>
                <w:rStyle w:val="IndexLink"/>
                <w:rtl w:val="true"/>
              </w:rPr>
              <w:t xml:space="preserve">- </w:t>
            </w:r>
            <w:r>
              <w:rPr>
                <w:rStyle w:val="IndexLink"/>
                <w:rtl w:val="true"/>
              </w:rPr>
              <w:t>فهرس الكتب</w:t>
            </w:r>
            <w:r>
              <w:rPr>
                <w:rStyle w:val="IndexLink"/>
                <w:rtl w:val="true"/>
              </w:rPr>
              <w:tab/>
            </w:r>
            <w:r>
              <w:rPr>
                <w:rStyle w:val="IndexLink"/>
              </w:rPr>
              <w:t>196</w:t>
            </w:r>
          </w:hyperlink>
        </w:p>
        <w:p>
          <w:pPr>
            <w:pStyle w:val="Contents3"/>
            <w:tabs>
              <w:tab w:val="clear" w:pos="8459"/>
              <w:tab w:val="right" w:pos="9026" w:leader="dot"/>
            </w:tabs>
            <w:rPr/>
          </w:pPr>
          <w:hyperlink w:anchor="__RefHeading___Toc555068_3650668749">
            <w:r>
              <w:rPr>
                <w:webHidden/>
                <w:rStyle w:val="IndexLink"/>
              </w:rPr>
              <w:t>6</w:t>
            </w:r>
            <w:r>
              <w:rPr>
                <w:rStyle w:val="IndexLink"/>
                <w:rtl w:val="true"/>
              </w:rPr>
              <w:t xml:space="preserve">- </w:t>
            </w:r>
            <w:r>
              <w:rPr>
                <w:rStyle w:val="IndexLink"/>
                <w:rtl w:val="true"/>
              </w:rPr>
              <w:t>مصادر التحقيق</w:t>
            </w:r>
            <w:r>
              <w:rPr>
                <w:rStyle w:val="IndexLink"/>
                <w:rtl w:val="true"/>
              </w:rPr>
              <w:tab/>
            </w:r>
            <w:r>
              <w:rPr>
                <w:rStyle w:val="IndexLink"/>
              </w:rPr>
              <w:t>197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1_18140"/>
      <w:bookmarkStart w:id="1" w:name="pg1531_18140"/>
      <w:bookmarkEnd w:id="1"/>
    </w:p>
    <w:p>
      <w:pPr>
        <w:pStyle w:val="Heading2"/>
        <w:numPr>
          <w:ilvl w:val="1"/>
          <w:numId w:val="1"/>
        </w:numPr>
        <w:rPr/>
      </w:pPr>
      <w:bookmarkStart w:id="2" w:name="pg1531_18140"/>
      <w:bookmarkStart w:id="3" w:name="__RefHeading___Toc554916_365066874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خميني، روح‌الله، رهبر انقلاب و بنيانگذار جمهوري اسلامي ايران،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 و التقليد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روح‌الله الموسوي الامام 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موسسه تنظيم و نشر آثار الامام‌الخميني قدس‌سره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 تنظيم و نشر آثار الامام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۱۳۷۸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۱۹۸</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كوثر</w:t>
      </w:r>
    </w:p>
    <w:p>
      <w:pPr>
        <w:pStyle w:val="BookText"/>
        <w:rPr/>
      </w:pPr>
      <w:r>
        <w:rPr>
          <w:rFonts w:ascii="IRNazanin" w:hAnsi="IRNazanin" w:eastAsia="IRNazanin"/>
          <w:color w:val="111111"/>
          <w:sz w:val="28"/>
          <w:sz w:val="28"/>
          <w:szCs w:val="28"/>
          <w:rtl w:val="true"/>
          <w:lang w:bidi="fa-IR"/>
        </w:rPr>
        <w:t>شابك</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۲۲۰۰۰</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۱۸۰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همچنين به‌صورت زيرنويس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اجتهاد و تقليد</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موسسه تنظيم و نشر آثار امام 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رده بندي كنگره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۱۳۷۸</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۳۱</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۱۲۲۷۶</w:t>
      </w:r>
    </w:p>
    <w:p>
      <w:pPr>
        <w:pStyle w:val="Heading2"/>
        <w:numPr>
          <w:ilvl w:val="1"/>
          <w:numId w:val="1"/>
        </w:numPr>
        <w:rPr/>
      </w:pPr>
      <w:bookmarkStart w:id="5" w:name="__RefHeading___Toc554918_3650668749"/>
      <w:bookmarkStart w:id="6" w:name="_Toc2"/>
      <w:bookmarkEnd w:id="5"/>
      <w:r>
        <w:rPr>
          <w:rtl w:val="true"/>
        </w:rPr>
        <w:t>مقدّمة التحقيق</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554920_3650668749"/>
      <w:bookmarkStart w:id="8" w:name="_Toc3"/>
      <w:bookmarkEnd w:id="7"/>
      <w:r>
        <w:rPr>
          <w:rtl w:val="true"/>
        </w:rPr>
        <w:t>اشارة</w:t>
      </w:r>
      <w:bookmarkStart w:id="9" w:name="pg1531_18145"/>
      <w:bookmarkEnd w:id="8"/>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554922_3650668749"/>
      <w:bookmarkStart w:id="11" w:name="_Toc4"/>
      <w:bookmarkEnd w:id="9"/>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 الْحَمْدُ لِلَّهِ رَبِّ الْعالَمِينَ الصلاة والسلام على سيدنا محمّد وآله الطاهرين و أصحابه المنتجبين</w:t>
      </w:r>
    </w:p>
    <w:p>
      <w:pPr>
        <w:pStyle w:val="BookText"/>
        <w:rPr/>
      </w:pPr>
      <w:r>
        <w:rPr>
          <w:rFonts w:ascii="Amiri" w:hAnsi="Amiri" w:eastAsia="Amiri" w:cs="Amiri"/>
          <w:color w:val="111111"/>
          <w:sz w:val="28"/>
          <w:sz w:val="28"/>
          <w:szCs w:val="28"/>
          <w:rtl w:val="true"/>
          <w:lang w:bidi="ar-SA"/>
        </w:rPr>
        <w:t>مرّت فكرة الانتظار منذ غيبة ولي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أرواحنا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القرن الحاضر بمراحل عديدة؛ تبعاً للفهم السلبي أو الإيجابي الذي يغيّر من تفسيرها بشكل 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ظهر الإمام الخميني رضوان اللَّه عليه في النصف الثاني من القرن الرابع عشر الهجري ومن ثمّ بداية الغليان الشعبي، تكون فكرة الانتظار قد تبلورت نهائياً في تفسيرها الإيجابي الذي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النيابة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الكتاب الذي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عزيزي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مشرق من آثار الإمام الراحل قدس سره، وهو كما يتّضح من 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حول محور حيويّ هامّ في حياة المسلمين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ظهر هذا الأثر منذ نصف قرن تقريباً، وبالتحديد 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عندما كان الإمام الراحل يلقي دروسه في الدورة الاولى من بحوث الخارج في علم الاصول، وذلك في مدينة 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كتابه هذا يطرح الإمام محاور عديدة في بحوث الاجتهاد والتقليد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بشؤون الفقيه والمجتهد الجامع للشرائط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وللإمام في هذا بحوث مماثلة في رسالته القيّمة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بدائع الدرر في قاعدة نفي الضرر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تناول فيها وبشكل إجمالي مقامات وشؤون النبيّ الأكرم والوليّ الأعظم محمّد صلى الله عليه و آله و سلم وهي تنتقل بصورة عامّة إلى الفقهاء في عصر الغيبة إلّاما ثبت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وللإمام أيضاً بحوث مفصّلة في ولاية الفقيه كان رضوان اللَّه عليه قد ضمّنها في كتابه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بشروط الاجتهاد، والعلوم الفاعلة فيه، وقد اقتصر إمامنا الراحل قدس سره في بحثه على العلوم المنضوية في إطار الاجتهاد المطلق الذي هو من شروط الإفتاء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الفقيه الذي يُمارس الولاية العامّة وزعامة المسلمين فله شروطه الاخرى، وقد بحثها الإمام قدس سره بتفصيل قبل وبعد انتصار الثورة الإسلامية، وفي طليعتها التدبير والإحاطة بظروف العصر؛ والتي يجدها الباحث في كتبه ومحاضراته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بحوثه التي يتناول فيها قدس سره مسألة بالغة الحسّاسيّة ألا وهي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الاجتهاد المطلق شرط في تسنّم منصب القضاء؟ وهل يجوز للقاضي المجتهد أن يوكل هذه المهمة إلى فرد آخر غير مجتهد؟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بحوثه قدس سره في مسألة المرجعية، وهل أنّ التقليد كما عليه اليوم كان</w:t>
      </w:r>
      <w:bookmarkStart w:id="12" w:name="pg1531_18148"/>
    </w:p>
    <w:p>
      <w:pPr>
        <w:pStyle w:val="BookText"/>
        <w:rPr/>
      </w:pPr>
      <w:bookmarkEnd w:id="12"/>
      <w:r>
        <w:rPr>
          <w:rFonts w:ascii="Amiri" w:hAnsi="Amiri" w:eastAsia="Amiri" w:cs="Amiri"/>
          <w:color w:val="111111"/>
          <w:sz w:val="28"/>
          <w:sz w:val="28"/>
          <w:szCs w:val="28"/>
          <w:rtl w:val="true"/>
          <w:lang w:bidi="ar-SA"/>
        </w:rPr>
        <w:t>معروفاً لدى العالَم الشيعي في عصر الأئمة الطاهرين عليهم السلام؟ وهل للاجتهاد السائد حالياً نفس مفهومه في عصر أئمة أهل البيت عليهم السلام؟ أم توجد اختلافات وفروق في ذلك؟ وعندما يكون تقليد المجتهد جائزاً فهل يجوز تقليد غير الأعلم من المجتهدين؟</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يبحث الإمام الراحل قدس سره وفي ختام رسالته الجليلة قضية تقليد المجتهد الميّت، فيتحدّث عن ذلك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وبودّنا ونحن نقدّم لهذا الكتاب الفائق الأهميّة، أن نطلع قراءنا الكرام عموماً وطلبة الدراسات الإسلامية في الحوزة العلمية بشكل خاص، على مسألتين حيويّتين في مضمار الاجتهاد والتقليد لهما أهميّة خاصّة،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الاجتهاد لدى الشيعة الإمامية؛ خصائصه وأبعاده، ومسألة الشروط التي يجب توافرها لدى المرجع الديني في ضوء المذهب الشيعي، والمؤهلات التي ينبغي أن يتحلّى بها، مستلهمين في كلّ ذلك أفكار ورُؤى إمامنا الراحل قدس سره، المبثوثة هنا وهناك في كتبه وخطبه وتعاليمه</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554924_3650668749"/>
      <w:bookmarkStart w:id="14" w:name="_Toc5"/>
      <w:bookmarkEnd w:id="13"/>
      <w:r>
        <w:rPr>
          <w:rtl w:val="true"/>
        </w:rPr>
        <w:t>[</w:t>
      </w:r>
      <w:r>
        <w:rPr>
          <w:rtl w:val="true"/>
        </w:rPr>
        <w:t>مسألتان مهمتان في مضمار الاجتهاد و التقليد</w:t>
      </w:r>
      <w:r>
        <w:rPr>
          <w:rtl w:val="true"/>
        </w:rPr>
        <w:t>]</w:t>
      </w:r>
      <w:bookmarkEnd w:id="14"/>
    </w:p>
    <w:p>
      <w:pPr>
        <w:pStyle w:val="Heading4"/>
        <w:numPr>
          <w:ilvl w:val="3"/>
          <w:numId w:val="1"/>
        </w:numPr>
        <w:rPr/>
      </w:pPr>
      <w:bookmarkStart w:id="15" w:name="__RefHeading___Toc554926_3650668749"/>
      <w:bookmarkStart w:id="16" w:name="_Toc6"/>
      <w:bookmarkEnd w:id="15"/>
      <w:r>
        <w:rPr>
          <w:rtl w:val="true"/>
        </w:rPr>
        <w:t xml:space="preserve">المسألة الاولى الاجتهاد لدى الشيعة </w:t>
      </w:r>
      <w:r>
        <w:rPr>
          <w:rtl w:val="true"/>
        </w:rPr>
        <w:t xml:space="preserve">... </w:t>
      </w:r>
      <w:r>
        <w:rPr>
          <w:rtl w:val="true"/>
        </w:rPr>
        <w:t>المعالم والمزايا</w:t>
      </w:r>
      <w:bookmarkEnd w:id="16"/>
    </w:p>
    <w:p>
      <w:pPr>
        <w:pStyle w:val="Heading5"/>
        <w:numPr>
          <w:ilvl w:val="4"/>
          <w:numId w:val="1"/>
        </w:numPr>
        <w:rPr/>
      </w:pPr>
      <w:bookmarkStart w:id="17" w:name="__RefHeading___Toc554928_3650668749"/>
      <w:bookmarkStart w:id="18" w:name="_Toc7"/>
      <w:bookmarkEnd w:id="17"/>
      <w:r>
        <w:rPr>
          <w:rtl w:val="true"/>
        </w:rPr>
        <w:t>اشارة</w:t>
      </w:r>
      <w:bookmarkEnd w:id="18"/>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 الاجتهاد لدى الشيعة الإمامية في طليعة المعالم الأساسيّة التي تفتقدها سائر المذاهب الإسلامية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والاجتهاد لدى اتباع أهل البيت عليهم السلام يتحرك في إطار الاستفادة من ميراثهم الحديثيّ الواسع والعميق الذي ورثوه من</w:t>
      </w:r>
    </w:p>
    <w:p>
      <w:pPr>
        <w:pStyle w:val="BookText"/>
        <w:rPr/>
      </w:pPr>
      <w:r>
        <w:rPr>
          <w:rFonts w:ascii="Amiri" w:hAnsi="Amiri" w:eastAsia="Amiri" w:cs="Amiri"/>
          <w:color w:val="111111"/>
          <w:sz w:val="28"/>
          <w:sz w:val="28"/>
          <w:szCs w:val="28"/>
          <w:rtl w:val="true"/>
          <w:lang w:bidi="ar-SA"/>
        </w:rPr>
        <w:t>أئمتهم عليهم السلام حيث يكمن في طواياها التفسير الحقيقيّ للقرآن الكريم والسنّة النبوّية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اتّباع أهل البيت عليهم السلام وهم العترة الطاهرة استجابة مخلصة وكاملة لحديث سيّدنا محمّد صلى الله عليه و آله و سلم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وعترتي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تظافرت الروايات لدى جميع الفرق الإسلامية على أنّهما لن يفترقا حتّى يردا عليه صلى الله عليه و آله و سلم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أهل البيت عليهم السلام وهم مفسّروا الوحي الحقيقيّون ليقتصروا في علمهم على الفقه، بل كانوا في الطليعة، وكانوا المثال الخالد والنبع الثرّ والطريق المضي‌ء في علوم الإسلام الاخرى، من تفسير وكلام وأخلاق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غير الممكن أبداً أن يؤدّي الاجتهاد في الفقه، ومن دون استلهام علوم الإمامين الطاهرين الباقر والصادق عليهما السلام إلى نتائج ذات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والاجتهاد لن يؤتي ثماره أبداً إلّافي ظلال أهل البيت عليهم السلام، وفي هدي تعاليمهم التي هي امتداد لتعاليم سيّدنا محمّد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الإطار نرى إمامنا الراحل قدس سره يصدر وصيته الإلهية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نفتخر أنّ باقر العلوم الذي هو أعظم شخصية في التاريخ وهو الذي لم يدرك ولن يدرك أحد مقامه غير اللَّه تعالى ورسوله صلى الله عليه و آله و سلم والأئمة المعصومين عليهم السلام، نحن نفتخر بأنّ هذا الإمام منّا</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نحن نفتخر أنّ مذهبنا جعفري منسوب إلى الإمام جعفر الصادق عليه السلام، وأنّ فقهنا الذي هو بحر لا نهاية له هو أحد آثاره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ويُعدّ الاجتناب عن تبنّي طريقة القياس والاستفادة من المصالح المرسلة مَعلَم بارز آخر يمتاز به الفقه الشيعي، فيما يزخر الفقه لدى أهل السنّة بالاستدلال وفقاً لطرق القياس والاستحسان والمصالح المرسلة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نجد أئمتنا من أهل البيت عليهم السلام، وفي مناسبات متعدّدة، وفي مقاطع زمنية مختلفة، يشدّدون على أتباعهم على ضرورة اجتناب القياس والاستحسان، فوضعوا بذلك تلامذتهم ومريديهم في الطريق الصحيح والجادّة الصواب، فالأحكام الإلهيّة يجب أن لا تخضع لمقاييس العقل البشري، ومن أجل هذا روي عنه صلوات اللَّه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السُّنّة إذا قيست مُحق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دين اللَّه لا يصاب بالعقول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ننكر وجود بعض التناغم مع المباني الفقهية لدى أهل السنّة في كتب كبار علماء الشيعة، وبالتحديد لدى المتقدّمين منهم، كشيخ الطائفة الطوسي والعلّامة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يبدو من خلال آثار الفقيهين العظيمين أنّهما كانا يرميان إلى إقناع فقهاء أهل السنّة فاستعمال طرق استنباط مماثلة لما هو موجود لدى أهل السنّة لا يعني تبنيّاً لها، بقدر ما يكون محاولة لردم هوّة الاختلاف بين الفريقين</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فإنّنا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تنامي الكيان السياسي الشيعي وبالتحديد في العصر الذي أعقب عصر 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طرق الاستدلال الشيعي متمحّضة وفق مباني المدرسة الإمامية وفي ضوء تعاليم أهل البيت عليهم السلام، أمّا متبنيّات أهل السنّة في طرق الاستدلال فقد اختفت تماماً لتحلّ مكانها آثار الأئمة الأطهار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استمرّ هذا الاسلوب حتّى يومنا هذا؛ إذ نجد في آثار إمامنا الراحل قدس سره وفي مضمار الفقه اهتماماً فائقاً بهذا الاتّجاه كما سنوضّح ذلك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فإنّ من أبرز معالم الفقه الشيعي هو ابتعاده عن اسلوب القياس وطريقة الاستحسان، واهماله ما يدعى بالمصالح المرسلة، والتقدّم بفنّ الاستنباط خطىً واسعة نحو الأمام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وتُعدّ حيويّة الفقه الشيعي ومسايرته لروح العصر مَعلَماً ثالثاً، فالاجتهاد في ضوء القواعد الفقهية الإمامية يحتّم على الفقيه الشيعي، متابعة مستجدّات القضايا واستنباط أحكامها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للمجتمع المسلم واهتمامه بموقف الشريعة إزاء المسائل الطارئة ومراجعته لفقهاء العصر الأثر البالغ في تقدّم الفقه الشيعي وتبحّر الفقهاء في مختلف العلوم، ومن ثمّ تضاعف أعداد المجتهدين؛ من أجل أن تكون هناك أجوبة جاهزة لمختلف المسائل والقضايا التي تهمّ المجتمع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للحضور الفاعل والواسع للفقهاء في الحوزات والمحافل العلمية الشيعية آثاره الكبيرة في نموّ وتقدّم طرق الاستدلال، وفي ترشيد الرؤى والأفكار الفقهية، وأن يكتسب الاجتهاد بشكل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ملامح مدرسته المتحرّكة</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خلال اتباع سنّة النبي صلى الله عليه و آله و سلم وآله عليهم السلام، فقد استمرّ الشيعة في مواصلة طريق الاجتهاد، فكان نبعاً متدفّقاً فيّاضاً بالخير، وكان بحق وما يزال يمدّ الثقافة الإسلامية بالأفكار المتجدّدة والنظريات العلميّة الرائدة التي أسهمت ولاريب في إغناء حضارة الإسلام وإثراء ثقافته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والاجتهاد الإمامي مدين في حيويّته وتدفّقه إلى آراء الشيعة في علمائهم ومراجعهم، وأنّهم مهما بلغت منزلتهم وسمت مرتبتهم ليسوا بفوق أن يخطئوا، وإن هم إلّاأبناء الدليل وأتباع البرهان، فهم في نَصَب مستمرّ وجهد واجتهاد وتعب في استنباط النصوص الشرعية، وتوظيف الأدلة، وقبلها في التأسيس عقلياً وشرعياً لصحة أدلّتهم، ومع كلّ هذا فهم ليسوا في مأمن من الخطأ مهما بلغوا من الشأو، وإنّ العصمة لأهل البيت عليهم السلام الذين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فقد حطّم الشيعة عقدة القداسة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قداسة الرجال غير المعصومين، والجمود على رأي عالِم معيّن مهما عظم شأنه، فبقي المجتمع الشيعي ينبض بالحياة، ما دام لا يجيز فقهاؤه تقليد المجتهد الميت، حتّى لو كان أعلم من الأحياء إلّا في نطاق ضيّق 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فالحياة شرط حيويّ في جواز اتّباع رأي المفتي ومرجع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قدس سره في هذا المضمار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اشتراط الحياة في المفتي على أقوال، ثالثها الفصل بين البدوي والاستمراري، ولا إشكال في أنّ الأصل الأوّلي حرمة العمل بما وراء العلم خرج عنه العمل بفتوي الحيّ، وبقي غيره فلابدّ من الخروج عنه، ولما كان عمدة ما يمكن أن يُعوّل عليه هو الاستصحاب فلابدّ من تقريره وتحقيقه</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ويخلص الإمام رضوان اللَّه عليه إلى نتيجة خلاصتها انتفاء جواز تقليد الميّت إلّافي حالات استثنائية، يقول قدس سره في هذا المضمار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ما يستدلّ به لتقليد الميّت هو بناء العقلاء، فالمباني العقلية تفصّل بين التقليد الابتدائي للميّت</w:t>
      </w:r>
    </w:p>
    <w:p>
      <w:pPr>
        <w:pStyle w:val="BookText"/>
        <w:rPr/>
      </w:pPr>
      <w:r>
        <w:rPr>
          <w:rFonts w:ascii="Amiri" w:hAnsi="Amiri" w:eastAsia="Amiri" w:cs="Amiri"/>
          <w:color w:val="111111"/>
          <w:sz w:val="28"/>
          <w:sz w:val="28"/>
          <w:szCs w:val="28"/>
          <w:rtl w:val="true"/>
          <w:lang w:bidi="ar-SA"/>
        </w:rPr>
        <w:t>والبقاء على تقليد مجتهد كان حيّاً ثمّ تُوفّي فيما بعد، فالعقلاء وبعد تقليد مجتهدهم الحيّ الذي هو الأعلم بالأحكام لا يرون ضرورة الرجوع إلى مجتهد حيّ، وأقصى ما يستفاد من الروايات هو جواز تقليد المجتهد الحيّ والبقاء على تقليده؛ ولا توجد في أيّ من الروايات عن الأئمة الأطهار، ما يدعو المكلّفين إلى تقليد أفراد على أساس شرط الحياة؛ وكلّ ما يمكن استنتاجه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المجتهد إذا كان واجب التقليد على المكلّفين، فإنّ أولئك المكلّفين يمكنهم حينئذٍ البقاء على تقليده، وفي غير هذه الصورة فلا يصحّ تقليد الميّت والانصراف عن تقليد المجتهد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حظيت هذه المسألة بدعاوى إجماع، وهو أ نّه لا يجوز للمكلّف بأيّ وجه من الوجوه تقليد الميّت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لهذا بطبيعة الحال أثره الفاعل في بثّ الحيوية والروح في الفقه الشيعي ومن ثمّ نموّه وازدهاره، ليبقى في مأمن من التأثر بمجمل التغيّرات العالمية وبالتالي حيازته المكانة اللائقة به في العصر الحديث، بما ينطوي عليه من قوانين تلبّي متطلّبات الإنسان في الحياة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الخميني الكبير مع تبحّره في الفقه والاصول، وحضوره الواسع في ميادين السياسة العالمية، وتشكيله حكومة العدل الإسلامية، ومع دقّته وثاقب رأيه وفي إيمانه العميق بحاكميّة الإسلام في الحياة الإنسانية، وبسط القوانين الإلهية لتشمل كل شؤون الحياة البشرية، مع كلّ هذا فقد التفت إلى نقطة جوهرية للغاية، وعدّها من مزايا هذا الفقه</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الإمام الراحل في هذا المضمار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إنّني اؤمن بالفقه الجواهري، غير أنّ</w:t>
      </w:r>
    </w:p>
    <w:p>
      <w:pPr>
        <w:pStyle w:val="BookText"/>
        <w:rPr/>
      </w:pPr>
      <w:r>
        <w:rPr>
          <w:rFonts w:ascii="Amiri" w:hAnsi="Amiri" w:eastAsia="Amiri" w:cs="Amiri"/>
          <w:color w:val="111111"/>
          <w:sz w:val="28"/>
          <w:sz w:val="28"/>
          <w:szCs w:val="28"/>
          <w:rtl w:val="true"/>
          <w:lang w:bidi="ar-SA"/>
        </w:rPr>
        <w:t>الفقه الجواهري هو فقه متحرك، ومعنى هذا أنّ لعاملي الزمان والمكان أثرهما الفاعل في حركة الفقه، والاجتهاد الجواهري يتغير بتغيّر هذين العنصرين</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ويوضّح ذلك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موضوعاً ما في الفقه، قد يتّخذ في الظاهر حكماً معيّناً من الأحكام، ولكن بمرور الزمن، وتغيّر الأمكنة يخرج ذلك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 تأثير الظروف الزمانية والمكانية، والعلاقات الإقتصادية والسياسيّة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عنوانه السابق؛ ليدخل تحت عنوان جديد، ومن المحتّم عندئذٍ أن يكون للموضوع الجديد حكم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أمثلة لذلك، فقد كان حمل السلاح في عصر النبي الأكرم صلى الله عليه و آله و سلم والأئمة الأطهار عليهم السلام جائزاً شائعاً، ولكن في عالم اليوم، تغيّرت ماهيّة الموضوع إلى الحدّ الذي لا يجرؤ فيه أيٌّ من الفقهاء في الإفتاء بجواز حمل السلاح، ثمّ يعدّ فتواه هذه مطابقة للموازين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وينسحب الأمر أيضاً على مسألة بيع واستهلاك المخدّرات، فقد أجاز عدد كبير من الفقهاء ذلك فيما مضى، أمّا اليوم، ومع هذا الوجود الهائل لعصابات التهريب، وما يكمن وراء ذلك من أهداف استعماريّة، لا يوجد فقيه واحد يمكنه إباحة ذلك وتجويزه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أورد الإمام الراحل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أمثلة عديدة في هذا المضمار وكلّها تؤكّد بما لا يقبل الشكّ بأنّ مسألة الفقه المتحرك لا تنحصر في طرقه الحديثة</w:t>
      </w:r>
      <w:bookmarkStart w:id="19" w:name="pg1531_18155"/>
    </w:p>
    <w:p>
      <w:pPr>
        <w:pStyle w:val="BookText"/>
        <w:rPr/>
      </w:pPr>
      <w:bookmarkEnd w:id="19"/>
      <w:r>
        <w:rPr>
          <w:rFonts w:ascii="Amiri" w:hAnsi="Amiri" w:eastAsia="Amiri" w:cs="Amiri"/>
          <w:color w:val="111111"/>
          <w:sz w:val="28"/>
          <w:sz w:val="28"/>
          <w:szCs w:val="28"/>
          <w:rtl w:val="true"/>
          <w:lang w:bidi="ar-SA"/>
        </w:rPr>
        <w:t>والجديدة في الفقه الشيعي فقط، بل إنّ ذلك يتعدّى ليكون الفقه الإسلامي بأسره فقهاً متحركاً، وإنّ كلّ الفقهاء الآن وفيما مضى يتّبعون ذات 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الخصوصيّة في الفقه، تكشف بوضوح تامّ عن حاجة المقلّدين إلى المجتهد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المجتهد الذي يحيط بظروف عصره وزمانه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فإنّ فتوى مجتهد مّا في زمن ومكان معيّنين، لا يمكن أن تكون لها دائماً حجّيّتها على المقلّدين في عصور اخرى</w:t>
      </w:r>
      <w:r>
        <w:rPr>
          <w:rFonts w:eastAsia="Amiri" w:cs="Amiri" w:ascii="Amiri" w:hAnsi="Amiri"/>
          <w:color w:val="111111"/>
          <w:sz w:val="28"/>
          <w:szCs w:val="28"/>
          <w:rtl w:val="true"/>
          <w:lang w:bidi="ar-SA"/>
        </w:rPr>
        <w:t>.</w:t>
      </w:r>
    </w:p>
    <w:p>
      <w:pPr>
        <w:pStyle w:val="Heading5"/>
        <w:numPr>
          <w:ilvl w:val="4"/>
          <w:numId w:val="1"/>
        </w:numPr>
        <w:rPr/>
      </w:pPr>
      <w:bookmarkStart w:id="20" w:name="__RefHeading___Toc554930_3650668749"/>
      <w:bookmarkStart w:id="21" w:name="_Toc8"/>
      <w:bookmarkEnd w:id="20"/>
      <w:r>
        <w:rPr>
          <w:rtl w:val="true"/>
        </w:rPr>
        <w:t>الاجتهاد ومؤثّرات الزمان والمكان</w:t>
      </w:r>
      <w:bookmarkEnd w:id="21"/>
    </w:p>
    <w:p>
      <w:pPr>
        <w:pStyle w:val="BookText"/>
        <w:rPr/>
      </w:pPr>
      <w:r>
        <w:rPr>
          <w:rFonts w:ascii="Amiri" w:hAnsi="Amiri" w:eastAsia="Amiri" w:cs="Amiri"/>
          <w:color w:val="111111"/>
          <w:sz w:val="28"/>
          <w:sz w:val="28"/>
          <w:szCs w:val="28"/>
          <w:rtl w:val="true"/>
          <w:lang w:bidi="ar-SA"/>
        </w:rPr>
        <w:t>يعدّ استنباط الحكم الشرعي من مصادره، عملية خطيرة، ومسؤولية كبيرة، إنطلاقاً من تحديد أحكام اللَّه عزّوجلّ كحدود للشريعة، وبما أنّ المقدّمات تُسفر عن نتيجة من صميمها، فإنّ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كعلم وفنّ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تلزمه مقدّمات تكفل له انتهاج الطريق الصحيح الذي يقيه مواطن الزلل ومزالق الخطأ</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ما أسلفنا ذكره يتّضح أنّ القضايا العالمية ومسائل العصر لها دورها المؤثرّ في اجتهاد المجتهدين، هذا من جانب، ومن جانب آخر فإنّ من خصائص الاجتهاد لدى الشيعة هو ابتعاده عن الرأي، والقياس والمصالح المرسلة والاستحسان في عملية الإفتاء، فهل هناك من طريق للمصالحة بين هذين الطريقين؟ وهل توجد نظرية يمكن أن توفّق بين الجانبين، أم أنّ نظرية تأثير</w:t>
      </w:r>
    </w:p>
    <w:p>
      <w:pPr>
        <w:pStyle w:val="BookText"/>
        <w:rPr/>
      </w:pPr>
      <w:r>
        <w:rPr>
          <w:rFonts w:ascii="Amiri" w:hAnsi="Amiri" w:eastAsia="Amiri" w:cs="Amiri"/>
          <w:color w:val="111111"/>
          <w:sz w:val="28"/>
          <w:sz w:val="28"/>
          <w:szCs w:val="28"/>
          <w:rtl w:val="true"/>
          <w:lang w:bidi="ar-SA"/>
        </w:rPr>
        <w:t>الزمان والمكان في الفقه تعني عقلنة</w:t>
      </w:r>
      <w:r>
        <w:rPr>
          <w:rStyle w:val="FootnoteAnchor"/>
          <w:rtl w:val="true"/>
        </w:rPr>
        <w:footnoteReference w:id="3"/>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وفي معرض الإجابة عن هذا السؤال الذي يُطرح اليوم في المحافل العلمية والحوزة الشيعية وبشكل جادّ، ينبغي أن نلتفت إلى المخاطر التي تهدّد الفقه الشيعي في ظل هذه النظرية</w:t>
      </w:r>
      <w:r>
        <w:rPr>
          <w:rStyle w:val="FootnoteAnchor"/>
          <w:rtl w:val="true"/>
        </w:rPr>
        <w:footnoteReference w:id="4"/>
      </w:r>
      <w:r>
        <w:rPr>
          <w:rFonts w:ascii="Amiri" w:hAnsi="Amiri" w:eastAsia="Amiri" w:cs="Amiri"/>
          <w:color w:val="111111"/>
          <w:sz w:val="28"/>
          <w:sz w:val="28"/>
          <w:szCs w:val="28"/>
          <w:rtl w:val="true"/>
          <w:lang w:bidi="ar-SA"/>
        </w:rPr>
        <w:t>لأنّ فهماً مغلوطاً لتأثير نظرية تدخّل الزمان والمكان في الفقه، سيقود إلى عقلنة الفقه، ومن المؤكد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سيُحدث تناقضاً مع ذات الشريعة المقدّسة، كما يتنافى وتعاليم أئمّتنا الأطهار عليهم السلام، وبالتالي يؤدّي إلى انحراف الفقه عن مهمته وسقوطه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أكثر الموارد والأمثلة في عصرنا الحاضر، التي يجنح فيها بعض الفقهاء باعتماد الاستدلالات المعقلنة إلى تغيير الموضوعات الفقهيّة وإصدار الأحكام انطلاقاً من إثبات عناوين وملازمات كانت تنطبق في عصر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هذه الطريقة نجد كثيراً من الأحكام الشرعيّة تتّسع أو تضيق وفقاً لُاسلوب اولئك الفقهاء</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 نّا نجد في آثار الإمام الراحل وملاحظات ذلك الفقيه الكبير دقّة عالية جدّاً؛ إذ نجده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حذراً للغاية في اجتنابه الخلط</w:t>
      </w:r>
      <w:r>
        <w:rPr>
          <w:rStyle w:val="FootnoteAnchor"/>
          <w:rtl w:val="true"/>
        </w:rPr>
        <w:footnoteReference w:id="5"/>
      </w:r>
      <w:r>
        <w:rPr>
          <w:rFonts w:ascii="Amiri" w:hAnsi="Amiri" w:eastAsia="Amiri" w:cs="Amiri"/>
          <w:color w:val="111111"/>
          <w:sz w:val="28"/>
          <w:sz w:val="28"/>
          <w:szCs w:val="28"/>
          <w:rtl w:val="true"/>
          <w:lang w:bidi="ar-SA"/>
        </w:rPr>
        <w:t>بين الطريقين؛ إذ نراه يتحرّى في تشخيص موضوعات الأحكام ملتزماً دائرة الآيات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فإنّنا لن نواجه أبداً في كتب الإمام الراحل قدس سره الفقهية مورداً من هذا القبيل دون استنطاق للآيات والروايات ونصوصها؛ سواء في بيان معاني الأحكام أو تعزيزها باستدلال عرفيّ وعقليّ، فالإمام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يستبدل موضوعاً جاهزاً من قبل وإحلاله مكان موضوع آخر إلّافي ضوء ما اسلفنا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مسألة تأثير الزمان والمكان في الفقه والتي حظيت باهتمام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التي يتّخذ في الظاهر حكماً لا مناص منه، يكون بمرور الزمن وتغيّر الظروف العامّة قد خرج عن حكمه الخاصّ في ظروفه الخاصّة، وبالتالي يستلزم حكماً آخر بعد أن دخل في موضوع آخر، وبالتالي استلزامه بطبيعة الحال لحكم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والمسألة بعد التغيّر هي كسائر المسائل المستحدثة تحتاج إلى حكم فقهي ينسجم مع الموازين الفقهية ويتوجّب خضوعه للقواعد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فإنّه لا يعني عندما يفقد موضوع ما حكمه، يكون قابلًا وخاضعاً لحكم العقل على أساس القياس والاستحسان، ومن ثمّ اعتبار ذلك فقهاً متحرّكاً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وفرق شاسع بين البحث عن حكم جديد لموضوع فَقَدَ حكمه السابق بسبب تغيّر الزمان والمكان ومجمل الظروف، وبين استغلال هذا الفقدان لإصدار حكم جديد انطلاقاً من اعتبارات القياس والاستحسان والرأي التي تتناقض مع مدرسة أهل البيت عليهم السلام الفقهية</w:t>
      </w:r>
      <w:r>
        <w:rPr>
          <w:rFonts w:eastAsia="Amiri" w:cs="Amiri" w:ascii="Amiri" w:hAnsi="Amiri"/>
          <w:color w:val="111111"/>
          <w:sz w:val="28"/>
          <w:szCs w:val="28"/>
          <w:rtl w:val="true"/>
          <w:lang w:bidi="ar-SA"/>
        </w:rPr>
        <w:t>.</w:t>
      </w:r>
      <w:bookmarkStart w:id="22" w:name="pg1531_18158"/>
    </w:p>
    <w:p>
      <w:pPr>
        <w:pStyle w:val="Heading4"/>
        <w:numPr>
          <w:ilvl w:val="3"/>
          <w:numId w:val="1"/>
        </w:numPr>
        <w:rPr/>
      </w:pPr>
      <w:bookmarkStart w:id="23" w:name="__RefHeading___Toc554932_3650668749"/>
      <w:bookmarkStart w:id="24" w:name="_Toc9"/>
      <w:bookmarkEnd w:id="22"/>
      <w:bookmarkEnd w:id="23"/>
      <w:r>
        <w:rPr>
          <w:rtl w:val="true"/>
        </w:rPr>
        <w:t>المسألة الثانية مؤهلات المرجعيّة العليا والزعامة الدينيّة</w:t>
      </w:r>
      <w:bookmarkEnd w:id="24"/>
    </w:p>
    <w:p>
      <w:pPr>
        <w:pStyle w:val="BookText"/>
        <w:rPr/>
      </w:pPr>
      <w:r>
        <w:rPr>
          <w:rFonts w:ascii="Amiri" w:hAnsi="Amiri" w:eastAsia="Amiri" w:cs="Amiri"/>
          <w:color w:val="111111"/>
          <w:sz w:val="28"/>
          <w:sz w:val="28"/>
          <w:szCs w:val="28"/>
          <w:rtl w:val="true"/>
          <w:lang w:bidi="ar-SA"/>
        </w:rPr>
        <w:t>أولى الإمام الراحل قدس سره اهتماماً فائقاً في بحوثه، وأفرد في رسالته الجليلة فصولًا لبحث العلوم المختلفة التي تؤدّي دوراً حيويّاً في فهم أحاديث وفقه أئمتنا من أهل البيت عليهم السلام، مشدّداً على ضرورتها في طريق تحصيل الاجتهاد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وسيّدنا الإمام قدس سره وهو يكتب في هذا الموضوع الحيوي ينتهج اسلوباً تربويّاً ينأى به عن الأساليب الجافّة، فهو يبحث من أجل أن يدلّ الآخرين، ويقود الجيل القادم إلى جادّة الصواب بعيداً عن مزالق الخطر ومهاوي السقوط، مؤكداً على الاقتصار في العلوم على ما ينفع وعدم تضييع الوقت في قضايا لا طائل من ورائها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فيشدّد مثلًا على تعلّم العربيّة وسبر أغوارها وينبّه على مخاطر عدم استيعابها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كثيراً ما يقع المحصِّل في خلاف الواقع لأجل القصور في مهمّ اللغة وخصوصيّات كلام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يشترط الإمام الراحل قدس سره الانس بالمحاورات العرفية ينهى عن التعمّق في معرفة مواضيع الأحكام بطريقة الفلسفة التي تتعمّد الدقّة في تحديد المواضيع، ويعلّل ذلك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أحكام الدين منصبّة على المواضيع كما يعرفها العرف العام، والرائج عند هذا العرف عدم الدقّة في تحديده لتلك المواضيع</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ويحذّر الإمام قدس سره وهو يشترط الإلمام بعلم الاصول من هدر الوقت في</w:t>
      </w:r>
    </w:p>
    <w:p>
      <w:pPr>
        <w:pStyle w:val="BookText"/>
        <w:rPr/>
      </w:pPr>
      <w:r>
        <w:rPr>
          <w:rFonts w:ascii="Amiri" w:hAnsi="Amiri" w:eastAsia="Amiri" w:cs="Amiri"/>
          <w:color w:val="111111"/>
          <w:sz w:val="28"/>
          <w:sz w:val="28"/>
          <w:szCs w:val="28"/>
          <w:rtl w:val="true"/>
          <w:lang w:bidi="ar-SA"/>
        </w:rPr>
        <w:t>بحوث لا طائل من ورائها ولا تسفر عن نتيجة علمية؛ ذلك أنّ علم الاصول غير مطلوب لذاته، بل هو وسيلة لمعرفة أحكام الدين وشرائع الإسلام، ومن هنا يتوجّب الاقتصار على ما ينفع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ينسى قدس سره أن يغتنم الفرصة فيعتذر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باسلوب اخلاقي رفيع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الأخباريين، فيحمل آراءهم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محمل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وظنّي أنّ تشديد نكير بعض أصحابنا الأخباريين على الاصوليين في تدوين الاصول، وتفرّع الأحكام عليها؛ إنّما نشأ من ملاحظة بعض مباحث كتب الاصول مما هي شبيهة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الاستدلال والنقض والإبرام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بكتب العامّة، فظنّوا أنّ مباني استنباطهم الأحكام الشرعيّة أيضاً، شبيهة بمبانيهم من استعمال القياس والاستحسان والظنون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فهو قدس سره يحاول تبرير موقفهم المتطرّف على أساس ردّ الفعل في قبال إفراط الاصوليين في الاستغراق بعلم الاصول بلا حدود يقول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والإنصاف أنّ إنكارهم في جانب الإفراط كما أنّ كثرة اشتغال بعض طلبة الاصول والنظر إليه استقلالًا، وصرف العمر في المباحث التي لا يحتاج إليها في جانب 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الاسلوب الهادئ يبحث الإمام الراحل مقدّمات الاجتهاد واضعاً إيّاها في إطار ثماينة شروط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الإلمام بعلوم العربية إلى الحدّ الذي يكفل للمتعلّم فهم كتاب اللَّه والسُّنّة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الاطّلاع على المحاورات العرفيّة، وفهم المواضيع العرفيّة مع الابتعاد</w:t>
      </w:r>
    </w:p>
    <w:p>
      <w:pPr>
        <w:pStyle w:val="BookText"/>
        <w:rPr/>
      </w:pPr>
      <w:r>
        <w:rPr>
          <w:rFonts w:ascii="Amiri" w:hAnsi="Amiri" w:eastAsia="Amiri" w:cs="Amiri"/>
          <w:color w:val="111111"/>
          <w:sz w:val="28"/>
          <w:sz w:val="28"/>
          <w:szCs w:val="28"/>
          <w:rtl w:val="true"/>
          <w:lang w:bidi="ar-SA"/>
        </w:rPr>
        <w:t>عن المنحى الفلسفي الذي يعتمد الدقّة في فهم الموضوع خلافاً للعرف؛ والبقاء في دائرة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المنطق وقواعده لتوقّي السقوط في الاستدلالات المغلوطة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الإحاطة بالمهمّات من مسائل اصول الفقه والقواعد التي يمكن بواسطتها فهم واستنباط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الإحاطة بعلم الرجال إلى الحدّ الذي ينفع في معرفة أحوال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الكتاب والسنّة وسبر غور الآيات والروايات وتحرّي الدقّة في فهمهما، ويعدّ هذا الشرط من أهمّ الشروط على الإطلاق؛ لإنّه يواكب الفقيه في جميع مراحل استنباط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التمرّن في عمليّات تفريع الفروع وإعادتها إلى الاصول لتعزيز ملكة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فتاوى المتقدّمين واستنباطاتهم، ومعرفة ما اشتهر بينهم وما أجمعوا عليه لقربهم من عصر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مقدّمات الاجتهاد لدى الإمام الراحل قدس سره، وهي الشروط التي تؤهّل الفقيه ليكون في موقع الإفتاء فقط</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الزعامة الدينيّة والمرجعيّة العليا التي تؤهّل المجتهد إلى قيادة الامة والمجتمع، فتوجد شروط اخرى تضاف إلى ما ذكر آنفاً، فالذي يريد زعامة المذهب، وتكون فتواه هي السائدة، ويتدخّل في شؤون المجتمع ثقافيّاً وسياسيّاً واقتصاديّاً، يتوجّب عليه أن يتحلّى بصفات اخرى وشروط اخرى، لم يتعرّض لها الإمام في حديثه الموجز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الإمام الراحل في نداء له في هذا المضمار إلى مراجع الشيعة وعموم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المجتهد أن يكون مُلمّاً بمسائل عصره محطياً بها، فلم يعدّ بمستساغ للشباب والناس عموماً أن يقول مرجعهم ومجتهدهم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لا ابدي رأياً في قضايا السياسة، فالتعرف على اسلوب التعامل في مواجهة الألاعيب والدسائس السائدة في الثقافة العالميّة، وعمق الرؤية الاقتصاديّة، وكيفيّة التعامل مع النظام الاقتصادي العالمي، والتعمّق في السياسة وحتّى معرفة السياسيّين والساسة، والمعادلات الحاكمة، وتفهّم نقاط القوّة والضعف لدى القطبين الرأسمالي والشيوعي، ودرك دورهما الاستراتيجي في إدارة العالم؛ إنّ كلّ هذا هو من خصائص المجتهد الجامع للشرائط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ينبغي على المجتهد أن يتحلّى بالفطنة والذكاء والفراسة، وهو يتصدّى لتوجيه المجتمع الإسلامي الكبير بل والمجتمع العالمي بأسره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فإضافة إلى الإخلاص والتقوى والزهد الذي هو من شأن المجتهد، فإنّ عليه أن يكون مديراً ومدبّراً حقيقيّاً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فالحكومة في رأي المجتهد الحقيقي هي الفلسفة العملية لمجموع الفقه في نواحي الحياة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الحكومة هي التطبيق العملي الذي يجسّد موقف الفقه تجاه المشكلات الإجتماعيّة، والسياسيّة، والعسكريّة، والثقافيّة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الفقه هو النظريّة الواقعيّة الحقيقيّة الكاملة والشاملة لإدارة الإنسان والمجتمع من المهد إلى اللحد</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والإمام الراحل وهو يطرح شروط المرجعيّة العليا، فإنّه يحدّد ملامح شخصية الزعيم الديني، الذي ينبغي أن يكون ذا رؤية سياسيّة رشيدة، وعقليّة اقتصاديّة عميقة تمكّنه من فهم قوانين الاقتصاد العالميّ، من أجل أن يتعرّف على مواطن الضعف في النظم غير الإسلاميّة، فالزعيم الذي يطرح نفسه عالمياً لا ينبغي له أن يكون خاوياً من ثقافة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وكاتب هذه السطور لا يدّعي أبداً انتفاء اجتهاد من لا يلمّ بثقافة زمانه، وبالعكس فلا يثبت اجتهاد فردٍ مّا باطّلاعه على ثقافة عصره فحسب، وبالتالي يحقّ له إبداء رأيه في القضايا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في صدد توضيح آراء الإمام الراحل قدس سره التي تتلخّص في أنّه لا يحقّ لمجتهد مّا زعامة الامة والتسلّط على مقدراتها والتدخّل في شؤونها السياسيّة بمجرّد اجتهاده، بل ويجب أن لا يقتصر الفقيه على الفقه في اطره القديمة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أن يتوسّع في مساره الفقهي ليشمل رقعة الحياة العامّة، بكلّ ما تنطوي عليه الحياة من هموم في السياسية والاقتصاد والثقافة، حيث يجب على الفقيه الزعيم أن يكون قديراً في بيان الأحكام الشرعية، والقوانين العامّة للفروعات والمسائل المستحدثة في ميادين السياسة والاقتصاد، معتمداً بذلك القواعد الفقهية المنقّحة في الحوزات العلمية والحسّ الفقهي المنبثق من فهم الآيات القرآنية والروايات</w:t>
      </w:r>
      <w:r>
        <w:rPr>
          <w:rFonts w:eastAsia="Amiri" w:cs="Amiri" w:ascii="Amiri" w:hAnsi="Amiri"/>
          <w:color w:val="111111"/>
          <w:sz w:val="28"/>
          <w:szCs w:val="28"/>
          <w:rtl w:val="true"/>
          <w:lang w:bidi="ar-SA"/>
        </w:rPr>
        <w:t>.</w:t>
      </w:r>
      <w:bookmarkStart w:id="25" w:name="pg1531_18163"/>
    </w:p>
    <w:p>
      <w:pPr>
        <w:pStyle w:val="Heading3"/>
        <w:numPr>
          <w:ilvl w:val="2"/>
          <w:numId w:val="1"/>
        </w:numPr>
        <w:rPr/>
      </w:pPr>
      <w:bookmarkStart w:id="26" w:name="__RefHeading___Toc554934_3650668749"/>
      <w:bookmarkStart w:id="27" w:name="_Toc10"/>
      <w:bookmarkEnd w:id="25"/>
      <w:bookmarkEnd w:id="26"/>
      <w:r>
        <w:rPr>
          <w:rtl w:val="true"/>
        </w:rPr>
        <w:t>اسلوبنا في تحقيق الكتاب</w:t>
      </w:r>
      <w:r>
        <w:rPr>
          <w:rtl w:val="true"/>
        </w:rPr>
        <w:t>:</w:t>
      </w:r>
      <w:bookmarkEnd w:id="27"/>
    </w:p>
    <w:p>
      <w:pPr>
        <w:pStyle w:val="BookText"/>
        <w:rPr/>
      </w:pPr>
      <w:r>
        <w:rPr>
          <w:rFonts w:ascii="Amiri" w:hAnsi="Amiri" w:eastAsia="Amiri" w:cs="Amiri"/>
          <w:color w:val="111111"/>
          <w:sz w:val="28"/>
          <w:sz w:val="28"/>
          <w:szCs w:val="28"/>
          <w:rtl w:val="true"/>
          <w:lang w:bidi="ar-SA"/>
        </w:rPr>
        <w:t xml:space="preserve">سبق وأن أشرنا إلى أن هذه الرسالة الموسومة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الّفت في عام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الدورة الاولى من دروس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الإمام قدس سره قد أضاف إليها فصلين آخرين أحدهما مُلحق ببحثه حول تقليد الأعلم الأفضل، والآخر لاحق بالبحث حول تقليد الميّت، أضافهما قدس سره في دورته الاصولية الثانية عند تدريسه لهذين المبحثين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فقد جاء الفصلان متأخّرين عن موضعيهما المناسبين؛ بسبب انتقال الكتاب إلى صيغته النهائية في سنة الإعداد والتدريس في الدورة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وإنّنا إذ نوضّح ذلك للقُرّاء الكرام ليستبين هدفنا من إنهاء الكتاب في الفصل الثالث، ولنؤكد التزامنا الأمانة في المحافظة على تسلسله في طبعته الاولى التي أعدّها سماحة آية اللَّه الحاج الشيخ مجتبى الطهراني حفظه اللَّه</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554936_3650668749"/>
      <w:bookmarkStart w:id="29" w:name="_Toc11"/>
      <w:bookmarkEnd w:id="28"/>
      <w:r>
        <w:rPr>
          <w:rtl w:val="true"/>
        </w:rPr>
        <w:t>عملنا في الكتاب</w:t>
      </w:r>
      <w:r>
        <w:rPr>
          <w:rtl w:val="true"/>
        </w:rPr>
        <w:t>:</w:t>
      </w:r>
      <w:bookmarkEnd w:id="29"/>
    </w:p>
    <w:p>
      <w:pPr>
        <w:pStyle w:val="BookText"/>
        <w:rPr/>
      </w:pPr>
      <w:r>
        <w:rPr>
          <w:rFonts w:ascii="Amiri" w:hAnsi="Amiri" w:eastAsia="Amiri" w:cs="Amiri"/>
          <w:color w:val="111111"/>
          <w:sz w:val="28"/>
          <w:sz w:val="28"/>
          <w:szCs w:val="28"/>
          <w:rtl w:val="true"/>
          <w:lang w:bidi="ar-SA"/>
        </w:rPr>
        <w:t>وقد جاء منهجنا في تصحيح الكتاب وتخريج نصوصه وأقواله وإعداده للطبع ثانية محققاً منقّحاً وفقاً لما هو معهود ومتّبع في مؤسسة تنظيم ونشر آثار الإمام الخميني قدس سره، فالمراحل التي يمرّ بها الكتاب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مقابلة المطبوع على النسخة المصحّحة أو المخطوطة بقلم المصنّف</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والكتاب الذي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عزيزي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نعثر على نسخته</w:t>
      </w:r>
      <w:bookmarkStart w:id="30" w:name="pg1534_18164"/>
    </w:p>
    <w:p>
      <w:pPr>
        <w:pStyle w:val="BookText"/>
        <w:rPr/>
      </w:pPr>
      <w:bookmarkEnd w:id="3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الأصلية، بل ضاعت بعد الطبعة الاولى، فجعلنا النسخة المتداولة مصدراً وصحّحنا بعض العبائر وغيّرنا بعضاً وقد اشير في المواضع المهمّة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عنونة الفصول والبحوث؛ وفي هذا الكتاب فإنّ بعض عناوين طبعته الاولى تعود إلى المصنّف نفسه وبعضها الآخر إلى منقّحه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قامت المؤسسة بتغيير بعضها وإضافة عناوين جديدة رأتها ضروريّة مع التأكيد على صيانة النصّ من التصحيف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مصادر الآيات والروايات والأقوال سواء صُرِّح بقائلها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الأعلام الذين ورد ذكرهم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ورجالًا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انطلاقاً من أهمّية آثار الإمام وانتشارها في رُقعة واسعة من بلدان العالم الإسلامي، ومثل هذه التراجم ستكون ولاشكّ ضروريّة في رأي القرّاء؛ للإحاطة بموجز عن سيرة هذا أو ذاك من الفقهاء والرواة، ممّن اعتمدهم الإمام في الرواية أو أعرض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فهرسة عامّة لخدمة العلماء والباحثين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نتقدّم إلى اللَّه العلي القدير أن يمنّ علينا بالموفّقية في طريق نشر أفكار الزعيم الديني الأعظم، وداعية الإسلام الأكبر، الذي كان مناراً للدين، ومشعلًا وهّاجاً في طريق الحضارة الإسلامية، الإمام الخميني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تنظيم ونشر آثار الإمام الخميني قدس سره</w:t>
      </w:r>
    </w:p>
    <w:p>
      <w:pPr>
        <w:pStyle w:val="BookText"/>
        <w:rPr/>
      </w:pPr>
      <w:r>
        <w:rPr>
          <w:rFonts w:ascii="Amiri" w:hAnsi="Amiri" w:eastAsia="Amiri" w:cs="Amiri"/>
          <w:color w:val="111111"/>
          <w:sz w:val="28"/>
          <w:sz w:val="28"/>
          <w:szCs w:val="28"/>
          <w:rtl w:val="true"/>
          <w:lang w:bidi="ar-SA"/>
        </w:rPr>
        <w:t>فرع قم المقدّسة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1418</w:t>
      </w:r>
    </w:p>
    <w:p>
      <w:pPr>
        <w:pStyle w:val="Heading2"/>
        <w:numPr>
          <w:ilvl w:val="1"/>
          <w:numId w:val="1"/>
        </w:numPr>
        <w:rPr/>
      </w:pPr>
      <w:bookmarkStart w:id="31" w:name="__RefHeading___Toc554938_3650668749"/>
      <w:bookmarkStart w:id="32" w:name="_Toc12"/>
      <w:bookmarkEnd w:id="31"/>
      <w:r>
        <w:rPr>
          <w:rtl w:val="true"/>
        </w:rPr>
        <w:t>المدخل</w:t>
      </w:r>
      <w:bookmarkEnd w:id="3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الْحَمْدُ لِلَّهِ رَبِّ الْعالَمِينَ والصلاة والسلام على محمّد وآله الطاهرين، ولعنة اللَّه على أعدائهم أجمعين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الاجتهاد والتقليد ونذكر مهمّات مباحثهما، ونترك ما لا ثمرة مهمّة فيه، ونتمّ في ضمن فصول</w:t>
      </w:r>
      <w:bookmarkStart w:id="33" w:name="pg1534_18168"/>
    </w:p>
    <w:p>
      <w:pPr>
        <w:pStyle w:val="Heading2"/>
        <w:numPr>
          <w:ilvl w:val="1"/>
          <w:numId w:val="1"/>
        </w:numPr>
        <w:rPr/>
      </w:pPr>
      <w:bookmarkStart w:id="34" w:name="__RefHeading___Toc554940_3650668749"/>
      <w:bookmarkStart w:id="35" w:name="_Toc13"/>
      <w:bookmarkEnd w:id="33"/>
      <w:bookmarkEnd w:id="34"/>
      <w:r>
        <w:rPr>
          <w:rtl w:val="true"/>
        </w:rPr>
        <w:t>الفصل الأوّل ذكر شؤون الفقيه</w:t>
      </w:r>
      <w:bookmarkEnd w:id="35"/>
    </w:p>
    <w:p>
      <w:pPr>
        <w:pStyle w:val="Heading3"/>
        <w:numPr>
          <w:ilvl w:val="2"/>
          <w:numId w:val="1"/>
        </w:numPr>
        <w:rPr/>
      </w:pPr>
      <w:bookmarkStart w:id="36" w:name="__RefHeading___Toc554942_3650668749"/>
      <w:bookmarkStart w:id="37" w:name="_Toc14"/>
      <w:bookmarkEnd w:id="36"/>
      <w:r>
        <w:rPr>
          <w:rtl w:val="true"/>
        </w:rPr>
        <w:t>اشارة</w:t>
      </w:r>
      <w:bookmarkEnd w:id="37"/>
    </w:p>
    <w:p>
      <w:pPr>
        <w:pStyle w:val="BookText"/>
        <w:rPr/>
      </w:pPr>
      <w:r>
        <w:rPr>
          <w:rFonts w:ascii="Amiri" w:hAnsi="Amiri" w:eastAsia="Amiri" w:cs="Amiri"/>
          <w:color w:val="111111"/>
          <w:sz w:val="28"/>
          <w:sz w:val="28"/>
          <w:szCs w:val="28"/>
          <w:rtl w:val="true"/>
          <w:lang w:bidi="ar-SA"/>
        </w:rPr>
        <w:t>نريد أن نبيّن فيه من لا يجوز له أن يرجع إلى غيره في تكاليفه الشرعيّة، ومن يجوز له العمل على طبق رأيه ويكون معذوراً أو مثاباً لو عمل به، ومن يجوز له الإفتاء، ومن له منصب القضاء ويكون حكمه فاصلًا للخصومة، ومن تكون له الولاية والزعامة في الامور السياسيّة الشرعيّة، ومن يكون مرجعاً للفتيا ويجوز أو يجب لغيره الرجوع إليه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كانت ديانة الإسلام كفيلةً بجميع احتياجات البشر؛ من اموره السياسيّة واجتماعاته المدنيّة إلى حياته الفرديّة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يتّضح ذلك بالرجوع إلى أحكامه في فنون الاحتياجات، وشؤون الاجتماع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يكون لها في كلّ ما أشرنا إليه تكليف، فلنذكر العناوين الستّة في امور</w:t>
      </w:r>
      <w:r>
        <w:rPr>
          <w:rFonts w:eastAsia="Amiri" w:cs="Amiri" w:ascii="Amiri" w:hAnsi="Amiri"/>
          <w:color w:val="111111"/>
          <w:sz w:val="28"/>
          <w:szCs w:val="28"/>
          <w:rtl w:val="true"/>
          <w:lang w:bidi="ar-SA"/>
        </w:rPr>
        <w:t>:</w:t>
      </w:r>
      <w:bookmarkStart w:id="38" w:name="pg1534_18169"/>
    </w:p>
    <w:p>
      <w:pPr>
        <w:pStyle w:val="Heading3"/>
        <w:numPr>
          <w:ilvl w:val="2"/>
          <w:numId w:val="1"/>
        </w:numPr>
        <w:rPr/>
      </w:pPr>
      <w:bookmarkStart w:id="39" w:name="__RefHeading___Toc554944_3650668749"/>
      <w:bookmarkStart w:id="40" w:name="_Toc15"/>
      <w:bookmarkEnd w:id="38"/>
      <w:bookmarkEnd w:id="39"/>
      <w:r>
        <w:rPr>
          <w:rtl w:val="true"/>
        </w:rPr>
        <w:t>الأمر الأوّل حكم من له قوّة الاستنباط فعلًا</w:t>
      </w:r>
      <w:bookmarkEnd w:id="4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الموضوع لعدم جواز الرجوع إلى الغير في التكليف، وعدم جواز تقليد الغير، هو قوّة استنباط الأحكام من الأدّلة وإمكانه، ولو لم يستنبط شيئاً منها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حصولها لشخص من ممارسة مقدّمات الاجتهاد، من غير الرجوع إلى مسألة واحدة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جاهل بالأحكام غير عارف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الرجوع إلى غيره في الفتوى مع قوّة الاستنباط فعلًا وإمكانه له، من غير فرق بين من له قوّة مطلقة، أو في بعض الأبواب، أو الأحكام بالنسبة إليها؛ لأنّ الدليل على جواز رجوع الجاهل إلى العالم، هو 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لفظيّ يتمسّك بإطلاقه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يثبت بناؤهم في مثله، فإنّ من له قوّة الاستنباط، وتتهيّأ له أسبابه، ويحتمل في كلّ مسألة أن تكون الأمارات والاصول الموجودة فيها، مخالفة لرأي غيره بنظره، ويكون غيره مخطئاً في اجتهاده،</w:t>
      </w:r>
    </w:p>
    <w:p>
      <w:pPr>
        <w:pStyle w:val="BookText"/>
        <w:rPr/>
      </w:pPr>
      <w:r>
        <w:rPr>
          <w:rFonts w:ascii="Amiri" w:hAnsi="Amiri" w:eastAsia="Amiri" w:cs="Amiri"/>
          <w:color w:val="111111"/>
          <w:sz w:val="28"/>
          <w:sz w:val="28"/>
          <w:szCs w:val="28"/>
          <w:rtl w:val="true"/>
          <w:lang w:bidi="ar-SA"/>
        </w:rPr>
        <w:t>وتكون له طرق فعليّة إلى إحراز تكليفه، لا يعذره العقلاء في رجوعه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بناء العقلاء ظاهراً، هو الجاهل الذي لا يتمكّن من تحصيل الطريق فعلًا إلى الواقع، لا مثل هذا الشخص الذي تكون الطرق والأمارات إلى الواقع وإلى وظائفه، موجودة لديه، ولم يكن الفاصل بينه وبين العلم بوظائفه وتكاليفه، إلّاالنظر والرجوع إلى الكتب المعدّة لذلك، فيجب عليه عقلًا الاجتهاد، وبذل الوسع في تحصيل مطلوبات الشرع، وما يحتاج إليه في أعمال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قد يتراء ى من رجوع بعض أصحاب الصناعات أحياناً إلى بعض في تشخيص بعض الامور، إنّما هو من باب ترجيح بعض الأغراض على بعض، كما لو كان له شغل أهمّ من تشخيص ذلك الموضوع، أو يكون من باب الاحتياط وتقوية نظره بنظره، أو من باب رفع اليد عن بعض الأغراض؛ لأجل عدم الاهتمام به، وترجيح الاستراحة عليه وغير ذلك، وقياس التكاليف الإلهيّة بها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رجوع الجاهل في كلّ صنعة إلى الخبير فيها، إنّما هو لأجل إلغاء احتمال الخلاف، وكون نظره مصيباً فيه نوعاً، ومبنى العقلاء فيه هو المبنى في العمل على أصالة الصحّة، وخبر الثقة، واليد، وأمثالها، وهذا محقّق في الجاهل الذي له قوّة الاستنباط وغيره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الناظر في المسألة إذا كان نظره مخالفاً لغيره، لا يجوز له الرجوع إليه؛ لتخطئة اجتهاده في نظره، وأمّا غيره فيجوز له الرجوع إليه؛ بمناط رجوع الجاهل إلى العالم، وهو إلغاء احتمال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إشكال، خصوصاً مع ما يرى من كثرة اختلاف نظر الفقهاء في الأحكام، ولهذا يحتمل أن يكون للانسداد دخالة في ذلك الرجوع</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يكون مبنى المسألة سيرة المتشرّعة، والقدر المتيقّن منها غير ما نحن فيه؛ والمسألة مشكلة، وسيأتي مزيد توضيح إن شاء اللَّه </w:t>
      </w:r>
      <w:r>
        <w:rPr>
          <w:rStyle w:val="FootnoteAnchor"/>
          <w:rtl w:val="true"/>
        </w:rPr>
        <w:footnoteReference w:id="7"/>
      </w:r>
      <w:bookmarkStart w:id="41" w:name="pg1534_18172"/>
    </w:p>
    <w:p>
      <w:pPr>
        <w:pStyle w:val="Heading3"/>
        <w:numPr>
          <w:ilvl w:val="2"/>
          <w:numId w:val="1"/>
        </w:numPr>
        <w:rPr/>
      </w:pPr>
      <w:bookmarkStart w:id="42" w:name="__RefHeading___Toc554946_3650668749"/>
      <w:bookmarkStart w:id="43" w:name="_Toc16"/>
      <w:bookmarkEnd w:id="41"/>
      <w:bookmarkEnd w:id="42"/>
      <w:r>
        <w:rPr>
          <w:rtl w:val="true"/>
        </w:rPr>
        <w:t>الأمر الثاني بيان مقدّمات الاجتهاد</w:t>
      </w:r>
      <w:bookmarkEnd w:id="43"/>
    </w:p>
    <w:p>
      <w:pPr>
        <w:pStyle w:val="BookText"/>
        <w:rPr/>
      </w:pPr>
      <w:r>
        <w:rPr>
          <w:rFonts w:ascii="Amiri" w:hAnsi="Amiri" w:eastAsia="Amiri" w:cs="Amiri"/>
          <w:color w:val="111111"/>
          <w:sz w:val="28"/>
          <w:sz w:val="28"/>
          <w:szCs w:val="28"/>
          <w:rtl w:val="true"/>
          <w:lang w:bidi="ar-SA"/>
        </w:rPr>
        <w:t>موضوع جوازالعمل على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مثاباً أومعذوراً في العمل به عقلًا وشرعاً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تحصيل الحكم الشرعيّ المستنبط بالطرق المتعارفة لدى أصحاب الفنّ، أو تحصيل العذر كذلك، وهو لا يحصل إلّابتحصيل مقدّمات الاجتهاد، وهى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بفنون العلوم العربيّة بمقدار يحتاج إليه في فهم الكتاب والسنّة، فكثيراً ما يقع المحصّل في خلاف الواقع؛ لأجل القصور في فهم اللّغة وخصوصيّات كلام العرب لدى المحاورات، فلابدّ له من التدبّر في محاورات أهل اللّسان، وتحصيل علم اللّغة وسائر العلوم العربيّة بالمقدار المحتاج إليه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 بالمحاورات العرفيّة وفهم الموضوعات العرفيّة؛ ممّا جرت محاورة الكتاب والسنّة على طبقها، والاحتراز عن الخلط بين دقائق العلوم</w:t>
      </w:r>
    </w:p>
    <w:p>
      <w:pPr>
        <w:pStyle w:val="BookText"/>
        <w:rPr/>
      </w:pPr>
      <w:r>
        <w:rPr>
          <w:rFonts w:ascii="Amiri" w:hAnsi="Amiri" w:eastAsia="Amiri" w:cs="Amiri"/>
          <w:color w:val="111111"/>
          <w:sz w:val="28"/>
          <w:sz w:val="28"/>
          <w:szCs w:val="28"/>
          <w:rtl w:val="true"/>
          <w:lang w:bidi="ar-SA"/>
        </w:rPr>
        <w:t>والعقليّات الرقيقة وبين المعاني العرفية العاديّة؛ فإنّه كثيراً ما يقع الخطأ لأجله، كما يتّفق كثيراً لبعض المشتغلين بدقائق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اصول الفقه بالمعنى الرائج في أعصارنا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الخلطُ بين المعاني العرفيّة السوقيّة الرائجة بين أهل المحاورة المبنيّ عليها الكتاب والسنّة، والدقائق الخارجة عن فهم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يوقع الخلط لبعضهم بين الاصطلاحات الرائجة في العلوم الفلسفيّة أو الأدقّ منها، وبين المعاني العرفيّة، في خلاف الواقع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المنطق بمقدار تشخيص الأقيسة، وترتيب الحدود، وتنظيم الأشكال من الاقترانيّات وغيرها، وتمييز عقيمها من غيرها، والمباحث الرائجة منه في نوع المحاورات؛ لئلّا يقع في الخطأ، لأجل إهمال بعض قواعده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تفاصيل قواعده ودقائقه الغير الرائجة في لسان أهل المحاورة، فليست لازمة، ولا يحتاج إليها في الاستنباط</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المهمّات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بمهمّات مسائل اصول الفقه؛ ممّا هي دخيلة في فهم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المسائل التي لا ثمرة لها، أو لا يحتاج في تثمير الثمرة منها إلى تلك التدقيقات والتفاصيل المتداولة، فالأولى ترك التعرّض لها، أو تقصير مباحثها والاشتغال بما هو أهمّ وأثمر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أنكر دخالة علم الاصول في استنباط الأحكام </w:t>
      </w:r>
      <w:r>
        <w:rPr>
          <w:rStyle w:val="FootnoteAnchor"/>
          <w:rtl w:val="true"/>
        </w:rPr>
        <w:footnoteReference w:id="8"/>
      </w:r>
      <w:r>
        <w:rPr>
          <w:rFonts w:ascii="Amiri" w:hAnsi="Amiri" w:eastAsia="Amiri" w:cs="Amiri"/>
          <w:color w:val="111111"/>
          <w:sz w:val="28"/>
          <w:sz w:val="28"/>
          <w:szCs w:val="28"/>
          <w:rtl w:val="true"/>
          <w:lang w:bidi="ar-SA"/>
        </w:rPr>
        <w:t>، فقد أفرط؛ ضرورة تقوّم استنباط كثير من الأحكام بإتقان مسائله، وبدونه يتعذّر الاستنباط في هذا الزمان، وقياس زمان أصحاب</w:t>
      </w:r>
    </w:p>
    <w:p>
      <w:pPr>
        <w:pStyle w:val="BookText"/>
        <w:rPr/>
      </w:pPr>
      <w:r>
        <w:rPr>
          <w:rFonts w:ascii="Amiri" w:hAnsi="Amiri" w:eastAsia="Amiri" w:cs="Amiri"/>
          <w:color w:val="111111"/>
          <w:sz w:val="28"/>
          <w:sz w:val="28"/>
          <w:szCs w:val="28"/>
          <w:rtl w:val="true"/>
          <w:lang w:bidi="ar-SA"/>
        </w:rPr>
        <w:t>الأئمّة بزماننا مع الفارق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وظنّي أنّ تشديد نكير بعض أصحابنا الأخباريّين على الاصوليّين في تدوين الاصول، وتفرّع الأحكام عليها</w:t>
      </w:r>
      <w:r>
        <w:rPr>
          <w:rStyle w:val="FootnoteAnchor"/>
          <w:rtl w:val="true"/>
        </w:rPr>
        <w:footnoteReference w:id="9"/>
      </w:r>
      <w:r>
        <w:rPr>
          <w:rFonts w:ascii="Amiri" w:hAnsi="Amiri" w:eastAsia="Amiri" w:cs="Amiri"/>
          <w:color w:val="111111"/>
          <w:sz w:val="28"/>
          <w:sz w:val="28"/>
          <w:szCs w:val="28"/>
          <w:rtl w:val="true"/>
          <w:lang w:bidi="ar-SA"/>
        </w:rPr>
        <w:t>، إنّما نشأ من ملاحظة بعض مباحث كتب الاصول؛ ممّا هى شبيهة في كيفيّة الاستدلال والنقض والابرام بكتب العامّ، فظنّوا أنّ مباني استنباطهم الأحكام الشرعيّة أيضاً شبيهة بهم؛ من استعمال القياس والاستحسان والظنون، مع أنّ المطّلع على طريقتهم في استنباطها، يرى أنّهم لم يتعدّوا عن الكتاب والسّنة والإجماع الراجع إلى كشف الدليل المعتبر، لا المصطلح بين العامّة</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ربّما يوجد في بعض كتب الأعاظم لبعض الفروع المستنبطة من الأخبار، استدلالات شبيهة باستدلالاتهم؛ لمصالح منظورة في تلك الأزمنة، وهذا لا يوجب الطعن على أساطين الدين وقوّام المذهب</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إنكارهم في جانب الإفراط، كما أنّ كثرة اشتغال بعض طلبة الاصول والنظر إليه استقلالًا، وتوهّم أنّه علم برأسه، وتحصيلَه كمال النفس </w:t>
      </w:r>
      <w:r>
        <w:rPr>
          <w:rStyle w:val="FootnoteAnchor"/>
          <w:rtl w:val="true"/>
        </w:rPr>
        <w:footnoteReference w:id="11"/>
      </w:r>
      <w:r>
        <w:rPr>
          <w:rFonts w:ascii="Amiri" w:hAnsi="Amiri" w:eastAsia="Amiri" w:cs="Amiri"/>
          <w:color w:val="111111"/>
          <w:sz w:val="28"/>
          <w:sz w:val="28"/>
          <w:szCs w:val="28"/>
          <w:rtl w:val="true"/>
          <w:lang w:bidi="ar-SA"/>
        </w:rPr>
        <w:t>، وصرفَ العمر في المباحث الغير المحتاج إليها في الفقه لهذا التوهّم، في</w:t>
      </w:r>
    </w:p>
    <w:p>
      <w:pPr>
        <w:pStyle w:val="BookText"/>
        <w:rPr/>
      </w:pPr>
      <w:r>
        <w:rPr>
          <w:rFonts w:ascii="Amiri" w:hAnsi="Amiri" w:eastAsia="Amiri" w:cs="Amiri"/>
          <w:color w:val="111111"/>
          <w:sz w:val="28"/>
          <w:sz w:val="28"/>
          <w:szCs w:val="28"/>
          <w:rtl w:val="true"/>
          <w:lang w:bidi="ar-SA"/>
        </w:rPr>
        <w:t>طرف التفريط، والعذر بأنّ الاشتغال بتلك المباحث يوجب تشحيذ الذهن والانس بدقائق الفنّ، غير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فالعاقل الضنين بنقد عمره، لابدّ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من ترك صرفه فيما لا يعني، وبذل جهده فيما هو محتاج إليه في معاشه ومعاده؛ وهو نفس مسائل علم الفقه الذي هو قانون المعاش والمعاد، وطريق الوصول إلى قرب الربّ بعد العلم بالمعارف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فطالب العلم والسعادة لابدّ وأن يشتغل بعلم الاصول بمقدار محتاج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يتوقّف عليه الاستنباط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ويترك فضول مباحثه أو يقلّله، وصرف الهمّ والوقت في مباحث الفقه، خصوصاً فيما يحتاج إليه في عمله ليلًا ونهاراً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الرجال بمقدار يحتاج إليه في تشخيص الروايات، ولو بالمراجعة إلى الكتب المعدّة له حال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الاحتياج إليه؛ لقطعيّة صدور ما في الكتب الأربعة، أو شهادة مصنّفيها بصحّة جميعها</w:t>
      </w:r>
      <w:r>
        <w:rPr>
          <w:rStyle w:val="FootnoteAnchor"/>
          <w:rtl w:val="true"/>
        </w:rPr>
        <w:footnoteReference w:id="12"/>
      </w:r>
      <w:r>
        <w:rPr>
          <w:rFonts w:ascii="Amiri" w:hAnsi="Amiri" w:eastAsia="Amiri" w:cs="Amiri"/>
          <w:color w:val="111111"/>
          <w:sz w:val="28"/>
          <w:sz w:val="28"/>
          <w:szCs w:val="28"/>
          <w:rtl w:val="true"/>
          <w:lang w:bidi="ar-SA"/>
        </w:rPr>
        <w:t xml:space="preserve">، أو غير ذلك </w:t>
      </w:r>
      <w:r>
        <w:rPr>
          <w:rStyle w:val="FootnoteAnchor"/>
          <w:rtl w:val="true"/>
        </w:rPr>
        <w:footnoteReference w:id="13"/>
      </w:r>
      <w:r>
        <w:rPr>
          <w:rFonts w:ascii="Amiri" w:hAnsi="Amiri" w:eastAsia="Amiri" w:cs="Amiri"/>
          <w:color w:val="111111"/>
          <w:sz w:val="28"/>
          <w:sz w:val="28"/>
          <w:szCs w:val="28"/>
          <w:rtl w:val="true"/>
          <w:lang w:bidi="ar-SA"/>
        </w:rPr>
        <w:t>، كما ترى</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الأهمّ الألزم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الكتاب والسنّة؛ ممّا يحتاج إليه في الاستنباط ولو بالرجوع إليهما حال الاستنباط، والفحص عن معانيهما لغة وعرفاً، وعن معارضاتهما والقرائن الصارفة بقدر الإمكان والوسع، وعدم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والرجوعُ إلى شأن نزول الآيات وكيفيّة استدلال الأئمّة عليهم السلام بها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والمهمّ للطالب المستنبط الانس بالأخبار الصادرة عن أهل البيت؛ فإنّها</w:t>
      </w:r>
    </w:p>
    <w:p>
      <w:pPr>
        <w:pStyle w:val="BookText"/>
        <w:rPr/>
      </w:pPr>
      <w:r>
        <w:rPr>
          <w:rFonts w:ascii="Amiri" w:hAnsi="Amiri" w:eastAsia="Amiri" w:cs="Amiri"/>
          <w:color w:val="111111"/>
          <w:sz w:val="28"/>
          <w:sz w:val="28"/>
          <w:szCs w:val="28"/>
          <w:rtl w:val="true"/>
          <w:lang w:bidi="ar-SA"/>
        </w:rPr>
        <w:t>رحى العلم، وعليها يدور الاجتهاد، والانس بلسانهم وكيفيّة محاوراتهم ومخاطباتهم، من أهمّ الامور للمحصّل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داود بن فرقد</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انظر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ورجال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أفقه الناس إذا عرفتم معاني كلامنا؛ إنّ الكلمة لتنصرف على وجوه، فلو شاء إنسان لصرف كلامه كيف شاء ولا يكذب</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ردّ متشابه القرآن إلى محكمه فَقَدْ هُدِيَ إِلى صِراطٍ 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أخبارنا محكماً كمحكم القرآن، ومتشابهاً كمتشابه القرآن، فردّوا متشابهها إلى محكمها، ولا تتّبعوا متشابهها دون محكمها فتضلّوا</w:t>
      </w:r>
      <w:r>
        <w:rPr>
          <w:rFonts w:eastAsia="Amiri" w:cs="Amiri" w:ascii="Amiri" w:hAnsi="Amiri"/>
          <w:color w:val="111111"/>
          <w:sz w:val="28"/>
          <w:szCs w:val="28"/>
          <w:rtl w:val="true"/>
          <w:lang w:bidi="ar-SA"/>
        </w:rPr>
        <w:t>)</w:t>
      </w:r>
      <w:r>
        <w:rPr>
          <w:rStyle w:val="FootnoteAnchor"/>
          <w:rtl w:val="true"/>
        </w:rPr>
        <w:footnoteReference w:id="1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تكرير تفريع الفروع على الاصول، حتّى تحصل له قوّة الاستنباط</w:t>
      </w:r>
    </w:p>
    <w:p>
      <w:pPr>
        <w:pStyle w:val="BookText"/>
        <w:rPr/>
      </w:pPr>
      <w:r>
        <w:rPr>
          <w:rFonts w:ascii="Amiri" w:hAnsi="Amiri" w:eastAsia="Amiri" w:cs="Amiri"/>
          <w:color w:val="111111"/>
          <w:sz w:val="28"/>
          <w:sz w:val="28"/>
          <w:szCs w:val="28"/>
          <w:rtl w:val="true"/>
          <w:lang w:bidi="ar-SA"/>
        </w:rPr>
        <w:t>وتكمل فيه؛ فإنَّ الاجتهاد من العلوم العمليّة، وللعمل فيه دخالة تامّة،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الفحص الكامل عن كلمات القوم، خصوصاً قدماؤهم الذين دأبهم الفتوى بمتون الأخبار، كشيخ الطائفة</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توفيّ رحمه الله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ودفن بداره في الغريّ، التي صارت بعد ذلك مسجداً يعرف باسمه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خاتمة المستدرك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ومقدمة العلّامة الحجّة آغا بزرگ الطهرانيّ على تفسير التبيان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بعض مصنّفاته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والصدوقين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أمّا الأب، فهو الشيخ الأقدم، والطود الأشم، العالم الفقيه المحدّث، صاحب المقامات الباهرة، والدرجات الرفيعة؛ أبو الحسن عليّ بن الحسين بن موسى بن بابويه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خاطبه الإمام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عن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 يا شيخى ومعتمدي وفقيهي؛ أبا الحسن عليّ بن الحسين بن بابويه القمّي، وفّقك اللَّه لمرضاته، وجعل من ولدك أولاداً صالحين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p>
    <w:p>
      <w:pPr>
        <w:pStyle w:val="BookText"/>
        <w:rPr/>
      </w:pPr>
      <w:r>
        <w:rPr>
          <w:rFonts w:ascii="Amiri" w:hAnsi="Amiri" w:eastAsia="Amiri" w:cs="Amiri"/>
          <w:color w:val="111111"/>
          <w:sz w:val="28"/>
          <w:sz w:val="28"/>
          <w:szCs w:val="28"/>
          <w:rtl w:val="true"/>
          <w:lang w:bidi="ar-SA"/>
        </w:rPr>
        <w:t>وكان رحمه الله أوّل من ابتكر طرح الأسانيد، والجمع بين النظائر والإتيان بالخبر مع قرينه، وذلك في رسالة الشرائع التي أ لّفها لولده وبعض فقراتها مذكور فى الفقيه والهداية والمقنع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ونظراً للثقة المطلقة التي منحها الأصحاب إيّاه، ولاعتمادهم المطلق عليه، لذا فقد كانوا يأخذون الفتاوى من رسالته إذا أعوزهم النصّ، وهذا من متفرّداته قدّس اللَّه نفسه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رحمه الله 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رجال النجاشي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684</w:t>
      </w:r>
      <w:r>
        <w:rPr>
          <w:rFonts w:ascii="Amiri" w:hAnsi="Amiri" w:eastAsia="Amiri" w:cs="Amiri"/>
          <w:color w:val="111111"/>
          <w:sz w:val="28"/>
          <w:sz w:val="28"/>
          <w:szCs w:val="28"/>
          <w:rtl w:val="true"/>
          <w:lang w:bidi="ar-SA"/>
        </w:rPr>
        <w:t xml:space="preserve">، وخاتمة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الابن، فهو شيخ من مشايخ الشيعة، وركن من أركان الشريعة، رئيس المحدّثين، والصدوق فيما يرويه عن الأئمّة عليهم السلام؛ أبو جعفر محمّد بن عليّ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فى حدود سنة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بدعاء صاحب الأمر عليه السلام، ونال بذلك عظيم الفضل والفخر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الإمام عليه السلام في التوقيع الخارج من ناحيته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خيّر مبارك ينفع اللَّه به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p>
    <w:p>
      <w:pPr>
        <w:pStyle w:val="BookText"/>
        <w:rPr/>
      </w:pPr>
      <w:r>
        <w:rPr>
          <w:rFonts w:ascii="Amiri" w:hAnsi="Amiri" w:eastAsia="Amiri" w:cs="Amiri"/>
          <w:color w:val="111111"/>
          <w:sz w:val="28"/>
          <w:sz w:val="28"/>
          <w:szCs w:val="28"/>
          <w:rtl w:val="true"/>
          <w:lang w:bidi="ar-SA"/>
        </w:rPr>
        <w:t>فكان منذ حداثته اعجوبة عصره فى كثرة حفظه، وكلّما روى شيئاً تعجّب الناس منه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الشأن خصوصيّة لك ولأخيك؛ لأنّكما ولدتما بدعاء الصاحب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غرو في ذلك فقد ورد الصدوق بغداد وهو حدث السن، فسمع منه شيوخ الطائفة، كمحمّد بن هارون التلعكبريّ، والمفيد، والحسين الغضائرىّ، ووالد الشيخ النجّاشيّ، وجعفر بن حسكة القمّي، ومحمّد بن سليم الحمرانيّ، وغيرهم من أعاظم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نحو من ثلاثمائة مصنف، أهم ما وصل منها كتاب من لا يحضره الفقيه، والتوحيد، والخصال، وعلل الشرائع، وغيرها ومنها الهداية والمقنع فكثير من عبائرهما مطابق لمتون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رحمه الله بالري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تنقيح المقال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وخاتمة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ومن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يحذو حذوهم، ويقرب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أعصارهم </w:t>
      </w:r>
      <w:r>
        <w:rPr>
          <w:rStyle w:val="FootnoteAnchor"/>
          <w:rtl w:val="true"/>
        </w:rPr>
        <w:footnoteReference w:id="18"/>
      </w:r>
      <w:r>
        <w:rPr>
          <w:rFonts w:ascii="Amiri" w:hAnsi="Amiri" w:eastAsia="Amiri" w:cs="Amiri"/>
          <w:color w:val="111111"/>
          <w:sz w:val="28"/>
          <w:sz w:val="28"/>
          <w:szCs w:val="28"/>
          <w:rtl w:val="true"/>
          <w:lang w:bidi="ar-SA"/>
        </w:rPr>
        <w:t>، لئلّا يقع في خلاف الشهرة</w:t>
      </w:r>
    </w:p>
    <w:p>
      <w:pPr>
        <w:pStyle w:val="BookText"/>
        <w:rPr/>
      </w:pPr>
      <w:r>
        <w:rPr>
          <w:rFonts w:ascii="Amiri" w:hAnsi="Amiri" w:eastAsia="Amiri" w:cs="Amiri"/>
          <w:color w:val="111111"/>
          <w:sz w:val="28"/>
          <w:sz w:val="28"/>
          <w:szCs w:val="28"/>
          <w:rtl w:val="true"/>
          <w:lang w:bidi="ar-SA"/>
        </w:rPr>
        <w:t>القديمة التي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مناط الإجماع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ولابدّ للطالب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الاعتناء بكلمات أمثالهم، وبطريقتهم في الفقه، وطرز استنباطهم، فإنّهم أساطين الفنّ، مع قربهم بزمان الأئمّة، وكون كثير من الاصول لديهم ممّا هي مفقودة في الأعصار المتأخّرة، حتّى زمن المحقّق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انظر رجال ابن داود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وتنقيح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وقاموس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والعلّامة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تنقيح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وخاتمة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الفحص عن فتاوى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في مورد تعارض الأخبار، فإنّه المحتاج إليه في علاج التعارض، بل الفحص عن أخبارهم؛ فإنّه ربّما يعينه في فهم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استنبط حكماً شرعيّاً بعد الجهد الكامل وبذل الوسع فيما تقدّم، يجوز له العمل بما استنبط، ويكون معذوراً لو فرض تخلّفه عن الواقع</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جواز الإفتاء أيضاً عين ما ذكر؛ فإنّه إذا اجتهد واستنبط الحكم الواقعيّ أو الظاهريّ، فكما يجوز له العمل به، يجوز له الإفتاء به، وهذا واضح</w:t>
      </w:r>
      <w:r>
        <w:rPr>
          <w:rFonts w:eastAsia="Amiri" w:cs="Amiri" w:ascii="Amiri" w:hAnsi="Amiri"/>
          <w:color w:val="111111"/>
          <w:sz w:val="28"/>
          <w:szCs w:val="28"/>
          <w:rtl w:val="true"/>
          <w:lang w:bidi="ar-SA"/>
        </w:rPr>
        <w:t>.</w:t>
      </w:r>
      <w:bookmarkStart w:id="44" w:name="pg1534_18181"/>
    </w:p>
    <w:p>
      <w:pPr>
        <w:pStyle w:val="Heading3"/>
        <w:numPr>
          <w:ilvl w:val="2"/>
          <w:numId w:val="1"/>
        </w:numPr>
        <w:rPr/>
      </w:pPr>
      <w:bookmarkStart w:id="45" w:name="__RefHeading___Toc554948_3650668749"/>
      <w:bookmarkStart w:id="46" w:name="_Toc17"/>
      <w:bookmarkEnd w:id="44"/>
      <w:bookmarkEnd w:id="45"/>
      <w:r>
        <w:rPr>
          <w:rtl w:val="true"/>
        </w:rPr>
        <w:t>الأمر الثالث البحث حول منصب القضاء والحكومة</w:t>
      </w:r>
      <w:bookmarkEnd w:id="46"/>
    </w:p>
    <w:p>
      <w:pPr>
        <w:pStyle w:val="Heading4"/>
        <w:numPr>
          <w:ilvl w:val="3"/>
          <w:numId w:val="1"/>
        </w:numPr>
        <w:rPr/>
      </w:pPr>
      <w:bookmarkStart w:id="47" w:name="__RefHeading___Toc554950_3650668749"/>
      <w:bookmarkStart w:id="48" w:name="_Toc18"/>
      <w:bookmarkEnd w:id="47"/>
      <w:r>
        <w:rPr>
          <w:rtl w:val="true"/>
        </w:rPr>
        <w:t>اشارة</w:t>
      </w:r>
      <w:bookmarkEnd w:id="48"/>
    </w:p>
    <w:p>
      <w:pPr>
        <w:pStyle w:val="BookText"/>
        <w:rPr/>
      </w:pPr>
      <w:r>
        <w:rPr>
          <w:rFonts w:ascii="Amiri" w:hAnsi="Amiri" w:eastAsia="Amiri" w:cs="Amiri"/>
          <w:color w:val="111111"/>
          <w:sz w:val="28"/>
          <w:sz w:val="28"/>
          <w:szCs w:val="28"/>
          <w:rtl w:val="true"/>
          <w:lang w:bidi="ar-SA"/>
        </w:rPr>
        <w:t>موضوع القضاء ليس هو ما تقدّم؛ لأنّه لمّا كان من المناصب المجعولة، فلابدّ من ملاحظة دليل جعله سعةً وضيقاً، وكذا الحال في الحكومة ونفوذ الحكم في الامور السياسيّة؛ ممّا يحتاج إليه الناس في حياتهم المدنيّة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الأصل عدم نفوذ حكم أحد على غيره، قضاءً كان أو غيره، نبيّاً كان الحاكم أو وصيّ نبيّ أو غيرهما، ومجرّد النبوّة والرسالة والوصاية 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درجة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الفضائل، لا يوجب أن يكون حكم صاحبها نافذاً وقضاؤه فاصلًا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يحكم به العقل، هو نفوذ 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خلقه؛ لكونه مالكهم وخالقهم، والتصرّف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نحو من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تصرّفاً في ملكه وسلطانه، وهو تعالى شأنه سلطان على كلّ الخلائق بالاستحقاق الذاتيّ، وسلطنة</w:t>
      </w:r>
    </w:p>
    <w:p>
      <w:pPr>
        <w:pStyle w:val="BookText"/>
        <w:rPr/>
      </w:pPr>
      <w:r>
        <w:rPr>
          <w:rFonts w:ascii="Amiri" w:hAnsi="Amiri" w:eastAsia="Amiri" w:cs="Amiri"/>
          <w:color w:val="111111"/>
          <w:sz w:val="28"/>
          <w:sz w:val="28"/>
          <w:szCs w:val="28"/>
          <w:rtl w:val="true"/>
          <w:lang w:bidi="ar-SA"/>
        </w:rPr>
        <w:t>غيره ونفوذ حكمه وقضائه تحتاج إلى جعله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نصب النبيَّ للخلافة والحكومة مطلقاً؛ قضاءً كانت أو غيره، فهو صلّى اللَّه عليه وآله سلطان من قبل اللَّه تعالى على العباد بجعله؛ قال تعالى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أَطِيعُوا الرَّسُولَ وَ أُولِي الْأَمْرِ مِنْكُمْ فَإِنْ تَنازَعْتُمْ فِي شَيْ‌ءٍ فَرُدُّوهُ إِلَى اللَّهِ وَ الرَّسُولِ</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تَسْلِيماً</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بعد النبيّ صلى الله عليه و آله و سلم كان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بعد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سلطاناً وحاكماً على العباد، ونافذاً حكمهم من قبل نصب اللَّه تعالى ونصب النبيّ؛ بمقتضى الآية المتقدّمة، والروايات المتواترة بين الفريقين عن النبيّ صلى الله عليه و آله و سلم </w:t>
      </w:r>
      <w:r>
        <w:rPr>
          <w:rStyle w:val="FootnoteAnchor"/>
          <w:rtl w:val="true"/>
        </w:rPr>
        <w:footnoteReference w:id="2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ما إن أخذتم به لن تضلّوا بعدي؛ الثقلين، أحدهما أكبر من الآخر؛ كتاب اللَّه حبل محدود من السماء إلى الأرض، وعترتي أهل بيتي، ألا وإنّهما لن يفترقا حتّى يردا عليّ الحوض</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p>
    <w:p>
      <w:pPr>
        <w:pStyle w:val="BookText"/>
        <w:rPr/>
      </w:pPr>
      <w:r>
        <w:rPr>
          <w:rFonts w:ascii="Amiri" w:hAnsi="Amiri" w:eastAsia="Amiri" w:cs="Amiri"/>
          <w:color w:val="111111"/>
          <w:sz w:val="28"/>
          <w:sz w:val="28"/>
          <w:szCs w:val="28"/>
          <w:rtl w:val="true"/>
          <w:lang w:bidi="ar-SA"/>
        </w:rPr>
        <w:t xml:space="preserve">انظر سنن الترمذي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3874</w:t>
      </w:r>
      <w:r>
        <w:rPr>
          <w:rFonts w:ascii="Amiri" w:hAnsi="Amiri" w:eastAsia="Amiri" w:cs="Amiri"/>
          <w:color w:val="111111"/>
          <w:sz w:val="28"/>
          <w:sz w:val="28"/>
          <w:szCs w:val="28"/>
          <w:rtl w:val="true"/>
          <w:lang w:bidi="ar-SA"/>
        </w:rPr>
        <w:t>، والشفا، القاضي عياضي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والدر المنثور، السيوطي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ومشكاة المصابيح،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 الاسلامي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6144</w:t>
      </w:r>
      <w:r>
        <w:rPr>
          <w:rFonts w:ascii="Amiri" w:hAnsi="Amiri" w:eastAsia="Amiri" w:cs="Amiri"/>
          <w:color w:val="111111"/>
          <w:sz w:val="28"/>
          <w:sz w:val="28"/>
          <w:szCs w:val="28"/>
          <w:rtl w:val="true"/>
          <w:lang w:bidi="ar-SA"/>
        </w:rPr>
        <w:t>، وإتحاف السادة المتّقين،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اوفسيت لبنان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والأمالي، الشجريّ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وكنز العمّال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873</w:t>
      </w:r>
      <w:r>
        <w:rPr>
          <w:rFonts w:ascii="Amiri" w:hAnsi="Amiri" w:eastAsia="Amiri" w:cs="Amiri"/>
          <w:color w:val="111111"/>
          <w:sz w:val="28"/>
          <w:sz w:val="28"/>
          <w:szCs w:val="28"/>
          <w:rtl w:val="true"/>
          <w:lang w:bidi="ar-SA"/>
        </w:rPr>
        <w:t xml:space="preserve">، والكافي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والأمالي،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فوارق 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وكقوله صلى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الدين قائماً حتّى يكون اثنا عشر خليفة من قريش</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p>
    <w:p>
      <w:pPr>
        <w:pStyle w:val="BookText"/>
        <w:rPr/>
      </w:pPr>
      <w:r>
        <w:rPr>
          <w:rFonts w:ascii="Amiri" w:hAnsi="Amiri" w:eastAsia="Amiri" w:cs="Amiri"/>
          <w:color w:val="111111"/>
          <w:sz w:val="28"/>
          <w:sz w:val="28"/>
          <w:szCs w:val="28"/>
          <w:rtl w:val="true"/>
          <w:lang w:bidi="ar-SA"/>
        </w:rPr>
        <w:t xml:space="preserve">انظر مسند أحمد بن حنبل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ودلائل النبوّة،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والمعجم الكبير، الطبراني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1896</w:t>
      </w:r>
      <w:r>
        <w:rPr>
          <w:rFonts w:ascii="Amiri" w:hAnsi="Amiri" w:eastAsia="Amiri" w:cs="Amiri"/>
          <w:color w:val="111111"/>
          <w:sz w:val="28"/>
          <w:sz w:val="28"/>
          <w:szCs w:val="28"/>
          <w:rtl w:val="true"/>
          <w:lang w:bidi="ar-SA"/>
        </w:rPr>
        <w:t xml:space="preserve">، وصحيح مسلم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وكنز العمّال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33855</w:t>
      </w:r>
      <w:r>
        <w:rPr>
          <w:rFonts w:ascii="Amiri" w:hAnsi="Amiri" w:eastAsia="Amiri" w:cs="Amiri"/>
          <w:color w:val="111111"/>
          <w:sz w:val="28"/>
          <w:sz w:val="28"/>
          <w:szCs w:val="28"/>
          <w:rtl w:val="true"/>
          <w:lang w:bidi="ar-SA"/>
        </w:rPr>
        <w:t>، والسلسلة الصحيحة،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ascii="Amiri" w:hAnsi="Amiri" w:eastAsia="Amiri" w:cs="Amiri"/>
          <w:color w:val="111111"/>
          <w:sz w:val="28"/>
          <w:sz w:val="28"/>
          <w:szCs w:val="28"/>
          <w:rtl w:val="true"/>
          <w:lang w:bidi="ar-SA"/>
        </w:rPr>
        <w:t xml:space="preserve">، والكافي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والخصال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فوارق يسيرة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واصول المذهب،</w:t>
      </w:r>
      <w:bookmarkStart w:id="49" w:name="pg1534_18183"/>
    </w:p>
    <w:p>
      <w:pPr>
        <w:pStyle w:val="BookText"/>
        <w:rPr/>
      </w:pPr>
      <w:bookmarkEnd w:id="49"/>
      <w:r>
        <w:rPr>
          <w:rFonts w:ascii="Amiri" w:hAnsi="Amiri" w:eastAsia="Amiri" w:cs="Amiri"/>
          <w:color w:val="111111"/>
          <w:sz w:val="28"/>
          <w:sz w:val="28"/>
          <w:szCs w:val="28"/>
          <w:rtl w:val="true"/>
          <w:lang w:bidi="ar-SA"/>
        </w:rPr>
        <w:t>هذا ممّا لا إشكال فيه</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554952_3650668749"/>
      <w:bookmarkStart w:id="51" w:name="_Toc19"/>
      <w:bookmarkEnd w:id="50"/>
      <w:r>
        <w:rPr>
          <w:rtl w:val="true"/>
        </w:rPr>
        <w:t>القضاء والحكومة في زمان الغيبة</w:t>
      </w:r>
      <w:bookmarkEnd w:id="51"/>
    </w:p>
    <w:p>
      <w:pPr>
        <w:pStyle w:val="BookText"/>
        <w:rPr/>
      </w:pPr>
      <w:r>
        <w:rPr>
          <w:rFonts w:ascii="Amiri" w:hAnsi="Amiri" w:eastAsia="Amiri" w:cs="Amiri"/>
          <w:color w:val="111111"/>
          <w:sz w:val="28"/>
          <w:sz w:val="28"/>
          <w:szCs w:val="28"/>
          <w:rtl w:val="true"/>
          <w:lang w:bidi="ar-SA"/>
        </w:rPr>
        <w:t>وإنّما الإشكال في أمر القضاء والحكومة في زمان الغيبة، بعد قضاء الأصل المتقدّم، وبعد دلالة الأدلّة على أنّ القضاء والحكومة من المناصب الخاصّة للخليفة والنبيّ والوصيّ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إِنَّا جَعَلْناكَ خَلِيفَةً فِي الْأَرْضِ فَاحْكُمْ بَيْنَ النَّاسِ بِالْحَقِّ</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 على أنّ جواز الحكومة بالحقّ من متفرّعات الخلافة، وغيرَ الخليفة لا يجوز له الحكم حتّى بالحقّ، فتأمّل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بجوازها؛ لكون الأمر في مقام رفع الحظر، فلا يستفاد منه إلّا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عليه أيضاً صحيحة سليمان بن خالد</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انظر 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ورجال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ومعجم رجال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الحكومة؛ فإنّ الحكومة إنّما هي للإمام العالم بالقضاء، العادل في المسلمين؛ لنبيّ، أو وصيّ نبيّ</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إسحاق بن عمّار</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انظر رجال النجّاشي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ورجال الكشّي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705</w:t>
      </w:r>
      <w:r>
        <w:rPr>
          <w:rFonts w:ascii="Amiri" w:hAnsi="Amiri" w:eastAsia="Amiri" w:cs="Amiri"/>
          <w:color w:val="111111"/>
          <w:sz w:val="28"/>
          <w:sz w:val="28"/>
          <w:szCs w:val="28"/>
          <w:rtl w:val="true"/>
          <w:lang w:bidi="ar-SA"/>
        </w:rPr>
        <w:t xml:space="preserve">، ومعجم رجال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أبي عبد اللَّه عليه السلام‌قال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أميرالمؤمنين لشريح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انظر تهذيب الكمال في أسماء الرجال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2725</w:t>
      </w:r>
      <w:r>
        <w:rPr>
          <w:rFonts w:ascii="Amiri" w:hAnsi="Amiri" w:eastAsia="Amiri" w:cs="Amiri"/>
          <w:color w:val="111111"/>
          <w:sz w:val="28"/>
          <w:sz w:val="28"/>
          <w:szCs w:val="28"/>
          <w:rtl w:val="true"/>
          <w:lang w:bidi="ar-SA"/>
        </w:rPr>
        <w:t xml:space="preserve">، وتنقيح المقال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وقاموس الرجال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شريح، قد جلست مجلساً لا يجلسه إلّانبيّ أو وصيّ نبيّ أو شقيّ</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فلابدّ في الإخراج من الأصل والأدلّة من دليل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نعلم علماً ضروريّاً؛ بأنّ النبيّ صلى الله عليه و آله و سلم المبعوث بالنبوّة الختميّة أكمل النبوّات وأتمّ الأديان، بعد عدم إهماله جميع ما يحتاج إليه البشر حتّى آداب النوم والطعام، وحتّى أرش الخدش </w:t>
      </w:r>
      <w:r>
        <w:rPr>
          <w:rStyle w:val="FootnoteAnchor"/>
          <w:rtl w:val="true"/>
        </w:rPr>
        <w:footnoteReference w:id="3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طولها سبعون ذراعاً بذراع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وإملائه، من فلق فيه، وخطّ عليّ بيمينه، فيها كلّ حلال وحرام، وكلّ شي‌ء يحتاج الناس إليه؛ حتّى الأرش في الخدش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كتاب الدّيات، أبواب ديات الأعضاء، الباب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لا يمكن أن يهمل هذا الأمر المهمّ الذي يكون من أهمّ ما تحتاج إليه الامّة ليلًا ونهاراً، فلو أهمل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الأمر المهمّ؛ أي أمر السياسة والقضاء، لكان تشريعه ناقصاً، وكان مخالفاً لخطبته في حجّة الوداع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واللَّه ما من شي‌ء يقرّبكم من الجنّة ويباعدكم من النار إلّاوقد أمرتكم به، وما من شي‌ء يقرّبكم من النار ويباعدكم من الجنّة إلّاوقد نهيتكم عنه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الكافي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والمحاسن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وبحار الأنوار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لم يعيّن تكليف الامّة في زمان الغيبة، أو لم يأمر الإمام بأن يعيّن تكليف الامّة في زمانها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إخباره بالغيبة وتطاولها</w:t>
      </w:r>
      <w:r>
        <w:rPr>
          <w:rStyle w:val="FootnoteAnchor"/>
          <w:rtl w:val="true"/>
        </w:rPr>
        <w:footnoteReference w:id="3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للغلام من غيبة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يا رسول اللَّه؟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القتل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بحار الأنوار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نقصاً فاحشاً على ساحة التشريع والتقنين، يجب تنزيهها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فالضرورة قاضية بأنّ الامَّة بعد غيبة الإمام عليه السلام في تلك الأزمنة المتطاولة، لم تترك سدى في أمر السياسة والقضاء الذي هو من أهمّ ما يحتاجون إليه، خصوصاً مع تحريم الرجوع إلى سلاطين الجور وقضاتهم، وتسميته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رجوعاً إلى الطاغوت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المأخوذ بحكمهم سحت ولو كان الحقّ ثابتاً</w:t>
      </w:r>
      <w:r>
        <w:rPr>
          <w:rStyle w:val="FootnoteAnchor"/>
          <w:rtl w:val="true"/>
        </w:rPr>
        <w:footnoteReference w:id="32"/>
      </w:r>
      <w:r>
        <w:rPr>
          <w:rFonts w:ascii="Amiri" w:hAnsi="Amiri" w:eastAsia="Amiri" w:cs="Amiri"/>
          <w:color w:val="111111"/>
          <w:sz w:val="28"/>
          <w:sz w:val="28"/>
          <w:szCs w:val="28"/>
          <w:rtl w:val="true"/>
          <w:lang w:bidi="ar-SA"/>
        </w:rPr>
        <w:t xml:space="preserve">، وهذا واضح بضرورة العقل، وتدلّ عليه بعض الروايات </w:t>
      </w:r>
      <w:r>
        <w:rPr>
          <w:rStyle w:val="FootnoteAnchor"/>
          <w:rtl w:val="true"/>
        </w:rPr>
        <w:footnoteReference w:id="3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جَعل اولي الأمر وأمر بطاعتهم؟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لعلل كثيرة، منها أنّ الخلق لمّا وقفوا على حدّ محدود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عليهم فيما يمنعهم من الفساد، ويقيم فيهم الحدود والأحكام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p>
    <w:p>
      <w:pPr>
        <w:pStyle w:val="BookText"/>
        <w:rPr/>
      </w:pPr>
      <w:r>
        <w:rPr>
          <w:rFonts w:ascii="Amiri" w:hAnsi="Amiri" w:eastAsia="Amiri" w:cs="Amiri"/>
          <w:color w:val="111111"/>
          <w:sz w:val="28"/>
          <w:sz w:val="28"/>
          <w:szCs w:val="28"/>
          <w:rtl w:val="true"/>
          <w:lang w:bidi="ar-SA"/>
        </w:rPr>
        <w:t>والرواية طويلة، راجع علل الشرائع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عيون أخبار الرضا عليه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بيع الإمام قدس سره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غيبة الإمام منّا</w:t>
      </w:r>
      <w:r>
        <w:rPr>
          <w:rStyle w:val="FootnoteAnchor"/>
          <w:rtl w:val="true"/>
        </w:rPr>
        <w:footnoteReference w:id="34"/>
      </w:r>
      <w:r>
        <w:rPr>
          <w:rFonts w:ascii="Amiri" w:hAnsi="Amiri" w:eastAsia="Amiri" w:cs="Amiri"/>
          <w:color w:val="111111"/>
          <w:sz w:val="28"/>
          <w:sz w:val="28"/>
          <w:szCs w:val="28"/>
          <w:rtl w:val="true"/>
          <w:lang w:bidi="ar-SA"/>
        </w:rPr>
        <w:t>، فلايجب تعيين السائس بعد ذلك، غير مقنع، فأيّ دخالة لأشخاص الأزمنة المتأخّرة في غيبته روحي له الفداء،</w:t>
      </w:r>
    </w:p>
    <w:p>
      <w:pPr>
        <w:pStyle w:val="BookText"/>
        <w:rPr/>
      </w:pPr>
      <w:r>
        <w:rPr>
          <w:rFonts w:ascii="Amiri" w:hAnsi="Amiri" w:eastAsia="Amiri" w:cs="Amiri"/>
          <w:color w:val="111111"/>
          <w:sz w:val="28"/>
          <w:sz w:val="28"/>
          <w:szCs w:val="28"/>
          <w:rtl w:val="true"/>
          <w:lang w:bidi="ar-SA"/>
        </w:rPr>
        <w:t>خصوصاً مثل الشيعة الذين يدعون ربّهم ليلًا ونهاراً لتعجيل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علم عدم إهمال جعل منصب الحكومة والقضاء بين الناس، فالقدر المتيقّن هو الفقيه العالم بالقضاء والسياسات الدينيّة العادل في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خصوصاً مع ما يرى من تعظيم اللَّه تعالى ورسول الأكرم والأئمّة عليهم السلام العلم وحملته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وقوله صلى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سلك طريقاً يطلب فيه علماً سلك اللَّه به طريقاً إلى الجنّة، وإنّ الملائكة لتضع أجنحتها لطالب العلم، رضاً به، وإنّه ليستغفر لطالب العلم من في السماء ومَن في الأرض؛ حتىّ الحوت في البحر، وفضل العالم على العابد كفضل القمر على سائر النجوم ليلة البدر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p>
    <w:p>
      <w:pPr>
        <w:pStyle w:val="BookText"/>
        <w:rPr/>
      </w:pP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في حقّ العلماء من كونهم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حصون الإسلام</w:t>
      </w:r>
      <w:r>
        <w:rPr>
          <w:rFonts w:eastAsia="IRNazanin" w:cs="IRNazanin"/>
          <w:color w:val="111111"/>
          <w:sz w:val="28"/>
          <w:szCs w:val="28"/>
          <w:rtl w:val="true"/>
          <w:lang w:bidi="fa-IR"/>
        </w:rPr>
        <w:t>)</w:t>
      </w:r>
    </w:p>
    <w:p>
      <w:pPr>
        <w:pStyle w:val="BookText"/>
        <w:rPr/>
      </w:pP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راجع قرب الإسناد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1190</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امناء</w:t>
      </w:r>
      <w:r>
        <w:rPr>
          <w:rFonts w:eastAsia="IRNazanin" w:cs="IRNazanin"/>
          <w:color w:val="111111"/>
          <w:sz w:val="28"/>
          <w:szCs w:val="28"/>
          <w:rtl w:val="true"/>
          <w:lang w:bidi="fa-IR"/>
        </w:rPr>
        <w:t>)</w:t>
      </w:r>
    </w:p>
    <w:p>
      <w:pPr>
        <w:pStyle w:val="BookText"/>
        <w:rPr/>
      </w:pPr>
      <w:r>
        <w:rPr>
          <w:rStyle w:val="FootnoteAnchor"/>
          <w:rtl w:val="true"/>
        </w:rPr>
        <w:footnoteReference w:id="3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ورثة الأنبياء</w:t>
      </w:r>
      <w:r>
        <w:rPr>
          <w:rFonts w:eastAsia="Amiri" w:cs="Amiri" w:ascii="Amiri" w:hAnsi="Amiri"/>
          <w:color w:val="111111"/>
          <w:sz w:val="28"/>
          <w:szCs w:val="28"/>
          <w:rtl w:val="true"/>
          <w:lang w:bidi="ar-SA"/>
        </w:rPr>
        <w:t>)</w:t>
      </w:r>
    </w:p>
    <w:p>
      <w:pPr>
        <w:pStyle w:val="BookText"/>
        <w:rPr/>
      </w:pPr>
      <w:r>
        <w:rPr>
          <w:rStyle w:val="FootnoteAnchor"/>
          <w:rtl w:val="true"/>
        </w:rPr>
        <w:footnoteReference w:id="3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رسول اللَّه</w:t>
      </w:r>
      <w:r>
        <w:rPr>
          <w:rFonts w:eastAsia="Amiri" w:cs="Amiri" w:ascii="Amiri" w:hAnsi="Amiri"/>
          <w:color w:val="111111"/>
          <w:sz w:val="28"/>
          <w:szCs w:val="28"/>
          <w:rtl w:val="true"/>
          <w:lang w:bidi="ar-SA"/>
        </w:rPr>
        <w:t>)</w:t>
      </w:r>
    </w:p>
    <w:p>
      <w:pPr>
        <w:pStyle w:val="BookText"/>
        <w:rPr/>
      </w:pPr>
      <w:r>
        <w:rPr>
          <w:rStyle w:val="FootnoteAnchor"/>
          <w:rtl w:val="true"/>
        </w:rPr>
        <w:footnoteReference w:id="3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أمناء الرسل</w:t>
      </w:r>
      <w:r>
        <w:rPr>
          <w:rFonts w:eastAsia="IRNazanin" w:cs="IRNazanin"/>
          <w:color w:val="111111"/>
          <w:sz w:val="28"/>
          <w:szCs w:val="28"/>
          <w:rtl w:val="true"/>
          <w:lang w:bidi="fa-IR"/>
        </w:rPr>
        <w:t>)</w:t>
      </w:r>
    </w:p>
    <w:p>
      <w:pPr>
        <w:pStyle w:val="BookText"/>
        <w:rPr/>
      </w:pPr>
      <w:r>
        <w:rPr>
          <w:rStyle w:val="FootnoteAnchor"/>
          <w:rtl w:val="true"/>
        </w:rPr>
        <w:footnoteReference w:id="40"/>
      </w:r>
      <w:r>
        <w:rPr>
          <w:rFonts w:ascii="Amiri" w:hAnsi="Amiri" w:eastAsia="Amiri" w:cs="Amiri"/>
          <w:color w:val="111111"/>
          <w:sz w:val="28"/>
          <w:sz w:val="28"/>
          <w:szCs w:val="28"/>
          <w:rtl w:val="true"/>
          <w:lang w:bidi="ar-SA"/>
        </w:rPr>
        <w:t xml:space="preserve">، وأنّهم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كسائرالأنبياء</w:t>
      </w:r>
      <w:r>
        <w:rPr>
          <w:rFonts w:eastAsia="Amiri" w:cs="Amiri" w:ascii="Amiri" w:hAnsi="Amiri"/>
          <w:color w:val="111111"/>
          <w:sz w:val="28"/>
          <w:szCs w:val="28"/>
          <w:rtl w:val="true"/>
          <w:lang w:bidi="ar-SA"/>
        </w:rPr>
        <w:t>)</w:t>
      </w:r>
    </w:p>
    <w:p>
      <w:pPr>
        <w:pStyle w:val="BookText"/>
        <w:rPr/>
      </w:pPr>
      <w:r>
        <w:rPr>
          <w:rStyle w:val="FootnoteAnchor"/>
          <w:rtl w:val="true"/>
        </w:rPr>
        <w:footnoteReference w:id="4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منزلتهم منزلة الأنبياء في بني إسرائيل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وأنّهم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خلق اللَّه بعد الأئمّة إذا صلحوا</w:t>
      </w:r>
      <w:r>
        <w:rPr>
          <w:rFonts w:eastAsia="Amiri" w:cs="Amiri" w:ascii="Amiri" w:hAnsi="Amiri"/>
          <w:color w:val="111111"/>
          <w:sz w:val="28"/>
          <w:szCs w:val="28"/>
          <w:rtl w:val="true"/>
          <w:lang w:bidi="ar-SA"/>
        </w:rPr>
        <w:t>)</w:t>
      </w:r>
    </w:p>
    <w:p>
      <w:pPr>
        <w:pStyle w:val="BookText"/>
        <w:rPr/>
      </w:pPr>
      <w:r>
        <w:rPr>
          <w:rStyle w:val="FootnoteAnchor"/>
          <w:rtl w:val="true"/>
        </w:rPr>
        <w:footnoteReference w:id="43"/>
      </w:r>
      <w:r>
        <w:rPr>
          <w:rFonts w:ascii="Amiri" w:hAnsi="Amiri" w:eastAsia="Amiri" w:cs="Amiri"/>
          <w:color w:val="111111"/>
          <w:sz w:val="28"/>
          <w:sz w:val="28"/>
          <w:szCs w:val="28"/>
          <w:rtl w:val="true"/>
          <w:lang w:bidi="ar-SA"/>
        </w:rPr>
        <w:t xml:space="preserve">،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فضلهم على الناس كفضل النبيّ على أدناهم</w:t>
      </w:r>
      <w:r>
        <w:rPr>
          <w:rFonts w:eastAsia="Amiri" w:cs="Amiri" w:ascii="Amiri" w:hAnsi="Amiri"/>
          <w:color w:val="111111"/>
          <w:sz w:val="28"/>
          <w:szCs w:val="28"/>
          <w:rtl w:val="true"/>
          <w:lang w:bidi="ar-SA"/>
        </w:rPr>
        <w:t>)</w:t>
      </w:r>
    </w:p>
    <w:p>
      <w:pPr>
        <w:pStyle w:val="BookText"/>
        <w:rPr/>
      </w:pPr>
      <w:r>
        <w:rPr>
          <w:rStyle w:val="FootnoteAnchor"/>
          <w:rtl w:val="true"/>
        </w:rPr>
        <w:footnoteReference w:id="44"/>
      </w:r>
      <w:r>
        <w:rPr>
          <w:rFonts w:ascii="Amiri" w:hAnsi="Amiri" w:eastAsia="Amiri" w:cs="Amiri"/>
          <w:color w:val="111111"/>
          <w:sz w:val="28"/>
          <w:sz w:val="28"/>
          <w:szCs w:val="28"/>
          <w:rtl w:val="true"/>
          <w:lang w:bidi="ar-SA"/>
        </w:rPr>
        <w:t>، وأنّهم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حكّام على الملوك</w:t>
      </w:r>
      <w:r>
        <w:rPr>
          <w:rFonts w:eastAsia="Amiri" w:cs="Amiri" w:ascii="Amiri" w:hAnsi="Amiri"/>
          <w:color w:val="111111"/>
          <w:sz w:val="28"/>
          <w:szCs w:val="28"/>
          <w:rtl w:val="true"/>
          <w:lang w:bidi="ar-SA"/>
        </w:rPr>
        <w:t>)</w:t>
      </w:r>
    </w:p>
    <w:p>
      <w:pPr>
        <w:pStyle w:val="BookText"/>
        <w:rPr/>
      </w:pPr>
      <w:r>
        <w:rPr>
          <w:rStyle w:val="FootnoteAnchor"/>
          <w:rtl w:val="true"/>
        </w:rPr>
        <w:footnoteReference w:id="45"/>
      </w:r>
      <w:r>
        <w:rPr>
          <w:rFonts w:ascii="Amiri" w:hAnsi="Amiri" w:eastAsia="Amiri" w:cs="Amiri"/>
          <w:color w:val="111111"/>
          <w:sz w:val="28"/>
          <w:sz w:val="28"/>
          <w:szCs w:val="28"/>
          <w:rtl w:val="true"/>
          <w:lang w:bidi="ar-SA"/>
        </w:rPr>
        <w:t xml:space="preserve">، وأنّهم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كفيل أيتام أهل البيت</w:t>
      </w:r>
      <w:r>
        <w:rPr>
          <w:rFonts w:eastAsia="Amiri" w:cs="Amiri" w:ascii="Amiri" w:hAnsi="Amiri"/>
          <w:color w:val="111111"/>
          <w:sz w:val="28"/>
          <w:szCs w:val="28"/>
          <w:rtl w:val="true"/>
          <w:lang w:bidi="ar-SA"/>
        </w:rPr>
        <w:t>)</w:t>
      </w:r>
    </w:p>
    <w:p>
      <w:pPr>
        <w:pStyle w:val="BookText"/>
        <w:rPr/>
      </w:pPr>
      <w:r>
        <w:rPr>
          <w:rStyle w:val="FootnoteAnchor"/>
          <w:rtl w:val="true"/>
        </w:rPr>
        <w:footnoteReference w:id="4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مجاري الامور والأحكام على أيدي العلماء باللَّه الامناء على حلاله وحرامه</w:t>
      </w:r>
      <w:r>
        <w:rPr>
          <w:rFonts w:eastAsia="Amiri" w:cs="Amiri" w:ascii="Amiri" w:hAnsi="Amiri"/>
          <w:color w:val="111111"/>
          <w:sz w:val="28"/>
          <w:szCs w:val="28"/>
          <w:rtl w:val="true"/>
          <w:lang w:bidi="ar-SA"/>
        </w:rPr>
        <w:t>)</w:t>
      </w:r>
    </w:p>
    <w:p>
      <w:pPr>
        <w:pStyle w:val="BookText"/>
        <w:rPr/>
      </w:pP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تفسير البرهان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كتاب القضاء، أبواب صفات القاضى، الباب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عن صاحب الأمر عجّل اللَّه تعالى فرجه الشريف من 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الحوادث الواقعة فارجعوا فيها إلى رواة أحاديثنا؛ فإنّهم حجّتى عليكم، وأنا حجّة اللَّه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p>
    <w:p>
      <w:pPr>
        <w:pStyle w:val="BookText"/>
        <w:rPr/>
      </w:pP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الغيبة،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الاحتجاج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كتاب القضاء، أبواب صفات القاضي، الباب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فإنّ الخدشة في كلّ واحد منها سنداً أو دلالة ممكنة، لكن مجموعها يجعل الفقيه العادل قدراً متيقّناً، كما ذكرنا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bookmarkStart w:id="52" w:name="pg1534_18189"/>
    </w:p>
    <w:p>
      <w:pPr>
        <w:pStyle w:val="Heading4"/>
        <w:numPr>
          <w:ilvl w:val="3"/>
          <w:numId w:val="1"/>
        </w:numPr>
        <w:rPr/>
      </w:pPr>
      <w:bookmarkStart w:id="53" w:name="__RefHeading___Toc554954_3650668749"/>
      <w:bookmarkStart w:id="54" w:name="_Toc20"/>
      <w:bookmarkEnd w:id="52"/>
      <w:bookmarkEnd w:id="53"/>
      <w:r>
        <w:rPr>
          <w:rtl w:val="true"/>
        </w:rPr>
        <w:t>في الاستدلال بمقبولة عمر بن حنظلة</w:t>
      </w:r>
      <w:bookmarkEnd w:id="54"/>
    </w:p>
    <w:p>
      <w:pPr>
        <w:pStyle w:val="BookText"/>
        <w:rPr/>
      </w:pPr>
      <w:r>
        <w:rPr>
          <w:rFonts w:ascii="Amiri" w:hAnsi="Amiri" w:eastAsia="Amiri" w:cs="Amiri"/>
          <w:color w:val="111111"/>
          <w:sz w:val="28"/>
          <w:sz w:val="28"/>
          <w:szCs w:val="28"/>
          <w:rtl w:val="true"/>
          <w:lang w:bidi="ar-SA"/>
        </w:rPr>
        <w:t>وممّا يدلّ على أنّ القضاء بل مطلق الحكومة للفقيه، مقبولة عمر بن حنظلة</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انظر 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ومعجم رجال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لاشتهارها بين الأصحاب والتعويل عليها في مباحث القضاء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مجبورة من حيث السند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ولا إشكال في دلالتها، فإنّه بعدما شدّد أبو عبد اللَّه عليه السلام النكير على من رجع إلى السلطان والقضاة، وأنّ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يؤخذ بحكمهم سحت ولو كان حقّاً ثابتاً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ينظران إلى من كان منكم ممّن قد روى حديثنا، ونظر في حلالنا وحرآمنا، وعرف أحكامنا، فليرضوا به حكماً؛ فإنّي قد جعلته عليكم حاكماً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آخره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دلّت على أنّ الذي نصبه للحكومة هو الذي يكون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فغيرنا ليس منصوباً</w:t>
      </w:r>
    </w:p>
    <w:p>
      <w:pPr>
        <w:pStyle w:val="BookText"/>
        <w:rPr/>
      </w:pPr>
      <w:r>
        <w:rPr>
          <w:rFonts w:ascii="Amiri" w:hAnsi="Amiri" w:eastAsia="Amiri" w:cs="Amiri"/>
          <w:color w:val="111111"/>
          <w:sz w:val="28"/>
          <w:sz w:val="28"/>
          <w:szCs w:val="28"/>
          <w:rtl w:val="true"/>
          <w:lang w:bidi="ar-SA"/>
        </w:rPr>
        <w:t>لها، ولايكون حكمه نافذاً ولو حكم بحكمهم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راوي الحديث، والناظر في حلالهم وحرامهم، والعارفَ بأحكامهم؛ وهو الفقيه، فإنّ غيره ليس ناظراً في الحلال والحرام، وليس عارفاً بالأحكام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راوي الحديث في زمانهم كان فقيهاً؛ فإنّ الظاهر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روى حديثنا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كان شغله ذلك؛ وهو الفقيه في تلك الأزمنة، فإنّ المتعارف فيها بيان الفتوى بنقل الرواية، كما يظهر للمتتبّع </w:t>
      </w:r>
      <w:r>
        <w:rPr>
          <w:rStyle w:val="FootnoteAnchor"/>
          <w:rtl w:val="true"/>
        </w:rPr>
        <w:footnoteReference w:id="5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محمّد بن مسلم الثقفي؛ فإِنّه سمع من أبي، وكان عنده وجيهاً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p>
    <w:p>
      <w:pPr>
        <w:pStyle w:val="BookText"/>
        <w:rPr/>
      </w:pP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كتاب القضاء، أبواب صفات القاضي، الباب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معاذ بن مسلم النحويّ،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تقعد في الجامع فتفتي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ويجي‌ء الرجل أعرفه بمودّتكم وحبّكم، فاخبره بما جاء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كذا، فإنّي كذا أصنع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كتاب القضاء، أبواب صفات القاضي، الباب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فالعاميّ ومن ليست له ملكة الفقاهة والاجتهاد خارج عن مدلولها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توضيحاً لذلك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يستدلّ على الاختصاص بالمجتهد وخروج العامّي،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في حلالنا وحرآمنا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من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يدّعى أنّه بمعنى الاستنباط والدقّة في استخراج الأحكام </w:t>
      </w:r>
      <w:r>
        <w:rPr>
          <w:rStyle w:val="FootnoteAnchor"/>
          <w:rtl w:val="true"/>
        </w:rPr>
        <w:footnoteReference w:id="52"/>
      </w:r>
      <w:r>
        <w:rPr>
          <w:rFonts w:ascii="Amiri" w:hAnsi="Amiri" w:eastAsia="Amiri" w:cs="Amiri"/>
          <w:color w:val="111111"/>
          <w:sz w:val="28"/>
          <w:sz w:val="28"/>
          <w:szCs w:val="28"/>
          <w:rtl w:val="true"/>
          <w:lang w:bidi="ar-SA"/>
        </w:rPr>
        <w:t>، وإن كان لا يخلو من 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لقوله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حلالنا وحرآمنا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الحلال والحرام مع كونهما من اللَّه تعالى لا منهم، إنّما نسبا إليهم لكونهم مبيّنين لهما، وأنّهم محالّ أحكام اللَّه، فمعنى النظر في حرامهم وحلالهم، هو النظر في الفتاوى والأخبار الصادرة منهم، فجعل المنصب لمن نظر في الحلال والحرام الصادرين منهم؛ أي الناظر في أخبارهم وفتاويهم، وهو شأن الفقيه لا العامّي، لأنّه ناظر في فتوى الفقيه، لا في أخبار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إلغاء الخصوصيّة عرفاً، مجازفة محضة؛ لقوّة احتمال أن يكون للاجتهاد والنظر في أخبارهم مدخليّة في ذلك، بل لو ادّعى أحد القطع بأنّ منصب الحكومة والقضاء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لهما من الأهمّية، وبمناسبة الحكم والموضوع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 للفقيه لا العامّي، فليس بمجازف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الاستدلال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أحكامنا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كما مرّ بيانه، ومن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عرفان الشي‌ء لغة</w:t>
      </w:r>
      <w:r>
        <w:rPr>
          <w:rStyle w:val="FootnoteAnchor"/>
          <w:rtl w:val="true"/>
        </w:rPr>
        <w:footnoteReference w:id="53"/>
      </w:r>
      <w:r>
        <w:rPr>
          <w:rFonts w:ascii="Amiri" w:hAnsi="Amiri" w:eastAsia="Amiri" w:cs="Amiri"/>
          <w:color w:val="111111"/>
          <w:sz w:val="28"/>
          <w:sz w:val="28"/>
          <w:szCs w:val="28"/>
          <w:rtl w:val="true"/>
          <w:lang w:bidi="ar-SA"/>
        </w:rPr>
        <w:t>وعرفاً ليس مطلق العلم به، بل متضمّن لتشخيص خصوصيّات الشي‌ء وتمييزه من بين مشتركاته، فكأنّه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جعل المنصب لمن كان مشخّصاً لأحكامنا، ومميّزاً فتاوينا الصادرة لأجل بيان الحكم الواقعيّ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هي معلّلة ولو بمؤونة التشخيصات والمميّزات الواردة من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مخالفة للعامّة، أو موافقة للكتاب</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ومعلوم أنّ هذه الصفة من مختصّات الفقيه، وغيره محروم منها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الفقرات الثلاث التي جعلت معرِّفة للحاكم</w:t>
      </w:r>
    </w:p>
    <w:p>
      <w:pPr>
        <w:pStyle w:val="BookText"/>
        <w:rPr/>
      </w:pPr>
      <w:r>
        <w:rPr>
          <w:rFonts w:ascii="Amiri" w:hAnsi="Amiri" w:eastAsia="Amiri" w:cs="Amiri"/>
          <w:color w:val="111111"/>
          <w:sz w:val="28"/>
          <w:sz w:val="28"/>
          <w:szCs w:val="28"/>
          <w:rtl w:val="true"/>
          <w:lang w:bidi="ar-SA"/>
        </w:rPr>
        <w:t>المنصوب، أنّ ذلك هو الفقيه، لا العامّي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المقصود قوله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وكلاهما اختلفا في حديثكم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هو الاختلاف في معناه، لا في نقله، وهو شأن الفقيه، بل الاختلاف في الحكم الناشئ من اختلاف الروايتين،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إلّامع الاجتهاد وردّ كلّ منهما رواية الآخر، وليس هذا شأن العامّي، فتدلّ هذه الفقرة على أنّ المتعارف في تلك الأزمنة، هو الرجوع إلى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أيضاً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ما حكم به أعدلهما وأفقههما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وقوله فيما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إن كان الفقيهان عرفا حكمه من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المستفاد من جميع ذلك، كون الفقاهة مفروغاً عنها في القاضي، ولا إشكال في 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العامّي المقلّد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قد جعلته عليكم حاكماً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للفقيه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منصب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منصب الحكومة أيّة حكومة كانت؛ لأنّ الحكومة مفهوماً أعمّ من القضاء المصطلح، والقضاءُ من شعب الحكومة والولاية، ومقتضى المقبولة أنّه عليه السلام جعل الفقيه حاكماً ووالياً، ودعوى الانصراف </w:t>
      </w:r>
      <w:r>
        <w:rPr>
          <w:rStyle w:val="FootnoteAnchor"/>
          <w:rtl w:val="true"/>
        </w:rPr>
        <w:footnoteReference w:id="55"/>
      </w:r>
      <w:r>
        <w:rPr>
          <w:rFonts w:ascii="Amiri" w:hAnsi="Amiri" w:eastAsia="Amiri" w:cs="Amiri"/>
          <w:color w:val="111111"/>
          <w:sz w:val="28"/>
          <w:sz w:val="28"/>
          <w:szCs w:val="28"/>
          <w:rtl w:val="true"/>
          <w:lang w:bidi="ar-SA"/>
        </w:rPr>
        <w:t>، غير مسموعة، فللفقيه الحكومة على الناس فيما يحتاجون إلى الحكومة من الامور السياسيّة والقضائيّة، والمورد لايوجب تخصيص الكبرى الكلّيّة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منع كون المورد خصوص القضاء المصطلح؛ فإنّ قوله في الصدر</w:t>
      </w:r>
      <w:r>
        <w:rPr>
          <w:rFonts w:eastAsia="Amiri" w:cs="Amiri" w:ascii="Amiri" w:hAnsi="Amiri"/>
          <w:color w:val="111111"/>
          <w:sz w:val="28"/>
          <w:szCs w:val="28"/>
          <w:rtl w:val="true"/>
          <w:lang w:bidi="ar-SA"/>
        </w:rPr>
        <w:t>:</w:t>
      </w:r>
      <w:bookmarkStart w:id="55" w:name="pg1534_18193"/>
    </w:p>
    <w:p>
      <w:pPr>
        <w:pStyle w:val="BookText"/>
        <w:rPr/>
      </w:pPr>
      <w:bookmarkEnd w:id="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فتحاكما إلى السلطان أو إلى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أعمّية المورد ممّا يكون مربوطاً بالقضاء كباب القضاء، أو إلى السلطان والوالي، فإنّ ما يرجع إليه غير ما يرجع إلى القضاة نوعاً؛ فإنّ شأنهم التصرّف في الامور السياسيّة، فمع أعميّة الصدر من القضاء، لا وجه لاختصاص الحاكميّة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مقتضى الإطلاق جعل مطلق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سياسيّة كانت أو قضائيّة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للفقيه، وسؤال السائل بعده عن مسألة قضائيّة، لا يوجب اختصاص الصدر بها،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حكم بحكمنا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المراد الفتوى بحكم اللَّه جزماً، بل النسبة إليهم لكون الفقيه حاكماً من قبلهم، فكان حكمه حكمَهم، وردُّه ردَّهم</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554956_3650668749"/>
      <w:bookmarkStart w:id="57" w:name="_Toc21"/>
      <w:bookmarkEnd w:id="56"/>
      <w:r>
        <w:rPr>
          <w:rtl w:val="true"/>
        </w:rPr>
        <w:t>هل الاجتهاد المطلق شرط أم لا؟</w:t>
      </w:r>
      <w:bookmarkEnd w:id="57"/>
    </w:p>
    <w:p>
      <w:pPr>
        <w:pStyle w:val="BookText"/>
        <w:rPr/>
      </w:pPr>
      <w:r>
        <w:rPr>
          <w:rFonts w:ascii="Amiri" w:hAnsi="Amiri" w:eastAsia="Amiri" w:cs="Amiri"/>
          <w:color w:val="111111"/>
          <w:sz w:val="28"/>
          <w:sz w:val="28"/>
          <w:szCs w:val="28"/>
          <w:rtl w:val="true"/>
          <w:lang w:bidi="ar-SA"/>
        </w:rPr>
        <w:t>ثمّ إنّ الجمع المضاف وإن كان يفيد العموم، وكذا المصدر المضاف، ولازمه جعل المنصب لمن عرف جميع الأحكام، لكن لا يستفاد منهما العموم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وقوع الفقرات في مقابل المنع عن الرجوع إلى حكّام الجور وقضاتهم، يمنع عن استفادة العموم، بل الظاهر أن يكون المنصب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عرف أحكامهم، ونظر في حلالهم وحرامهم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المنحرفين عنهم الحاكمين باجتهادهم ورأيهم، بل الظاهر صدق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أحكامنا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 على من عرف مقداراً معتدّاً به منها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الرواية للغير؛ ضرورة عدم مدخليّتها</w:t>
      </w:r>
    </w:p>
    <w:p>
      <w:pPr>
        <w:pStyle w:val="BookText"/>
        <w:rPr/>
      </w:pPr>
      <w:r>
        <w:rPr>
          <w:rFonts w:ascii="Amiri" w:hAnsi="Amiri" w:eastAsia="Amiri" w:cs="Amiri"/>
          <w:color w:val="111111"/>
          <w:sz w:val="28"/>
          <w:sz w:val="28"/>
          <w:szCs w:val="28"/>
          <w:rtl w:val="true"/>
          <w:lang w:bidi="ar-SA"/>
        </w:rPr>
        <w:t>في جعل المنصب، بل المراد أن تكون فتواه على طبق الرواية، ولمّا كان المتعارف في تلك الأزمنة الإفتاء بصورة الرواية</w:t>
      </w:r>
      <w:r>
        <w:rPr>
          <w:rStyle w:val="FootnoteAnchor"/>
          <w:rtl w:val="true"/>
        </w:rPr>
        <w:footnoteReference w:id="5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حديثنا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أحكامنا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المعرفة الفعليّة، وهي غير حاصلة بجميع الأحكام لغير الأئمّة؛ بل غير ممكنة عادة، فجعل المنصب له لغو فليس المراد معرفة جميع الأحكام، وصرفها إلى قوّة المعرفة وملكة الاستنباط، ممّا لا وجه له، فيجب صرفها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معرفة الأحكام بمقدار معتدّ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فرض إمكان المعرفة الفعليّة بجميع الأحكام، لا طريق لتشخيص هذا الفقيه، فمن أين علم أنّه عارف فعلًا بجميع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معنى للأمر بالرجوع إليه، فلابدّ من الحمل على غيره، لكن يجب أن يكون بحيث 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ممّن روى الحديث، وعرف أحكامهم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عرف مقداراً معتدّاً به منها، وعليه تحمل صحيحة أبي خديجة</w:t>
      </w:r>
      <w:r>
        <w:rPr>
          <w:rStyle w:val="FootnoteAnchor"/>
          <w:rtl w:val="true"/>
        </w:rPr>
        <w:footnoteReference w:id="5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انظررجال النجّاشي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ورجال الكشّي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 xml:space="preserve">، ومعجم رجال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bookmarkStart w:id="58" w:name="pg1534_18195"/>
    </w:p>
    <w:p>
      <w:pPr>
        <w:pStyle w:val="BookText"/>
        <w:rPr/>
      </w:pPr>
      <w:bookmarkEnd w:id="58"/>
      <w:r>
        <w:rPr>
          <w:rFonts w:ascii="Amiri" w:hAnsi="Amiri" w:eastAsia="Amiri" w:cs="Amiri"/>
          <w:color w:val="111111"/>
          <w:sz w:val="28"/>
          <w:sz w:val="28"/>
          <w:szCs w:val="28"/>
          <w:rtl w:val="true"/>
          <w:lang w:bidi="ar-SA"/>
        </w:rPr>
        <w:t>الآتية</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فاعتبارالاجتهاد المطلق سواء كان بمعنى الملكة أو بمعنى العلم الفعليّ، ممّا لا دليل عليه، بل الأدلّة على خلافه، نعم لا إشكال في اعتبار علمه بجميع ما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الرواية لمّا كانت في مقام التحديد وبيان المعرِّف للمنصوب، يجب أخذ جميع القيود فيها قيداً إلّاما يدلّ العقل أو يفهم العرف عدم دخالته كما أشرنا إليه، وفقه الحديث كَمَلًا وبيان الأحكام المستفادة منه، موكول إلى كتاب القضاء</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554958_3650668749"/>
      <w:bookmarkStart w:id="60" w:name="_Toc22"/>
      <w:bookmarkEnd w:id="59"/>
      <w:r>
        <w:rPr>
          <w:rtl w:val="true"/>
        </w:rPr>
        <w:t>الاستدلال بروايتي القدّاح وأبي البختريّ</w:t>
      </w:r>
      <w:bookmarkEnd w:id="60"/>
    </w:p>
    <w:p>
      <w:pPr>
        <w:pStyle w:val="BookText"/>
        <w:rPr/>
      </w:pPr>
      <w:r>
        <w:rPr>
          <w:rFonts w:ascii="Amiri" w:hAnsi="Amiri" w:eastAsia="Amiri" w:cs="Amiri"/>
          <w:color w:val="111111"/>
          <w:sz w:val="28"/>
          <w:sz w:val="28"/>
          <w:szCs w:val="28"/>
          <w:rtl w:val="true"/>
          <w:lang w:bidi="ar-SA"/>
        </w:rPr>
        <w:t xml:space="preserve">وممّا يمكن الاستدلال عليه للمطلوب صحيحة القدّاح </w:t>
      </w:r>
      <w:r>
        <w:rPr>
          <w:rStyle w:val="FootnoteAnchor"/>
          <w:rtl w:val="true"/>
        </w:rPr>
        <w:footnoteReference w:id="5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في ظلمات الأرض</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p>
    <w:p>
      <w:pPr>
        <w:pStyle w:val="BookText"/>
        <w:rPr/>
      </w:pPr>
      <w:r>
        <w:rPr>
          <w:rFonts w:ascii="Amiri" w:hAnsi="Amiri" w:eastAsia="Amiri" w:cs="Amiri"/>
          <w:color w:val="111111"/>
          <w:sz w:val="28"/>
          <w:sz w:val="28"/>
          <w:szCs w:val="28"/>
          <w:rtl w:val="true"/>
          <w:lang w:bidi="ar-SA"/>
        </w:rPr>
        <w:t>روى عنه عليه السلام وعن أبي عبيدة الحذّاء، وروى عنه جعفر بن محمّد الأشعري، والحسن بن عليّ بن فضّال، وعبد اللَّه 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xml:space="preserve">، ورجال الكشّي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687</w:t>
      </w:r>
      <w:r>
        <w:rPr>
          <w:rFonts w:ascii="Amiri" w:hAnsi="Amiri" w:eastAsia="Amiri" w:cs="Amiri"/>
          <w:color w:val="111111"/>
          <w:sz w:val="28"/>
          <w:sz w:val="28"/>
          <w:szCs w:val="28"/>
          <w:rtl w:val="true"/>
          <w:lang w:bidi="ar-SA"/>
        </w:rPr>
        <w:t xml:space="preserve">، ومعجم رجال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وضعيفة أبي البختريّ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1155</w:t>
      </w:r>
      <w:r>
        <w:rPr>
          <w:rFonts w:ascii="Amiri" w:hAnsi="Amiri" w:eastAsia="Amiri" w:cs="Amiri"/>
          <w:color w:val="111111"/>
          <w:sz w:val="28"/>
          <w:sz w:val="28"/>
          <w:szCs w:val="28"/>
          <w:rtl w:val="true"/>
          <w:lang w:bidi="ar-SA"/>
        </w:rPr>
        <w:t xml:space="preserve">، ورجال الكشّي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ورجال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ومجمع الرجال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العلماء ورثة الأنبياء، إنّ الأنبياء لم يورّثوا ديناراً ولا درهماً، ولكن ورّثوا العلم، فمن أخذ منه أخذ بحظّ وافر</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الثانية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العلماء ورثة الأنبياء، وذلك أنّ الأنبياء لم يورّثوا درهماً ولا ديناراً وإنّما أورثوا أحاديث من أحاديثهم، فمن أخذ بشي‌ء منها فقد أخذ حظّاً وافراً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إخباره 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العلماء ورثة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لهم الوراثة في كلّ شي‌ء كان من شأن الأنبياء، ومن شأنهم الحكومة والقضاء، فلابدّ وأن تكون الحكومة مطلقاً مجعولة لهم، حتّى يصحّ هذا الإطلاق أو الإخبار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وتذييلهما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ورّثوا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أورثوا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يوجب تخصيص الوراثة بهما؛ لعدم استفادة الحصر الحقيقيّ منهما حتّى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فلأنّهما في مقابل عدم وراثة الدرهم والدينار، فالحصر إضافيّ</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الحمل على الحقيقيّ موجب لمخالفة الواقع؛ لأنّ ميراث الأنبياء لاينحصر بهما، فالزهد والتقوى وسائر الكمالات من ميراث الأنبياء، كما أنّ الولاية والقضاء منه</w:t>
      </w:r>
      <w:r>
        <w:rPr>
          <w:rFonts w:eastAsia="Amiri" w:cs="Amiri" w:ascii="Amiri" w:hAnsi="Amiri"/>
          <w:color w:val="111111"/>
          <w:sz w:val="28"/>
          <w:szCs w:val="28"/>
          <w:rtl w:val="true"/>
          <w:lang w:bidi="ar-SA"/>
        </w:rPr>
        <w:t>.</w:t>
      </w:r>
      <w:bookmarkStart w:id="61" w:name="pg1534_18197"/>
    </w:p>
    <w:p>
      <w:pPr>
        <w:pStyle w:val="BookText"/>
        <w:rPr/>
      </w:pPr>
      <w:bookmarkEnd w:id="61"/>
      <w:r>
        <w:rPr>
          <w:rFonts w:ascii="Amiri" w:hAnsi="Amiri" w:eastAsia="Amiri" w:cs="Amiri"/>
          <w:color w:val="111111"/>
          <w:sz w:val="28"/>
          <w:sz w:val="28"/>
          <w:szCs w:val="28"/>
          <w:rtl w:val="true"/>
          <w:lang w:bidi="ar-SA"/>
        </w:rPr>
        <w:t>ولكن للنظر فيه مجال واسع؛ فإنّ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ورثة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إنشاءً، بل إخبار، ويكفي في صدقه كونهم ورثة في العلم والحديث، ولا يلزم الإخبار عن وراثتهم كونهم ورّاثاً في جميع شؤونهم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في مقام الإنشاء والجعل لأمكن دعوى إطلاقه على إشكال، لكنّه ليس كذلك كما لا يخفى</w:t>
      </w:r>
    </w:p>
    <w:p>
      <w:pPr>
        <w:pStyle w:val="Heading4"/>
        <w:numPr>
          <w:ilvl w:val="3"/>
          <w:numId w:val="1"/>
        </w:numPr>
        <w:rPr/>
      </w:pPr>
      <w:bookmarkStart w:id="62" w:name="__RefHeading___Toc554960_3650668749"/>
      <w:bookmarkStart w:id="63" w:name="_Toc23"/>
      <w:bookmarkEnd w:id="62"/>
      <w:r>
        <w:rPr>
          <w:rtl w:val="true"/>
        </w:rPr>
        <w:t>بحث حول مشهورة أبي خديجة وصحيحته</w:t>
      </w:r>
      <w:bookmarkEnd w:id="63"/>
    </w:p>
    <w:p>
      <w:pPr>
        <w:pStyle w:val="BookText"/>
        <w:rPr/>
      </w:pPr>
      <w:r>
        <w:rPr>
          <w:rFonts w:ascii="Amiri" w:hAnsi="Amiri" w:eastAsia="Amiri" w:cs="Amiri"/>
          <w:color w:val="111111"/>
          <w:sz w:val="28"/>
          <w:sz w:val="28"/>
          <w:szCs w:val="28"/>
          <w:rtl w:val="true"/>
          <w:lang w:bidi="ar-SA"/>
        </w:rPr>
        <w:t xml:space="preserve">ومن الروايات الدالّة على المطلوب مشهورة أبي خديجة؛ وهي ما روى الشيخ، عن محمّد بن عليّ بن محبوب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انظر رجال النجاشي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 xml:space="preserve">، وفهرست الشيخ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r>
        <w:rPr>
          <w:rFonts w:ascii="Amiri" w:hAnsi="Amiri" w:eastAsia="Amiri" w:cs="Amiri"/>
          <w:color w:val="111111"/>
          <w:sz w:val="28"/>
          <w:sz w:val="28"/>
          <w:szCs w:val="28"/>
          <w:rtl w:val="true"/>
          <w:lang w:bidi="ar-SA"/>
        </w:rPr>
        <w:t xml:space="preserve">، ومعجم رجال 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وطريقه إليه صحيح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والظاهر وثاقة من عدا أحمد المزبور، وأمّا هو فلم ينصّ الرجاليّون على توثيقه، ولكن يمكن استفادة وثاقته من اعتماد المشايخ عليه، وبعض القرائن الاخرى</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تنقيح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وقاموس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ولا ريب في صحّة طريقة الثالث، والأوّل عين ما في المشيخة المتقدّم، وأمّا الثاني فضعيف بأبي المفضّل وابن 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أي ابن عيسى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وأحمد بن محمّد بن عيسى هو شيخ القمّيين في زمانه، ووجيههم، وفقيههم الأوحد الثقة؛ أبو جعفر أحمد بن محمّد بن عيسى بن عبد اللَّه الأشعريّ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 الرضا والجواد والهادي والعسكريّ عليهم السلام وكان الرئيس الذي يلقى السلطان، وذا نفوذ وهيمنة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أبناء عمير وفضّال ومحبوب، وروى عنه أحمد بن إدريس، وسعد بن عبد اللَّه الأشعريّ، ومحمّد بن يحيى العطّار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ورجال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وقاموس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الحسين بن سعيد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انظر فهرست ابن النديم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ورجال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ورجال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ومعجم رجال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الجهم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أمّا الأوّل فهو صحابي، والثاني من أصحاب الإمام السجّاد عليه السلام، فيتعيّن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يستظهر أنّه شخص رابع اسمه هارون بن الجهم بن ثوير بن أبي فاخته، كما يظهر من 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آداب السفر،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ثوير بن فاخته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سهو 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وهو بكير بن أعين، وقد مات في حياة أبي عبد اللَّه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وممّن صرح بوفاته في حياته عليه السلام الشيخان؛ الصدوق والطوسي رحمهما الله، فراجع مشيخة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ورجال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وهو ثقة على الأظهر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إدراك الحسين إيّاه بعيد، بل الظاهر عدم إدراكه، وكذا من في طبقته، كما يظهر بالرجوع إلى طبقات الرواة، ففي الرواية إرسال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الجهم يروي عن أبي خديجة؛ سالم بن مُكْرَم، وهو ثقة، فلا إشكال فيها إلّا من جهة الظنّ بالإرسال، ولو ثبت اشتهار 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مشهورة</w:t>
      </w:r>
      <w:r>
        <w:rPr>
          <w:rFonts w:eastAsia="Amiri" w:cs="Amiri" w:ascii="Amiri" w:hAnsi="Amiri"/>
          <w:color w:val="111111"/>
          <w:sz w:val="28"/>
          <w:szCs w:val="28"/>
          <w:rtl w:val="true"/>
          <w:lang w:bidi="ar-SA"/>
        </w:rPr>
        <w:t>»</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فيجبر ضعفها من جهته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أبو عبد اللَّه إلى أصحابنا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لهم إيّاكم إذا وقعت بينكم خصومة أو تدارى في شي‌ء من الأخذ والعطاء، أن تحاكموا إلى أحد من هؤلاء الفسّاق، اجعلوا بينكم رجلًا قد عرف حلالنا وحرآمنا؛ فإنّي قد جعلته عليكم قاضياً، وإيّاكم أن يخاصم بعضكم بعضاً إلى السلطان الجائر</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دلّت على جعله منصب القضاء لرجل عارف بحلالهم وحرامهم، وتقريب الدلالة يظهر ممّا مرّ في المقبولة، إلّاأنّها أظهر دلالة من المشهورة بجهات، كما أنّ المستفاد منها جعل الحكومة مطلقاً للفقيه، دون هذه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بدلالتها على الحكومة أيضاً؛ فإنّ صدرها عامّ في مطلق الخصومات، سواء كانت راجعة إلى القضاة أو إلى الولاة،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لغة</w:t>
      </w:r>
      <w:r>
        <w:rPr>
          <w:rStyle w:val="FootnoteAnchor"/>
          <w:rtl w:val="true"/>
        </w:rPr>
        <w:footnoteReference w:id="67"/>
      </w:r>
      <w:r>
        <w:rPr>
          <w:rFonts w:ascii="Amiri" w:hAnsi="Amiri" w:eastAsia="Amiri" w:cs="Amiri"/>
          <w:color w:val="111111"/>
          <w:sz w:val="28"/>
          <w:sz w:val="28"/>
          <w:szCs w:val="28"/>
          <w:rtl w:val="true"/>
          <w:lang w:bidi="ar-SA"/>
        </w:rPr>
        <w:t>وعرفاً عامّاً من الاصطلاحيّ، وذيلها يؤكّد التعميم، فإنّ التخاصم إلى السلطان ليس في الامور القضائيّة؛ بحسب التعارف في جميع الأزمنة، ولاسيّما</w:t>
      </w:r>
    </w:p>
    <w:p>
      <w:pPr>
        <w:pStyle w:val="BookText"/>
        <w:rPr/>
      </w:pPr>
      <w:r>
        <w:rPr>
          <w:rFonts w:ascii="Amiri" w:hAnsi="Amiri" w:eastAsia="Amiri" w:cs="Amiri"/>
          <w:color w:val="111111"/>
          <w:sz w:val="28"/>
          <w:sz w:val="28"/>
          <w:szCs w:val="28"/>
          <w:rtl w:val="true"/>
          <w:lang w:bidi="ar-SA"/>
        </w:rPr>
        <w:t>في تلك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يمكن التمسّك بالصحيحة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الولاة، والقاضي حاكم بالجور، والظاهر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المتصدّون له؛ وهم الولاة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منها صحيحة أبي خديجة على الأصحّ </w:t>
      </w:r>
      <w:r>
        <w:rPr>
          <w:rStyle w:val="FootnoteAnchor"/>
          <w:rtl w:val="true"/>
        </w:rPr>
        <w:footnoteReference w:id="6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جعفر بن محمّد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أن يحاكم بعضكم بعضاً إلى أهل الجور، و لكن انظروا إلى رجل منكم يعلم شيئاً من قضايانا</w:t>
      </w:r>
      <w:r>
        <w:rPr>
          <w:rStyle w:val="FootnoteAnchor"/>
          <w:rtl w:val="true"/>
        </w:rPr>
        <w:footnoteReference w:id="6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قضائنا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p>
    <w:p>
      <w:pPr>
        <w:pStyle w:val="BookText"/>
        <w:rPr/>
      </w:pPr>
      <w:r>
        <w:rPr>
          <w:rFonts w:ascii="IRNazanin" w:hAnsi="IRNazanin" w:eastAsia="IRNazanin"/>
          <w:color w:val="111111"/>
          <w:sz w:val="28"/>
          <w:sz w:val="28"/>
          <w:szCs w:val="28"/>
          <w:rtl w:val="true"/>
          <w:lang w:bidi="fa-IR"/>
        </w:rPr>
        <w:t>بدل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قضايانا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p>
    <w:p>
      <w:pPr>
        <w:pStyle w:val="BookText"/>
        <w:rPr/>
      </w:pPr>
      <w:r>
        <w:rPr>
          <w:rFonts w:ascii="Amiri" w:hAnsi="Amiri" w:eastAsia="Amiri" w:cs="Amiri"/>
          <w:color w:val="111111"/>
          <w:sz w:val="28"/>
          <w:sz w:val="28"/>
          <w:szCs w:val="28"/>
          <w:rtl w:val="true"/>
          <w:lang w:bidi="ar-SA"/>
        </w:rPr>
        <w:t>، فاجعلوه بينكم؛ فإنّي قد جعلته قاضياً، فتحاكموا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وهاهنا روايات اخر استدلّوا بها للمطلوب </w:t>
      </w:r>
      <w:r>
        <w:rPr>
          <w:rStyle w:val="FootnoteAnchor"/>
          <w:rtl w:val="true"/>
        </w:rPr>
        <w:footnoteReference w:id="70"/>
      </w:r>
      <w:r>
        <w:rPr>
          <w:rFonts w:ascii="Amiri" w:hAnsi="Amiri" w:eastAsia="Amiri" w:cs="Amiri"/>
          <w:color w:val="111111"/>
          <w:sz w:val="28"/>
          <w:sz w:val="28"/>
          <w:szCs w:val="28"/>
          <w:rtl w:val="true"/>
          <w:lang w:bidi="ar-SA"/>
        </w:rPr>
        <w:t xml:space="preserve">، قاصرة سنداً أو دلالة أو كليهما، لابأس بذكرها تأييداً، وقد أشرنا إلى مضامينها في أوائل هذا البحث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القضاء بل الحكومة مطلقاً، من مناصب الفقهاء، وهذا ممّا لاإشكال فيه بالنسبة إلى منصب القضاء؛ فإنّ الإجماع </w:t>
      </w:r>
      <w:r>
        <w:rPr>
          <w:rStyle w:val="FootnoteAnchor"/>
          <w:rtl w:val="true"/>
        </w:rPr>
        <w:footnoteReference w:id="72"/>
      </w:r>
      <w:r>
        <w:rPr>
          <w:rFonts w:ascii="Amiri" w:hAnsi="Amiri" w:eastAsia="Amiri" w:cs="Amiri"/>
          <w:color w:val="111111"/>
          <w:sz w:val="28"/>
          <w:sz w:val="28"/>
          <w:szCs w:val="28"/>
          <w:rtl w:val="true"/>
          <w:lang w:bidi="ar-SA"/>
        </w:rPr>
        <w:t>، بل الضرورة قاضيان بثبوته للفقيه في زمن الغيبة، كما أنّ الأقوى ثبوت منصب الحكومة</w:t>
      </w:r>
      <w:bookmarkStart w:id="64" w:name="pg1534_18202"/>
    </w:p>
    <w:p>
      <w:pPr>
        <w:pStyle w:val="BookText"/>
        <w:rPr/>
      </w:pPr>
      <w:bookmarkEnd w:id="64"/>
      <w:r>
        <w:rPr>
          <w:rFonts w:ascii="Amiri" w:hAnsi="Amiri" w:eastAsia="Amiri" w:cs="Amiri"/>
          <w:color w:val="111111"/>
          <w:sz w:val="28"/>
          <w:sz w:val="28"/>
          <w:szCs w:val="28"/>
          <w:rtl w:val="true"/>
          <w:lang w:bidi="ar-SA"/>
        </w:rPr>
        <w:t>والولاية له في الجملة، وبيان حدودها ومتفرّعاتها موكول إلى محلّ آخر</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554962_3650668749"/>
      <w:bookmarkStart w:id="66" w:name="_Toc24"/>
      <w:bookmarkEnd w:id="65"/>
      <w:r>
        <w:rPr>
          <w:rtl w:val="true"/>
        </w:rPr>
        <w:t>فيما استدلّ به على استقلال العاميّ في القضاء وجوابه</w:t>
      </w:r>
      <w:bookmarkEnd w:id="66"/>
    </w:p>
    <w:p>
      <w:pPr>
        <w:pStyle w:val="BookText"/>
        <w:rPr/>
      </w:pPr>
      <w:r>
        <w:rPr>
          <w:rFonts w:ascii="Amiri" w:hAnsi="Amiri" w:eastAsia="Amiri" w:cs="Amiri"/>
          <w:color w:val="111111"/>
          <w:sz w:val="28"/>
          <w:sz w:val="28"/>
          <w:szCs w:val="28"/>
          <w:rtl w:val="true"/>
          <w:lang w:bidi="ar-SA"/>
        </w:rPr>
        <w:t>إنّما الإشكال في جواز القضاء للمقلّد مستقلًاّ، أو بنصب الحاكم، أو وكالته، واستدلّ على استقلاله بامور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سورة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 وَ إِذا حَكَمْتُمْ بَيْنَ النَّاسِ أَنْ تَحْكُمُوا بِالْعَدْلِ إِنَّ اللَّهَ نِعِمَّا يَعِظُكُمْ بِهِ</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إطلاقه شامل للمقلّد العامّي، ومعلوم أنّه إذا أوجب اللَّه تعالى الحكم بالعدل بين الناس، فلابدّ من إيجاب قبولهم ومن نفوذه فيهم، وإلّا لصار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الخطاب في صدر الآية متوجّه إلى من عنده الأمانة، لا إلى مطلق الناس، وفي ذيلها إلى من له الحكم وله منصب القضاء أو الحكومة، لا إلى مطلق الناس أيضاً، كما هو ظاهر بأدنى تأمّل، فحينئذٍ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له حكم بين الناس، يجب عليه أن يحكم بينهم بالعدل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أنّها في مقام بيان وجوب العدل في الحكم، لا وجوب الحكم، فلا إطلاق لها من هذه الحيثيّة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أنّ الأمر متوجّه إلى من له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ظهور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 xml:space="preserve">روى الصدوق، بإسناده عن المُعلّى بن خنيس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انظر الغيبة،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ورجال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1114</w:t>
      </w:r>
      <w:r>
        <w:rPr>
          <w:rFonts w:ascii="Amiri" w:hAnsi="Amiri" w:eastAsia="Amiri" w:cs="Amiri"/>
          <w:color w:val="111111"/>
          <w:sz w:val="28"/>
          <w:sz w:val="28"/>
          <w:szCs w:val="28"/>
          <w:rtl w:val="true"/>
          <w:lang w:bidi="ar-SA"/>
        </w:rPr>
        <w:t xml:space="preserve">، وتنقيح المقال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ومعجم رجال 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الصادق عليه السلام قال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 وَ إِذا حَكَمْتُمْ بَيْنَ النَّاسِ أَنْ تَحْكُمُوا بِالْعَدْلِ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عدل الإمام أن يدافع ما عنده إلى الإمام الذي بعده، وأمر الأئمّة أن يحكموا بالعدل، وأمر الناس أن يتّبعوهم</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تفسيراً تعبّدياً خلاف ظاهر الآية، بل هو ظاهرها؛ لأنّ الحكومة بين الناس لمّا كانت في جميع الطوائف، شأن الامراء والسلاطين، لايفهم العرف من الآية إلّاكون الخطاب متوجّهاً إليهم، لا إلى الرعيّة الذين ليس لهم أمر وحكم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قوله في 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يَحْكُمْ بِما أَنْزَلَ اللَّهُ فَأُولئِكَ هُمُ الْكافِرُونَ</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الظَّالِمُونَ</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وفي 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الْفاسِقُونَ</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دلّت بمفهومها على وجوب الحكم بما أنزل اللَّه، وإطلاقه شامل للعامّي المقلّد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الآيات الكريمة في مقام بيان حرمة الحكم بغير ما أنزل اللَّه، ولا يستفاد منها جواز الحكم أو وجوبه لكلّ أحد؛ لعدم كونها في مقام البيان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الآيات وغيرها ممّا استدلّ بها المحقّق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انظر معارف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وأعيان الشيعة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ليس لها إطلاق يمكن أن يتمسّك به للمطلوب، مضافاً إلى أنّه لو كان لها إطلاق، ينصرف إلى من كان صاحب الأمر والحكم، دون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روى الصدوق بسنده عن أحمد بن عائذ</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انظر رجال النجّاشي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ورجال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ومعجم رجال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وليس في طريقه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إليه من يمكن القدح فيه إلّاالحسن بن عليّ الوشّاء، وقد قال فيه النجاشيّ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انظر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ورجال العلّامة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وروضات الجنّات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وخاتمة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p>
    <w:p>
      <w:pPr>
        <w:pStyle w:val="BookText"/>
        <w:rPr/>
      </w:pPr>
      <w:r>
        <w:rPr>
          <w:rFonts w:ascii="Amiri" w:hAnsi="Amiri" w:eastAsia="Amiri" w:cs="Amiri"/>
          <w:color w:val="111111"/>
          <w:sz w:val="28"/>
          <w:sz w:val="28"/>
          <w:szCs w:val="28"/>
          <w:rtl w:val="true"/>
          <w:lang w:bidi="ar-SA"/>
        </w:rPr>
        <w:t>من وجوه هذه الطائفة،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الشيخ عيناً من عيون هذه الطائفة</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روى عنه الأجلّة</w:t>
      </w:r>
      <w:r>
        <w:rPr>
          <w:rStyle w:val="FootnoteAnchor"/>
          <w:rtl w:val="true"/>
        </w:rPr>
        <w:footnoteReference w:id="82"/>
      </w:r>
      <w:r>
        <w:rPr>
          <w:rFonts w:ascii="Amiri" w:hAnsi="Amiri" w:eastAsia="Amiri" w:cs="Amiri"/>
          <w:color w:val="111111"/>
          <w:sz w:val="28"/>
          <w:sz w:val="28"/>
          <w:szCs w:val="28"/>
          <w:rtl w:val="true"/>
          <w:lang w:bidi="ar-SA"/>
        </w:rPr>
        <w:t>، كابن أبي عمير</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انظر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887</w:t>
      </w:r>
      <w:r>
        <w:rPr>
          <w:rFonts w:ascii="Amiri" w:hAnsi="Amiri" w:eastAsia="Amiri" w:cs="Amiri"/>
          <w:color w:val="111111"/>
          <w:sz w:val="28"/>
          <w:sz w:val="28"/>
          <w:szCs w:val="28"/>
          <w:rtl w:val="true"/>
          <w:lang w:bidi="ar-SA"/>
        </w:rPr>
        <w:t xml:space="preserve">، ورجال الكشّي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856</w:t>
      </w:r>
      <w:r>
        <w:rPr>
          <w:rFonts w:ascii="Amiri" w:hAnsi="Amiri" w:eastAsia="Amiri" w:cs="Amiri"/>
          <w:color w:val="111111"/>
          <w:sz w:val="28"/>
          <w:sz w:val="28"/>
          <w:szCs w:val="28"/>
          <w:rtl w:val="true"/>
          <w:lang w:bidi="ar-SA"/>
        </w:rPr>
        <w:t xml:space="preserve">، ومعجم رجال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أحمد بن محمّد بن عيسى</w:t>
      </w:r>
    </w:p>
    <w:p>
      <w:pPr>
        <w:pStyle w:val="BookText"/>
        <w:rPr/>
      </w:pPr>
      <w:r>
        <w:rPr>
          <w:rFonts w:ascii="IRNazanin" w:hAnsi="IRNazanin" w:eastAsia="IRNazanin"/>
          <w:color w:val="111111"/>
          <w:sz w:val="28"/>
          <w:sz w:val="28"/>
          <w:szCs w:val="28"/>
          <w:rtl w:val="true"/>
          <w:lang w:bidi="fa-IR"/>
        </w:rPr>
        <w:t>وأحمد بن محمّد بن خالد</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انظر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ورجال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ورجال العلّامة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ومعجم رجال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ومحمّد بن عيسى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انظر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896</w:t>
      </w:r>
      <w:r>
        <w:rPr>
          <w:rFonts w:ascii="Amiri" w:hAnsi="Amiri" w:eastAsia="Amiri" w:cs="Amiri"/>
          <w:color w:val="111111"/>
          <w:sz w:val="28"/>
          <w:sz w:val="28"/>
          <w:szCs w:val="28"/>
          <w:rtl w:val="true"/>
          <w:lang w:bidi="ar-SA"/>
        </w:rPr>
        <w:t>، ورجال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ومعجم رجال 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ويعقوب بن يزيد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انظر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1215</w:t>
      </w:r>
      <w:r>
        <w:rPr>
          <w:rFonts w:ascii="Amiri" w:hAnsi="Amiri" w:eastAsia="Amiri" w:cs="Amiri"/>
          <w:color w:val="111111"/>
          <w:sz w:val="28"/>
          <w:sz w:val="28"/>
          <w:szCs w:val="28"/>
          <w:rtl w:val="true"/>
          <w:lang w:bidi="ar-SA"/>
        </w:rPr>
        <w:t xml:space="preserve">، ورجال الكشّي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869</w:t>
      </w:r>
      <w:r>
        <w:rPr>
          <w:rFonts w:ascii="Amiri" w:hAnsi="Amiri" w:eastAsia="Amiri" w:cs="Amiri"/>
          <w:color w:val="111111"/>
          <w:sz w:val="28"/>
          <w:sz w:val="28"/>
          <w:szCs w:val="28"/>
          <w:rtl w:val="true"/>
          <w:lang w:bidi="ar-SA"/>
        </w:rPr>
        <w:t>، وفهرست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782</w:t>
      </w:r>
      <w:r>
        <w:rPr>
          <w:rFonts w:ascii="Amiri" w:hAnsi="Amiri" w:eastAsia="Amiri" w:cs="Amiri"/>
          <w:color w:val="111111"/>
          <w:sz w:val="28"/>
          <w:sz w:val="28"/>
          <w:szCs w:val="28"/>
          <w:rtl w:val="true"/>
          <w:lang w:bidi="ar-SA"/>
        </w:rPr>
        <w:t xml:space="preserve">، ومعجم رجال الحديث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13749</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والحسين</w:t>
      </w:r>
    </w:p>
    <w:p>
      <w:pPr>
        <w:pStyle w:val="BookText"/>
        <w:rPr/>
      </w:pPr>
      <w:r>
        <w:rPr>
          <w:rFonts w:ascii="Amiri" w:hAnsi="Amiri" w:eastAsia="Amiri" w:cs="Amiri"/>
          <w:color w:val="111111"/>
          <w:sz w:val="28"/>
          <w:sz w:val="28"/>
          <w:szCs w:val="28"/>
          <w:rtl w:val="true"/>
          <w:lang w:bidi="ar-SA"/>
        </w:rPr>
        <w:t xml:space="preserve">ابن سعيد وغيرهم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انظر معجم رجال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بصحّة طرق هو فيها</w:t>
      </w:r>
      <w:r>
        <w:rPr>
          <w:rStyle w:val="FootnoteAnchor"/>
          <w:rtl w:val="true"/>
        </w:rPr>
        <w:footnoteReference w:id="86"/>
      </w:r>
      <w:r>
        <w:rPr>
          <w:rFonts w:ascii="Amiri" w:hAnsi="Amiri" w:eastAsia="Amiri" w:cs="Amiri"/>
          <w:color w:val="111111"/>
          <w:sz w:val="28"/>
          <w:sz w:val="28"/>
          <w:szCs w:val="28"/>
          <w:rtl w:val="true"/>
          <w:lang w:bidi="ar-SA"/>
        </w:rPr>
        <w:t>،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مشايخ الإجازة</w:t>
      </w:r>
      <w:r>
        <w:rPr>
          <w:rStyle w:val="FootnoteAnchor"/>
          <w:rtl w:val="true"/>
        </w:rPr>
        <w:footnoteReference w:id="87"/>
      </w:r>
      <w:r>
        <w:rPr>
          <w:rFonts w:ascii="Amiri" w:hAnsi="Amiri" w:eastAsia="Amiri" w:cs="Amiri"/>
          <w:color w:val="111111"/>
          <w:sz w:val="28"/>
          <w:sz w:val="28"/>
          <w:szCs w:val="28"/>
          <w:rtl w:val="true"/>
          <w:lang w:bidi="ar-SA"/>
        </w:rPr>
        <w:t>فلا يحتاج إلى التوثيق، وكيف كان فالأقوى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وأحمد بن عائذ ثقة، روى عن أبي خديجة سالم بن مُكْرَم الجمّال، وقد وثّقه النجّاشي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 ثقة</w:t>
      </w:r>
      <w:r>
        <w:rPr>
          <w:rStyle w:val="FootnoteAnchor"/>
          <w:rtl w:val="true"/>
        </w:rPr>
        <w:footnoteReference w:id="88"/>
      </w:r>
      <w:r>
        <w:rPr>
          <w:rFonts w:ascii="Amiri" w:hAnsi="Amiri" w:eastAsia="Amiri" w:cs="Amiri"/>
          <w:color w:val="111111"/>
          <w:sz w:val="28"/>
          <w:sz w:val="28"/>
          <w:szCs w:val="28"/>
          <w:rtl w:val="true"/>
          <w:lang w:bidi="ar-SA"/>
        </w:rPr>
        <w:t>، ووثّقه الشيخ في موضع على ما عن العلّامة</w:t>
      </w:r>
      <w:r>
        <w:rPr>
          <w:rStyle w:val="FootnoteAnchor"/>
          <w:rtl w:val="true"/>
        </w:rPr>
        <w:footnoteReference w:id="89"/>
      </w:r>
      <w:r>
        <w:rPr>
          <w:rFonts w:ascii="Amiri" w:hAnsi="Amiri" w:eastAsia="Amiri" w:cs="Amiri"/>
          <w:color w:val="111111"/>
          <w:sz w:val="28"/>
          <w:sz w:val="28"/>
          <w:szCs w:val="28"/>
          <w:rtl w:val="true"/>
          <w:lang w:bidi="ar-SA"/>
        </w:rPr>
        <w:t xml:space="preserve">، وإن ضعّفه في موضع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والأرجح وثاقته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جعفر بن محمّد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أن يحاكم بعضكم بعضاً إلى أهل الجور، و لكن انظروا إلى رجل منكم يعلم شيئاً من قضايانا، فاجعلوه بينكم؛ فإنّي قد جعلته قاضياً، فتحاكموا إليه</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فإنّها بإطلاقها تشمل المقلّد، لأنّ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الأعمّ من الوجدانيّ، والمقلّد عالم بهذا المعنى لأنّ له طريقاً إلى الواقع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بشي‌ء من قضاياهم مختصّ بالفقيه، أو منصرف إليه؛ لأنّ العاميّ إمّا أن يتّكل على فتوى الفقيه في القضاء، فلا 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يعلم شيئاً من قضاياهم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يعلم فتوى الفقيه في القضاء، وهو طريق إلى حكم اللَّه تعالى</w:t>
      </w:r>
    </w:p>
    <w:p>
      <w:pPr>
        <w:pStyle w:val="BookText"/>
        <w:rPr/>
      </w:pPr>
      <w:r>
        <w:rPr>
          <w:rFonts w:ascii="Amiri" w:hAnsi="Amiri" w:eastAsia="Amiri" w:cs="Amiri"/>
          <w:color w:val="111111"/>
          <w:sz w:val="28"/>
          <w:sz w:val="28"/>
          <w:szCs w:val="28"/>
          <w:rtl w:val="true"/>
          <w:lang w:bidi="ar-SA"/>
        </w:rPr>
        <w:t>وإمّا أن يتّكل على إخبار الفقيه بقضاياهم، وهذا غير جائز؛ لأنّه لايزيد على رواية مرسلة غير جائزة العمل، مع أنّه على فرض صحّة السند، لا يجوز له العمل بها إلّامع الفحص عن معارضها، وإعمال سائر مقدّمات الاستنباط، وهو خارج عن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بفتوى الفقيه، لا يوجب انسلاكه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شيئاً من قضايانا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الاستدلال بها لثبوت منصب القضاء للمتجزّي، وهو ليس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انظر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ومعجم رجال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بين الرجلين</w:t>
      </w:r>
    </w:p>
    <w:p>
      <w:pPr>
        <w:pStyle w:val="BookText"/>
        <w:rPr/>
      </w:pPr>
      <w:r>
        <w:rPr>
          <w:rFonts w:ascii="Amiri" w:hAnsi="Amiri" w:eastAsia="Amiri" w:cs="Amiri"/>
          <w:color w:val="111111"/>
          <w:sz w:val="28"/>
          <w:sz w:val="28"/>
          <w:szCs w:val="28"/>
          <w:rtl w:val="true"/>
          <w:lang w:bidi="ar-SA"/>
        </w:rPr>
        <w:t>من أصحابنا المنازعة في الشي‌ء، فيتراضيان برجل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هو ذاك، إنّما هو الذي يجبر الناس على حكمه بالسيف والسوط</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المقلّد، وترك الاستفصال دليل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عدم الجواز فيمن يجبر الناس بسيفه وسوطه، دليل على جواز الرجوع لغيرهم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 الكلام مسبوقاً بسابقة بين المتخاطبين غير منقولة إلينا، ومعه يشكل الاعتماد على الإطلاق وترك الاستفصال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عدم الإطلاق؛ لعدم كونه في مقام البيان، بل هو في مقام بيان حكم آخر، والحصر إضافيّ؛ ضرورة عدم جواز الرجوع إلى قضاة العامّة ممّن ليس لهم سيف وسوط</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ومضافاً إلى عدم جواز الاعتماد على الحصر أيضاً مع معهوديّة القضيّة بينهما، عدم نقل الرواية بجميع خصوصيّاتها لنا</w:t>
      </w:r>
      <w:r>
        <w:rPr>
          <w:rFonts w:eastAsia="Amiri" w:cs="Amiri" w:ascii="Amiri" w:hAnsi="Amiri"/>
          <w:color w:val="111111"/>
          <w:sz w:val="28"/>
          <w:szCs w:val="28"/>
          <w:rtl w:val="true"/>
          <w:lang w:bidi="ar-SA"/>
        </w:rPr>
        <w:t>.</w:t>
      </w:r>
      <w:bookmarkStart w:id="67" w:name="pg1534_18211"/>
    </w:p>
    <w:p>
      <w:pPr>
        <w:pStyle w:val="BookText"/>
        <w:rPr/>
      </w:pPr>
      <w:bookmarkEnd w:id="67"/>
      <w:r>
        <w:rPr>
          <w:rFonts w:ascii="Amiri" w:hAnsi="Amiri" w:eastAsia="Amiri" w:cs="Amiri"/>
          <w:color w:val="111111"/>
          <w:sz w:val="28"/>
          <w:sz w:val="28"/>
          <w:szCs w:val="28"/>
          <w:rtl w:val="true"/>
          <w:lang w:bidi="ar-SA"/>
        </w:rPr>
        <w:t>مع أنّ معهوديّة كون شأن القضاء لأشخاص معيّنين وهم فقهاء الفريقين، يمنع عن الإطلاق، وعلى فرض الإطلاق يقيّد بمثل المقبولة</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554964_3650668749"/>
      <w:bookmarkStart w:id="69" w:name="_Toc25"/>
      <w:bookmarkEnd w:id="68"/>
      <w:r>
        <w:rPr>
          <w:rtl w:val="true"/>
        </w:rPr>
        <w:t>وجه آخر لجواز الرجوع إلى المقلّد وجوابه</w:t>
      </w:r>
      <w:bookmarkEnd w:id="69"/>
    </w:p>
    <w:p>
      <w:pPr>
        <w:pStyle w:val="BookText"/>
        <w:rPr/>
      </w:pPr>
      <w:r>
        <w:rPr>
          <w:rFonts w:ascii="Amiri" w:hAnsi="Amiri" w:eastAsia="Amiri" w:cs="Amiri"/>
          <w:color w:val="111111"/>
          <w:sz w:val="28"/>
          <w:sz w:val="28"/>
          <w:szCs w:val="28"/>
          <w:rtl w:val="true"/>
          <w:lang w:bidi="ar-SA"/>
        </w:rPr>
        <w:t>وقد يستدلّ لجواز الرجوع إلى المقلّد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الاجتهاد بهذا المعنى المتعارف في زماننا، لم يكن في الصدر الأوّل، بل المحدّثون فيه مثل المقلّدين الآخذين أحكام اللَّه من الفقهاء، فقوله في المقبولة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روى حديثنا، ونظر في حلالنا وحرآمنا، وعرف أحكامنا</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ليس المراد منه المجتهد؛ أي من له قوّة الاستنباط بالمعنى المعهود في أعصارنا؛ لعدم وجوده في زمان الأئمّة عليهم السلام بل المراد منه من علم الأحكام بأخذ المسائل من الإمام أو الفقيه، كما كان كذلك في تلك الأزمنة</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ندّعي أنّ المناط في الفقيه المنصوب في المقبولة، هو واجديّته لقوّة الاستنباط، وردّ الفرع إلى الأصل بالنحو المتعارف في زماننا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الموضوع هو من يتصف بما فيها؛ من كونه ممّن روى حديثهم، ونظر في حلالهم وحرامهم، وعرف أحكامهم، على نحو ما حرّرناه في فقه الحديث </w:t>
      </w:r>
      <w:r>
        <w:rPr>
          <w:rStyle w:val="FootnoteAnchor"/>
          <w:rtl w:val="true"/>
        </w:rPr>
        <w:footnoteReference w:id="97"/>
      </w:r>
      <w:r>
        <w:rPr>
          <w:rFonts w:ascii="Amiri" w:hAnsi="Amiri" w:eastAsia="Amiri" w:cs="Amiri"/>
          <w:color w:val="111111"/>
          <w:sz w:val="28"/>
          <w:sz w:val="28"/>
          <w:szCs w:val="28"/>
          <w:rtl w:val="true"/>
          <w:lang w:bidi="ar-SA"/>
        </w:rPr>
        <w:t>، وهو صادق على المحدّثين والفقهاء في العصر الأوّل من أصحاب</w:t>
      </w:r>
    </w:p>
    <w:p>
      <w:pPr>
        <w:pStyle w:val="BookText"/>
        <w:rPr/>
      </w:pPr>
      <w:r>
        <w:rPr>
          <w:rFonts w:ascii="Amiri" w:hAnsi="Amiri" w:eastAsia="Amiri" w:cs="Amiri"/>
          <w:color w:val="111111"/>
          <w:sz w:val="28"/>
          <w:sz w:val="28"/>
          <w:szCs w:val="28"/>
          <w:rtl w:val="true"/>
          <w:lang w:bidi="ar-SA"/>
        </w:rPr>
        <w:t>الأئمّة، كما هو صادق على فقهاء عصرنا؛ فإنّهم مشتركون معهم فيما هو مناط المنصب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وامتياز المجتهدين في زماننا عنهم، إنّما هو في أمر خارج عمّا يعتبر في المنصب؛ وهو تحصيل قوّة الاستنباط بالمشقّة، وبذل الجهد، وتحمّل الكلفة في معرفة الأحكام، ممّا لم يكن فقهاء العصر الأوّل محتاجين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فمعرفة الأحكام في العصر الأوّل كانت سهلة؛ لعدم الاحتياج إلى كثير من مقدّمات الاجتهاد، وعدم الاحتياج إلى التكلّف وبذل الجهد؛ ممّا نحتاج إليه في هذه الأعصار ممّا هو غير دخيل في تقوّم الموضوع، بل دخيل في تحقّقه، فقيود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عيّنت المقبولة من الأوصاف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حاصلة لهم من غير مشقّة، ولفقهائنا مع تحمّل المشاقّ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المقلّد فخارج عن الموضوع رأساً؛ لعدم صدق الأوصاف عليه، كما أوضحنا سبيله سابقاً</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مع أنّ المنصوبين للقضاء من قبل خلفاء الجور والحقّ، كانوا من الفقهاء الواجدين لقوّة الاستنباط، كشريح المنصوب من قبل أمير المؤمنين، وكابن أبي ليلى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انظر 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وتذهيب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6439</w:t>
      </w:r>
      <w:r>
        <w:rPr>
          <w:rFonts w:ascii="Amiri" w:hAnsi="Amiri" w:eastAsia="Amiri" w:cs="Amiri"/>
          <w:color w:val="111111"/>
          <w:sz w:val="28"/>
          <w:sz w:val="28"/>
          <w:szCs w:val="28"/>
          <w:rtl w:val="true"/>
          <w:lang w:bidi="ar-SA"/>
        </w:rPr>
        <w:t xml:space="preserve">، والكنى والألقاب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70" w:name="pg1534_18213"/>
    </w:p>
    <w:p>
      <w:pPr>
        <w:pStyle w:val="BookText"/>
        <w:rPr/>
      </w:pPr>
      <w:bookmarkEnd w:id="70"/>
      <w:r>
        <w:rPr>
          <w:rFonts w:ascii="Amiri" w:hAnsi="Amiri" w:eastAsia="Amiri" w:cs="Amiri"/>
          <w:color w:val="111111"/>
          <w:sz w:val="28"/>
          <w:sz w:val="28"/>
          <w:szCs w:val="28"/>
          <w:rtl w:val="true"/>
          <w:lang w:bidi="ar-SA"/>
        </w:rPr>
        <w:t>وابن شُبْرُمة</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انظر الوافي بالوفيّات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والكنى والألقاب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وقَتَادة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وأضرابهم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 من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منصب القضاء مختصّ بالفقهاء، ولا حظّ للعامّي فيه</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554966_3650668749"/>
      <w:bookmarkStart w:id="72" w:name="_Toc26"/>
      <w:bookmarkEnd w:id="71"/>
      <w:r>
        <w:rPr>
          <w:rtl w:val="true"/>
        </w:rPr>
        <w:t>هل يجوز للفقيه نصب العامّي للقضاء أم لا؟</w:t>
      </w:r>
      <w:bookmarkEnd w:id="72"/>
    </w:p>
    <w:p>
      <w:pPr>
        <w:pStyle w:val="BookText"/>
        <w:rPr/>
      </w:pPr>
      <w:r>
        <w:rPr>
          <w:rFonts w:ascii="Amiri" w:hAnsi="Amiri" w:eastAsia="Amiri" w:cs="Amiri"/>
          <w:color w:val="111111"/>
          <w:sz w:val="28"/>
          <w:sz w:val="28"/>
          <w:szCs w:val="28"/>
          <w:rtl w:val="true"/>
          <w:lang w:bidi="ar-SA"/>
        </w:rPr>
        <w:t>فهل يجوز للفقيه نصب العامّي العارف بمسائل القضاء تقليداً أم لا؟</w:t>
      </w:r>
    </w:p>
    <w:p>
      <w:pPr>
        <w:pStyle w:val="BookText"/>
        <w:rPr/>
      </w:pPr>
      <w:r>
        <w:rPr>
          <w:rFonts w:ascii="Amiri" w:hAnsi="Amiri" w:eastAsia="Amiri" w:cs="Amiri"/>
          <w:color w:val="111111"/>
          <w:sz w:val="28"/>
          <w:sz w:val="28"/>
          <w:szCs w:val="28"/>
          <w:rtl w:val="true"/>
          <w:lang w:bidi="ar-SA"/>
        </w:rPr>
        <w:t>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بالجواز؛ مستدلًاّ بعموم أدلّة ولاية الفقيه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للنبيّ والوصيّ نصبَ كلّ أحد للقضاء، مجتهداً كان، أو مقلّداً عارفاً بالمسائل؛ بمقتضى سلطنتهم وولايتهم على الامّة، وكلّ ما كان لهما يكون</w:t>
      </w:r>
    </w:p>
    <w:p>
      <w:pPr>
        <w:pStyle w:val="BookText"/>
        <w:rPr/>
      </w:pPr>
      <w:r>
        <w:rPr>
          <w:rFonts w:ascii="Amiri" w:hAnsi="Amiri" w:eastAsia="Amiri" w:cs="Amiri"/>
          <w:color w:val="111111"/>
          <w:sz w:val="28"/>
          <w:sz w:val="28"/>
          <w:szCs w:val="28"/>
          <w:rtl w:val="true"/>
          <w:lang w:bidi="ar-SA"/>
        </w:rPr>
        <w:t>للفقيه الجامع للشرائط؛ بمقتضى أدلّة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وردّت كلتا المقدّمتين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فلمنع جواز نصب العامّي من النبيّ والوصيّ؛ بمقتضى مقبولة عمر بن حنظلة الدالّة على أنّ هذا المنصب إنّما هو للفقيه لا العامّي، ويستفاد منها أنّ ذلك حكم شرعيّ إلهيّ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المقبولة لا تدلّ إلّاعلى نصب الإمام الفقيهَ، وأمّا كون ذلك بإلزام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يستفاد منها أنّ الفقاهة من الشرائط الشرعيّة للقضاء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يستدلّ لذلك بصحيحة سليمان بن خالد المتقدّمة</w:t>
      </w:r>
      <w:r>
        <w:rPr>
          <w:rStyle w:val="FootnoteAnchor"/>
          <w:rtl w:val="true"/>
        </w:rPr>
        <w:footnoteReference w:id="103"/>
      </w:r>
      <w:r>
        <w:rPr>
          <w:rFonts w:ascii="Amiri" w:hAnsi="Amiri" w:eastAsia="Amiri" w:cs="Amiri"/>
          <w:color w:val="111111"/>
          <w:sz w:val="28"/>
          <w:sz w:val="28"/>
          <w:szCs w:val="28"/>
          <w:rtl w:val="true"/>
          <w:lang w:bidi="ar-SA"/>
        </w:rPr>
        <w:t>، عن أبي عبد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الحكومة؛ فإنّ الحكومة إنّما هي للإمام العالم بالقضاء، العادل في المسلمين؛ لنبيّ أو وصيّ نبيّ</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الظاهر منها أنّها مختصّة بهما من قبل اللَّه، ولا تكون لغيرهما أهليّة لها، غاية الأمر أنّ أدلّة نصب الفقهاء لها، تكون مخرجة إيّاهم عن الحصر، وبقى الباقي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الفقهاء أوصياء الأنبياء بوجه؛ لكونهم الخلفاء</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الامناء</w:t>
      </w:r>
      <w:r>
        <w:rPr>
          <w:rFonts w:eastAsia="IRNazanin" w:cs="IRNazanin"/>
          <w:color w:val="111111"/>
          <w:sz w:val="28"/>
          <w:szCs w:val="28"/>
          <w:rtl w:val="true"/>
          <w:lang w:bidi="fa-IR"/>
        </w:rPr>
        <w:t>)</w:t>
      </w:r>
      <w:r>
        <w:rPr>
          <w:rStyle w:val="FootnoteAnchor"/>
          <w:rtl w:val="true"/>
        </w:rPr>
        <w:footnoteReference w:id="10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منزلتهم منزلة الأنبياء من بني إسرائيل</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فيكون خروجهم موضوعيّاً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عليه لا معنى لنصبهم حكّاماً؛ لأنّهم الأوصياء، فيكون المنصب لهم بجعل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الصحيحة أنّ هذا المنصب لا يكون إلّاللنّبي والوصيّ، وهو لاينافي أن يكون بنصب النبيّ أو الإمام، لكن بأمر اللَّه تعالى وحكمه، فإذا نصب اللَّه تعالى النبيّ حاكماً وقاضياً، ونصب النبيّ الأئمّة كذلك، والأئمَّةُ الفقهاءَ، ويكون الأئمّة والفقهاء أوصياء النبي، 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الحكومة منحصرة بالنبيّ والوصيّ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منه الأعمّ من الفقهاء،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الحكومة بالنبيّ والوصيّ، يسلب أهليّة غيرهما، خرج الفقهاء إمّا موضوعاً أو حكماً، وبقي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الشكّ في جواز نصب النبي والإمام العامّيَ للقضاء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اشتراطه بالفقاهة، وعدم ظهور إطلاق ينفيه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عدم جواز نصب الفقيه إيّاه، وعدم نفوذ حكمه لو نصبه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فاجيب عنها بمنع عموم ولاية الفقيه، لأنّ المنصف المتأمّل في المقبولة صدراً وذيلًا، وفي سياق الأدلّة، يقطع بأنّها في مقام بيان</w:t>
      </w:r>
    </w:p>
    <w:p>
      <w:pPr>
        <w:pStyle w:val="BookText"/>
        <w:rPr/>
      </w:pPr>
      <w:r>
        <w:rPr>
          <w:rFonts w:ascii="Amiri" w:hAnsi="Amiri" w:eastAsia="Amiri" w:cs="Amiri"/>
          <w:color w:val="111111"/>
          <w:sz w:val="28"/>
          <w:sz w:val="28"/>
          <w:szCs w:val="28"/>
          <w:rtl w:val="true"/>
          <w:lang w:bidi="ar-SA"/>
        </w:rPr>
        <w:t>وظيفتهم من حيث الأحكام الشرعيّة والقضاء بين الناس، لامطلقاً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لو سلّمت استفادة العموم منها، فلابدّ وأن تحمل على ذلك؛ احترازاً عن التخصيص الأكثر المستهجن، فإنّ أكثر ما للنبيّ والإمام غير ثابت للمجتهد، فلا يجوز التمسّك بها لما نحن فيه إلّابعد تمسّك جماعة معتدّ بها من الأصحاب، ولم يتمسّك بها في المقام إلّابعض المتأخّرين </w:t>
      </w:r>
      <w:r>
        <w:rPr>
          <w:rStyle w:val="FootnoteAnchor"/>
          <w:rtl w:val="true"/>
        </w:rPr>
        <w:footnoteReference w:id="108"/>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المقبولة كما ذكرناه </w:t>
      </w:r>
      <w:r>
        <w:rPr>
          <w:rStyle w:val="FootnoteAnchor"/>
          <w:rtl w:val="true"/>
        </w:rPr>
        <w:footnoteReference w:id="110"/>
      </w:r>
      <w:r>
        <w:rPr>
          <w:rFonts w:ascii="Amiri" w:hAnsi="Amiri" w:eastAsia="Amiri" w:cs="Amiri"/>
          <w:color w:val="111111"/>
          <w:sz w:val="28"/>
          <w:sz w:val="28"/>
          <w:szCs w:val="28"/>
          <w:rtl w:val="true"/>
          <w:lang w:bidi="ar-SA"/>
        </w:rPr>
        <w:t>، هو أنّ الحكومة مطلقاً للفقيه، وقد جعلهم الإمام حكّاماً على الناس، ولا يخفى أنّ جعل القاضي من شؤون الحاكم والسلطان في الإسلام، فجعل الحكومة للفقهاء مستلزم لجواز نصب القضاة، فالحكّام على الناس شأنهم نصب الامراء والقضاة وغيرهما ممّا يحتاج إليه الامّة، كما أنّ الأمر كذلك من زمن رسول اللَّه والخلفاء حقّاً أو باطلًا، ولعلّه الآن كذلك عند العامّة، وليس ذلك إلّالمعروفيّة ذلك في الإسلام من بدو نشئه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الأخبار في مقام بيان وظيفتهم من حيث الأحكام الشرعيّة والقضاء بين الناس، 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بيان الأحكام الشرعيّة فليس من المناصب، فلا معنى لجعله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وتخصيصها بالقضاء لاوجه له بعد عموم اللّفظ، ومطابقة الاعتبار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والانصراف لو كان فهو بدويّ، ينشأ من توّهم كون مورد المقبولة هو القضاء</w:t>
      </w:r>
      <w:r>
        <w:rPr>
          <w:rFonts w:eastAsia="Amiri" w:cs="Amiri" w:ascii="Amiri" w:hAnsi="Amiri"/>
          <w:color w:val="111111"/>
          <w:sz w:val="28"/>
          <w:szCs w:val="28"/>
          <w:rtl w:val="true"/>
          <w:lang w:bidi="ar-SA"/>
        </w:rPr>
        <w:t>.</w:t>
      </w:r>
      <w:bookmarkStart w:id="73" w:name="pg1534_18217"/>
    </w:p>
    <w:p>
      <w:pPr>
        <w:pStyle w:val="BookText"/>
        <w:rPr/>
      </w:pPr>
      <w:bookmarkEnd w:id="73"/>
      <w:r>
        <w:rPr>
          <w:rFonts w:ascii="Amiri" w:hAnsi="Amiri" w:eastAsia="Amiri" w:cs="Amiri"/>
          <w:color w:val="111111"/>
          <w:sz w:val="28"/>
          <w:sz w:val="28"/>
          <w:szCs w:val="28"/>
          <w:rtl w:val="true"/>
          <w:lang w:bidi="ar-SA"/>
        </w:rPr>
        <w:t>ودعوى مساوقة المقبولة للمشهورة، وهي مختصّة بالقضاء، فكذلك المقبولة</w:t>
      </w:r>
      <w:r>
        <w:rPr>
          <w:rStyle w:val="FootnoteAnchor"/>
          <w:rtl w:val="true"/>
        </w:rPr>
        <w:footnoteReference w:id="111"/>
      </w:r>
      <w:r>
        <w:rPr>
          <w:rFonts w:ascii="Amiri" w:hAnsi="Amiri" w:eastAsia="Amiri" w:cs="Amiri"/>
          <w:color w:val="111111"/>
          <w:sz w:val="28"/>
          <w:sz w:val="28"/>
          <w:szCs w:val="28"/>
          <w:rtl w:val="true"/>
          <w:lang w:bidi="ar-SA"/>
        </w:rPr>
        <w:t>، كما ترى مع أنّك قد عرفت عدم اختصاص مورد المقبولة ولا المشهورة بالقضاء</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تخصيص الأكثر فممنوع جدّاً؛ فإنّ مختصّات النبيّ وإن كانت كثيرة، لكن ليس شي‌ء منها مربوطاً بمقام سلطنته وحكومته، إلّاالنادر القليل لو كان، فما هو ثابت للنبيّ والوصيّ من الحكومة والولاية في الامور السياسيّة والحِسْبيّة، هي الشؤون الثابتة للفقهاء أيضاً، والمستثنى منها قليل جدّاً، وما هي من مختصّات النبيّ فليست من شؤون الحكومة إلّاالنادر منها، فراجع مختصّاته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جمعها العلّامة في أوّل 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حتّى يتّضح لك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مختصّات الأئمّة فمع عدم كثرتها، فهي أيضاً غير مربوطة بمقام الحكومة، إلّاالنادر على فرضه</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554968_3650668749"/>
      <w:bookmarkStart w:id="75" w:name="_Toc27"/>
      <w:bookmarkEnd w:id="74"/>
      <w:r>
        <w:rPr>
          <w:rtl w:val="true"/>
        </w:rPr>
        <w:t>هل يجوز توكيل العامّي للقضاء؟</w:t>
      </w:r>
      <w:bookmarkEnd w:id="7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توكيل الفقيه مقلِّده العارف بمسائل القضاء لتولّيه، تشبّثاً بإطلاق أدلّة الوكالة</w:t>
      </w:r>
      <w:r>
        <w:rPr>
          <w:rStyle w:val="FootnoteAnchor"/>
          <w:rtl w:val="true"/>
        </w:rPr>
        <w:footnoteReference w:id="114"/>
      </w:r>
      <w:r>
        <w:rPr>
          <w:rFonts w:ascii="Amiri" w:hAnsi="Amiri" w:eastAsia="Amiri" w:cs="Amiri"/>
          <w:color w:val="111111"/>
          <w:sz w:val="28"/>
          <w:sz w:val="28"/>
          <w:szCs w:val="28"/>
          <w:rtl w:val="true"/>
          <w:lang w:bidi="ar-SA"/>
        </w:rPr>
        <w:t>، ففيه ما لا 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القضاء غير قابل للتوكيل؛ لما يستفاد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اختصاصه بالفقيه، فتعتبر فيه مباشرة الفقيه، ولوشكّ في ذلك فليس دليل ولا أصل يتشبّث به لإحراز القابليّة، فالأصل الأوّلي محكّم مع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إطلاق في أدلّة الوكالة يحرز به نفوذ الوكالة في كلّ أمر؛ إذ ليس فيها ما يتوهّم </w:t>
      </w:r>
      <w:r>
        <w:rPr>
          <w:rStyle w:val="FootnoteAnchor"/>
          <w:rtl w:val="true"/>
        </w:rPr>
        <w:footnoteReference w:id="116"/>
      </w:r>
      <w:r>
        <w:rPr>
          <w:rFonts w:ascii="Amiri" w:hAnsi="Amiri" w:eastAsia="Amiri" w:cs="Amiri"/>
          <w:color w:val="111111"/>
          <w:sz w:val="28"/>
          <w:sz w:val="28"/>
          <w:szCs w:val="28"/>
          <w:rtl w:val="true"/>
          <w:lang w:bidi="ar-SA"/>
        </w:rPr>
        <w:t xml:space="preserve">فيه ذلك إلّاصحيحة معاوية بن وهب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انظر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1097</w:t>
      </w:r>
      <w:r>
        <w:rPr>
          <w:rFonts w:ascii="Amiri" w:hAnsi="Amiri" w:eastAsia="Amiri" w:cs="Amiri"/>
          <w:color w:val="111111"/>
          <w:sz w:val="28"/>
          <w:sz w:val="28"/>
          <w:szCs w:val="28"/>
          <w:rtl w:val="true"/>
          <w:lang w:bidi="ar-SA"/>
        </w:rPr>
        <w:t xml:space="preserve">، ومعجم رجال 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أبي عبد اللَّه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وكّل رجلًا على إمضاأ أمر من الامور، فالوكالة ثابتة أبداً حتّى يعلمه بالخروج منها، كما أعلمه بالدخول فيها</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هشام بن سالم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انظر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1165</w:t>
      </w:r>
      <w:r>
        <w:rPr>
          <w:rFonts w:ascii="Amiri" w:hAnsi="Amiri" w:eastAsia="Amiri" w:cs="Amiri"/>
          <w:color w:val="111111"/>
          <w:sz w:val="28"/>
          <w:sz w:val="28"/>
          <w:szCs w:val="28"/>
          <w:rtl w:val="true"/>
          <w:lang w:bidi="ar-SA"/>
        </w:rPr>
        <w:t xml:space="preserve">، ورجال الكشّي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xml:space="preserve">، ومعجم رجال 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عنه عليه السلام في رجل وكّل آخر على وكالة في أمر</w:t>
      </w:r>
    </w:p>
    <w:p>
      <w:pPr>
        <w:pStyle w:val="BookText"/>
        <w:rPr/>
      </w:pPr>
      <w:r>
        <w:rPr>
          <w:rFonts w:ascii="Amiri" w:hAnsi="Amiri" w:eastAsia="Amiri" w:cs="Amiri"/>
          <w:color w:val="111111"/>
          <w:sz w:val="28"/>
          <w:sz w:val="28"/>
          <w:szCs w:val="28"/>
          <w:rtl w:val="true"/>
          <w:lang w:bidi="ar-SA"/>
        </w:rPr>
        <w:t>من الامور، وأشهد له بذلك شاهدين، فقام الوكيل فخرج لإمضاء الأمر،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اشهدوا أنّي قد عزلت فلاناً عن الوكالة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الوكيل أمضى الأمر الذي وكّل فيه قبل العزل، فإنّ الأمر واقع ماضٍ على ما أمضاه الوكيل، كره الموكّل أم 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الوكيل أمضى الأمر قبل أن يعلم العزل أو يبلغه أنّه قد عزل عن الوكالة، فالأمر على ما أمضاه؟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الوكيل إذا وكّل ثمّ قام عن المجلس، فأمره ماضٍ أبداً، والوكالة ثابتة، حتّى يبلغه العزل عن الوكالة بثقة يبلغه، أو يشافه بالعزل عن الوكالة</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وهما كما تراهما، لا إطلاق لهما لإثبات قابليّة كلّ شي‌ء للوكالة، أو نفوذها في كلّ شي‌ء؛ لكونهما في مقام بيان حكم آخر، وهو واضح</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التوكيل في الامور من الامور العقلائيّة الغير المحتاجة إلى</w:t>
      </w:r>
    </w:p>
    <w:p>
      <w:pPr>
        <w:pStyle w:val="BookText"/>
        <w:rPr/>
      </w:pPr>
      <w:r>
        <w:rPr>
          <w:rFonts w:ascii="Amiri" w:hAnsi="Amiri" w:eastAsia="Amiri" w:cs="Amiri"/>
          <w:color w:val="111111"/>
          <w:sz w:val="28"/>
          <w:sz w:val="28"/>
          <w:szCs w:val="28"/>
          <w:rtl w:val="true"/>
          <w:lang w:bidi="ar-SA"/>
        </w:rPr>
        <w:t>الدليل، فعدم الردع يكفي في ثبوته لكلّ شي‌ء</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التمسّك ببناء العقلاء مع عدم الردع، إنّما هو في الامور الشائعة المتداولة بين الناس بمرأى ومنظر من الشارع، وعدم ورود ردع منه، كالعمل بالظواهر، وخبر الثقة، والوكالة في مثل النكاح والطلاق والبيع والشراء وأمثالها من المعاملات تكون كذلك، وأمّا الوكالة في القضاء فلم تكن متعارفة بينهم، حتّى يتمسّك ببنائهم، وليس البناء على أمر كلي حتّى يتمسّك بإطلاقه أو عمومه، فالحقّ عدم جواز التوكيل للعامّي فيه</w:t>
      </w:r>
      <w:r>
        <w:rPr>
          <w:rFonts w:eastAsia="Amiri" w:cs="Amiri" w:ascii="Amiri" w:hAnsi="Amiri"/>
          <w:color w:val="111111"/>
          <w:sz w:val="28"/>
          <w:szCs w:val="28"/>
          <w:rtl w:val="true"/>
          <w:lang w:bidi="ar-SA"/>
        </w:rPr>
        <w:t>.</w:t>
      </w:r>
      <w:bookmarkStart w:id="76" w:name="pg1534_18221"/>
    </w:p>
    <w:p>
      <w:pPr>
        <w:pStyle w:val="Heading3"/>
        <w:numPr>
          <w:ilvl w:val="2"/>
          <w:numId w:val="1"/>
        </w:numPr>
        <w:rPr/>
      </w:pPr>
      <w:bookmarkStart w:id="77" w:name="__RefHeading___Toc554970_3650668749"/>
      <w:bookmarkStart w:id="78" w:name="_Toc28"/>
      <w:bookmarkEnd w:id="76"/>
      <w:bookmarkEnd w:id="77"/>
      <w:r>
        <w:rPr>
          <w:rtl w:val="true"/>
        </w:rPr>
        <w:t>الأمر الرابع تشخيص مرجع التقليد والفتوى</w:t>
      </w:r>
      <w:bookmarkEnd w:id="78"/>
    </w:p>
    <w:p>
      <w:pPr>
        <w:pStyle w:val="Heading4"/>
        <w:numPr>
          <w:ilvl w:val="3"/>
          <w:numId w:val="1"/>
        </w:numPr>
        <w:rPr/>
      </w:pPr>
      <w:bookmarkStart w:id="79" w:name="__RefHeading___Toc554972_3650668749"/>
      <w:bookmarkStart w:id="80" w:name="_Toc29"/>
      <w:bookmarkEnd w:id="79"/>
      <w:r>
        <w:rPr>
          <w:rtl w:val="true"/>
        </w:rPr>
        <w:t>اشارة</w:t>
      </w:r>
      <w:bookmarkEnd w:id="80"/>
    </w:p>
    <w:p>
      <w:pPr>
        <w:pStyle w:val="BookText"/>
        <w:rPr/>
      </w:pPr>
      <w:r>
        <w:rPr>
          <w:rFonts w:ascii="Amiri" w:hAnsi="Amiri" w:eastAsia="Amiri" w:cs="Amiri"/>
          <w:color w:val="111111"/>
          <w:sz w:val="28"/>
          <w:sz w:val="28"/>
          <w:szCs w:val="28"/>
          <w:rtl w:val="true"/>
          <w:lang w:bidi="ar-SA"/>
        </w:rPr>
        <w:t>الرابع في تشخيص موضوع جواز التقليد وأنّ من يجوز الرجوع إليه في الفتوى هل هو الأعلم، أو المجتهد المطلق وإن لم يكن هو الأعلم، أو الأعمّ منه ومن المتجزّي؟</w:t>
      </w:r>
    </w:p>
    <w:p>
      <w:pPr>
        <w:pStyle w:val="BookText"/>
        <w:rPr/>
      </w:pPr>
      <w:r>
        <w:rPr>
          <w:rFonts w:ascii="Amiri" w:hAnsi="Amiri" w:eastAsia="Amiri" w:cs="Amiri"/>
          <w:color w:val="111111"/>
          <w:sz w:val="28"/>
          <w:sz w:val="28"/>
          <w:szCs w:val="28"/>
          <w:rtl w:val="true"/>
          <w:lang w:bidi="ar-SA"/>
        </w:rPr>
        <w:t>فيقع الكلام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عدم اختلافهما في الفتوى</w:t>
      </w:r>
    </w:p>
    <w:p>
      <w:pPr>
        <w:pStyle w:val="BookText"/>
        <w:rPr/>
      </w:pPr>
      <w:r>
        <w:rPr>
          <w:rFonts w:ascii="Amiri" w:hAnsi="Amiri" w:eastAsia="Amiri" w:cs="Amiri"/>
          <w:color w:val="111111"/>
          <w:sz w:val="28"/>
          <w:sz w:val="28"/>
          <w:szCs w:val="28"/>
          <w:rtl w:val="true"/>
          <w:lang w:bidi="ar-SA"/>
        </w:rPr>
        <w:t>واخرى مع عدم معلوميّة اختلافهما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معلوميّته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معلوميّته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قبل الورود في بيان الأدلّة من تأسيس الأصل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الأصل حرمة العمل بما وراء العلم عقلًا ونقلًا</w:t>
      </w:r>
      <w:r>
        <w:rPr>
          <w:rStyle w:val="FootnoteAnchor"/>
          <w:rtl w:val="true"/>
        </w:rPr>
        <w:footnoteReference w:id="12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لا إشكال في أنّ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الأخذ بقول الغير، ومتابعة رأيه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بغير العلم، سواء كان دليله بناء العقلاء كما سنتعرّض له </w:t>
      </w:r>
      <w:r>
        <w:rPr>
          <w:rStyle w:val="FootnoteAnchor"/>
          <w:rtl w:val="true"/>
        </w:rPr>
        <w:footnoteReference w:id="123"/>
      </w:r>
      <w:r>
        <w:rPr>
          <w:rFonts w:ascii="Amiri" w:hAnsi="Amiri" w:eastAsia="Amiri" w:cs="Amiri"/>
          <w:color w:val="111111"/>
          <w:sz w:val="28"/>
          <w:sz w:val="28"/>
          <w:szCs w:val="28"/>
          <w:rtl w:val="true"/>
          <w:lang w:bidi="ar-SA"/>
        </w:rPr>
        <w:t>، أو التعبّد الشرعيّ من إجماع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خرج من الأصل تقليد الفاضل إجماعاً</w:t>
      </w:r>
      <w:r>
        <w:rPr>
          <w:rStyle w:val="FootnoteAnchor"/>
          <w:rtl w:val="true"/>
        </w:rPr>
        <w:footnoteReference w:id="124"/>
      </w:r>
      <w:r>
        <w:rPr>
          <w:rFonts w:ascii="Amiri" w:hAnsi="Amiri" w:eastAsia="Amiri" w:cs="Amiri"/>
          <w:color w:val="111111"/>
          <w:sz w:val="28"/>
          <w:sz w:val="28"/>
          <w:szCs w:val="28"/>
          <w:rtl w:val="true"/>
          <w:lang w:bidi="ar-SA"/>
        </w:rPr>
        <w:t>، بل ضرورة؛ لوضوح عدم كون الناس كلّهم مكلّفين بتحصيل العلم والاجتهاد، وبطلان وجوب العمل بالاحتياط أو التجزّي فيه، فلا إشكال في جواز الاكتفاء بتقليد الأعلم، وخروجه عن حرمة العمل بغير العلم، فبقي الرجوع إلى غيره تحت الأصل، ولابدّ من خروجه عنه من التماس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وأمّا التمسّك بدليل الانسداد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العامّي عقلًاالعمل بقول الأعلم، وإلّا لزم إمّاإهمال الوقائع، وهو باطل بالضرورة؛ للعلم الإجماليّ بالتكليف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تحصيل العلم حقيقة أو اجتهاداً، وهو باطل؛ للعلم الضروريّ بعدم وجوبه على الناس، وللزوم اختلال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الاحتياط، وهو باطل أيضاً؛ للزوم العسر والحرج، بل اختلال النظام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الأخذبقول المفضول، وهوباطل؛ لقبح ترجيح المرجوح على الراجح </w:t>
      </w:r>
      <w:r>
        <w:rPr>
          <w:rStyle w:val="FootnoteAnchor"/>
          <w:rtl w:val="true"/>
        </w:rPr>
        <w:footnoteReference w:id="125"/>
      </w:r>
      <w:bookmarkStart w:id="81" w:name="pg1534_18223"/>
    </w:p>
    <w:p>
      <w:pPr>
        <w:pStyle w:val="BookText"/>
        <w:rPr/>
      </w:pPr>
      <w:bookmarkEnd w:id="81"/>
      <w:r>
        <w:rPr>
          <w:rFonts w:ascii="Amiri" w:hAnsi="Amiri" w:eastAsia="Amiri" w:cs="Amiri"/>
          <w:color w:val="111111"/>
          <w:sz w:val="28"/>
          <w:sz w:val="28"/>
          <w:szCs w:val="28"/>
          <w:rtl w:val="true"/>
          <w:lang w:bidi="ar-SA"/>
        </w:rPr>
        <w:t>فهو ليس في محلّه؛ لعدم تماميّة مقدّماته، لأنّ العلم الإجماليّ منحلّ بما في فتاوى الأحياء من العلماء، وليس للعامّي زائداً على فتاويهم علم، فيكون تكليفه الاحتياط في فتاويهم؛ أي العمل بأحوط الأقوال، ولزومُ العسر والحرج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اختلال النظام </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الأخذ بقول غير الأعلم من قبيل ترجيح المرجوح،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كثيراً ما يتّفق موافقة فتوى غير الأعلم لفتوى الميّت الذي هو أعلم من الأحياء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فتوى الفقهاء من قبيل الأمارات، فقد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بعض 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غير الأعلم أقرب إلى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فرض تماميّة المقدّمات، لا تكون نتيجتها الأخذ بقول الأعلم، بل يلزم عليه التبعيض في الاحتياط بما دون العسر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يقرّر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الأصل عدم حجّية رأي أحد على أحد، خرج منه رأي الأعلم، وبقي غيره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 w:name="__RefHeading___Toc554974_3650668749"/>
      <w:bookmarkStart w:id="83" w:name="_Toc30"/>
      <w:bookmarkEnd w:id="82"/>
      <w:r>
        <w:rPr>
          <w:rtl w:val="true"/>
        </w:rPr>
        <w:t>تقرير الأصل في جواز تقليد المفضول</w:t>
      </w:r>
      <w:bookmarkEnd w:id="83"/>
    </w:p>
    <w:p>
      <w:pPr>
        <w:pStyle w:val="BookText"/>
        <w:rPr/>
      </w:pPr>
      <w:r>
        <w:rPr>
          <w:rFonts w:ascii="Amiri" w:hAnsi="Amiri" w:eastAsia="Amiri" w:cs="Amiri"/>
          <w:color w:val="111111"/>
          <w:sz w:val="28"/>
          <w:sz w:val="28"/>
          <w:szCs w:val="28"/>
          <w:rtl w:val="true"/>
          <w:lang w:bidi="ar-SA"/>
        </w:rPr>
        <w:t>وقد تشبّث القائلون بجواز الأخذ من غير الأعلم باصول غير أصيلة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حرمة العمل بالظنّ، قد انقطعت بما دلّ على مشروعيّة</w:t>
      </w:r>
    </w:p>
    <w:p>
      <w:pPr>
        <w:pStyle w:val="BookText"/>
        <w:rPr/>
      </w:pPr>
      <w:r>
        <w:rPr>
          <w:rFonts w:ascii="Amiri" w:hAnsi="Amiri" w:eastAsia="Amiri" w:cs="Amiri"/>
          <w:color w:val="111111"/>
          <w:sz w:val="28"/>
          <w:sz w:val="28"/>
          <w:szCs w:val="28"/>
          <w:rtl w:val="true"/>
          <w:lang w:bidi="ar-SA"/>
        </w:rPr>
        <w:t>التقليد في الجملة، ولاريب أنّه إذا كان المجتهدان متساويين من جميع الجهات، في جواز الرجوع إلى كلّ منهما تخييراً بحكم العقل، بعد عدم جواز طرح قولهما، وعدم وجوب الأخذ بأحوطهما، ويستكشف من حكم العقل حكم شرعيّ بجواز الرجوع إلى كلّ منهما تخييراً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صار أحدهما أعلم من الآخر، يشكّ في زوال التخيير، فيستصحب بقاؤه، ويتمّ في غيره بعدم القول بالفصل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الاستصحاب غير جارٍ في الأحكام العقليّة؛ لامتناع حصول الشك مع بقاء الموضوع بجميع حدوده، فالشكّ فيها معلول اختلاف الموضوع، ومعه لا يجري الاستصحاب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جريانه في نفس حكم العقل وإن كان ممنوعاً، لكن في الحكم الشرعيّ المستكشف منه، لامانع منه من قِبَل اختلاف الموضوع؛ لأنّ اختلافه عقلًا لا يضرّ به مع بقائه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الشرعيّ المستكشف من 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تماميّة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أن يكون مناطه غيرَ مناط حكم العقل، ومع زوال المناط لايعقل بقاؤه، كما لا يعقل بقاء حكم العقل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ففيما نحن فيه، إذا كان حكم العقل بالتخيير بمناط تساويهما، واستكشف حكم شرعيّ متعلّق بالموضوع لأجل هذا المناط، فلا يعقل بقاء حكم العقل</w:t>
      </w:r>
    </w:p>
    <w:p>
      <w:pPr>
        <w:pStyle w:val="BookText"/>
        <w:rPr/>
      </w:pPr>
      <w:r>
        <w:rPr>
          <w:rFonts w:ascii="Amiri" w:hAnsi="Amiri" w:eastAsia="Amiri" w:cs="Amiri"/>
          <w:color w:val="111111"/>
          <w:sz w:val="28"/>
          <w:sz w:val="28"/>
          <w:szCs w:val="28"/>
          <w:rtl w:val="true"/>
          <w:lang w:bidi="ar-SA"/>
        </w:rPr>
        <w:t>والشرع المستكشف منه مع زوال التساوي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يكون مناط آخر غيره علّة للتخيير أيضاً، فمع زوال المناط الأوّل والحكم المعلول له، بقي الحكم بالتخيير لذاك المناط، فحينئذٍ لا يجري استصحاب شخص الحكم؛ لأنّ ما هو بمناط حكم العقل زال قطعاً، وغيره مشكوك الحدوث، فبقي استصحاب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وإن جرى في بعض الموارد، لكن لا يجري فيما نحن فيه؛ لأنّ الجامع بين التخييرين من المخترعات العقليّة الغير المجعولة؛ لتعلّق الجعل بكلّ من التخييرين، لا الجامع بينهما القابل للصدق عليهما، فالجامع بينهما ليس حكماً، ولا موضوعاً ذا حكم، فلا يجري استصحاب الكلي أيضاً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تفصيل ذلك، فراجع باب استصحاب الأحكام العقليّة</w:t>
      </w:r>
      <w:r>
        <w:rPr>
          <w:rStyle w:val="FootnoteAnchor"/>
          <w:rtl w:val="true"/>
        </w:rPr>
        <w:footnoteReference w:id="130"/>
      </w:r>
      <w:r>
        <w:rPr>
          <w:rFonts w:ascii="Amiri" w:hAnsi="Amiri" w:eastAsia="Amiri" w:cs="Amiri"/>
          <w:color w:val="111111"/>
          <w:sz w:val="28"/>
          <w:sz w:val="28"/>
          <w:szCs w:val="28"/>
          <w:rtl w:val="true"/>
          <w:lang w:bidi="ar-SA"/>
        </w:rPr>
        <w:t xml:space="preserve">، واستصحاب الكلي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مضافاً إلى إمكان معارضة هذا الاستصحاب باستصحاب آخر؛ وهو استصحاب الحجيّة التعينيّة فيما إذا انحصر المجتهد في شخص، ثمّ وجد من هو المفضول منه، فيشكّ في جواز الرجوع إلى غيره، فيستصحب عدم الجواز الثابت للمفضول قبل اجتهاده، أو الحجّة التعيينيّة، ويتمّ في غيره بعدم القول بالفصل تأمّل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تمسّكهم بأصالة البراء ة وأمثالها</w:t>
      </w:r>
      <w:r>
        <w:rPr>
          <w:rStyle w:val="FootnoteAnchor"/>
          <w:rtl w:val="true"/>
        </w:rPr>
        <w:footnoteReference w:id="132"/>
      </w:r>
      <w:r>
        <w:rPr>
          <w:rFonts w:ascii="Amiri" w:hAnsi="Amiri" w:eastAsia="Amiri" w:cs="Amiri"/>
          <w:color w:val="111111"/>
          <w:sz w:val="28"/>
          <w:sz w:val="28"/>
          <w:szCs w:val="28"/>
          <w:rtl w:val="true"/>
          <w:lang w:bidi="ar-SA"/>
        </w:rPr>
        <w:t>،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أدلّة حرمة العمل</w:t>
      </w:r>
      <w:bookmarkStart w:id="84" w:name="pg1534_18226"/>
    </w:p>
    <w:p>
      <w:pPr>
        <w:pStyle w:val="BookText"/>
        <w:rPr/>
      </w:pPr>
      <w:bookmarkEnd w:id="84"/>
      <w:r>
        <w:rPr>
          <w:rFonts w:ascii="Amiri" w:hAnsi="Amiri" w:eastAsia="Amiri" w:cs="Amiri"/>
          <w:color w:val="111111"/>
          <w:sz w:val="28"/>
          <w:sz w:val="28"/>
          <w:szCs w:val="28"/>
          <w:rtl w:val="true"/>
          <w:lang w:bidi="ar-SA"/>
        </w:rPr>
        <w:t>بالظنّ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فلا نطيل بالتعرّض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مع القائلين بعدم جواز تقليد غير الأعلم مع وجود الأعلم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 w:name="__RefHeading___Toc554976_3650668749"/>
      <w:bookmarkStart w:id="86" w:name="_Toc31"/>
      <w:bookmarkEnd w:id="85"/>
      <w:r>
        <w:rPr>
          <w:rtl w:val="true"/>
        </w:rPr>
        <w:t>بحث حول بناء العقلاء</w:t>
      </w:r>
      <w:bookmarkEnd w:id="86"/>
    </w:p>
    <w:p>
      <w:pPr>
        <w:pStyle w:val="BookText"/>
        <w:rPr/>
      </w:pPr>
      <w:r>
        <w:rPr>
          <w:rFonts w:ascii="Amiri" w:hAnsi="Amiri" w:eastAsia="Amiri" w:cs="Amiri"/>
          <w:color w:val="111111"/>
          <w:sz w:val="28"/>
          <w:sz w:val="28"/>
          <w:szCs w:val="28"/>
          <w:rtl w:val="true"/>
          <w:lang w:bidi="ar-SA"/>
        </w:rPr>
        <w:t>ثمّ إنّه قبل الورود في أدلّة الطرفين، لابأس بالتدبّر في بناء العقلاء، وبيان مقتضى ارتكازهم في أصل التقليد، وفي باب تقليد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أنّ عمدة دليل وجوب التقليد هو ارتكاز العقلاء</w:t>
      </w:r>
      <w:r>
        <w:rPr>
          <w:rStyle w:val="FootnoteAnchor"/>
          <w:rtl w:val="true"/>
        </w:rPr>
        <w:footnoteReference w:id="134"/>
      </w:r>
      <w:r>
        <w:rPr>
          <w:rFonts w:ascii="Amiri" w:hAnsi="Amiri" w:eastAsia="Amiri" w:cs="Amiri"/>
          <w:color w:val="111111"/>
          <w:sz w:val="28"/>
          <w:sz w:val="28"/>
          <w:szCs w:val="28"/>
          <w:rtl w:val="true"/>
          <w:lang w:bidi="ar-SA"/>
        </w:rPr>
        <w:t>فإنّه من فطريات العقول رجوع كلّ جاهل إلى العالم، ورجوع كلّ محتاج في صنعة وفنّ إلى الخبير بهما، فإذا كان بناء العقلاء ذلك، ولم يرد ردع من الشارع عنه، يستكشف أنّه مجاز ومرضيّ</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يصلح ما ورد من حرمة اتباع الظنّ للرادعيّة؛ لما ذكرنا في باب حجّية الظنّ </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مثل هذه الفطريّات والأبنية المحكمة المبرمة، لا يمكن فيها ردع العقلاء بمثل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لا يُغْنِي مِنَ الْحَقِّ شَيْئاً</w:t>
      </w:r>
      <w:r>
        <w:rPr>
          <w:rFonts w:eastAsia="Amiri" w:cs="Amiri" w:ascii="Amiri" w:hAnsi="Amiri"/>
          <w:color w:val="111111"/>
          <w:sz w:val="28"/>
          <w:szCs w:val="28"/>
          <w:rtl w:val="true"/>
          <w:lang w:bidi="ar-SA"/>
        </w:rPr>
        <w:t>»</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الخدشة في</w:t>
      </w:r>
      <w:bookmarkStart w:id="87" w:name="pg1534_18227"/>
    </w:p>
    <w:p>
      <w:pPr>
        <w:pStyle w:val="BookText"/>
        <w:rPr/>
      </w:pPr>
      <w:bookmarkEnd w:id="87"/>
      <w:r>
        <w:rPr>
          <w:rFonts w:ascii="Amiri" w:hAnsi="Amiri" w:eastAsia="Amiri" w:cs="Amiri"/>
          <w:color w:val="111111"/>
          <w:sz w:val="28"/>
          <w:sz w:val="28"/>
          <w:szCs w:val="28"/>
          <w:rtl w:val="true"/>
          <w:lang w:bidi="ar-SA"/>
        </w:rPr>
        <w:t>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w:t>
      </w:r>
      <w:r>
        <w:rPr>
          <w:rStyle w:val="FootnoteAnchor"/>
          <w:rtl w:val="true"/>
        </w:rPr>
        <w:footnoteReference w:id="137"/>
      </w:r>
      <w:r>
        <w:rPr>
          <w:rFonts w:ascii="Amiri" w:hAnsi="Amiri" w:eastAsia="Amiri" w:cs="Amiri"/>
          <w:color w:val="111111"/>
          <w:sz w:val="28"/>
          <w:sz w:val="28"/>
          <w:szCs w:val="28"/>
          <w:rtl w:val="true"/>
          <w:lang w:bidi="ar-SA"/>
        </w:rPr>
        <w:t>فإنّه لاينقدح في ذهنهم احتمال الخلاف في تلك الفطريّات غالباً إلّامع التنبّه، فلاينقدح في بالهم أنّ مثل تلك العمومات رادعة عن مثل تلك الارتكازات، فلابدّ في ردعهم عن مثلها من التصريح والتأكيد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بعد ورود أمثال ما يدّعى الردع بها</w:t>
      </w:r>
      <w:r>
        <w:rPr>
          <w:rStyle w:val="FootnoteAnchor"/>
          <w:rtl w:val="true"/>
        </w:rPr>
        <w:footnoteReference w:id="138"/>
      </w:r>
      <w:r>
        <w:rPr>
          <w:rFonts w:ascii="Amiri" w:hAnsi="Amiri" w:eastAsia="Amiri" w:cs="Amiri"/>
          <w:color w:val="111111"/>
          <w:sz w:val="28"/>
          <w:sz w:val="28"/>
          <w:szCs w:val="28"/>
          <w:rtl w:val="true"/>
          <w:lang w:bidi="ar-SA"/>
        </w:rPr>
        <w:t>، لم ينقدح في ذهن مَن في الصدر الأوّل، عدمُ جواز ترتيب الملكيّة على ما في يد الغير، وأثرِ الصحّة على معاملات الناس، وعدم قبول قول الثقة والعمل بالظواهر، فإذن يكون أصل التقليد ورجوع الجاهل إلى العالم جائزاً</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554978_3650668749"/>
      <w:bookmarkStart w:id="89" w:name="_Toc32"/>
      <w:bookmarkEnd w:id="88"/>
      <w:r>
        <w:rPr>
          <w:rtl w:val="true"/>
        </w:rPr>
        <w:t>إشكال على بناء العقلاء</w:t>
      </w:r>
      <w:bookmarkEnd w:id="89"/>
    </w:p>
    <w:p>
      <w:pPr>
        <w:pStyle w:val="Heading5"/>
        <w:numPr>
          <w:ilvl w:val="4"/>
          <w:numId w:val="1"/>
        </w:numPr>
        <w:rPr/>
      </w:pPr>
      <w:bookmarkStart w:id="90" w:name="__RefHeading___Toc554980_3650668749"/>
      <w:bookmarkStart w:id="91" w:name="_Toc33"/>
      <w:bookmarkEnd w:id="90"/>
      <w:r>
        <w:rPr>
          <w:rtl w:val="true"/>
        </w:rPr>
        <w:t>اشارة</w:t>
      </w:r>
      <w:bookmarkEnd w:id="9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وهاهنا شكّ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ارتكاز العقلاء وبناءهم على أمر، إنّما يصير حجّة إذا أمضاه الشارع، وإنّما يكفى عدم الردع ويكشف عن الإمضاء، إذا كان بناؤهم على عمل بمرأى ومنظر من النبيّ أو الأئمّة عليهم السلام، كبنائهم على أصالة الصحّة، والعمل بقول الثقة، وأمثالهما ممّا كان بناؤهم العمليّ متّصلًا بزمان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بناؤهم على عمل في موضوع مستحدث لم يتّصل بزمانهم، فلا يمكن استكشاف إمضاء الشارع لمثله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من هذا القبيل؛ فإنّ علم الفقه أصبح في أعصارنا من العلوم النظريّة التي لاتقصر عن العلوم الرياضيّة والفلسفيّة، في حين كان في أعصار الأئمّة عليهم السلام من العلوم الساذجة البسيطة، وكان فقهاء أصحاب الأئمّة يعلمون فتاويهم، ويميّزون بين ما هو صادر من جراب النورة وغيره، ولم يكن الاجتهاد في تلك الأزمنة كزماننا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فرجوع الجاهل إلى العالم في تلك الأزمنة، كان رجوعاً إلى من علم الأحكام بالعلم الوجدانيّ الحاصل من مشافهة الأئمّة عليهم السلام، وفي زماننا رجوع إلى من عرف الأحكام بالظنّ الاجتهاديّ والأمارات، ويكون علمه تنزيليّاً تعبّدياً، لا وجدانيّاً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فرجوع الجاهل في هذه الأعصار إلى علماء الدين وإن كان فطريّاً، ولا طريق لهم بها إلّاذلك، لكن هذا البناء ما لم يكن مشفوعاً بالإمضاء، وهذا الارتكاز ما لم يصر ممضىً من الشارع، لا يجوز العمل على طبقه، ولا يكون حجّة بين العبد والمولى</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ومجرّد ارتكازيّة رجوع كلّ ذي صنعة إلى أصحاب الصنائع، وكلِّ جاهل إلى العالم، لايوجب الحجّية إذا لم يتّصل بزمان الشارع، حتّى يكشف الإمضاء، وليس إمضاء الارتكاز وبناء العقلاء من الامور اللّفظيّة، حتّى يتمسّك بعمومها أو إطلاقها، ولم يرد دليل على إمضاء كلّ المرتكزات إلّاما خرج، حتّى يتمسّك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يعلم عدم جواز التمسّك بإرجاع الأئمّة عليهم السلام إلى أصحابهم، كإرجاع </w:t>
      </w:r>
      <w:r>
        <w:rPr>
          <w:rStyle w:val="FootnoteAnchor"/>
          <w:rtl w:val="true"/>
        </w:rPr>
        <w:footnoteReference w:id="140"/>
      </w:r>
      <w:r>
        <w:rPr>
          <w:rFonts w:ascii="Amiri" w:hAnsi="Amiri" w:eastAsia="Amiri" w:cs="Amiri"/>
          <w:color w:val="111111"/>
          <w:sz w:val="28"/>
          <w:sz w:val="28"/>
          <w:szCs w:val="28"/>
          <w:rtl w:val="true"/>
          <w:lang w:bidi="ar-SA"/>
        </w:rPr>
        <w:t>ابن أبي يعفور</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انظر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r>
        <w:rPr>
          <w:rFonts w:ascii="Amiri" w:hAnsi="Amiri" w:eastAsia="Amiri" w:cs="Amiri"/>
          <w:color w:val="111111"/>
          <w:sz w:val="28"/>
          <w:sz w:val="28"/>
          <w:szCs w:val="28"/>
          <w:rtl w:val="true"/>
          <w:lang w:bidi="ar-SA"/>
        </w:rPr>
        <w:t xml:space="preserve">، ومعجم رجال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الثقفيّ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انظر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882</w:t>
      </w:r>
      <w:r>
        <w:rPr>
          <w:rFonts w:ascii="Amiri" w:hAnsi="Amiri" w:eastAsia="Amiri" w:cs="Amiri"/>
          <w:color w:val="111111"/>
          <w:sz w:val="28"/>
          <w:sz w:val="28"/>
          <w:szCs w:val="28"/>
          <w:rtl w:val="true"/>
          <w:lang w:bidi="ar-SA"/>
        </w:rPr>
        <w:t xml:space="preserve">، ورجال الكشّي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 ومعجم رجال 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وكالإرجاع إلى زرارة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انظر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وفهرست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ورجال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ومعجم رجال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p>
    <w:p>
      <w:pPr>
        <w:pStyle w:val="BookText"/>
        <w:rPr/>
      </w:pPr>
      <w:r>
        <w:rPr>
          <w:rFonts w:ascii="Amiri" w:hAnsi="Amiri" w:eastAsia="Amiri" w:cs="Amiri"/>
          <w:color w:val="111111"/>
          <w:sz w:val="28"/>
          <w:sz w:val="28"/>
          <w:szCs w:val="28"/>
          <w:rtl w:val="true"/>
          <w:lang w:bidi="ar-SA"/>
        </w:rPr>
        <w:t>أردت حديثاً فعليك بهذا الجالس</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مشيراً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وكقوله عليه السلام لأبان بن تغلب </w:t>
      </w:r>
      <w:r>
        <w:rPr>
          <w:rStyle w:val="FootnoteAnchor"/>
          <w:rtl w:val="true"/>
        </w:rPr>
        <w:footnoteReference w:id="14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أوجع قلبي موتُ أبان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p>
    <w:p>
      <w:pPr>
        <w:pStyle w:val="BookText"/>
        <w:rPr/>
      </w:pPr>
      <w:r>
        <w:rPr>
          <w:rFonts w:ascii="Amiri" w:hAnsi="Amiri" w:eastAsia="Amiri" w:cs="Amiri"/>
          <w:color w:val="111111"/>
          <w:sz w:val="28"/>
          <w:sz w:val="28"/>
          <w:szCs w:val="28"/>
          <w:rtl w:val="true"/>
          <w:lang w:bidi="ar-SA"/>
        </w:rPr>
        <w:t>انظر مشيخة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ورجال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وفهرست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ومعجم رجال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في مسجد المدينة وأفتِ الناس، فإنّي أحبّ أن يرى في شيعتي مثلك</w:t>
      </w:r>
      <w:r>
        <w:rPr>
          <w:rFonts w:eastAsia="Amiri" w:cs="Amiri" w:ascii="Amiri" w:hAnsi="Amiri"/>
          <w:color w:val="111111"/>
          <w:sz w:val="28"/>
          <w:szCs w:val="28"/>
          <w:rtl w:val="true"/>
          <w:lang w:bidi="ar-SA"/>
        </w:rPr>
        <w:t>)</w:t>
      </w:r>
      <w:r>
        <w:rPr>
          <w:rStyle w:val="FootnoteAnchor"/>
          <w:rtl w:val="true"/>
        </w:rPr>
        <w:footnoteReference w:id="144"/>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بدعوى أنّ إرجاعهم إليهم لم يكن إلّالعلمهم بالأحكام، وهو مشترك بينهم وبين فقهاء عصرنا، فيفهم العرف جوازالرجوع إلى فقهاء عصرنا بإلغاء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للفرق الواضح بينهم وبين فقهائنا؛ لأنّ الإرجاع إليهم إرجاع إلى الأحكام الواقعيّة المعلومة لبطانتهم؛ لسؤالهم مشافهة منهم، وعلمهم بفتاويهم، من غير اجتهاد كاجتهاد فقهائنا، فمثل زرارة، ومحمّد بن مسلم، وأبي بصير</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انظر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1187</w:t>
      </w:r>
      <w:r>
        <w:rPr>
          <w:rFonts w:ascii="Amiri" w:hAnsi="Amiri" w:eastAsia="Amiri" w:cs="Amiri"/>
          <w:color w:val="111111"/>
          <w:sz w:val="28"/>
          <w:sz w:val="28"/>
          <w:szCs w:val="28"/>
          <w:rtl w:val="true"/>
          <w:lang w:bidi="ar-SA"/>
        </w:rPr>
        <w:t>، ورجال العلّامة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ومعجم رجال الحديث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 تلمّذ لدى الأئمّة عليهم السلام سنين متمادية، وأخذ الأحكام منهم مشافهة، كان عارفاً بنفس فتاوى الأئمّة الصادرة لأجل الحكم الواقعيّ</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فقهاء عصرنا، فيكون علمهم عن اجتهاد بالوظيفة الأعمّ من الواقعيّة والظاهريّة، فلا يمكن إلغاء الخصوصيّة، بل يكون القياس بينهما مع الفارق</w:t>
      </w:r>
      <w:r>
        <w:rPr>
          <w:rFonts w:eastAsia="Amiri" w:cs="Amiri" w:ascii="Amiri" w:hAnsi="Amiri"/>
          <w:color w:val="111111"/>
          <w:sz w:val="28"/>
          <w:szCs w:val="28"/>
          <w:rtl w:val="true"/>
          <w:lang w:bidi="ar-SA"/>
        </w:rPr>
        <w:t>.</w:t>
      </w:r>
      <w:bookmarkStart w:id="92" w:name="pg1534_18232"/>
    </w:p>
    <w:p>
      <w:pPr>
        <w:pStyle w:val="Heading5"/>
        <w:numPr>
          <w:ilvl w:val="4"/>
          <w:numId w:val="1"/>
        </w:numPr>
        <w:rPr/>
      </w:pPr>
      <w:bookmarkStart w:id="93" w:name="__RefHeading___Toc554982_3650668749"/>
      <w:bookmarkStart w:id="94" w:name="_Toc34"/>
      <w:bookmarkEnd w:id="92"/>
      <w:bookmarkEnd w:id="93"/>
      <w:r>
        <w:rPr>
          <w:rtl w:val="true"/>
        </w:rPr>
        <w:t>في جواب الإشكال</w:t>
      </w:r>
      <w:bookmarkEnd w:id="94"/>
    </w:p>
    <w:p>
      <w:pPr>
        <w:pStyle w:val="BookText"/>
        <w:rPr/>
      </w:pPr>
      <w:r>
        <w:rPr>
          <w:rFonts w:ascii="Amiri" w:hAnsi="Amiri" w:eastAsia="Amiri" w:cs="Amiri"/>
          <w:color w:val="111111"/>
          <w:sz w:val="28"/>
          <w:sz w:val="28"/>
          <w:szCs w:val="28"/>
          <w:rtl w:val="true"/>
          <w:lang w:bidi="ar-SA"/>
        </w:rPr>
        <w:t>وهذا الشكّ لا يرتفع إلّابإثبات أحد الأمرين على سبيل منع الخلوّ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الاجتهاد بالمعنى المتعارف في أعصارنا أو القريب منه، كان متعارفاً في أعصار الأئمّة عليهم السلام وأنّ بناء العو امّ على الرجوع إلى الفقهاء في تلك الأعصار، وأنّ الأئمّة أرجعوهم إليهم أيضاً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أنّ الردع عن ارتكاز رجوع الجاهل إلى العالم حتّى فيما نحن فيه، كان لازماً عليهم لو كان غير مرضيّ، ومع عدمه يكشف عن كونه مرضيّاً</w:t>
      </w:r>
      <w:r>
        <w:rPr>
          <w:rFonts w:eastAsia="Amiri" w:cs="Amiri" w:ascii="Amiri" w:hAnsi="Amiri"/>
          <w:color w:val="111111"/>
          <w:sz w:val="28"/>
          <w:szCs w:val="28"/>
          <w:rtl w:val="true"/>
          <w:lang w:bidi="ar-SA"/>
        </w:rPr>
        <w:t>.</w:t>
      </w:r>
      <w:bookmarkStart w:id="95" w:name="pg1534_18233"/>
    </w:p>
    <w:p>
      <w:pPr>
        <w:pStyle w:val="Heading4"/>
        <w:numPr>
          <w:ilvl w:val="3"/>
          <w:numId w:val="1"/>
        </w:numPr>
        <w:rPr/>
      </w:pPr>
      <w:bookmarkStart w:id="96" w:name="__RefHeading___Toc554984_3650668749"/>
      <w:bookmarkStart w:id="97" w:name="_Toc35"/>
      <w:bookmarkEnd w:id="95"/>
      <w:bookmarkEnd w:id="96"/>
      <w:r>
        <w:rPr>
          <w:rtl w:val="true"/>
        </w:rPr>
        <w:t>تعارف الاجتهاد سابقاً وإرجاع الأئمّة عليهم السلام شيعتهم إلى الفقهاء</w:t>
      </w:r>
      <w:bookmarkEnd w:id="97"/>
    </w:p>
    <w:p>
      <w:pPr>
        <w:pStyle w:val="Heading5"/>
        <w:numPr>
          <w:ilvl w:val="4"/>
          <w:numId w:val="1"/>
        </w:numPr>
        <w:rPr/>
      </w:pPr>
      <w:bookmarkStart w:id="98" w:name="__RefHeading___Toc554986_3650668749"/>
      <w:bookmarkStart w:id="99" w:name="_Toc36"/>
      <w:bookmarkEnd w:id="98"/>
      <w:r>
        <w:rPr>
          <w:rtl w:val="true"/>
        </w:rPr>
        <w:t>اشارة</w:t>
      </w:r>
      <w:bookmarkEnd w:id="99"/>
    </w:p>
    <w:p>
      <w:pPr>
        <w:pStyle w:val="BookText"/>
        <w:rPr/>
      </w:pPr>
      <w:r>
        <w:rPr>
          <w:rFonts w:ascii="Amiri" w:hAnsi="Amiri" w:eastAsia="Amiri" w:cs="Amiri"/>
          <w:color w:val="111111"/>
          <w:sz w:val="28"/>
          <w:sz w:val="28"/>
          <w:szCs w:val="28"/>
          <w:rtl w:val="true"/>
          <w:lang w:bidi="ar-SA"/>
        </w:rPr>
        <w:t>أمّا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فتثبت كلتا مقدّمتيه بالرجوع إلى الأخبار</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554988_3650668749"/>
      <w:bookmarkStart w:id="101" w:name="_Toc37"/>
      <w:bookmarkEnd w:id="100"/>
      <w:r>
        <w:rPr>
          <w:rtl w:val="true"/>
        </w:rPr>
        <w:t>تداول الاجتهاد في عصر الأئمّة عليهم السلام</w:t>
      </w:r>
      <w:bookmarkEnd w:id="101"/>
    </w:p>
    <w:p>
      <w:pPr>
        <w:pStyle w:val="BookText"/>
        <w:rPr/>
      </w:pPr>
      <w:r>
        <w:rPr>
          <w:rFonts w:ascii="Amiri" w:hAnsi="Amiri" w:eastAsia="Amiri" w:cs="Amiri"/>
          <w:color w:val="111111"/>
          <w:sz w:val="28"/>
          <w:sz w:val="28"/>
          <w:szCs w:val="28"/>
          <w:rtl w:val="true"/>
          <w:lang w:bidi="ar-SA"/>
        </w:rPr>
        <w:t>أمّا تداول مثل هذا الاجتهاد أو القريب منه، فتدلّ عليه أخبار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محمّد بن إدريس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انظر الوافي بالوفيّات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ومقابس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وخاتمة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وتنقيح المقال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علينا أن نلقي إليكم الاصول، وعليكم أن تفرّعوا</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وعنه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أحمد بن محمّد بن أبي نصر</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انظر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والغيبة،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ورجال الكشّي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830</w:t>
      </w:r>
      <w:r>
        <w:rPr>
          <w:rFonts w:ascii="Amiri" w:hAnsi="Amiri" w:eastAsia="Amiri" w:cs="Amiri"/>
          <w:color w:val="111111"/>
          <w:sz w:val="28"/>
          <w:sz w:val="28"/>
          <w:szCs w:val="28"/>
          <w:rtl w:val="true"/>
          <w:lang w:bidi="ar-SA"/>
        </w:rPr>
        <w:t xml:space="preserve">، ومعجم رجال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إلقاء الاصول، وعليكم التفريع</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ريب في أنّ التفريع على الاصول هو الاجتهاد، وليس الاجتهاد في عصرنا إلّاذلك، فمثل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أصل، والأحكام التي يستنبطها المجتهدون منه هي التفريعات، وليس التفريع هو الحكم بالأشباه والنظائر كالقياس، بل هو استنباط المصاديق والمتفرّعات من الكبريات الكلّية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و</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p>
    <w:p>
      <w:pPr>
        <w:pStyle w:val="BookText"/>
        <w:rPr/>
      </w:pPr>
      <w:r>
        <w:rPr>
          <w:rFonts w:ascii="IRNazanin" w:hAnsi="IRNazanin" w:eastAsia="IRNazanin"/>
          <w:color w:val="111111"/>
          <w:sz w:val="28"/>
          <w:sz w:val="28"/>
          <w:szCs w:val="28"/>
          <w:rtl w:val="true"/>
          <w:lang w:bidi="fa-IR"/>
        </w:rPr>
        <w:t>ولا ضرار</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امّتي تسعة</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وأمثالها اصول، وما في كتب القوم من الفروع الكثيرة المستنبطة منها تفريعات، فهذا الأمر كان في زمن الصادق والرضا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في زماننا، إلّامع تفاوت في كثرة التفريعات وقلّتها، وهو متحقّق بين المجتهدين في عصرنا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ردّ متشابه القرآن إلى محكمه فَقَدْ هُدِيَ إِلى صِراطٍ 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أخبارنا محكماً كمحكم القرآن، ومتشابهاً كمتشابه القرآن، فردّوا متشابهها إلى محكمها، ولا تتّبعوا متشابهها دون محكمها فتضلّوا</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ردّ المتشابه إلى المحكم، وجعل أحد الكلامين قرينة على الآخر، لايكون إلّابالاجتهاد، كالذي يتداول في هذا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أفقه الناس إذا عرفتم معاني كلامنا؛ إنّ الكلمة لتنصرف على وجوه، فلو شاء إنسان لصرف كلامه كيف شاء ولا يكذب</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عرفان معاني كلامهم من بين الوجوه المختلفة، لا يكون إلّابالاجتهاد والفحص عن فتاوى العامّة، وعرض الأخبار على أخبارهم وفتاويهم، وعلى الكتاب، وغير ذلك ممّا يتداول بين أهل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عليّ بن أسباط</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انظر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663</w:t>
      </w:r>
      <w:r>
        <w:rPr>
          <w:rFonts w:ascii="Amiri" w:hAnsi="Amiri" w:eastAsia="Amiri" w:cs="Amiri"/>
          <w:color w:val="111111"/>
          <w:sz w:val="28"/>
          <w:sz w:val="28"/>
          <w:szCs w:val="28"/>
          <w:rtl w:val="true"/>
          <w:lang w:bidi="ar-SA"/>
        </w:rPr>
        <w:t xml:space="preserve">، ورجال الكشّي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 ورجال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ومعجم رجال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الأمر لا أجد بدّاً من معرفته، وليس في البلد الذي أنا فيه أحد أستفتيه من مواليك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 فقيه البلد فاستفته من أمرك، فإذا أفتاك بشي‌ء فخذ بخلافه؛ فإنّ الحقّ فيه</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النهي عن الفتيا بغير علم </w:t>
      </w:r>
      <w:r>
        <w:rPr>
          <w:rStyle w:val="FootnoteAnchor"/>
          <w:rtl w:val="true"/>
        </w:rPr>
        <w:footnoteReference w:id="15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أفتى الناس بغير علم ولا هدى من اللَّه، لعنته ملائكة الرحمة وملائكة العذاب، ولحقه وزر من عمل بفتياه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p>
    <w:p>
      <w:pPr>
        <w:pStyle w:val="BookText"/>
        <w:rPr/>
      </w:pPr>
      <w:r>
        <w:rPr>
          <w:rFonts w:ascii="Amiri" w:hAnsi="Amiri" w:eastAsia="Amiri" w:cs="Amiri"/>
          <w:color w:val="111111"/>
          <w:sz w:val="28"/>
          <w:sz w:val="28"/>
          <w:szCs w:val="28"/>
          <w:rtl w:val="true"/>
          <w:lang w:bidi="ar-SA"/>
        </w:rPr>
        <w:t xml:space="preserve">راجع وسائل الشيعة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كتاب القضاء، أبواب صفات القاضي،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مستدرك الوسائل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كتاب القضاء، أبواب صفات القاضي،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وهي كثيرة، يظهر منها جوازه</w:t>
      </w:r>
    </w:p>
    <w:p>
      <w:pPr>
        <w:pStyle w:val="BookText"/>
        <w:rPr/>
      </w:pPr>
      <w:r>
        <w:rPr>
          <w:rFonts w:ascii="Amiri" w:hAnsi="Amiri" w:eastAsia="Amiri" w:cs="Amiri"/>
          <w:color w:val="111111"/>
          <w:sz w:val="28"/>
          <w:sz w:val="28"/>
          <w:szCs w:val="28"/>
          <w:rtl w:val="true"/>
          <w:lang w:bidi="ar-SA"/>
        </w:rPr>
        <w:t>مع العلم، والفتوى ليس إلّابالاجتهاد والتفقّه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النهي عن الحكم بغير ما أنزل اللَّه </w:t>
      </w:r>
      <w:r>
        <w:rPr>
          <w:rStyle w:val="FootnoteAnchor"/>
          <w:rtl w:val="true"/>
        </w:rPr>
        <w:footnoteReference w:id="16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حكم في درهمين بغير ما أنزل اللَّه عزّوجلّ، فهو كافر باللَّه العظيم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p>
    <w:p>
      <w:pPr>
        <w:pStyle w:val="BookText"/>
        <w:rPr/>
      </w:pPr>
      <w:r>
        <w:rPr>
          <w:rFonts w:ascii="Amiri" w:hAnsi="Amiri" w:eastAsia="Amiri" w:cs="Amiri"/>
          <w:color w:val="111111"/>
          <w:sz w:val="28"/>
          <w:sz w:val="28"/>
          <w:szCs w:val="28"/>
          <w:rtl w:val="true"/>
          <w:lang w:bidi="ar-SA"/>
        </w:rPr>
        <w:t xml:space="preserve">راجع وسائل الشيعة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كتاب القضاء، أبواب صفات القاضي، الباب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مستدرك الوسائل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كتاب القضاء، أبواب صفات القاضي،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ومقابله ملازم للاجتهاد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إلى قُثَم بن عبّاس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انظر الكامل في التأريخ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وتذهيب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5909</w:t>
      </w:r>
      <w:r>
        <w:rPr>
          <w:rFonts w:ascii="Amiri" w:hAnsi="Amiri" w:eastAsia="Amiri" w:cs="Amiri"/>
          <w:color w:val="111111"/>
          <w:sz w:val="28"/>
          <w:sz w:val="28"/>
          <w:szCs w:val="28"/>
          <w:rtl w:val="true"/>
          <w:lang w:bidi="ar-SA"/>
        </w:rPr>
        <w:t xml:space="preserve">، وتنقيح المقال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9638</w:t>
      </w:r>
      <w:r>
        <w:rPr>
          <w:rFonts w:ascii="Amiri" w:hAnsi="Amiri" w:eastAsia="Amiri" w:cs="Amiri"/>
          <w:color w:val="111111"/>
          <w:sz w:val="28"/>
          <w:sz w:val="28"/>
          <w:szCs w:val="28"/>
          <w:rtl w:val="true"/>
          <w:lang w:bidi="ar-SA"/>
        </w:rPr>
        <w:t xml:space="preserve">، ومعجم رجال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واجلس لهم العصرين، فأفت المستفتي، وعلّم الجاهل، وذكّر العالم</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الحسين بن روح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انظر الغيبة،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وتنقيح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أبي</w:t>
      </w:r>
    </w:p>
    <w:p>
      <w:pPr>
        <w:pStyle w:val="BookText"/>
        <w:rPr/>
      </w:pPr>
      <w:r>
        <w:rPr>
          <w:rFonts w:ascii="Amiri" w:hAnsi="Amiri" w:eastAsia="Amiri" w:cs="Amiri"/>
          <w:color w:val="111111"/>
          <w:sz w:val="28"/>
          <w:sz w:val="28"/>
          <w:szCs w:val="28"/>
          <w:rtl w:val="true"/>
          <w:lang w:bidi="ar-SA"/>
        </w:rPr>
        <w:t>محمّد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كتب بني فضّال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بما رووا، وذروا ما رأوا</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 لهم آراء، وليست نفس الروايات آراءهم، واحتمال كون الآراء هي المربوطة باصول المذهب، مدفوع بإطلاقها، ولعلّ منعه عن الأخذ بآرائهم؛ لاعتبار كون المفتي على مذهب الحقّ وعلى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جعفر عليه السلام لأبان بن تغلب المتقدّم آنفاً</w:t>
      </w:r>
      <w:r>
        <w:rPr>
          <w:rStyle w:val="FootnoteAnchor"/>
          <w:rtl w:val="true"/>
        </w:rPr>
        <w:footnoteReference w:id="165"/>
      </w:r>
      <w:r>
        <w:rPr>
          <w:rFonts w:ascii="Amiri" w:hAnsi="Amiri" w:eastAsia="Amiri" w:cs="Amiri"/>
          <w:color w:val="111111"/>
          <w:sz w:val="28"/>
          <w:sz w:val="28"/>
          <w:szCs w:val="28"/>
          <w:rtl w:val="true"/>
          <w:lang w:bidi="ar-SA"/>
        </w:rPr>
        <w:t>، فإنّ الإفتاء ليس إلّا بالاجتهاد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الروايات التي تشير إلى كيفيّة استنباط الحكم من الكتاب، مثل ما عن محمّد بن عليّ بن الحسين، بإسناده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تخبرني من أين علمت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المسح ببعض الرأس وبعض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قاله رسول اللَّه، ونزل به الكتاب عن اللَّه عزّوجلّ، لأنّ اللَّه عزّوجلّ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فعرفنا أنّ الوجه كلّه ينبغي أن يغسل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أَيْدِيَكُمْ إِلَى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فوصل اليدين إلى المرفقين بالوجه، فعرفنا أنّه ينبغي لهما أن يغسلا إلى المرفقين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فصل بين الكلام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بِرُؤُسِكُمْ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فعرفنا حين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بِرُؤُسِكُمْ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المسح ببعض الرأس، 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وصل الرجلين بالرأس، كما وصل اليدين بالوجه،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أَرْجُلَكُمْ 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فعرفنا حين وصلهما بالرأس، أنّ المسح على بعضهما، ثمّ فسّر ذلك رسول اللَّه صلى الله عليه و آله و سلم للنّاس فضيّعوه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انظر إلى كيفيّة تعليمه الاستنباط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ومثلها بل أوضح منها، مرسلة يونس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انظر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1208</w:t>
      </w:r>
      <w:r>
        <w:rPr>
          <w:rFonts w:ascii="Amiri" w:hAnsi="Amiri" w:eastAsia="Amiri" w:cs="Amiri"/>
          <w:color w:val="111111"/>
          <w:sz w:val="28"/>
          <w:sz w:val="28"/>
          <w:szCs w:val="28"/>
          <w:rtl w:val="true"/>
          <w:lang w:bidi="ar-SA"/>
        </w:rPr>
        <w:t xml:space="preserve">، ومعجم رجال الحديث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الطويلة في باب سنن</w:t>
      </w:r>
    </w:p>
    <w:p>
      <w:pPr>
        <w:pStyle w:val="BookText"/>
        <w:rPr/>
      </w:pPr>
      <w:r>
        <w:rPr>
          <w:rFonts w:ascii="Amiri" w:hAnsi="Amiri" w:eastAsia="Amiri" w:cs="Amiri"/>
          <w:color w:val="111111"/>
          <w:sz w:val="28"/>
          <w:sz w:val="28"/>
          <w:szCs w:val="28"/>
          <w:rtl w:val="true"/>
          <w:lang w:bidi="ar-SA"/>
        </w:rPr>
        <w:t>الاستحاضة</w:t>
      </w:r>
      <w:r>
        <w:rPr>
          <w:rStyle w:val="FootnoteAnchor"/>
          <w:rtl w:val="true"/>
        </w:rPr>
        <w:footnoteReference w:id="169"/>
      </w:r>
      <w:r>
        <w:rPr>
          <w:rFonts w:ascii="Amiri" w:hAnsi="Amiri" w:eastAsia="Amiri" w:cs="Amiri"/>
          <w:color w:val="111111"/>
          <w:sz w:val="28"/>
          <w:sz w:val="28"/>
          <w:szCs w:val="28"/>
          <w:rtl w:val="true"/>
          <w:lang w:bidi="ar-SA"/>
        </w:rPr>
        <w:t xml:space="preserve">، وفيها موارد ترشدنا إلى طريق الاجتهاد فراجع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وكرواية عبد الأعلى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انظر مصنّفات الشيخ المفيد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أهل الموصل في العدد والرؤية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ومعجم رجال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المسح على المرارة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وأشباهه يعرف من كتاب اللَّه،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امسح عليه</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وهل هذا إلّا الاجتهاد؟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عرض الأخبار على الكتاب وأخبار العامّة، وترجيح</w:t>
      </w:r>
      <w:bookmarkStart w:id="102" w:name="pg1534_18241"/>
    </w:p>
    <w:p>
      <w:pPr>
        <w:pStyle w:val="BookText"/>
        <w:rPr/>
      </w:pPr>
      <w:bookmarkEnd w:id="102"/>
      <w:r>
        <w:rPr>
          <w:rFonts w:ascii="IRNazanin" w:hAnsi="IRNazanin" w:eastAsia="IRNazanin"/>
          <w:color w:val="111111"/>
          <w:sz w:val="28"/>
          <w:sz w:val="28"/>
          <w:szCs w:val="28"/>
          <w:rtl w:val="true"/>
          <w:lang w:bidi="fa-IR"/>
        </w:rPr>
        <w:t xml:space="preserve">بعضها على بعض </w:t>
      </w:r>
      <w:r>
        <w:rPr>
          <w:rStyle w:val="FootnoteAnchor"/>
          <w:rtl w:val="true"/>
        </w:rPr>
        <w:footnoteReference w:id="174"/>
      </w:r>
      <w:r>
        <w:rPr>
          <w:rFonts w:ascii="Amiri" w:hAnsi="Amiri" w:eastAsia="Amiri" w:cs="Amiri"/>
          <w:color w:val="111111"/>
          <w:sz w:val="28"/>
          <w:sz w:val="28"/>
          <w:szCs w:val="28"/>
          <w:rtl w:val="true"/>
          <w:lang w:bidi="ar-SA"/>
        </w:rPr>
        <w:t>، وهو من أوضح موارد الاجتهاد المتعارف بين أهل الصناعة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مقبولة عمر بن حنظلة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ونظر في حلالنا وحرآمنا، وعرف أحكامنا</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بالتقريب المتقدّم </w:t>
      </w:r>
      <w:r>
        <w:rPr>
          <w:rStyle w:val="FootnoteAnchor"/>
          <w:rtl w:val="true"/>
        </w:rPr>
        <w:footnoteReference w:id="176"/>
      </w:r>
      <w:r>
        <w:rPr>
          <w:rFonts w:ascii="Amiri" w:hAnsi="Amiri" w:eastAsia="Amiri" w:cs="Amiri"/>
          <w:color w:val="111111"/>
          <w:sz w:val="28"/>
          <w:sz w:val="28"/>
          <w:szCs w:val="28"/>
          <w:rtl w:val="true"/>
          <w:lang w:bidi="ar-SA"/>
        </w:rPr>
        <w:t>في اختصاص المنصب بالمجتهدين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كلاهما اختلفا في حديثكم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الاختلاف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اختلاف في معناه، أو اختلاف في أخذ كلّ بحديث؛ لمكان الترجيح بنظره على الآخر، وهو عين الاجتهاد، واحتمال عدم اطلاع كلّ على مدرك الآخر مع كونهما مجتمعين في النظر في حقّهما، غير ممكن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يطول ذكره، ويطّلع عليه المتتبّع</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554990_3650668749"/>
      <w:bookmarkStart w:id="104" w:name="_Toc38"/>
      <w:bookmarkEnd w:id="103"/>
      <w:r>
        <w:rPr>
          <w:rtl w:val="true"/>
        </w:rPr>
        <w:t>ما يدلّ على إرجاع الأئمّة إلى الفقهاء</w:t>
      </w:r>
      <w:bookmarkEnd w:id="104"/>
    </w:p>
    <w:p>
      <w:pPr>
        <w:pStyle w:val="BookText"/>
        <w:rPr/>
      </w:pPr>
      <w:r>
        <w:rPr>
          <w:rFonts w:ascii="Amiri" w:hAnsi="Amiri" w:eastAsia="Amiri" w:cs="Amiri"/>
          <w:color w:val="111111"/>
          <w:sz w:val="28"/>
          <w:sz w:val="28"/>
          <w:szCs w:val="28"/>
          <w:rtl w:val="true"/>
          <w:lang w:bidi="ar-SA"/>
        </w:rPr>
        <w:t>وتدلّ على المقدمة الثانية أخبار كثيرة أيضاً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المقبولة الظاهرة في إرجاعهم إلى الفقهاء من أصحابنا في الشبهة الحكميّة الاجتهاديّة، وجعل الفقيه مرجعاً، ونصبه للحكم في الشبهات الحكميّة ملازم لاعتبار فتواه، ومثلها ما عن أبي خديجة في المشهورة</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التوقيع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الحوادث الواقعة فارجعوا فيها إلى رواة حديثنا</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وردت في تفسير آية النفر</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كثيرة دالّة على الإرجاع إلى فقهاء أصحابنا، ويظهر منها أنّ الأمر كان ارتكازيّاً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لدى الشيعة، مثل ما عن الكشّي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انظر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1018</w:t>
      </w:r>
      <w:r>
        <w:rPr>
          <w:rFonts w:ascii="Amiri" w:hAnsi="Amiri" w:eastAsia="Amiri" w:cs="Amiri"/>
          <w:color w:val="111111"/>
          <w:sz w:val="28"/>
          <w:sz w:val="28"/>
          <w:szCs w:val="28"/>
          <w:rtl w:val="true"/>
          <w:lang w:bidi="ar-SA"/>
        </w:rPr>
        <w:t>، وفهرست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r>
        <w:rPr>
          <w:rFonts w:ascii="Amiri" w:hAnsi="Amiri" w:eastAsia="Amiri" w:cs="Amiri"/>
          <w:color w:val="111111"/>
          <w:sz w:val="28"/>
          <w:sz w:val="28"/>
          <w:szCs w:val="28"/>
          <w:rtl w:val="true"/>
          <w:lang w:bidi="ar-SA"/>
        </w:rPr>
        <w:t>، وخاتمة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بإسناده عن شعيب العقرقوفيّ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انظر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وفهرست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ومعجم رجال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احتجنا أن نسأل عن الشي‌ء،</w:t>
      </w:r>
    </w:p>
    <w:p>
      <w:pPr>
        <w:pStyle w:val="BookText"/>
        <w:rPr/>
      </w:pPr>
      <w:r>
        <w:rPr>
          <w:rFonts w:ascii="IRNazanin" w:hAnsi="IRNazanin" w:eastAsia="IRNazanin"/>
          <w:color w:val="111111"/>
          <w:sz w:val="28"/>
          <w:sz w:val="28"/>
          <w:szCs w:val="28"/>
          <w:rtl w:val="true"/>
          <w:lang w:bidi="fa-IR"/>
        </w:rPr>
        <w:t>فمن نسأل؟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بصير</w:t>
      </w:r>
    </w:p>
    <w:p>
      <w:pPr>
        <w:pStyle w:val="BookText"/>
        <w:rPr/>
      </w:pP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بن المسيّب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انظر 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والكافي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ورجال الكشّي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858</w:t>
      </w:r>
      <w:r>
        <w:rPr>
          <w:rFonts w:ascii="Amiri" w:hAnsi="Amiri" w:eastAsia="Amiri" w:cs="Amiri"/>
          <w:color w:val="111111"/>
          <w:sz w:val="28"/>
          <w:sz w:val="28"/>
          <w:szCs w:val="28"/>
          <w:rtl w:val="true"/>
          <w:lang w:bidi="ar-SA"/>
        </w:rPr>
        <w:t>، والمحاسن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شقّتي بعيدة، ولست أصل إليك في كلّ وقت، فممّن آخذ معالم ديني؟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زكريّا بن آدم القمّي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انظر رجال النجاشي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ورجال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ورجال الكشّي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859</w:t>
      </w:r>
      <w:r>
        <w:rPr>
          <w:rFonts w:ascii="Amiri" w:hAnsi="Amiri" w:eastAsia="Amiri" w:cs="Amiri"/>
          <w:color w:val="111111"/>
          <w:sz w:val="28"/>
          <w:sz w:val="28"/>
          <w:szCs w:val="28"/>
          <w:rtl w:val="true"/>
          <w:lang w:bidi="ar-SA"/>
        </w:rPr>
        <w:t xml:space="preserve">، ومعجم رجال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المأمون على الدين والدنيا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انصرفت قدمنا على زكريّا بن آدم، فسألته عمّا احتجت إليه </w:t>
      </w:r>
      <w:r>
        <w:rPr>
          <w:rStyle w:val="FootnoteAnchor"/>
          <w:rtl w:val="true"/>
        </w:rPr>
        <w:footnoteReference w:id="184"/>
      </w:r>
      <w:bookmarkStart w:id="105" w:name="pg1534_18244"/>
    </w:p>
    <w:p>
      <w:pPr>
        <w:pStyle w:val="BookText"/>
        <w:rPr/>
      </w:pPr>
      <w:bookmarkEnd w:id="105"/>
      <w:r>
        <w:rPr>
          <w:rFonts w:ascii="Amiri" w:hAnsi="Amiri" w:eastAsia="Amiri" w:cs="Amiri"/>
          <w:color w:val="111111"/>
          <w:sz w:val="28"/>
          <w:sz w:val="28"/>
          <w:szCs w:val="28"/>
          <w:rtl w:val="true"/>
          <w:lang w:bidi="ar-SA"/>
        </w:rPr>
        <w:t>فيعلم من أمثالهما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ارتكازهم كان على الرجوع إلى العلماء، وارادوا أن يعرِّف الإمام شخصاً ثقة مأموناً، وأنّ عليّ بن المسيّب كان يسأل عمّا احتاج إليه من الامور الفرعيّة، وأجابه زكريا بما رزقه اللَّه فهمه من الكتاب وأخبار أهل البيت؛ باجتهاده ونظره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ومثلهما غيرهما</w:t>
      </w:r>
      <w:r>
        <w:rPr>
          <w:rStyle w:val="FootnoteAnchor"/>
          <w:rtl w:val="true"/>
        </w:rPr>
        <w:footnoteReference w:id="185"/>
      </w:r>
      <w:r>
        <w:rPr>
          <w:rFonts w:ascii="Amiri" w:hAnsi="Amiri" w:eastAsia="Amiri" w:cs="Amiri"/>
          <w:color w:val="111111"/>
          <w:sz w:val="28"/>
          <w:sz w:val="28"/>
          <w:szCs w:val="28"/>
          <w:rtl w:val="true"/>
          <w:lang w:bidi="ar-SA"/>
        </w:rPr>
        <w:t>، بل إنكار رجوع عوامّ الشيعة في البلاد النائية عن الأئمّة عليهم السلام إلى علمائهم، مجازفة 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لكن بقي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هذا الاختلاف الكثير الذي نشاهده بين الفقهاء في الفتوى، لا أظنّ وجوده في عصر الأئمّة عليهم السلام، ومعه لا يمكن إمضاء الرجوع في ذلك العصر، أن يكشف منه الإمضاء في هذا العصر كما لا يخفى</w:t>
      </w:r>
    </w:p>
    <w:p>
      <w:pPr>
        <w:pStyle w:val="BookText"/>
        <w:rPr/>
      </w:pPr>
      <w:r>
        <w:rPr>
          <w:rFonts w:ascii="Amiri" w:hAnsi="Amiri" w:eastAsia="Amiri" w:cs="Amiri"/>
          <w:color w:val="111111"/>
          <w:sz w:val="28"/>
          <w:sz w:val="28"/>
          <w:szCs w:val="28"/>
          <w:rtl w:val="true"/>
          <w:lang w:bidi="ar-SA"/>
        </w:rPr>
        <w:t>نعم، لا يرد هذا الإشكال على الوجه الآتي</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554992_3650668749"/>
      <w:bookmarkStart w:id="107" w:name="_Toc39"/>
      <w:bookmarkEnd w:id="106"/>
      <w:r>
        <w:rPr>
          <w:rtl w:val="true"/>
        </w:rPr>
        <w:t>عدم ردع الأئمة عليهم السلام عن ارتكاز العقلاء كاشف عن رضاهم</w:t>
      </w:r>
      <w:bookmarkEnd w:id="10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ردعهم عن هذا الارتكاز كاشف عن رضاهم بذلك، فهو أيضاً واضح؛ ضرورة أنّ ارتكازيّة رجوع الجاهل في كلّ شي‌ء إلى عالمه، معلومة لكلّ أحد، وأنّ الأئمّة عليهم السلام قد علموا بأنّ علماء الشيعة في زمان</w:t>
      </w:r>
      <w:bookmarkStart w:id="108" w:name="pg1534_18245"/>
    </w:p>
    <w:p>
      <w:pPr>
        <w:pStyle w:val="BookText"/>
        <w:rPr/>
      </w:pPr>
      <w:bookmarkEnd w:id="108"/>
      <w:r>
        <w:rPr>
          <w:rFonts w:ascii="Amiri" w:hAnsi="Amiri" w:eastAsia="Amiri" w:cs="Amiri"/>
          <w:color w:val="111111"/>
          <w:sz w:val="28"/>
          <w:sz w:val="28"/>
          <w:szCs w:val="28"/>
          <w:rtl w:val="true"/>
          <w:lang w:bidi="ar-SA"/>
        </w:rPr>
        <w:t>الغيبة وحرمانهم عن الوصول إلى الإمام، لا محيص لهم من الرجوع إلى كتب الأخبار والاصول والجوامع، كما أخبروا بذلك، ولا محالة يرجع عوامّ الشيعة إلى علمائهم بحسب الارتكاز والبناء العقلائي المعلوم لكلّ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فلولا ارتضاؤهم بذلك لكان عليهم الردع؛ إذ لافرق بين السيرة المتّصلة بزمانهم وغيرها؛ ممّا علموا وأخبروا بوقوع الناس فيه، فإنّهم أخبروا عن وقوع الغيبة الطويلة</w:t>
      </w:r>
      <w:r>
        <w:rPr>
          <w:rStyle w:val="FootnoteAnchor"/>
          <w:rtl w:val="true"/>
        </w:rPr>
        <w:footnoteReference w:id="186"/>
      </w:r>
      <w:r>
        <w:rPr>
          <w:rFonts w:ascii="Amiri" w:hAnsi="Amiri" w:eastAsia="Amiri" w:cs="Amiri"/>
          <w:color w:val="111111"/>
          <w:sz w:val="28"/>
          <w:sz w:val="28"/>
          <w:szCs w:val="28"/>
          <w:rtl w:val="true"/>
          <w:lang w:bidi="ar-SA"/>
        </w:rPr>
        <w:t xml:space="preserve">، وأنّ كفيل أيتام آل محمّد صلّى اللَّه عليه وعليهم علماؤهم </w:t>
      </w:r>
      <w:r>
        <w:rPr>
          <w:rStyle w:val="FootnoteAnchor"/>
          <w:rtl w:val="true"/>
        </w:rPr>
        <w:footnoteReference w:id="187"/>
      </w:r>
      <w:r>
        <w:rPr>
          <w:rFonts w:ascii="Amiri" w:hAnsi="Amiri" w:eastAsia="Amiri" w:cs="Amiri"/>
          <w:color w:val="111111"/>
          <w:sz w:val="28"/>
          <w:sz w:val="28"/>
          <w:szCs w:val="28"/>
          <w:rtl w:val="true"/>
          <w:lang w:bidi="ar-SA"/>
        </w:rPr>
        <w:t xml:space="preserve">، وأنّه سيأتي زمان هرج ومرج يحتاج العلماء إلى كتب أصحابهم </w:t>
      </w:r>
      <w:r>
        <w:rPr>
          <w:rStyle w:val="FootnoteAnchor"/>
          <w:rtl w:val="true"/>
        </w:rPr>
        <w:footnoteReference w:id="188"/>
      </w:r>
      <w:r>
        <w:rPr>
          <w:rFonts w:ascii="Amiri" w:hAnsi="Amiri" w:eastAsia="Amiri" w:cs="Amiri"/>
          <w:color w:val="111111"/>
          <w:sz w:val="28"/>
          <w:sz w:val="28"/>
          <w:szCs w:val="28"/>
          <w:rtl w:val="true"/>
          <w:lang w:bidi="ar-SA"/>
        </w:rPr>
        <w:t>، فأمروا بضبط الأحاديث وثبتها في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الإشكال على أصل السيرة غير وارد، فيدلّ على أصل التقليد الارتكاز القطعيّ العقلائيّ</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554994_3650668749"/>
      <w:bookmarkStart w:id="110" w:name="_Toc40"/>
      <w:bookmarkEnd w:id="109"/>
      <w:r>
        <w:rPr>
          <w:rtl w:val="true"/>
        </w:rPr>
        <w:t>كيفيّة السيرة العقلائيّة ومناطها</w:t>
      </w:r>
      <w:bookmarkEnd w:id="11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لابدّ من البحث عن كيفيّة السيرة، وأنّها مع وجود الأفضل واختلافه مع الفاضل كيف هي؟ فلابدّ أوّلًا من بيان مناط رجوع الجاهل إلى العالم حتّى</w:t>
      </w:r>
    </w:p>
    <w:p>
      <w:pPr>
        <w:pStyle w:val="BookText"/>
        <w:rPr/>
      </w:pPr>
      <w:r>
        <w:rPr>
          <w:rFonts w:ascii="Amiri" w:hAnsi="Amiri" w:eastAsia="Amiri" w:cs="Amiri"/>
          <w:color w:val="111111"/>
          <w:sz w:val="28"/>
          <w:sz w:val="28"/>
          <w:szCs w:val="28"/>
          <w:rtl w:val="true"/>
          <w:lang w:bidi="ar-SA"/>
        </w:rPr>
        <w:t>يتّضح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أنّ رجوعه إليه، إنّما هو لأجل طريقيّته إلى الواقع وكشفه عنه، وأنّ منشأه إلغاء احتمال الخلاف؛ لأجل غلبة موافقة قوله للواقع، وندرة المخالفة؛ بحيث لايعتني بها العقلاء، بل يكون نوع العقلاء في مقام العمل، غافلًا عن احتمال المخالفة، فيعمل على طبقه، ويرى وصوله إليه بارتكازه، نعم لو تنبّه يرى أنّه ليس بعالم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هو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المتداول على السنتهم </w:t>
      </w:r>
      <w:r>
        <w:rPr>
          <w:rStyle w:val="FootnoteAnchor"/>
          <w:rtl w:val="true"/>
        </w:rPr>
        <w:footnoteReference w:id="189"/>
      </w:r>
      <w:r>
        <w:rPr>
          <w:rFonts w:ascii="Amiri" w:hAnsi="Amiri" w:eastAsia="Amiri" w:cs="Amiri"/>
          <w:color w:val="111111"/>
          <w:sz w:val="28"/>
          <w:sz w:val="28"/>
          <w:szCs w:val="28"/>
          <w:rtl w:val="true"/>
          <w:lang w:bidi="ar-SA"/>
        </w:rPr>
        <w:t>، ولعلّ هذا الوجه هو المعوّل عليه في نوع سيرة العقلاء وبنائهم العمليّ، كالتعويل على أصالة الصحّة، وخبر الثقة واليد، والبناء على الصحّة في باب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احتمال كون بنائهم على ذلك لأجل مقدّمات الانسداد،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العقلاء احتياجهم في تشخيص أمر من الامور، ولايمكن لهم الاحتياط أو يعسر عليهم، ولايجوز لهم الإهمال؛ لأجل احتياجهم إليه في العمل، وليس لهم طريق إلى الواقع، فيحكم عقلهم بالرجوع إلى الخبير؛ لأجل أقربيّة قوله إلى الواقع من غيره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احتمال أن يكون منشأ ذلك، هو القوانين الموضوعة من زعماء القوم ورؤسائهم السياسيّين أو الدينيّين؛ لأجل تسهيل الأمر على الناس ورغد عيشهم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فكلاهما بعيدان عن الصواب؛ ضرورة بطلان مقدّمات الانسداد في كثير من الموارد، وعلى فرض تماميّتها لاتنتج ذلك، وبُعدِ الوجه الثاني بل امتناعه عادة؛ 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إطباق </w:t>
      </w:r>
      <w:r>
        <w:rPr>
          <w:rStyle w:val="FootnoteAnchor"/>
          <w:rtl w:val="true"/>
        </w:rPr>
        <w:footnoteReference w:id="191"/>
      </w:r>
      <w:r>
        <w:rPr>
          <w:rFonts w:ascii="Amiri" w:hAnsi="Amiri" w:eastAsia="Amiri" w:cs="Amiri"/>
          <w:color w:val="111111"/>
          <w:sz w:val="28"/>
          <w:sz w:val="28"/>
          <w:szCs w:val="28"/>
          <w:rtl w:val="true"/>
          <w:lang w:bidi="ar-SA"/>
        </w:rPr>
        <w:t>القوانين البشريّة من باب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تفرّق البشر في الأصقاع المتباعدة، واختلاف مسالكهم وعشرتهم وأديانهم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 بالممتنع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معقول موافق للاعتبار، نعم لايبعد أن يكون للانسداد دخل في أعمالهم في جميع الموارد، أو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يرد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يمكن أن يدّعى بناء العقلاء على إلغاء احتمال الخلاف والخطأ، مع هذه الاختلافات الكثيرة المشاهدة من الفقهاء، بل من فقيه واحد في كتبه العديدة، بل في كتاب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لايبعد أن يكون رجوع العامّي إلى الفقيه، إمّا لتوهّم كون فنّ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 الخطأ فيه، ويكون رجوع العقلاء لمقدّمة باطلة وتوهّم خطأ، أو لأمر تعبّدي أخذه الخلف عن السلف، لا لأمر عقلائي، وهو أمر آخر غير بناء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قلّة خطأ الفقهاء بالنسبة إلى صوابهم؛ بحيث يكون احتماله ملغى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ضمّ الموارد بعضها إلى بعض، غير وجيهة، مع ما نرى من الاختلافات الكثيرة في كلّ باب إلى ما شاء اللَّه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المطلوب للعقلاء في باب الاحتجاجات بين الموالي والعبيد،</w:t>
      </w:r>
    </w:p>
    <w:p>
      <w:pPr>
        <w:pStyle w:val="BookText"/>
        <w:rPr/>
      </w:pPr>
      <w:r>
        <w:rPr>
          <w:rFonts w:ascii="Amiri" w:hAnsi="Amiri" w:eastAsia="Amiri" w:cs="Amiri"/>
          <w:color w:val="111111"/>
          <w:sz w:val="28"/>
          <w:sz w:val="28"/>
          <w:szCs w:val="28"/>
          <w:rtl w:val="true"/>
          <w:lang w:bidi="ar-SA"/>
        </w:rPr>
        <w:t>قيام الحجّة وسقوط التكليف والعقاب بأيّ وجه اتفق، والرجوع إلى الفقهاء موجب لذلك؛ لأنّ المجتهدين مع اختلافهم في الرأي، مشتركون في عدم الخطأ والتقصير في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ذلك الاختلاف في الرأي؛ لإمكان عثور أحدهما على حجّة في غير مظانّها، أو أصل من الاصول المعتمدة، ولم يعثر عليهما الآخر مع فحصه بالمقدار المتعارف، فتمسّك بالأصل العمليّ، أو عمل على الأمارة التي عنده، فلايكون واحد منهما مخطئاً في اجتهاده، ورأي كلّ منهما حجّة في حقّه وحقّ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فرجوع العقلاء إليهما لأجل قيام الحجّة والعذر، وهما المطلوب لهم، لا إصابة الواقع الأوّلي، وأوضح من ذلك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 المماثل في مؤدّى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تسمية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نعم لا يكون ذلك تقصيراً وإن كان مخطئاً، ومع اختلافهما لامحالة يعلم بخطأ أحدهما، ومعه لا يكون البناء على الرجوع إذا كان الاختلاف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في غير مورد اختلافهما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للاعتداد باحتمال الخطأ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أنّ نظر العقلاء في مثل المقام إلى تحصيل الحجّة والعذر، لكنّهما متوقّفان على إلغاء احتمال خطأ الاجتهاد بالنسبة إلى التكاليف الواقعيّة الأوّلية، وهو في المقام ممنوع</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ومؤدّى الطرق لو فرض باطلًا كونه حكماً ثانويّاً، لا يوجب معذوريّته بالنسبة إلى الواقعيّات، إلّاللمعذور وهو المجتهد، لا للمقلّد الذي يكون مبنى عمله</w:t>
      </w:r>
    </w:p>
    <w:p>
      <w:pPr>
        <w:pStyle w:val="BookText"/>
        <w:rPr/>
      </w:pPr>
      <w:r>
        <w:rPr>
          <w:rFonts w:ascii="Amiri" w:hAnsi="Amiri" w:eastAsia="Amiri" w:cs="Amiri"/>
          <w:color w:val="111111"/>
          <w:sz w:val="28"/>
          <w:sz w:val="28"/>
          <w:szCs w:val="28"/>
          <w:rtl w:val="true"/>
          <w:lang w:bidi="ar-SA"/>
        </w:rPr>
        <w:t>فتواه، وهو ليس معذّراً إلّامع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الأمارات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الخطأ لدى العقلاء، والفرض أنّ كلّ مجتهد يحكم بخطأ أخيه، لابتقصيره، ومعه كيف يمكن حجّية الفتوى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الثاني من الأمرين المتقدّمين يدفع الإشكال؛ فإنّ عدم ردع هذا البناء الخارجيّ، دليل على رضا الشارع المقدّس بالعمل على فتاوى الفقهاء مع الاختلاف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صيرورة ذلك هو البناء العقلائي المعروف، والبناء على أماريّة الفتوى كسائر الأمارات،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بناء المتشرّعة على أخذ الفتوى طريقاً إلى الواقع والعمل على طبق الأماريّة، والسكوت عنه دليل على الارتضاء بذلك، وهو ملازم لجعل الأماريّة لها، والمسألة تحتاج إلى مزيد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بناءً على أنّ المناط في رجوع الجاهل إلى العالم، هو إلغاء احتمال الخلاف والخطأ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احتماله موهوماً لا يعتني به العقلاء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إشكال في أنّ هذا المناط موجود عندهم في تشخيصات أهل الخبرة وأصحاب الفنون، كان الأفضل موجوداً أو لا، ولهذا يعملون على قوله مع عدم وجود الأفضل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دليل قطعيّ على تحقّق مناط العمل عندهم في قول الفاضل، وإلّا فكيف يعقل العمل مع عدم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المناط موجوداً، كان الأفضل موجوداً أو لا، اختلف رأيهما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تقديمهم قول الأفضل عند الاختلاف، فإنّما هو من باب ترجيح إحدى الحجّتين على الاخرى لا من باب عدم الملاك في</w:t>
      </w:r>
      <w:bookmarkStart w:id="111" w:name="pg1534_18250"/>
    </w:p>
    <w:p>
      <w:pPr>
        <w:pStyle w:val="BookText"/>
        <w:rPr/>
      </w:pPr>
      <w:bookmarkEnd w:id="111"/>
      <w:r>
        <w:rPr>
          <w:rFonts w:ascii="IRNazanin" w:hAnsi="IRNazanin" w:eastAsia="IRNazanin"/>
          <w:color w:val="111111"/>
          <w:sz w:val="28"/>
          <w:sz w:val="28"/>
          <w:szCs w:val="28"/>
          <w:rtl w:val="true"/>
          <w:lang w:bidi="fa-IR"/>
        </w:rPr>
        <w:t>قول المفضول؛ لعدم تعقّل تحقّق المناط مع عدم الفاضل، وعدمه مع وجوده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 المفضول حجّة وأمارة عقلائيّة في نفسه؛ لأجل موهوميّة احتمال الخطأ، كما أنّ مناط العمل بقول الأفضل ذلك بعينه</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554996_3650668749"/>
      <w:bookmarkStart w:id="113" w:name="_Toc41"/>
      <w:bookmarkEnd w:id="112"/>
      <w:r>
        <w:rPr>
          <w:rtl w:val="true"/>
        </w:rPr>
        <w:t>هل ترجيح قول الأفضل لزوميّ أم لا؟</w:t>
      </w:r>
      <w:bookmarkEnd w:id="113"/>
    </w:p>
    <w:p>
      <w:pPr>
        <w:pStyle w:val="BookText"/>
        <w:rPr/>
      </w:pPr>
      <w:r>
        <w:rPr>
          <w:rFonts w:ascii="Amiri" w:hAnsi="Amiri" w:eastAsia="Amiri" w:cs="Amiri"/>
          <w:color w:val="111111"/>
          <w:sz w:val="28"/>
          <w:sz w:val="28"/>
          <w:szCs w:val="28"/>
          <w:rtl w:val="true"/>
          <w:lang w:bidi="ar-SA"/>
        </w:rPr>
        <w:t>نعم، يبقى في المقام أمر؛ وهو أنّه هل بناء العقلاء على ترجيح قول الأفضل لدى العلم بمخالفته مع غيره إجمالًا أو تفصيلًا، يكون بنحو الإلزام، أو من باب حسن الاحتياط؛ وليس بنحو اللّزوم؟</w:t>
      </w:r>
    </w:p>
    <w:p>
      <w:pPr>
        <w:pStyle w:val="BookText"/>
        <w:rPr/>
      </w:pPr>
      <w:r>
        <w:rPr>
          <w:rFonts w:ascii="Amiri" w:hAnsi="Amiri" w:eastAsia="Amiri" w:cs="Amiri"/>
          <w:color w:val="111111"/>
          <w:sz w:val="28"/>
          <w:sz w:val="28"/>
          <w:szCs w:val="28"/>
          <w:rtl w:val="true"/>
          <w:lang w:bidi="ar-SA"/>
        </w:rPr>
        <w:t>لايبعد الاحتمال الثاني؛ لوجود تمام الملاك في كليهما، واحتمال أقربيّة قول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بمثابة يرى العقلاء ترجيحه عليه لزوميّاً، ولهذا تراهم يراجعون المفضول بمجرّد أعذار غير وجيهة، كبعد الطريق وكثرة المراجعين ومشقّة الرجوع إليه ولو كانت قليلة، وأمثال ذلك؛ ممّا يعلم أنّه لو حكم العقل إلزاماً بالترجيح، لما كانت تلك الأعذار وجيهة لدى العقل والعقلاء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علمهم إجمالًا بمخالفة أصحاب الفنّ في الرأي في الجملة، فليس ترجيح الأفضل إلّاترجيحاً غير ملزم، واحتياطاً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لو أمكن لأحد تحصيل اجتماع أصحاب فنّ في أمر والاستفتاء منهم، لَفَعل؛ لا لأجل عدم الاعتناء بقول الأفضل أو الفاضل، بل للاحتياط الراجح الحسن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كلّ المناط في رجوعهم، هو اعتقاد هم بندرة الخطأ وإلغاء احتمال الخلاف، وهو موجود في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مع تعارض قولهما، فمقتضى القاعدة تساقطهما والرجوع إلى الاحتياط مع الإمكان، وإلّا فالتخيير، وإن كان ترجيح قول الأفضل حسناً على أيّ حال،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مع ذلك فالذهاب إلى معارضة قول المفضول لقول الأفضل مشكل، خصوصاً في مثل ما نحن فيه؛ أي باب الاحتجاج بين العبيد والموالي، مع كون المقام من دوران الأمر بين التعيين والتخيير، والأصل يقتضي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بلزوم تقديم قول الأفضل لعلّه أوجه، مع أنّ الأصحاب أرسلوه إرسال المسلّمات والضروريّات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عدم إحراز بناء العقلاء على العمل بقول المفضول مع العلم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الإجماليّ المنجّز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بمخالفته مع الفاضل، لو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w:t>
      </w:r>
      <w:r>
        <w:rPr>
          <w:rStyle w:val="FootnoteAnchor"/>
          <w:rtl w:val="true"/>
        </w:rPr>
        <w:footnoteReference w:id="193"/>
      </w:r>
      <w:r>
        <w:rPr>
          <w:rFonts w:ascii="IRNazanin" w:hAnsi="IRNazanin" w:eastAsia="IRNazanin"/>
          <w:color w:val="111111"/>
          <w:sz w:val="28"/>
          <w:sz w:val="28"/>
          <w:szCs w:val="28"/>
          <w:rtl w:val="true"/>
          <w:lang w:bidi="fa-IR"/>
        </w:rPr>
        <w:t>بإحراز 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لا يبعد ذلك مع العلم بأنّ في أقوالهم اختلافاً، لا مع العلم إجمالًا بأنّهم في هذا المورد أو مورد آخر مثلًا مختلفون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بناءهم على العمل في مورد العلم الإجماليّ غير المنجّز، نظير أطراف الشبهة غير المحصورة، هذا حال بناء العقلاء</w:t>
      </w:r>
      <w:r>
        <w:rPr>
          <w:rFonts w:eastAsia="Amiri" w:cs="Amiri" w:ascii="Amiri" w:hAnsi="Amiri"/>
          <w:color w:val="111111"/>
          <w:sz w:val="28"/>
          <w:szCs w:val="28"/>
          <w:rtl w:val="true"/>
          <w:lang w:bidi="ar-SA"/>
        </w:rPr>
        <w:t>.</w:t>
      </w:r>
      <w:bookmarkStart w:id="114" w:name="pg1534_18252"/>
    </w:p>
    <w:p>
      <w:pPr>
        <w:pStyle w:val="Heading4"/>
        <w:numPr>
          <w:ilvl w:val="3"/>
          <w:numId w:val="1"/>
        </w:numPr>
        <w:rPr/>
      </w:pPr>
      <w:bookmarkStart w:id="115" w:name="__RefHeading___Toc554998_3650668749"/>
      <w:bookmarkStart w:id="116" w:name="_Toc42"/>
      <w:bookmarkEnd w:id="114"/>
      <w:bookmarkEnd w:id="115"/>
      <w:r>
        <w:rPr>
          <w:rtl w:val="true"/>
        </w:rPr>
        <w:t>أدلّة جواز الرجوع إلى المفضول</w:t>
      </w:r>
      <w:bookmarkEnd w:id="116"/>
    </w:p>
    <w:p>
      <w:pPr>
        <w:pStyle w:val="Heading5"/>
        <w:numPr>
          <w:ilvl w:val="4"/>
          <w:numId w:val="1"/>
        </w:numPr>
        <w:rPr/>
      </w:pPr>
      <w:bookmarkStart w:id="117" w:name="__RefHeading___Toc555000_3650668749"/>
      <w:bookmarkStart w:id="118" w:name="_Toc43"/>
      <w:bookmarkEnd w:id="117"/>
      <w:r>
        <w:rPr>
          <w:rtl w:val="true"/>
        </w:rPr>
        <w:t>اشارة</w:t>
      </w:r>
      <w:bookmarkEnd w:id="118"/>
    </w:p>
    <w:p>
      <w:pPr>
        <w:pStyle w:val="BookText"/>
        <w:rPr/>
      </w:pPr>
      <w:r>
        <w:rPr>
          <w:rFonts w:ascii="Amiri" w:hAnsi="Amiri" w:eastAsia="Amiri" w:cs="Amiri"/>
          <w:color w:val="111111"/>
          <w:sz w:val="28"/>
          <w:sz w:val="28"/>
          <w:szCs w:val="28"/>
          <w:rtl w:val="true"/>
          <w:lang w:bidi="ar-SA"/>
        </w:rPr>
        <w:t>وأمّا حال الأدلّة الشرعيّة، فلابدّ من ذكر ما تشبّث به الطرفان، والبحث في أطرافهما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يمكن أن يتمسّك به لجواز الرجوع إلى المفضول مع وجود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وتخالف رأيهما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فامور</w:t>
      </w:r>
      <w:r>
        <w:rPr>
          <w:rFonts w:eastAsia="Amiri" w:cs="Amiri" w:ascii="Amiri" w:hAnsi="Amiri"/>
          <w:color w:val="111111"/>
          <w:sz w:val="28"/>
          <w:szCs w:val="28"/>
          <w:rtl w:val="true"/>
          <w:lang w:bidi="ar-SA"/>
        </w:rPr>
        <w:t>:</w:t>
      </w:r>
    </w:p>
    <w:p>
      <w:pPr>
        <w:pStyle w:val="Heading5"/>
        <w:numPr>
          <w:ilvl w:val="4"/>
          <w:numId w:val="1"/>
        </w:numPr>
        <w:rPr/>
      </w:pPr>
      <w:bookmarkStart w:id="119" w:name="__RefHeading___Toc555002_3650668749"/>
      <w:bookmarkStart w:id="120" w:name="_Toc44"/>
      <w:bookmarkEnd w:id="119"/>
      <w:r>
        <w:rPr>
          <w:rtl w:val="true"/>
        </w:rPr>
        <w:t>الأوّل</w:t>
      </w:r>
      <w:r>
        <w:rPr>
          <w:rtl w:val="true"/>
        </w:rPr>
        <w:t xml:space="preserve">: </w:t>
      </w:r>
      <w:r>
        <w:rPr>
          <w:rtl w:val="true"/>
        </w:rPr>
        <w:t>بعض الآيات الشريفة</w:t>
      </w:r>
      <w:bookmarkEnd w:id="120"/>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قَبْلَكَ إِلَّا رِجالًا نُوحِي إِلَيْهِمْ فَسْئَلُوا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 أنّ إطلاقه يقتضي جواز الرجوع إلى المفضول حتّى مع مخالفة قوله للأفضل، ولاسيّما مع ندرة التساوي بين العلماء وتوافقهم في الآراء</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ظهور الآية في أنّ أهل الذكر هم علماء اليهود والنصارى إرجاع المشركين إليهم، وإلى ورود روايات كثيرة في أنّ أهله هم الأئمّة</w:t>
      </w:r>
      <w:r>
        <w:rPr>
          <w:rStyle w:val="FootnoteAnchor"/>
          <w:rtl w:val="true"/>
        </w:rPr>
        <w:footnoteReference w:id="196"/>
      </w:r>
      <w:r>
        <w:rPr>
          <w:rFonts w:ascii="Amiri" w:hAnsi="Amiri" w:eastAsia="Amiri" w:cs="Amiri"/>
          <w:color w:val="111111"/>
          <w:sz w:val="28"/>
          <w:sz w:val="28"/>
          <w:szCs w:val="28"/>
          <w:rtl w:val="true"/>
          <w:lang w:bidi="ar-SA"/>
        </w:rPr>
        <w:t>، بحيث يظهر منها أنّهم أهله لاغير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الشبهة كانت في اصول العقائد التي</w:t>
      </w:r>
    </w:p>
    <w:p>
      <w:pPr>
        <w:pStyle w:val="BookText"/>
        <w:rPr/>
      </w:pPr>
      <w:r>
        <w:rPr>
          <w:rFonts w:ascii="Amiri" w:hAnsi="Amiri" w:eastAsia="Amiri" w:cs="Amiri"/>
          <w:color w:val="111111"/>
          <w:sz w:val="28"/>
          <w:sz w:val="28"/>
          <w:szCs w:val="28"/>
          <w:rtl w:val="true"/>
          <w:lang w:bidi="ar-SA"/>
        </w:rPr>
        <w:t>يجب فيها تحصيل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المراد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اسألوا أهل الذكر حتّى يحصل لكم العلم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السؤال من واحد منهم لا يوجب العلم، ففي الآية إهمال من هذه الجهة، فيكون المراد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طريق تحصيل العلم لكم هو بالرجوع إلى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 للمريض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طريق استرجاع الصحّة هو بالرجوع إلى الطبيب وشرب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لها إطلاق يقتضي الرجوع إلى الفاضل أو المفضول مع تعارض قولهما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بصدد إرجاعهم إلى أمر ارتكازيّ؛ هو الرجوع إلى العالم، ولا تكون بصدد تحميل تعبّدي وإيجاب مولويّ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النفر في سورة 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الْمُؤْمِنُونَ لِيَنْفِرُوا كَافَّةً فَلَوْ لا نَفَرَ مِنْ كُلِّ فِرْقَةٍ مِنْهُمْ طائِفَةٌ لِيَتَفَقَّهُوا فِي الدِّينِ وَ 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والاستدلال بها للمطلوب يتوقّف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وجوب النفر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التفقّه غاية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الإنذار من جنس ما يتفقّه فيه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 التفقّه بالفرعيّات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 النافرين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 الطائفة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التحذّر عبارة عن العمل بقول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العمل بقوله، حصل العلم منه أو لا، وخالف قول غيره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فيصير مفاد الآية بعد تسليم المقدّمات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على كلّ واحد من كلّ طائفة من كلّ فرقة، النفر لتحصيل الفروع العمليّة؛ ليبيّنها لكلّ واحد من الباقين، ليعمل المنذَر بقوله، حصل العلم منه أو لا، وخالف غيره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سلامة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مجموع </w:t>
      </w:r>
      <w:r>
        <w:rPr>
          <w:rStyle w:val="FootnoteAnchor"/>
          <w:rtl w:val="true"/>
        </w:rPr>
        <w:footnoteReference w:id="198"/>
      </w:r>
      <w:r>
        <w:rPr>
          <w:rFonts w:ascii="Amiri" w:hAnsi="Amiri" w:eastAsia="Amiri" w:cs="Amiri"/>
          <w:color w:val="111111"/>
          <w:sz w:val="28"/>
          <w:sz w:val="28"/>
          <w:szCs w:val="28"/>
          <w:rtl w:val="true"/>
          <w:lang w:bidi="ar-SA"/>
        </w:rPr>
        <w:t>المقدّمات لو سلّم بعضها، فلك أن تمنع كون التفقّه غاية للنفر؛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الْمُؤْمِنُونَ لِيَنْفِرُوا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إخباراً في مقام الإنشاء؛ أي ليس لهم النفر العموميّ، كما 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القوم كانوا ينفرون كافّة للجهاد، وبقي رسول اللَّه صلى الله عليه و آله و سلم وحده، فورد النهي عن النفر العموميّ، والأمر بنفر طائفة للجهاد</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 فحينئذٍ لا يكون التفقّه غاية للنفر إذا كان التفقّه لغير النافرين؛ أي الباقين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خلاف ظاهرها، بل ظاهرها أنّ المؤمنين ما كانوا بحسب اشتغالهم بامور المعاش ونظم الدنيا، لينفروا جميعاً؛ أي النفر العموميّ ليس ميسوراً لهم، فَلَوْ لا نَفَرَ مِنْ كُلِّ فِرْقَةٍ طائفةٌ منهم للتفقّه، ولا إشكال في أنّ الظاهر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قول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التفقّه غاية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الإنذار من سنخ ما يتفقّه فيه؛ أي بيان الأحكام بنحو الإنذار، فليست الآية ظاهرة فيه، بل الظاهر منها أنّ غاية النفر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التفقّه في الدين وفهم الأحكام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إنذار القوم وموعظتهم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الفقيه إنذار القوم وإيجاد الخوف من بأس اللَّه في قلوبهم، فإذا خافوا يحكم عقلهم بوجوب تحصيل المؤمّن، فلا محيص لهم إلّاالعلم بأحكام اللَّه مقدّمة للعمل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وجوب العمل بقول المنذِر بمجرّده فلا تدلّ الآية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الإنذار لابدّ وأن يكون من جنس ما يتفقّه فيه، وإلّا فأيّة مناسبة للفقيه معه؟</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xml:space="preserve">ممنوعة؛ لأنّ الإنذار مناسب للفقيه؛ لأنّه يعلم حدوده، وكيفيّته، وشرائط الأمر بالمعروف والنهي عن المنكر، مع أنّ لكلامه تأثيراً في القوم لا يكون لكلام غيره؛ لعلوّ مقامه، وعظم شأنه لديهم، وأمّا التفقّه في الدين، فهو أعمّ من الاصول والفروع، فلا وجه لاختصاصه بالثاني، والأخبار الواردة في تفسيرها تدلّ على تعميمه </w:t>
      </w:r>
      <w:r>
        <w:rPr>
          <w:rStyle w:val="FootnoteAnchor"/>
          <w:rtl w:val="true"/>
        </w:rPr>
        <w:footnoteReference w:id="201"/>
      </w:r>
      <w:r>
        <w:rPr>
          <w:rFonts w:ascii="Amiri" w:hAnsi="Amiri" w:eastAsia="Amiri" w:cs="Amiri"/>
          <w:color w:val="111111"/>
          <w:sz w:val="28"/>
          <w:sz w:val="28"/>
          <w:szCs w:val="28"/>
          <w:rtl w:val="true"/>
          <w:lang w:bidi="ar-SA"/>
        </w:rPr>
        <w:t>، فحينئذٍ 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قبول قوله تعبّداً؛ لعدم جريانه في الاصول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إطلاقها على فرضه، يقتضي قبول قول الغير في الاصول والفروع، فيقيّد إطلاقها عقلًا في الاصول، وتبقى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 الطائفة، فلا إشكال في ظهور الآية فيه، لكنّ الظاهر منها أنّ كلّ واحد من المنذرين يجب عليه إنذار القوم جميعاً، ومعه لا تدلّ الآية على وجوب القبول من كلّ واحد منهم؛ فإنّه بإنذار كلّ واحد منهم قومَهم ربّما يحصل لهم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التحذّر العمليّ؛ أي قبول قول الغير والعمل به، فهو خلاف ظاهرها،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بمعنى الخوف، وإمّا بمعنى الاحتراز، وهو الترك عن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بمعنى الخوف الحاصل عن إنذار المنذرين، وهو أمر غير اختياريّ لا يمكن أن يتعلّق بعنوانه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تحصيله بمقدّمات اختياريّة، كالحبّ، والبغض، وأمثالهما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أنّه لا إطلاق للآية؛ ضرورة أنّها بصدد بيان كيفيّة النفر، وأنّه إذا لم يمكن للنّاس نفر عموميّ، فَلِمَ لا تنفر طائفة منهم؛ فإنّه ميسور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للناس سدّ باب التفقّه والتعلّم بعذر الاشتغال بامور الدنيا؛ فإنّ أمر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قيام طائفة به، فلابدّ من التفقّه والإنذار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وجوب قبول السامع بمجرّد السماع، فلا إطلاق للآية يدلّ عليه، فضلًا عن إطلاقها لحال التعارض</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أجنبيّة عن حجّية قول المفتي، كما أنّها أجنبيّة عن حجّية قول المخبر، بل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عند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يجب على طائفة من كلّ فرقة أن يتفقّهوا في الدين، ويرجعوا إلى قومهم، وينذروهم بالمواعظ والإنذارات والبيانات الموجبة لحصول الخوف في قلوبهم؛ لَعَلَّهُمْ يَحْذَرُونَ ويحصل في</w:t>
      </w:r>
    </w:p>
    <w:p>
      <w:pPr>
        <w:pStyle w:val="BookText"/>
        <w:rPr/>
      </w:pPr>
      <w:r>
        <w:rPr>
          <w:rFonts w:ascii="Amiri" w:hAnsi="Amiri" w:eastAsia="Amiri" w:cs="Amiri"/>
          <w:color w:val="111111"/>
          <w:sz w:val="28"/>
          <w:sz w:val="28"/>
          <w:szCs w:val="28"/>
          <w:rtl w:val="true"/>
          <w:lang w:bidi="ar-SA"/>
        </w:rPr>
        <w:t>قلوبهم الخوف قهراً، فإذا حصل الخوف في قلوبهم تدور رحى الديانة، ويقوم الناس بأمرها قهراً؛ لسوقهم عقلُهم نحو القيام بالوظائف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حالها مع قطع النظر عن الروايات الواردة في تفسيرها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النظر إليها أيضاً لا تدلّ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تدلّ على أنّ الإمام إذا مات لم يكن للناس عذر في عدم معرفة الإمام الذي بعده؛ أمّا من في البلد فلرفع حجّته، وأمّا غير الحاضر فعليه النفر إذا بلغه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دلّت على أنّ تكليف الناس بعد الإمام الطلب، وأنّ النافرين في عذر ما داموا في الطلب، والمنتظرين في عذر حتّى يرجع إليهم أصحابهم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النافرين بمجرّده، ليس بحجّة في باب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وردت في علّة الحجّ،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ما فيه من التفقّه ونقل أخبار الأئمّة عليهم السلام إلى كلّ صُقع وناحية</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دلّت على أنّه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أمرهم أن ينفروا إلى رسول اللَّه صلى الله عليه و آله و سلم فيتعلّموا، ثمّ يرجعوا إليهم فيعلّموهم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معنى قوله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امَّتي رحمة</w:t>
      </w:r>
      <w:r>
        <w:rPr>
          <w:rFonts w:eastAsia="Amiri" w:cs="Amiri" w:ascii="Amiri" w:hAnsi="Amiri"/>
          <w:color w:val="111111"/>
          <w:sz w:val="28"/>
          <w:szCs w:val="28"/>
          <w:rtl w:val="true"/>
          <w:lang w:bidi="ar-SA"/>
        </w:rPr>
        <w:t>)</w:t>
      </w:r>
      <w:r>
        <w:rPr>
          <w:rStyle w:val="FootnoteAnchor"/>
          <w:rtl w:val="true"/>
        </w:rPr>
        <w:footnoteReference w:id="205"/>
      </w:r>
      <w:bookmarkStart w:id="121" w:name="pg1534_18258"/>
    </w:p>
    <w:p>
      <w:pPr>
        <w:pStyle w:val="BookText"/>
        <w:rPr/>
      </w:pPr>
      <w:bookmarkEnd w:id="121"/>
      <w:r>
        <w:rPr>
          <w:rFonts w:ascii="Amiri" w:hAnsi="Amiri" w:eastAsia="Amiri" w:cs="Amiri"/>
          <w:color w:val="111111"/>
          <w:sz w:val="28"/>
          <w:sz w:val="28"/>
          <w:szCs w:val="28"/>
          <w:rtl w:val="true"/>
          <w:lang w:bidi="ar-SA"/>
        </w:rPr>
        <w:t>وهذه الطائفة أيضاً لا تدلّ على وجوب القبول بمجرّد السماع، فضلًا عن حال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حال الآيات الشريفة، والآيات الاخر التي استدلّ بها</w:t>
      </w:r>
      <w:r>
        <w:rPr>
          <w:rStyle w:val="FootnoteAnchor"/>
          <w:rtl w:val="true"/>
        </w:rPr>
        <w:footnoteReference w:id="206"/>
      </w:r>
      <w:r>
        <w:rPr>
          <w:rFonts w:ascii="Amiri" w:hAnsi="Amiri" w:eastAsia="Amiri" w:cs="Amiri"/>
          <w:color w:val="111111"/>
          <w:sz w:val="28"/>
          <w:sz w:val="28"/>
          <w:szCs w:val="28"/>
          <w:rtl w:val="true"/>
          <w:lang w:bidi="ar-SA"/>
        </w:rPr>
        <w:t>، أضعف دلالة منهما</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555004_3650668749"/>
      <w:bookmarkStart w:id="123" w:name="_Toc45"/>
      <w:bookmarkEnd w:id="122"/>
      <w:r>
        <w:rPr>
          <w:rtl w:val="true"/>
        </w:rPr>
        <w:t>الثاني</w:t>
      </w:r>
      <w:r>
        <w:rPr>
          <w:rtl w:val="true"/>
        </w:rPr>
        <w:t xml:space="preserve">: </w:t>
      </w:r>
      <w:r>
        <w:rPr>
          <w:rtl w:val="true"/>
        </w:rPr>
        <w:t>الأخبار التي استدلّ بها على حجّية قول المفضول</w:t>
      </w:r>
      <w:bookmarkEnd w:id="123"/>
    </w:p>
    <w:p>
      <w:pPr>
        <w:pStyle w:val="BookText"/>
        <w:rPr/>
      </w:pPr>
      <w:r>
        <w:rPr>
          <w:rFonts w:ascii="Amiri" w:hAnsi="Amiri" w:eastAsia="Amiri" w:cs="Amiri"/>
          <w:color w:val="111111"/>
          <w:sz w:val="28"/>
          <w:sz w:val="28"/>
          <w:szCs w:val="28"/>
          <w:rtl w:val="true"/>
          <w:lang w:bidi="ar-SA"/>
        </w:rPr>
        <w:t>وأمّا الأخبار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أُمِّيُّونَ لا يَعْلَمُونَ الْكِتابَ إِلَّا أَمانِيَّ وَ إِنْ هُمْ إِلَّا يَظُنُّونَ</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والحديث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مَن كان من الفقهاء صائناً لنفسه، حافظاً لدينه، مخالفاً على هواه، مطيعاً لأمر مولاه، فللعوام أن يقلّدوه</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 بإطلاقه على جواز تقليد المفضول إذا وجد فيه الشرائط ولو مع وجود الأفضل، أو مخالفته له في الرأي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 سنده، وإمكان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مقام بيان حكم آخر، فلا إطلاق له لحال وجود الأفضل، فضلًا عن صورة العلم بمخالفة رأيه رأي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مخدوش من حيث الدلالة؛ لأنّ صدره في بيان تقليد عو امّ اليهود علماءَ هم في الاصول حيث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إِنْ هُمْ إِلَّا يَظُنُّونَ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رؤساؤهم من تكذيب محمّد في نبوّته، وإمامة عليّ سيّد عترته، وهم يقلّدونهم مع أنّه محرّم عليهم تقليدهم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ما سأل الرجل عن الفرق بين عوامّنا وعوامّهم حيث كانوا مقلّدين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عوامّهم مع علمهم بفسق علمائهم وكذبهم، وأكلهم الحرام والرشا، وتغييرهم أحكام اللَّه يقلّدونهم، مع أنّ عقلهم يمنعهم عنه، ولو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عوامّنا</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كذلك لكانوا مثلهم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من كان من الفقهاء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فيظهر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الذمّ لم يكن متوجّهاً إلى تقليدهم في اصول العقائد، كالنبوّة، والإمامة، بل متوجّه إلى تقليد فسّاق العلماء، وأنّ عوامّنا لو قلّدوا علمائهم فيما قلّد اليهود علماءهم، فلا بأس به إذا كانوا صائنين لأنفسهم، حافظين لدينهم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فإخراج الاصول منه إخراج للمورد، وهو مستهجن، فلابدّ من توجيه الرواية بوجه، أو ردّ علمها إلى أهلها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حملها على حصول العلم من قول العلماء للعو امّ؛ لحسن ظنّهم بهم، وعدم انقداح خلاف الواقع من قولهم، بل يكون قول العلماء لديهم صراح الواقع</w:t>
      </w:r>
    </w:p>
    <w:p>
      <w:pPr>
        <w:pStyle w:val="BookText"/>
        <w:rPr/>
      </w:pPr>
      <w:r>
        <w:rPr>
          <w:rFonts w:ascii="Amiri" w:hAnsi="Amiri" w:eastAsia="Amiri" w:cs="Amiri"/>
          <w:color w:val="111111"/>
          <w:sz w:val="28"/>
          <w:sz w:val="28"/>
          <w:szCs w:val="28"/>
          <w:rtl w:val="true"/>
          <w:lang w:bidi="ar-SA"/>
        </w:rPr>
        <w:t>وعين الحقيقة</w:t>
      </w:r>
      <w:r>
        <w:rPr>
          <w:rStyle w:val="FootnoteAnchor"/>
          <w:rtl w:val="true"/>
        </w:rPr>
        <w:footnoteReference w:id="211"/>
      </w:r>
      <w:r>
        <w:rPr>
          <w:rFonts w:ascii="Amiri" w:hAnsi="Amiri" w:eastAsia="Amiri" w:cs="Amiri"/>
          <w:color w:val="111111"/>
          <w:sz w:val="28"/>
          <w:sz w:val="28"/>
          <w:szCs w:val="28"/>
          <w:rtl w:val="true"/>
          <w:lang w:bidi="ar-SA"/>
        </w:rPr>
        <w:t>، فبعيد بل غير ممكن؛ لتصريحها بأنّهم لم يكونوا إلّاظانّين بقول رؤسائهم، وأنّ عقلهم كان يحكم بعدم جواز تقليد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لو حصل العلم من قولهم لليهود، لم يتوجّه إليهم ذمّ، بل لم يسمّ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الرواية إنّما هو في التقليد الظنّي، الذي يمكن ردع قسم منه، والأمر بالعمل بقسم منه، والالتزام بجواز التقليد في الاصول أو في بعضها</w:t>
      </w:r>
      <w:r>
        <w:rPr>
          <w:rStyle w:val="FootnoteAnchor"/>
          <w:rtl w:val="true"/>
        </w:rPr>
        <w:footnoteReference w:id="212"/>
      </w:r>
      <w:r>
        <w:rPr>
          <w:rFonts w:ascii="Amiri" w:hAnsi="Amiri" w:eastAsia="Amiri" w:cs="Amiri"/>
          <w:color w:val="111111"/>
          <w:sz w:val="28"/>
          <w:sz w:val="28"/>
          <w:szCs w:val="28"/>
          <w:rtl w:val="true"/>
          <w:lang w:bidi="ar-SA"/>
        </w:rPr>
        <w:t>، كما ترى فالرواية مع ضعفها سنداً، واغتشاشها متناً، لا تصلح للحجيّة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يستفاد منها مع ضعف سندها، أمر تأريخيّ يؤيّد ما نحن بصدده؛ وهو أنّ التقليد بهذا المفهوم الذي في زماننا، كان شائعاً من زمن قديم؛ هو زمان الأئمّة أو قريب منه؛ أي من زمان تدوين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أو من قبله بزمان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صدر مقبولة عمر بن حنظلة</w:t>
      </w:r>
      <w:r>
        <w:rPr>
          <w:rStyle w:val="FootnoteAnchor"/>
          <w:rtl w:val="true"/>
        </w:rPr>
        <w:footnoteReference w:id="21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ينظران إلى من كان منكم ممّن قد روى حديثنا، ونظر في حلالنا وحرآمنا، وعرف أحكامنا، فليرضوا به حكماً؛ فإنّي قد جعلته عليكم حاكماً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الفقيه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تهذيب الأحكام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 الاحتجاج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كتاب القضاء، أبواب صفات القاضي، الباب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وإطلاق مشهورة</w:t>
      </w:r>
    </w:p>
    <w:p>
      <w:pPr>
        <w:pStyle w:val="BookText"/>
        <w:rPr/>
      </w:pPr>
      <w:r>
        <w:rPr>
          <w:rFonts w:ascii="Amiri" w:hAnsi="Amiri" w:eastAsia="Amiri" w:cs="Amiri"/>
          <w:color w:val="111111"/>
          <w:sz w:val="28"/>
          <w:sz w:val="28"/>
          <w:szCs w:val="28"/>
          <w:rtl w:val="true"/>
          <w:lang w:bidi="ar-SA"/>
        </w:rPr>
        <w:t>أبي خديجة</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الدلالة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صدرها وذيلها</w:t>
      </w:r>
      <w:r>
        <w:rPr>
          <w:rStyle w:val="FootnoteAnchor"/>
          <w:rtl w:val="true"/>
        </w:rPr>
        <w:footnoteReference w:id="21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ما حكم به أعدلهما وأ فقههما وأصدقهما في الحديث وأورعهما، ولا يلتفت إلى ما يحكم به الآخر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p>
    <w:p>
      <w:pPr>
        <w:pStyle w:val="BookText"/>
        <w:rPr/>
      </w:pPr>
      <w:r>
        <w:rPr>
          <w:rFonts w:ascii="Amiri" w:hAnsi="Amiri" w:eastAsia="Amiri" w:cs="Amiri"/>
          <w:color w:val="111111"/>
          <w:sz w:val="28"/>
          <w:sz w:val="28"/>
          <w:szCs w:val="28"/>
          <w:rtl w:val="true"/>
          <w:lang w:bidi="ar-SA"/>
        </w:rPr>
        <w:t>، شمولها للشبهات الحكميّة، فيؤخذ بإطلاقها في غير مورد واحد متعرَّض له؛ وهو صورة اختلاف الحَكَمين، وكذا المشهورة تشملها بإطلاقها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دلّتا على نفوذ حكم الفقيه فيها، تدلّان على اعتبار فتواه في باب فصل الخصومات، وإلّا فلا يعقل إنفاذه بدونه، ويفهم نفوذ فتواه وحجّيتها في غيره؛ إمّا بإلغاء الخصوصيّة عرفاً، أو بدعوى تنقيح المناط</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حكم بحكمنا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إلغاء احتمال الخلاف من فتوى الفقيه؛ إذ ليس المراد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علمتم أنّه حكم بحكمنا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حكم بحكمنا بحسب نظره ورأيه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نظره طريقاً إلى حكمهم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إلغاء الخصوصيّة عرفاً ممنوع؛ ضرورة تحقّق خصوصيّة زائدة في باب الحكومة، ربّما تكون بنظر العرف دخيلة فيها؛ وهي رفع</w:t>
      </w:r>
    </w:p>
    <w:p>
      <w:pPr>
        <w:pStyle w:val="BookText"/>
        <w:rPr/>
      </w:pPr>
      <w:r>
        <w:rPr>
          <w:rFonts w:ascii="Amiri" w:hAnsi="Amiri" w:eastAsia="Amiri" w:cs="Amiri"/>
          <w:color w:val="111111"/>
          <w:sz w:val="28"/>
          <w:sz w:val="28"/>
          <w:szCs w:val="28"/>
          <w:rtl w:val="true"/>
          <w:lang w:bidi="ar-SA"/>
        </w:rPr>
        <w:t>الخصومة بين المتخاصمين، وهو لا يمكن نوعاً إلّابحكم الحاكم النافذ، وهذا أمر مرغوب فيه، لايمكن فيه الاحتياط، ولاتتّفق فيه المصالحة نوعاً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العمل بقول الفقيه فربّما لا يكون مطلوباً، ويكون المطلوب درك الواقع بالاحتياط، أو الأخذ بأحوط الأقوال مع تعذّر الاحتياط التامّ، فدعوى أنّ العرف يفهم من المقبولة وأمثالها حجّية الفتوى، لا تخلو من مجازفة، وأوضح فساداً من ذلك دعوى تنقيح المناط القطعيّ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حكم بحكمنا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سلّم إشعاره بإلغاء احتمال الخلاف، فإنّما هو في باب الحكومة، فلابدّ في التسرية إلى باب الفتوى من دليل، وهو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التمسّك بأمثال المقبولة للتقليد رأساً، فكما لا يجوز التمسّك بصدرها على جواز تقليد المفضول، لا يجوز ببعض فقرات ذيلها على وجوب تقليد الأعلم، لدى مخالفة قوله مع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ما في التوقيع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الحوادث الواقعة فارجعوا فيها إلى رواة حديثنا؛ فإنّهم حجّتي عليكم، وأنا حجّة اللَّه</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الشبهات الحكميّة، والرجوع إلى رواة الحديث ظاهر في أخذ فتاويهم، لا أخذ نفس الرواية، ورواة الحديث كانوا من</w:t>
      </w:r>
    </w:p>
    <w:p>
      <w:pPr>
        <w:pStyle w:val="BookText"/>
        <w:rPr/>
      </w:pPr>
      <w:r>
        <w:rPr>
          <w:rFonts w:ascii="Amiri" w:hAnsi="Amiri" w:eastAsia="Amiri" w:cs="Amiri"/>
          <w:color w:val="111111"/>
          <w:sz w:val="28"/>
          <w:sz w:val="28"/>
          <w:szCs w:val="28"/>
          <w:rtl w:val="true"/>
          <w:lang w:bidi="ar-SA"/>
        </w:rPr>
        <w:t>أهل الفتوى والرأي كما مرّ</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حجّتي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على أنّ فتوى رواة الحديث حجّة، كما أنّ فتوى الإمام حجّة، فلا معنى لحجّية رواة الحديث، إلّاحجّية فتاويهم وأقوالهم، والحمل على حجّية الأحاديث المنقولة بتوسّطهم،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ضعف التوقيع سنداً</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صدره غير منقول إلينا، ولعلّه كان مكتنفاً بقرائن لا يفهم منه إلّاحجّية حكمهم في الشبهات الموضوعيّة، أو الأعمّ، وكان الإرجاع في القضاء، لا في الفتوى</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الكشّي بسند ضعيف </w:t>
      </w:r>
      <w:r>
        <w:rPr>
          <w:rStyle w:val="FootnoteAnchor"/>
          <w:rtl w:val="true"/>
        </w:rPr>
        <w:footnoteReference w:id="221"/>
      </w:r>
      <w:r>
        <w:rPr>
          <w:rFonts w:ascii="Amiri" w:hAnsi="Amiri" w:eastAsia="Amiri" w:cs="Amiri"/>
          <w:color w:val="111111"/>
          <w:sz w:val="28"/>
          <w:sz w:val="28"/>
          <w:szCs w:val="28"/>
          <w:rtl w:val="true"/>
          <w:lang w:bidi="ar-SA"/>
        </w:rPr>
        <w:t xml:space="preserve">، عن أحمد بن حاتم بن ماهَويْه </w:t>
      </w:r>
      <w:r>
        <w:rPr>
          <w:rStyle w:val="FootnoteAnchor"/>
          <w:rtl w:val="true"/>
        </w:rPr>
        <w:footnoteReference w:id="22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أبا الحسن الثالث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عمّن آخذ معالم ديني، وكتب أخوه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حاتم، الذي كان مستقيماً من أصحاب الكاظم والرضا عليهما السلام وكان له كتاب وروايات، ثمّ تغيّر وأظهر القول بالغلوّ، روى عن الرجل، وروى عنه سهل بن زياد، ومحمّد ابن عيسى بن عبيد اليقطينيّ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وفهرست الشيخ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ومعجم رجال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بن حاتم نزيل العسكر، الذي هو من أصحاب الهادى عليه السلام ولم يروِ الحديث إلّاشاذّاً، وكان مستقيماً أيضاً، ثمّ غلا وخلط، وفسد مذهبه؛ حتّى لعنه الإمام عليه السلام وأمر بقتله فقتل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848</w:t>
      </w:r>
      <w:r>
        <w:rPr>
          <w:rFonts w:ascii="Amiri" w:hAnsi="Amiri" w:eastAsia="Amiri" w:cs="Amiri"/>
          <w:color w:val="111111"/>
          <w:sz w:val="28"/>
          <w:sz w:val="28"/>
          <w:szCs w:val="28"/>
          <w:rtl w:val="true"/>
          <w:lang w:bidi="ar-SA"/>
        </w:rPr>
        <w:t>، ورجال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ومعجم رجال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حاتم بن ماهويه، وهو مهمل لم نعثر له على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قاموس الرجال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فهمت ما ذكرتما، فاصمدا في دينكما على كلّ مسنّ في حبّنا، وكلّ كثير القدم في أمرنا؛ فإنّهما كافوكما إن شاء اللَّه</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ضعف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سؤاله أنّ الرجوع إلى العالم كان مرتكزاً في ذهنه، وإنّما أراد تعيين الإمام شخصَه، فلا يستفاد منه التعبّد، كما أنّ الأمر كذلك في كثير من الروايات، بل قاطبتها على الظاهر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كثيرة عن الكشّي وغيره، فيها الصحيحة وغيرها، تدلّ على إرجاع الأئمّة إلى أشخاص من فقهاء أصحابهم، يظهر منها أنّ الرجوع إليهم كان متعارفاً، ومع وجود الأفقه كانوا يراجعون غيره، كصحيحة 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كلّ ساعة ألقاك ولا يمكن القدوم، ويجي‌ء الرجل من أصحابنا، فيسألني وليس عندي كلّ ما يسألني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يمنعك من محمّد بن مسلم الثقفيّ؛ فإنّه سمع من أبي، وكان عنده وجيهاً</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وكرواية عليّ بن المسيّب المتقدّمة</w:t>
      </w:r>
      <w:r>
        <w:rPr>
          <w:rStyle w:val="FootnoteAnchor"/>
          <w:rtl w:val="true"/>
        </w:rPr>
        <w:footnoteReference w:id="226"/>
      </w:r>
      <w:r>
        <w:rPr>
          <w:rFonts w:ascii="Amiri" w:hAnsi="Amiri" w:eastAsia="Amiri" w:cs="Amiri"/>
          <w:color w:val="111111"/>
          <w:sz w:val="28"/>
          <w:sz w:val="28"/>
          <w:szCs w:val="28"/>
          <w:rtl w:val="true"/>
          <w:lang w:bidi="ar-SA"/>
        </w:rPr>
        <w:t xml:space="preserve">، حيث أرجعه الرضا عليه السلام إلى زكريّا ابن آدم </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ويستفاد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أخذ معالم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عبارة اخرى عن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مرتكزاً في ذهنهم، ومتعارفاً في عصرهم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صحيحة ابن أبي يعفور، تعارف رجوع الشيعة إلى الفقهاء من أصحاب الأئمّة، مع وجود الأفقه بينهم، وجواز رجوع الفقيه إلى الأفقه إذا لم يكن له طريق إلى الواقع</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ليس منافياً لما ذكرنا في أوّل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موضوع عدم جواز</w:t>
      </w:r>
    </w:p>
    <w:p>
      <w:pPr>
        <w:pStyle w:val="BookText"/>
        <w:rPr/>
      </w:pPr>
      <w:r>
        <w:rPr>
          <w:rFonts w:ascii="Amiri" w:hAnsi="Amiri" w:eastAsia="Amiri" w:cs="Amiri"/>
          <w:color w:val="111111"/>
          <w:sz w:val="28"/>
          <w:sz w:val="28"/>
          <w:szCs w:val="28"/>
          <w:rtl w:val="true"/>
          <w:lang w:bidi="ar-SA"/>
        </w:rPr>
        <w:t>الرجوع إلى الغير نفس قوّة الاستنباط</w:t>
      </w:r>
      <w:r>
        <w:rPr>
          <w:rStyle w:val="FootnoteAnchor"/>
          <w:rtl w:val="true"/>
        </w:rPr>
        <w:footnoteReference w:id="229"/>
      </w:r>
      <w:r>
        <w:rPr>
          <w:rFonts w:ascii="Amiri" w:hAnsi="Amiri" w:eastAsia="Amiri" w:cs="Amiri"/>
          <w:color w:val="111111"/>
          <w:sz w:val="28"/>
          <w:sz w:val="28"/>
          <w:szCs w:val="28"/>
          <w:rtl w:val="true"/>
          <w:lang w:bidi="ar-SA"/>
        </w:rPr>
        <w:t>وذلك لأنّ ما ذكرنا هناك إنّما هو فيمن له طريق إلى الاستنباط مثل زماننا، فإنّ الكتب الراجعة إليه مدوّنة مكتوبة بين أيدينا، بخلاف ما إذا لم يكن كذلك، كعصر محمّد بن مسلم؛ حيث إنّ الأحاديث فيه كانت مضبوطة عنده وعند نظرائه، ولم يكن للجاهل طريق إليها إلّابالرجوع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إرجاع مثل ابن أبي يعفور، إنّما هو في سماع الحديث، ثمّ استنباطه منه حسب اجتهاده، ولا إشكال في استفادة جواز الرجوع إلى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إلى الفقيه مع الأفقه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الروايات</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استفادة ذلك مع العلم الإجماليّ أو التفصيليّ بمخالفة آرائهما مشكلة؛ لعدم العلم بذلك في تلك الأعصار، خصوصاً من مثل اولئك الفقهاء والمحدّثين الذين كانوا من بطانة الأئمّة، فالاتكال على مثل تلك الأدلّة في جواز تقليد المفضول مشكل، بل غير ممكن</w:t>
      </w:r>
      <w:r>
        <w:rPr>
          <w:rFonts w:eastAsia="Amiri" w:cs="Amiri" w:ascii="Amiri" w:hAnsi="Amiri"/>
          <w:color w:val="111111"/>
          <w:sz w:val="28"/>
          <w:szCs w:val="28"/>
          <w:rtl w:val="true"/>
          <w:lang w:bidi="ar-SA"/>
        </w:rPr>
        <w:t>.</w:t>
      </w:r>
      <w:bookmarkStart w:id="124" w:name="pg1534_18267"/>
    </w:p>
    <w:p>
      <w:pPr>
        <w:pStyle w:val="Heading4"/>
        <w:numPr>
          <w:ilvl w:val="3"/>
          <w:numId w:val="1"/>
        </w:numPr>
        <w:rPr/>
      </w:pPr>
      <w:bookmarkStart w:id="125" w:name="__RefHeading___Toc555006_3650668749"/>
      <w:bookmarkStart w:id="126" w:name="_Toc46"/>
      <w:bookmarkEnd w:id="124"/>
      <w:bookmarkEnd w:id="125"/>
      <w:r>
        <w:rPr>
          <w:rtl w:val="true"/>
        </w:rPr>
        <w:t>فيما استدلّ به على ترجيح قول الأفضل</w:t>
      </w:r>
      <w:bookmarkEnd w:id="126"/>
    </w:p>
    <w:p>
      <w:pPr>
        <w:pStyle w:val="BookText"/>
        <w:rPr/>
      </w:pPr>
      <w:r>
        <w:rPr>
          <w:rFonts w:ascii="Amiri" w:hAnsi="Amiri" w:eastAsia="Amiri" w:cs="Amiri"/>
          <w:color w:val="111111"/>
          <w:sz w:val="28"/>
          <w:sz w:val="28"/>
          <w:szCs w:val="28"/>
          <w:rtl w:val="true"/>
          <w:lang w:bidi="ar-SA"/>
        </w:rPr>
        <w:t>واستدلّ على ترجيح قول الأفضل لدى العلم بالمخالفة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بالإجماعات المنقولة</w:t>
      </w:r>
      <w:r>
        <w:rPr>
          <w:rStyle w:val="FootnoteAnchor"/>
          <w:rtl w:val="true"/>
        </w:rPr>
        <w:footnoteReference w:id="230"/>
      </w:r>
      <w:r>
        <w:rPr>
          <w:rFonts w:ascii="Amiri" w:hAnsi="Amiri" w:eastAsia="Amiri" w:cs="Amiri"/>
          <w:color w:val="111111"/>
          <w:sz w:val="28"/>
          <w:sz w:val="28"/>
          <w:szCs w:val="28"/>
          <w:rtl w:val="true"/>
          <w:lang w:bidi="ar-SA"/>
        </w:rPr>
        <w:t>، وهو كما ترى في مثل المسألة العقليّة مع تراكم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 بالأخبار كالمقبولة وغيرها</w:t>
      </w:r>
      <w:r>
        <w:rPr>
          <w:rStyle w:val="FootnoteAnchor"/>
          <w:rtl w:val="true"/>
        </w:rPr>
        <w:footnoteReference w:id="231"/>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الشبهة فرضت حكميّة في المقبولة، فنفوذ حكمه تعييناً، ملازم لنفوذ فتواه كذلك في تلك المسألة، فنتعدّى إلى غيرها بإلغاء الخصوصيّة، أو القطع بالملاك،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مع تناسب الأفقهيّة والأصدقيّة في الحديث لذلك</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ظاهر المقبولة، أنّ الأوصاف الأربعة مجتمعة توجب التقديم؛ بمقتضى العطف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وفرض الراوي صورة التساوي، لا يكشف عن كون المراد وجود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يمنع التلازم هاهنا؛ لأنّ الملازمة إنّما تكون في صورة إثبات النفوذ، لاسلبه؛ لأنّ سلب المركّب أو ما بحكمه بسلب أحد أجزائه، فسلب نفوذ حكمه كما يمكن أن يكون لسلب حجّية فتواه، يمكن أن يكون لسلب</w:t>
      </w:r>
    </w:p>
    <w:p>
      <w:pPr>
        <w:pStyle w:val="BookText"/>
        <w:rPr/>
      </w:pPr>
      <w:r>
        <w:rPr>
          <w:rFonts w:ascii="Amiri" w:hAnsi="Amiri" w:eastAsia="Amiri" w:cs="Amiri"/>
          <w:color w:val="111111"/>
          <w:sz w:val="28"/>
          <w:sz w:val="28"/>
          <w:szCs w:val="28"/>
          <w:rtl w:val="true"/>
          <w:lang w:bidi="ar-SA"/>
        </w:rPr>
        <w:t>صلاحية حكمه للفصل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جواز الأخذ بالفتوى في المقام، ليس لعدم صلاحيتها للحجّية، بل لعدم كونها فاصلًا، بل فتوى الأعلم أيضاً ليست بفاصل، والتناسب بين الأفقهيّة وذلك لم يصل إلى حدّ كشف العلّية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أنّ إلغاء الخصوصيّة عرفاً، أو القطع بالملاك، ممّا لا وجه لهما بعد وضوح الفرق بين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الشارع لاحظ جانب الاحتياط في حقوق الناس، فجعل حكم الأعلم فاصلًا؛ لأقربيّته إلى الواقع بنظره، ولم يلاحظه في أحكامه؛ توسعةً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فدعوى إلغاء الخصوصيّة مجازفة، ودعوى القطع أشدّ مجازفة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فتوى الأعلم أقرب إلى الصواب؛ لأنّ نظره طريق محض إلى الواقع كنظر غيره، سواء الأوّليات منه، أو الثانويّات، أو الأعذار الشرعيّة والعقليّة، فحينئذٍ تلازم الأعلميّة الأقربيّة، وهو المتعيّن في مقام الإسقاط والإعذار، وجواز الرجوع إلى غيره يساوق الموضوعيّة</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 الصغرى بمنع كلّيتها؛ لأنّ رأي غير الأعلم قد يوافق رأي الأعلم من الأموات أو الأحياء، إذا لم يجز تقليدهم لجهة، بل إذا كان رأي غير الأعلم موافقاً لجميع الفقهاء، ويكون الأعلم منفرداً في الأحياء في الفتوى مع كون مخالفيه كثيرين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وتنظّر بعض أهل النظر</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انظر مقدّمة المحقّق العلّامة المظفّر لحاشية المترجم له على المكاسب، ونقباء البشر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في الصغري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حجّية الفتوى لأجل كونها من الظنون الخاصّة، لا المطلقة، فمطابقة قول غير الأعلم للأعلم الغير الصالح للحجّية، غير مفيدة، فلاعبرة بقوّته ولا أصله، كالظنّ من الأمارات الغير المعتبرة، والأقوائيّة بمطابقة قوله لسائر المجتهدين الذين مثله غير مسلّمة؛ إذ المطابقة لوحدة الملاك وتقارب الأنظار، فالكلّ في قوّة نظر واحد، ولا يكشف توافق آرائهم عن قوّة مدركهم، وإلّا لزم الخلف؛ لفرض أقوائيّة نظر الأعلم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يعلم فساد قياسه بالخبرين المتعارضين، المحكيّ أحدهما بطرق متعدّدة؛ إذ ليست الخطابات بمنزلة حكاية واحدة، فلا محالة توجب كلّ حكاية</w:t>
      </w:r>
    </w:p>
    <w:p>
      <w:pPr>
        <w:pStyle w:val="BookText"/>
        <w:rPr/>
      </w:pPr>
      <w:r>
        <w:rPr>
          <w:rFonts w:ascii="Amiri" w:hAnsi="Amiri" w:eastAsia="Amiri" w:cs="Amiri"/>
          <w:color w:val="111111"/>
          <w:sz w:val="28"/>
          <w:sz w:val="28"/>
          <w:szCs w:val="28"/>
          <w:rtl w:val="true"/>
          <w:lang w:bidi="ar-SA"/>
        </w:rPr>
        <w:t xml:space="preserve">ظنّاً بصدور شخص هذا الكلام، من غير لزوم الخلف </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pStyle w:val="BookText"/>
        <w:rPr/>
      </w:pPr>
      <w:r>
        <w:rPr>
          <w:rFonts w:ascii="Amiri" w:hAnsi="Amiri" w:eastAsia="Amiri" w:cs="Amiri"/>
          <w:color w:val="111111"/>
          <w:sz w:val="28"/>
          <w:sz w:val="28"/>
          <w:szCs w:val="28"/>
          <w:rtl w:val="true"/>
          <w:lang w:bidi="ar-SA"/>
        </w:rPr>
        <w:t>وفيه ما لا يخفى إذ المنظور في ردّ الصغرى إنكار كلّية دعوى أقربيّة قول الأعلم، وكذا ردّ التوافق، لا دعوى تقدّم قول غير الأعلم في مقام الاحتجاج، فما ذكره أجنبيّ عن المقام، بل المناقشة فيه منحصرة بإنكار الأقربيّة، وهو مسقط لأصل دعواه في الصغرى إذ إنكاره مساوق لإنكار أقربيّة فتوى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إنكار الأقربيّة في المثال الأخير فغير وجيه؛ لأنّ أنظار المجتهدين لمّا كانت طريقاً إلى الواقعيّات والحجج، فلا محالة إذا اجتمع جلّ أهل الفنّ على خطأ الأعلم، لا يبقى وثوق بأقربيّة قوله، لو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بالوثوق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تجري أصالة عدم الغفلة والخطأ في اجتهاده، وتوهّم كون أنظارهم بمنزلة نظر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كتوهّم لزوم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الكبرى بأنّ تعيّن الرجوع إلى الأقرب، إن كان لأجل إدراك العقل تعيّنه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لايمكن للشارع التعبّد بخلافه، ولو ورد دليل صريح على خلافه فلابدّ من طرحه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فاسد؛ لأنّ الشارع إذا رأى مفسدة في تعيّن الرجوع إلى الأعلم، أو مصلحة في التوسعة على المكلّف، فلا محالة يرخّص ذلك من غير الشبهة الموضوعيّة، كتجويز العمل بخبر الثقة وترك الاحتياط</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علمنا وجداناً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الشارع لايرضى بترك الواقعيّات، فلا يمكن معه احتمال تجويز العمل بقول العالم، ولا بقول الأعلم، بل يحكم العقل بوجوب</w:t>
      </w:r>
    </w:p>
    <w:p>
      <w:pPr>
        <w:pStyle w:val="BookText"/>
        <w:rPr/>
      </w:pPr>
      <w:r>
        <w:rPr>
          <w:rFonts w:ascii="Amiri" w:hAnsi="Amiri" w:eastAsia="Amiri" w:cs="Amiri"/>
          <w:color w:val="111111"/>
          <w:sz w:val="28"/>
          <w:sz w:val="28"/>
          <w:szCs w:val="28"/>
          <w:rtl w:val="true"/>
          <w:lang w:bidi="ar-SA"/>
        </w:rPr>
        <w:t>الاحتياط ولو مع اختلال النظام، فضلًا عن لزوم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خلاف الواقع، وخلاف المفروض في المقام، ولهذا لا أظنّ بأحد ردّ دليل معتبر قام على جواز الرجوع لغير الأعلم، فعليه كيف يمكن دعوى القطع بلزوم تعيّن الأقرب، مع احتمال تعبّد في المقام ولو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النظر في كلام بعض أهل النظر، حيث قال 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القرب إلى الواقع إن لم يلحظ أصلًا، فهو منافٍ للطريقيّة، وإن كان بعض الملاك، وهناك خصوصيّة اخرى تعبّدية، فهو غير ضائر بالمقصود؛ لأنّ فتوى الأعلم حينئذٍ مساوية لغيرها في جميع الخصوصيّات، وتزيد عليها بالقرب، سواء كانت تلك الخصوصيّة التعبّدية جزءَ المقتضي، أو شرطَ جعله أمارة، فتكون فتوى الأعلم متعيّنة؛ لترجيحه على غيره بالملاك الذي هو ملاك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فقياسها على البصر والكتابة مع الفارق؛ لكونهما غير دخيلين في ذلك الملاك، لأنّ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الأقوائيّة بحسب المعرفة؛ بحيث لاتزول بتشكيك، حتّى تقاس عليهما، بل بمعنى أحسنيّة الاستنباط وأجوديّته في تحصيل الحكم من المدارك، فيكون أكثر إحاطة بالجهات الدخيلة فيه المغفولة عن نظر غيره، فمرجع التسوية بينهما إلى التسوية بين العالم والجاهل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وجه آخر لتعيّن الأعلم ولو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بأقربيّة رأيه، أو كون الأقربيّة ملاك التقديم؛ لأنّ العقل يذعن بأنّ رأيه أوفق بمقتضيات الحجج، وهو المتعيّن في</w:t>
      </w:r>
    </w:p>
    <w:p>
      <w:pPr>
        <w:pStyle w:val="BookText"/>
        <w:rPr/>
      </w:pPr>
      <w:r>
        <w:rPr>
          <w:rFonts w:ascii="Amiri" w:hAnsi="Amiri" w:eastAsia="Amiri" w:cs="Amiri"/>
          <w:color w:val="111111"/>
          <w:sz w:val="28"/>
          <w:sz w:val="28"/>
          <w:szCs w:val="28"/>
          <w:rtl w:val="true"/>
          <w:lang w:bidi="ar-SA"/>
        </w:rPr>
        <w:t xml:space="preserve">مقام إبراء الذمّة، ويذعن بأنّ التسوية بينهما كالتسوية بين العالم والجاهل </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pStyle w:val="BookText"/>
        <w:rPr/>
      </w:pPr>
      <w:r>
        <w:rPr>
          <w:rFonts w:ascii="Amiri" w:hAnsi="Amiri" w:eastAsia="Amiri" w:cs="Amiri"/>
          <w:color w:val="111111"/>
          <w:sz w:val="28"/>
          <w:sz w:val="28"/>
          <w:szCs w:val="28"/>
          <w:rtl w:val="true"/>
          <w:lang w:bidi="ar-SA"/>
        </w:rPr>
        <w:t>وفيه مواقع للنظر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الخصوصيّة التعبّدية لايلزم أن تكون جزء المقتضي، ولا شرط التأثير، بل يمكن أن تكون مانعة عن تعيّن الأعلم، كالخصوصيّة المانعة عن الإلزام بالاحتياط الموجبة لجعل الأمارات والاصول، من غير لزوم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أحسنيّة الاستنباط، وكون الأعلم أقوى نظراً في تحصيل الحكم من المدارك، عبارة أخرى عن أقربيّة رأيه إلى الواقع، فلا يخلو كلامه من التناقض والتنافي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إذعان العقل بما ذكره، مستلزم لامتناع تجويز العمل على طبق رأي غير الأعلم؛ لقبح التسوية بين العالم والجاهل، بل امتناعه، وهو كما ترى، ولا أظنّ التزام أحد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تجويز العمل بقول غيره ليس لأجل التسوية بينهما، بل لمفسدة التضييق، أو مصلحة التوسعة، ونحوهما ممّا لا تنافي الطريقيّة، كما قلنا في محلّه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الدليل الأخير، غير أصالة التعيين في دوران الأمر بين التخيير والتعيين، وغير بناء العقلاء على تعيّن الأعلم في مورد الاختلاف، فلا تخلط بينه وبينهما، وتدبّر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ترجيح قول الأعلم إلّاالأصل، بعد ثبوت كون الاحتياط مرغوباً عنه، وثبوت حجّية قول الفقهاء في الجملة، كما أنّ الأمر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الأصل أيضاً إشكال؛ لأنّ فتوى غير الأعلم إذا طابقت الأعلم من أعلم الأموات، أو في المثالين المتقدّمين </w:t>
      </w:r>
      <w:r>
        <w:rPr>
          <w:rStyle w:val="FootnoteAnchor"/>
          <w:rtl w:val="true"/>
        </w:rPr>
        <w:footnoteReference w:id="237"/>
      </w:r>
      <w:r>
        <w:rPr>
          <w:rFonts w:ascii="Amiri" w:hAnsi="Amiri" w:eastAsia="Amiri" w:cs="Amiri"/>
          <w:color w:val="111111"/>
          <w:sz w:val="28"/>
          <w:sz w:val="28"/>
          <w:szCs w:val="28"/>
          <w:rtl w:val="true"/>
          <w:lang w:bidi="ar-SA"/>
        </w:rPr>
        <w:t>، يصير المقام من دوران الأمر بين التخيير والتعيين، لا تعيّن الأعلم، والأصل فيه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تعيّن غير الأعلم حتّى في مورد الأمثلة، مخالف لتسالم الأصحاب واجماعهم </w:t>
      </w:r>
      <w:r>
        <w:rPr>
          <w:rStyle w:val="FootnoteAnchor"/>
          <w:rtl w:val="true"/>
        </w:rPr>
        <w:footnoteReference w:id="238"/>
      </w:r>
      <w:r>
        <w:rPr>
          <w:rFonts w:ascii="Amiri" w:hAnsi="Amiri" w:eastAsia="Amiri" w:cs="Amiri"/>
          <w:color w:val="111111"/>
          <w:sz w:val="28"/>
          <w:sz w:val="28"/>
          <w:szCs w:val="28"/>
          <w:rtl w:val="true"/>
          <w:lang w:bidi="ar-SA"/>
        </w:rPr>
        <w:t>فدار الأمر بين التعيين والتخيير في مورد الأمثلة أيضاً، وهو الوجه في بنائنا على الأخذ بقول الأعلم احتياطاً، وأمّا بناء العقلاء فلم يحرز في مورد الأمثلة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إذا علم اختلافهما تفصيلًا، بل أو إجمالًا أيضاً بنحو ما مرّ</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مع احتماله، فلا يبعد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الأخذ من غيره أيضاً؛ لإمكان استفادة ذلك من الأخبار، بل لاتبعد دعوى السيرة عليه هذا كلّه في المتفاضلين</w:t>
      </w:r>
      <w:r>
        <w:rPr>
          <w:rFonts w:eastAsia="Amiri" w:cs="Amiri" w:ascii="Amiri" w:hAnsi="Amiri"/>
          <w:color w:val="111111"/>
          <w:sz w:val="28"/>
          <w:szCs w:val="28"/>
          <w:rtl w:val="true"/>
          <w:lang w:bidi="ar-SA"/>
        </w:rPr>
        <w:t>.</w:t>
      </w:r>
      <w:bookmarkStart w:id="127" w:name="pg1534_18274"/>
    </w:p>
    <w:p>
      <w:pPr>
        <w:pStyle w:val="Heading4"/>
        <w:numPr>
          <w:ilvl w:val="3"/>
          <w:numId w:val="1"/>
        </w:numPr>
        <w:rPr/>
      </w:pPr>
      <w:bookmarkStart w:id="128" w:name="__RefHeading___Toc555008_3650668749"/>
      <w:bookmarkStart w:id="129" w:name="_Toc47"/>
      <w:bookmarkEnd w:id="127"/>
      <w:bookmarkEnd w:id="128"/>
      <w:r>
        <w:rPr>
          <w:rtl w:val="true"/>
        </w:rPr>
        <w:t>في حال المجتهدين المتساويين مع اختلاف فتواهما</w:t>
      </w:r>
      <w:bookmarkEnd w:id="129"/>
    </w:p>
    <w:p>
      <w:pPr>
        <w:pStyle w:val="BookText"/>
        <w:rPr/>
      </w:pPr>
      <w:r>
        <w:rPr>
          <w:rFonts w:ascii="Amiri" w:hAnsi="Amiri" w:eastAsia="Amiri" w:cs="Amiri"/>
          <w:color w:val="111111"/>
          <w:sz w:val="28"/>
          <w:sz w:val="28"/>
          <w:szCs w:val="28"/>
          <w:rtl w:val="true"/>
          <w:lang w:bidi="ar-SA"/>
        </w:rPr>
        <w:t xml:space="preserve">وأمّا في المتساويين، فالقاعدة وإن اقتضت تساقطهما مع التعارض، والرجوع إلى الاحتياط لو أمكن، وإلى غيره من القواعد مع عدمه، لكن الظاهر أنّ الاحتياط مرغوب عنه، وأنّ المسلّم عندهم حجّية قولهما في حال التعارض </w:t>
      </w:r>
      <w:r>
        <w:rPr>
          <w:rStyle w:val="FootnoteAnchor"/>
          <w:rtl w:val="true"/>
        </w:rPr>
        <w:footnoteReference w:id="239"/>
      </w:r>
      <w:r>
        <w:rPr>
          <w:rFonts w:ascii="Amiri" w:hAnsi="Amiri" w:eastAsia="Amiri" w:cs="Amiri"/>
          <w:color w:val="111111"/>
          <w:sz w:val="28"/>
          <w:sz w:val="28"/>
          <w:szCs w:val="28"/>
          <w:rtl w:val="true"/>
          <w:lang w:bidi="ar-SA"/>
        </w:rPr>
        <w:t>، فلابدّ من الأخذ بأحدهما؛ والقول بحجّيته التخييريّة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بدلالة قوله في مثل رواية أحمد بن حاتم بن ماهويه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فاصمدا في دينكما على كلّ مسنّ في حبنّا</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الروايات العامّة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المطلوب؛ فإنّ إطلاقها شامل لحال التعارض</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والفرق بينهما وبين أدلّة حجيّة خبر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أنكرنا إطلاقها لحال التعارض </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الطبيعة في حجّية خبر الثقة اخذت بنحو الوجود الساري، فكلّ فرد من الأخبار مشمول لأدلّة الحجّية تعييناً، فلا يعقل جعل الحجّية التعيينيّة في</w:t>
      </w:r>
    </w:p>
    <w:p>
      <w:pPr>
        <w:pStyle w:val="BookText"/>
        <w:rPr/>
      </w:pPr>
      <w:r>
        <w:rPr>
          <w:rFonts w:ascii="Amiri" w:hAnsi="Amiri" w:eastAsia="Amiri" w:cs="Amiri"/>
          <w:color w:val="111111"/>
          <w:sz w:val="28"/>
          <w:sz w:val="28"/>
          <w:szCs w:val="28"/>
          <w:rtl w:val="true"/>
          <w:lang w:bidi="ar-SA"/>
        </w:rPr>
        <w:t>المتعارضين، ولا جعل الحجّية التعيينيّة في غيرهما والتخييريّة فيهما بدليل واحد، فلامناص إلّامن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الإطلاق لحال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الطبيعة في حجّية قول الفقهاء، فاخذت على نحو صِرْف الوجود؛ ضرورة عدم معنى لجعل حجّية قول كلّ عالم بنحو الطبيعة السارية والوجوب التعيينيّ، حتّى يكون المكلّف في كلّ واقعة مأموراً بأخذ قول جميع العلماء؛ فإنّه واضح البطلان، فالمأموربه هو الوجود الصرف، فإذا اخذ بقول واحد منهم فقد أطاع، فلا مانع حينئذٍ من إطلاق دليل الحجّية لحال التعارض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الحوادث الواقعة فارجعوا فيها إلى رواة أحاديثنا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مفاده جعل حجّية قول العالم على نحو البدليّة أو صرف الوجود، كان مخالفاً لقول غيره أو لا، يعلم تفصيلًا مخالفته له أو لا</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أفاده شيخنا العلّامة</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انظر أعيان الشيعة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ومعارف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على ما في تقريرات بعض فضلاء بحثه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بيان لإمكان الإطلاق، على فرض وجود دليل مطلق يمكن الاتكال عليه، ونحن بعد الفحص الأكيد، لم نجد دليلًا يسلم دلالة وسنداً عن الخدشة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الرواية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فاصمدا في دينكما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آخره، بمناسبة صدرها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عمّن آخذ معالم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يستفاد منه التعبّد، بل الظاهر منه هو الإرجاع إلى الأمر الارتكازيّ؛ فإنّ السائل بعد مفروغيّة جواز الرجوع إلى العلماء، سأل عن الشخص الذي يجوز التعويل على قوله، ولعلّه أراد أن يعيّن الإمام له شخصاً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عيّن الرضا عليه السلام زكريّا بن آدم </w:t>
      </w:r>
      <w:r>
        <w:rPr>
          <w:rStyle w:val="FootnoteAnchor"/>
          <w:rtl w:val="true"/>
        </w:rPr>
        <w:footnoteReference w:id="244"/>
      </w:r>
      <w:r>
        <w:rPr>
          <w:rFonts w:ascii="Amiri" w:hAnsi="Amiri" w:eastAsia="Amiri" w:cs="Amiri"/>
          <w:color w:val="111111"/>
          <w:sz w:val="28"/>
          <w:sz w:val="28"/>
          <w:szCs w:val="28"/>
          <w:rtl w:val="true"/>
          <w:lang w:bidi="ar-SA"/>
        </w:rPr>
        <w:t xml:space="preserve">، والصادق عليه السلام الأسديّ </w:t>
      </w:r>
      <w:r>
        <w:rPr>
          <w:rStyle w:val="FootnoteAnchor"/>
          <w:rtl w:val="true"/>
        </w:rPr>
        <w:footnoteReference w:id="245"/>
      </w:r>
      <w:r>
        <w:rPr>
          <w:rFonts w:ascii="Amiri" w:hAnsi="Amiri" w:eastAsia="Amiri" w:cs="Amiri"/>
          <w:color w:val="111111"/>
          <w:sz w:val="28"/>
          <w:sz w:val="28"/>
          <w:szCs w:val="28"/>
          <w:rtl w:val="true"/>
          <w:lang w:bidi="ar-SA"/>
        </w:rPr>
        <w:t xml:space="preserve">، والثقفيّ </w:t>
      </w:r>
      <w:r>
        <w:rPr>
          <w:rStyle w:val="FootnoteAnchor"/>
          <w:rtl w:val="true"/>
        </w:rPr>
        <w:footnoteReference w:id="246"/>
      </w:r>
      <w:r>
        <w:rPr>
          <w:rFonts w:ascii="IRNazanin" w:hAnsi="IRNazanin" w:eastAsia="IRNazanin"/>
          <w:color w:val="111111"/>
          <w:sz w:val="28"/>
          <w:sz w:val="28"/>
          <w:szCs w:val="28"/>
          <w:rtl w:val="true"/>
          <w:lang w:bidi="fa-IR"/>
        </w:rPr>
        <w:t>،</w:t>
      </w:r>
      <w:bookmarkStart w:id="130" w:name="pg1534_18277"/>
    </w:p>
    <w:p>
      <w:pPr>
        <w:pStyle w:val="BookText"/>
        <w:rPr/>
      </w:pPr>
      <w:bookmarkEnd w:id="130"/>
      <w:r>
        <w:rPr>
          <w:rFonts w:ascii="Amiri" w:hAnsi="Amiri" w:eastAsia="Amiri" w:cs="Amiri"/>
          <w:color w:val="111111"/>
          <w:sz w:val="28"/>
          <w:sz w:val="28"/>
          <w:szCs w:val="28"/>
          <w:rtl w:val="true"/>
          <w:lang w:bidi="ar-SA"/>
        </w:rPr>
        <w:t>وزرارة</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فأرجعه إلى من كان كثير القدم في أمرهم، ومسنّاً في حبّهم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القدم في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ذا سابقة طويلة في أمر الإمامة والمعرفة، ولم يذكر الفقاهة؛ لكونها أمراً ارتكازيّاً معلوماً لدى السائل والمسؤول عنه، وأشار إلى صفات اخر موجبة للوثوق والاطمئنان بهم، فلا يستفاد منها إلّا تقرير الأمر الارتكازيّ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كونه بصدد إعمال التعبّد والإرجاع إلى الفقهاء، فلا إشكال في عدم إطلاقها لحال التعارض، بل قوله ذلك كقول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المريض لابدّ وأن يرجع إلى الطبيب ويشرب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الجاهل بالتقويم لابدّ وأن يرجع إلى المقوّم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أمثال ذلك لا إطلاق لها لحال التعارض، هذا مع ضعف سندها</w:t>
      </w:r>
      <w:r>
        <w:rPr>
          <w:rStyle w:val="FootnoteAnchor"/>
          <w:rtl w:val="true"/>
        </w:rPr>
        <w:footnoteReference w:id="248"/>
      </w:r>
      <w:r>
        <w:rPr>
          <w:rFonts w:ascii="Amiri" w:hAnsi="Amiri" w:eastAsia="Amiri" w:cs="Amiri"/>
          <w:color w:val="111111"/>
          <w:sz w:val="28"/>
          <w:sz w:val="28"/>
          <w:szCs w:val="28"/>
          <w:rtl w:val="true"/>
          <w:lang w:bidi="ar-SA"/>
        </w:rPr>
        <w:t xml:space="preserve">، وقد عرفت حال التوقيع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إطلاق في الأدلّة بالنسبة إلى حال التعارض</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555010_3650668749"/>
      <w:bookmarkStart w:id="132" w:name="_Toc48"/>
      <w:bookmarkEnd w:id="131"/>
      <w:r>
        <w:rPr>
          <w:rtl w:val="true"/>
        </w:rPr>
        <w:t>الاستدلال على التخيير بين المتساويين بأدلّة العلاج</w:t>
      </w:r>
      <w:bookmarkEnd w:id="13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يتمسّك للتخيير في المتساويين بأدلّة علاج المتعارضين </w:t>
      </w:r>
      <w:r>
        <w:rPr>
          <w:rStyle w:val="FootnoteAnchor"/>
          <w:rtl w:val="true"/>
        </w:rPr>
        <w:footnoteReference w:id="250"/>
      </w:r>
      <w:r>
        <w:rPr>
          <w:rFonts w:ascii="Amiri" w:hAnsi="Amiri" w:eastAsia="Amiri" w:cs="Amiri"/>
          <w:color w:val="111111"/>
          <w:sz w:val="28"/>
          <w:sz w:val="28"/>
          <w:szCs w:val="28"/>
          <w:rtl w:val="true"/>
          <w:lang w:bidi="ar-SA"/>
        </w:rPr>
        <w:t>، كموثّقة</w:t>
      </w:r>
    </w:p>
    <w:p>
      <w:pPr>
        <w:pStyle w:val="BookText"/>
        <w:rPr/>
      </w:pPr>
      <w:r>
        <w:rPr>
          <w:rFonts w:ascii="Amiri" w:hAnsi="Amiri" w:eastAsia="Amiri" w:cs="Amiri"/>
          <w:color w:val="111111"/>
          <w:sz w:val="28"/>
          <w:sz w:val="28"/>
          <w:szCs w:val="28"/>
          <w:rtl w:val="true"/>
          <w:lang w:bidi="ar-SA"/>
        </w:rPr>
        <w:t>سَماعة</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انظر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وقاموس الرجال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أبي عبد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اختلف عليه رجلان من أهل دينه في أمر، كلاهما يرويه؛ أحدهما يأمر بأخذه، والآخر ينهاه عنه، كيف يصنع؟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يرجئه حتّى يلقى من يخبره، فهو في سعة حتّى يلقاه</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التخالف بينهما لايتحقّق بصرف نقل الرواية مع عدم الجزم بمضمونها، ومعه مساوق للفتوى فاختلاف الرجلين إنّما هو في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 يأمر بأخذه، والآخر ينهاه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لاينبطق على صرف الرواية والحكاية، فلابدّ من الحمل على الفتوى</w:t>
      </w:r>
    </w:p>
    <w:p>
      <w:pPr>
        <w:pStyle w:val="BookText"/>
        <w:rPr/>
      </w:pPr>
      <w:r>
        <w:rPr>
          <w:rFonts w:ascii="Amiri" w:hAnsi="Amiri" w:eastAsia="Amiri" w:cs="Amiri"/>
          <w:color w:val="111111"/>
          <w:sz w:val="28"/>
          <w:sz w:val="28"/>
          <w:szCs w:val="28"/>
          <w:rtl w:val="true"/>
          <w:lang w:bidi="ar-SA"/>
        </w:rPr>
        <w:t>فأجاب عليه السلام بأنّه في سعة ومخيّر في الأخذ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التمسّك بسائر أخبار التخيير في الحديثين المختلفين؛ بإلغاء الخصوصية، فإنّ الفقيه أيضاً تكون فتواه محصّل الأخبار بحسب الجمع والترجيح، فاختلاف الفتوى يرجع إلى اختلاف الرواية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وفيه ما لا يخفى</w:t>
      </w:r>
    </w:p>
    <w:p>
      <w:pPr>
        <w:pStyle w:val="BookText"/>
        <w:rPr/>
      </w:pPr>
      <w:r>
        <w:rPr>
          <w:rFonts w:ascii="Amiri" w:hAnsi="Amiri" w:eastAsia="Amiri" w:cs="Amiri"/>
          <w:color w:val="111111"/>
          <w:sz w:val="28"/>
          <w:sz w:val="28"/>
          <w:szCs w:val="28"/>
          <w:rtl w:val="true"/>
          <w:lang w:bidi="ar-SA"/>
        </w:rPr>
        <w:t>أمّا التمسّك بموثّقة سماعة، ففيه أنّ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يرجئه حتّى يلقى من يخبره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يؤخّره ولا يعمل بواحد منهما، كما صرّح به في روايته الاخرى </w:t>
      </w:r>
      <w:r>
        <w:rPr>
          <w:rStyle w:val="FootnoteAnchor"/>
          <w:rtl w:val="true"/>
        </w:rPr>
        <w:footnoteReference w:id="253"/>
      </w:r>
      <w:r>
        <w:rPr>
          <w:rFonts w:ascii="Amiri" w:hAnsi="Amiri" w:eastAsia="Amiri" w:cs="Amiri"/>
          <w:color w:val="111111"/>
          <w:sz w:val="28"/>
          <w:sz w:val="28"/>
          <w:szCs w:val="28"/>
          <w:rtl w:val="true"/>
          <w:lang w:bidi="ar-SA"/>
        </w:rPr>
        <w:t xml:space="preserve">، والمظنون أنّهما رواية واحدة،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Style w:val="FootnoteAnchor"/>
          <w:rtl w:val="true"/>
        </w:rPr>
        <w:footnoteReference w:id="254"/>
      </w:r>
      <w:r>
        <w:rPr>
          <w:rFonts w:ascii="Amiri" w:hAnsi="Amiri" w:eastAsia="Amiri" w:cs="Amiri"/>
          <w:color w:val="111111"/>
          <w:sz w:val="28"/>
          <w:sz w:val="28"/>
          <w:szCs w:val="28"/>
          <w:rtl w:val="true"/>
          <w:lang w:bidi="ar-SA"/>
        </w:rPr>
        <w:t>وعرفاً هو تأخير الشي‌ء، فقوله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في 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معناه أنّه في سعة في الأخذ بأيّهما شاء، كما أفاده المستدلّ، بل المراد أنّه في سعة بالنسبة إلى نفس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الروايتين أو الفتويين ليستا بحجّة، فلا تعمل بواحدة منهما، ولكنّه في سعة في الواقعة، فله العمل على طبق الاصول، فهي على خلاف المطلوب أدلّ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 إلغاء الخصوصيّة، وفهم التخيير من الأخبار الواردة في الخبرين المتعارضين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الغضّ عن فقدان رواية دالّة على التخيير جامعة للحجّية، كما مرّ في باب التعارض </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إلغاء الخصوصيّة عرفاً ممنوع؛ ضرورة تحقّق الفرق الواضح بين اختلاف الأخبار واختلاف الآراء الاجتهاديّة، فما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شمول روايات العلاج لاختلاف الفتاوى محلّ منع، مع أنّ لازمه إعمال مرجّحات باب التعارض فيهما، وهو كما ترى</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أخبار الباب ما يستفاد منه ترجيح قول الأعلم عند التعارض لغيره، ولا التخيير في الأخذ بأحد المتساويين، فلا محيص إلّا العمل بالاصول الأوّلية، لولا تسالم الأصحاب على عدم وجوب الاحتياط</w:t>
      </w:r>
      <w:r>
        <w:rPr>
          <w:rStyle w:val="FootnoteAnchor"/>
          <w:rtl w:val="true"/>
        </w:rPr>
        <w:footnoteReference w:id="256"/>
      </w:r>
      <w:r>
        <w:rPr>
          <w:rFonts w:ascii="Amiri" w:hAnsi="Amiri" w:eastAsia="Amiri" w:cs="Amiri"/>
          <w:color w:val="111111"/>
          <w:sz w:val="28"/>
          <w:sz w:val="28"/>
          <w:szCs w:val="28"/>
          <w:rtl w:val="true"/>
          <w:lang w:bidi="ar-SA"/>
        </w:rPr>
        <w:t xml:space="preserve">، ومع هذا التسالم لامحيص عن الأخذ بقول الأعلم؛ لدوران الأمر بين التعيين والتخيير، مع كون وجوبه أيضاً مورد تسالمهم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الظاهر، تسالمهم على التخيير في الأخذ بفتوى أحد المتساويين، وعدم وجوب الاحتياط، أو الأخذ بأحوط القولين </w:t>
      </w:r>
      <w:r>
        <w:rPr>
          <w:rStyle w:val="FootnoteAnchor"/>
          <w:rtl w:val="true"/>
        </w:rPr>
        <w:footnoteReference w:id="258"/>
      </w:r>
      <w:bookmarkStart w:id="133" w:name="pg1534_18282"/>
    </w:p>
    <w:p>
      <w:pPr>
        <w:pStyle w:val="Heading2"/>
        <w:numPr>
          <w:ilvl w:val="1"/>
          <w:numId w:val="1"/>
        </w:numPr>
        <w:rPr/>
      </w:pPr>
      <w:bookmarkStart w:id="134" w:name="__RefHeading___Toc555012_3650668749"/>
      <w:bookmarkStart w:id="135" w:name="_Toc49"/>
      <w:bookmarkEnd w:id="133"/>
      <w:bookmarkEnd w:id="134"/>
      <w:r>
        <w:rPr>
          <w:rtl w:val="true"/>
        </w:rPr>
        <w:t>الفصل الثاني في أ نّه هل تشترط الحياة في المفتي أم لا؟</w:t>
      </w:r>
      <w:bookmarkEnd w:id="135"/>
    </w:p>
    <w:p>
      <w:pPr>
        <w:pStyle w:val="Heading3"/>
        <w:numPr>
          <w:ilvl w:val="2"/>
          <w:numId w:val="1"/>
        </w:numPr>
        <w:rPr/>
      </w:pPr>
      <w:bookmarkStart w:id="136" w:name="__RefHeading___Toc555014_3650668749"/>
      <w:bookmarkStart w:id="137" w:name="_Toc50"/>
      <w:bookmarkEnd w:id="136"/>
      <w:r>
        <w:rPr>
          <w:rtl w:val="true"/>
        </w:rPr>
        <w:t>اشارة</w:t>
      </w:r>
      <w:bookmarkEnd w:id="137"/>
    </w:p>
    <w:p>
      <w:pPr>
        <w:pStyle w:val="BookText"/>
        <w:rPr/>
      </w:pPr>
      <w:r>
        <w:rPr>
          <w:rFonts w:ascii="Amiri" w:hAnsi="Amiri" w:eastAsia="Amiri" w:cs="Amiri"/>
          <w:color w:val="111111"/>
          <w:sz w:val="28"/>
          <w:sz w:val="28"/>
          <w:szCs w:val="28"/>
          <w:rtl w:val="true"/>
          <w:lang w:bidi="ar-SA"/>
        </w:rPr>
        <w:t xml:space="preserve">اختلفوا في اشتراط الحياة في المفتي على أقوال </w:t>
      </w:r>
      <w:r>
        <w:rPr>
          <w:rStyle w:val="FootnoteAnchor"/>
          <w:rtl w:val="true"/>
        </w:rPr>
        <w:footnoteReference w:id="259"/>
      </w:r>
      <w:r>
        <w:rPr>
          <w:rFonts w:ascii="Amiri" w:hAnsi="Amiri" w:eastAsia="Amiri" w:cs="Amiri"/>
          <w:color w:val="111111"/>
          <w:sz w:val="28"/>
          <w:sz w:val="28"/>
          <w:szCs w:val="28"/>
          <w:rtl w:val="true"/>
          <w:lang w:bidi="ar-SA"/>
        </w:rPr>
        <w:t>،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البدويّ والاستمراريّ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إشكال في أنّ الأصل الأوّلي حرمة العمل بما وراء العلم، خرج عنه العمل بفتوى الحيّ، وبقي غيره، فلابدّ من الخروج عنه من دليل التمسك بالاستصحاب لإثبات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عمدة ما يمكن أن يعوّل عليه هو الاستصحاب، فلابدّ من تقريره وتحقيقه</w:t>
      </w:r>
      <w:r>
        <w:rPr>
          <w:rFonts w:eastAsia="Amiri" w:cs="Amiri" w:ascii="Amiri" w:hAnsi="Amiri"/>
          <w:color w:val="111111"/>
          <w:sz w:val="28"/>
          <w:szCs w:val="28"/>
          <w:rtl w:val="true"/>
          <w:lang w:bidi="ar-SA"/>
        </w:rPr>
        <w:t>.</w:t>
      </w:r>
      <w:bookmarkStart w:id="138" w:name="pg1534_18283"/>
    </w:p>
    <w:p>
      <w:pPr>
        <w:pStyle w:val="Heading3"/>
        <w:numPr>
          <w:ilvl w:val="2"/>
          <w:numId w:val="1"/>
        </w:numPr>
        <w:rPr/>
      </w:pPr>
      <w:bookmarkStart w:id="139" w:name="__RefHeading___Toc555016_3650668749"/>
      <w:bookmarkStart w:id="140" w:name="_Toc51"/>
      <w:bookmarkEnd w:id="138"/>
      <w:bookmarkEnd w:id="139"/>
      <w:r>
        <w:rPr>
          <w:rtl w:val="true"/>
        </w:rPr>
        <w:t>التمسّك بالاستصحاب على الجواز</w:t>
      </w:r>
      <w:bookmarkEnd w:id="140"/>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قرّر الأصل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المجتهد الفلانيّ، كان جائز التقليد لكلّ مكلّف عامّي في زمان حياته، فيستصحب إلى ما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الأخذ بفتوى المجتهد الفلانيّ، كان جائزاً في زمان حياته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لكلّ مقلِّد جواز الرجوع إليه في زمان حياته، وبعدها كما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الوجوه المتقاربة</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يستشكل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جواز التقليد لكلّ بالغ عاقل، إن كان بنحو القضيّة الخارجيّة؛ بمعنى أنّ كلّ مكلّف كان موجوداً في زمانه جاز له الرجوع إليه، فلا يفيد بالنسبة إلى الموجودين بعد حياته في الأعصار المتأخّرة، وبعبارة اخرى</w:t>
      </w:r>
    </w:p>
    <w:p>
      <w:pPr>
        <w:pStyle w:val="BookText"/>
        <w:rPr/>
      </w:pPr>
      <w:r>
        <w:rPr>
          <w:rFonts w:ascii="Amiri" w:hAnsi="Amiri" w:eastAsia="Amiri" w:cs="Amiri"/>
          <w:color w:val="111111"/>
          <w:sz w:val="28"/>
          <w:sz w:val="28"/>
          <w:szCs w:val="28"/>
          <w:rtl w:val="true"/>
          <w:lang w:bidi="ar-SA"/>
        </w:rPr>
        <w:t>الدليل أخصّ من المدّعى</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بنحو القضيّة الحقيقيّة؛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وجد في الخارج، وكان مكلّفاً في كلّ زمان، كان له تقليد المجتهد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اريد إجراء الاستصحاب التنجيزيّ فلا يمكن؛ لعدم إدراك المتأخّرين زمان حياته، فلا يقين بالنسبة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بنحو التعليق، فإجراء الاستصحاب التعليقيّ بهذا النحو محلّ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الأحكام للعناوين على نحو القضيّة الحقيقيّة، ليس معناه أنّ لكلّ فرد من مصاديق العنوان، حكماً مجعولًا برأسه، ومعنى الانحلال إلى الأحكام ليس ذلك، بل لايكون في القضايا الحقيقيّة إلّاجعل واحد لعنوان واحد، لا جعلات كثيرة بعدد أنفاس المكلّفين، لكن ذاك الجعل الواحد يكون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العقل والعقلاء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من كان مصداقاً للعنوان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 مَنِ اسْتَطاعَ إِلَيْهِ سَبِيلًا</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 xml:space="preserve">، ليس إلّاجعلًا واحداً لعنوان واحد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حجّة على كلّ مكلّف مستطيع، فحينئذٍ لو علمنا بأنّ الحجّ كان واجباً على مَنِ اسْتَطاعَ إِلَيْهِ سَبِيلًا، وشككنا في بقائه؛ من أجل طروّ النسخ مثلًا، فلا إشكال في جريان استصحاب الحكم المتعلّق بالعنوان لنفس ذلك العنوان، فيصير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على كلّ من كان مصداقه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لايستشكل أحد في استصحاب عدم النسخ، مع ورود هذا الإشكال بعينه عليه، بل على جميع الاستصحابات الحكميّة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والسّر فيه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الحكم على العنوان، حجّة على المعنونات، فاستصحاب وجوب الحجّ على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بلا إشكال، كاستصحاب جواز رجوع كلّ مقلِّد إلى المجتهد الفلانيّ، وسيأتي كلام في هذا الاستصحاب</w:t>
      </w:r>
      <w:bookmarkStart w:id="141" w:name="pg1534_18285"/>
    </w:p>
    <w:p>
      <w:pPr>
        <w:pStyle w:val="BookText"/>
        <w:rPr/>
      </w:pPr>
      <w:bookmarkEnd w:id="141"/>
      <w:r>
        <w:rPr>
          <w:rFonts w:ascii="IRNazanin" w:hAnsi="IRNazanin" w:eastAsia="IRNazanin"/>
          <w:color w:val="111111"/>
          <w:sz w:val="28"/>
          <w:sz w:val="28"/>
          <w:szCs w:val="28"/>
          <w:rtl w:val="true"/>
          <w:lang w:bidi="fa-IR"/>
        </w:rPr>
        <w:t>فانتظر</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 w:name="__RefHeading___Toc555018_3650668749"/>
      <w:bookmarkStart w:id="143" w:name="_Toc52"/>
      <w:bookmarkEnd w:id="142"/>
      <w:r>
        <w:rPr>
          <w:rtl w:val="true"/>
        </w:rPr>
        <w:t>إشكال عدم بقاء موضوع الاستصحاب والجواب عنه</w:t>
      </w:r>
      <w:bookmarkEnd w:id="143"/>
    </w:p>
    <w:p>
      <w:pPr>
        <w:pStyle w:val="Heading4"/>
        <w:numPr>
          <w:ilvl w:val="3"/>
          <w:numId w:val="1"/>
        </w:numPr>
        <w:rPr/>
      </w:pPr>
      <w:bookmarkStart w:id="144" w:name="__RefHeading___Toc555020_3650668749"/>
      <w:bookmarkStart w:id="145" w:name="_Toc53"/>
      <w:bookmarkEnd w:id="144"/>
      <w:r>
        <w:rPr>
          <w:rtl w:val="true"/>
        </w:rPr>
        <w:t>اشارة</w:t>
      </w:r>
      <w:bookmarkEnd w:id="145"/>
    </w:p>
    <w:p>
      <w:pPr>
        <w:pStyle w:val="BookText"/>
        <w:rPr/>
      </w:pPr>
      <w:r>
        <w:rPr>
          <w:rFonts w:ascii="Amiri" w:hAnsi="Amiri" w:eastAsia="Amiri" w:cs="Amiri"/>
          <w:color w:val="111111"/>
          <w:sz w:val="28"/>
          <w:sz w:val="28"/>
          <w:szCs w:val="28"/>
          <w:rtl w:val="true"/>
          <w:lang w:bidi="ar-SA"/>
        </w:rPr>
        <w:t>فالعمدة في المقام هو الإشكال المعروف؛ أي عدم بقاء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لابدّ في الاستصحاب من وحدة القضيّة المتيقّنة والمشكوك فيها، و موضوع القضيّة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المجتهد وفتواه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قائم بنفس الحيّ، وبعد موته لايتّصف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نظر العرف المعتبر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 ولا ظنّ، ولا رأي له بحسبه ولا 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أقلّ من الشكّ في ذلك، ومعه أيضاً لا مجال للاستصحاب؛ لأنّ إحراز الموضوع شرط في جريانه، ولا إشكال في أنّ مدار الفتوى هو الظنّ الاجتهاديّ، ولهذا يقع المظنون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وسطاً في قياس الاستنباط، ولا إشكال في عدم إحراز الموضوع، بل في عدم بقائه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مناط عمل العقلاء على رأي كلّ ذي صنعة في صنعته، هو أماريّته وطريقيّته إلى الواقع، وهو المناط في فتوى الفقهاء، سواءً أكان دليل اعتباره بناء العقلاء الممضى أو الأدلّة اللّفظية؛ فإنّ مفادها أيضاً كذلك، ففتوى الفقيه بأنّ صلاة الجمعة واجبة، طريق إلى الحكم الشرعيّ وحجّة عليه، وإنّما تتقوّم طريقيّتها وطريقيّة كلّ رأي خبير إلى الواقع، إذا أفتى وأخبر بنحو الجزم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الوجود الحدوثيّ للفتوى بنحو الجزم، يوجب كونها طريقاً إلى الواقع أبداً، ولاينسلخ عنها ذلك إلّابتجدّد رأيه، أو الترديد فيه، وإلّا فهي طريق إلى الواقع، كان صاحب الرأي حيّاً أو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شككنا في جواز العمل به؛ من حيث احتمال دخالة الحياة شرعاً في جوازه، فلا إشكال في جريان الاستصحاب، ووحدةِ القضيّة المتيقّنة والمشكوك فيها، فرأي العلّامة وقوله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كاشف عن الأحكام الواقعيّة، ووجوده الحدوثيّ كافٍ في كونه طريقاً، وهو المناط في جواز العمل شرعاً ولدى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 العلّامة أو إظهار فتواه جزماً، جعل كتابه حجّة، وطريقاً إلى الواقع، وجائزَ العمل في زمان حياته، ويشكّ في جواز العمل على طبقه بعد موته،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 الشيخ الأعظم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انظر معارف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وأعيان الشيعة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حيث اعترف بأنَّ الفتوى إذا كانت عبارة</w:t>
      </w:r>
    </w:p>
    <w:p>
      <w:pPr>
        <w:pStyle w:val="BookText"/>
        <w:rPr/>
      </w:pPr>
      <w:r>
        <w:rPr>
          <w:rFonts w:ascii="Amiri" w:hAnsi="Amiri" w:eastAsia="Amiri" w:cs="Amiri"/>
          <w:color w:val="111111"/>
          <w:sz w:val="28"/>
          <w:sz w:val="28"/>
          <w:szCs w:val="28"/>
          <w:rtl w:val="true"/>
          <w:lang w:bidi="ar-SA"/>
        </w:rPr>
        <w:t>عن نقل الأخبار بالمعنى يتمّ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القول موضوع للحكم، ويجري الاستصحاب معه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حجّية الأخبار وطريقيّتها إلى الواقع، أيضاً متقوّمتان بجزم الراوي، فلو أخبر أحد الرواة بيننا وبين المعصوم بنحو الترديد، لا يصير خبره أمارة وحجّة على الواقع، ولاجائز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إخباره جزماً، يصير كاشفاً عنه، وجائز العمل ما دام كونه كذلك، سواءً أكان مخبره حيّاً أو ميّتاً، مع عدم بقاء جزمه بعد الموت، لكنّ جزمه حين الإخبار كافٍ في جواز العمل وحجّية قوله دائماً، إلّاإذا رجع عن إخباره الجزميّ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جارٍ في الفتوى طابق النعل بالنعل، فقول الفقيه حجة على الواقع وطريق إليه، كإخبار المخبر، وهو باقٍ على طريقيّته بعد الموت، ولو شكّ في جواز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احتمال اشتراط الحياة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استصحابه، وتمّت أركانه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جزم الفقيه أو إظهاره الفتوى على سبيل الجزم، واسطة في حدوث جواز العمل بقوله وكتابه، وبعد موته نشكّ في بقاء الجواز؛ لأجل الشكّ</w:t>
      </w:r>
    </w:p>
    <w:p>
      <w:pPr>
        <w:pStyle w:val="BookText"/>
        <w:rPr/>
      </w:pPr>
      <w:r>
        <w:rPr>
          <w:rFonts w:ascii="Amiri" w:hAnsi="Amiri" w:eastAsia="Amiri" w:cs="Amiri"/>
          <w:color w:val="111111"/>
          <w:sz w:val="28"/>
          <w:sz w:val="28"/>
          <w:szCs w:val="28"/>
          <w:rtl w:val="true"/>
          <w:lang w:bidi="ar-SA"/>
        </w:rPr>
        <w:t>في كونه واسطة في العروض أو الثبوت،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الوسط في قياس الاستنباط هو المظنون بما هو كذلك، وأنّ مظنون الحرمة حرام، أو مظنون الحكم واجب العمل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الأمارات، ليس باعتبار وقوعها وسطاً في الإثبات كالحجّة المنطقيّة، بل المراد منها هو كونها منجّزة للواقع؛ بمعنى أنّه إذا قامت الأمارة المعتبرة على وجوب شي‌ء، وكان واجباً بحسب الواقع فتركه المكلّف، تصحّ عقوبته، ولا عذر له في تركه، وبهذا المعنى تطلق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القطع، كإطلاقها على الأمارات، بل تطلق على بعض الشكوك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في الفقه ليست هي القياس المنطقيّ، ولا يكون الحكم الشرعيّ مترتّباً على ما قام عليه الأمارة بما هو كذلك، ولا المظنون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جواز العمل على طبق رأي المجتهد وفتواه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حاصل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طبق كتابه، الكاشفين عن الحكم الواقعيّ أو الوظيفة الظاهريّة، ممّا لا مانع منه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ذكرت، يصحّ استصحاب حجّية ظنّ المجتهد الموجود في زمان حياته، فلنا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الحجّية والأماريّة ثابتتان له في موطنه، ويحتمل بقاؤهما إلى الأبد، ومع الشكّ تستصحبان</w:t>
      </w:r>
      <w:r>
        <w:rPr>
          <w:rFonts w:eastAsia="Amiri" w:cs="Amiri" w:ascii="Amiri" w:hAnsi="Amiri"/>
          <w:color w:val="111111"/>
          <w:sz w:val="28"/>
          <w:szCs w:val="28"/>
          <w:rtl w:val="true"/>
          <w:lang w:bidi="ar-SA"/>
        </w:rPr>
        <w:t>.</w:t>
      </w:r>
      <w:bookmarkStart w:id="146" w:name="pg1534_18289"/>
    </w:p>
    <w:p>
      <w:pPr>
        <w:pStyle w:val="BookText"/>
        <w:rPr/>
      </w:pPr>
      <w:bookmarkEnd w:id="146"/>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معقول؛ للزوم إثبات الحجّية وجواز العمل فعلًا لأمر معدوم، وكونُه في زمانه موجوداً لايكفي في إثبات الحجّية الفعليّة له مع معدوميّته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جواز العمل كان ثابتاً للظنّ الموجود، فموضوع القضيّة المتيقّنة هو الظنّ الموجود، وهو الآن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في حال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القضيّة الحينيّة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للقضيّة، لابنحو القضيّة الوضعيّة والتقييديّة، وهو عين الموضوع في القضيّة المشكوك فيها، وقد ذكرنا في باب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المعتبر فيه هو وحدة القضيّتين، لا إحراز وجود الموضوع، فراجع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كون الموضوع كذلك في المقام محلّ إشكال ومنع، مع أنّه لايدفع الإشكال المتقدّم به</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555022_3650668749"/>
      <w:bookmarkStart w:id="148" w:name="_Toc54"/>
      <w:bookmarkEnd w:id="147"/>
      <w:r>
        <w:rPr>
          <w:rtl w:val="true"/>
        </w:rPr>
        <w:t>تقرير إشكال آخر على الاستصحاب</w:t>
      </w:r>
      <w:bookmarkEnd w:id="148"/>
    </w:p>
    <w:p>
      <w:pPr>
        <w:pStyle w:val="BookText"/>
        <w:rPr/>
      </w:pPr>
      <w:r>
        <w:rPr>
          <w:rFonts w:ascii="Amiri" w:hAnsi="Amiri" w:eastAsia="Amiri" w:cs="Amiri"/>
          <w:color w:val="111111"/>
          <w:sz w:val="28"/>
          <w:sz w:val="28"/>
          <w:szCs w:val="28"/>
          <w:rtl w:val="true"/>
          <w:lang w:bidi="ar-SA"/>
        </w:rPr>
        <w:t xml:space="preserve">ثمّ إنّ هاهنا إشكالًا قويّاً على هذا الاستصحاب </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إمّا أن يراد به استصحاب الحجّية العقلائيّة، فهي أمر غير قابل للاستصحاب</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الحجّيةِ الشرعيّة، فهي غير قابلة للجعل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جوازِ العمل على طبق قوله، فلا دليل على جعل الجواز الشرعيّ، بل الظاهر من مجموع الأدلّة، هو تنفيذ الأمر الارتكازيّ العقلائيّ، فليس في الباب دليل جامع لشرائط الحجّية، يدلّ على تأسيس الشرع جواز العمل أو وجوبه على رأي المجتهد، فها هي الأدلّة المستدلّ بها للمقصود، فراجعها حتّى تعرف صدق ما ذكرناه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استصحابُ الأحكام الواقعيّة، فلاشكّ في بقائها؛ لأنّها لو تحقّقت أوّلًا، فلاشكّ في أنّها متحقّقة في الحال أيضاً؛ لأنّ الشكّ في بقائها إمّا لأجل الشكّ في النسخ، أو الشكّ في فقدان شرط، كصلاة الجمعة في زمان الغيبة، أو حدوث مانع، والفرض أنّه لاشكّ من هذه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الأحكام الظاهريّة؛ بدعوى كونها مجعولة عقيب رأي المجتهد، بل عقيب سائر الأمارات، فهو أيضاً ممنوع؛ لعدم الدليل على ذلك، بل ظاهر الأدلّة على خلافه؛ لأنّ الظاهر منها إمضاء ما هو المرتكز لدى العقلاء، والمرتكز لديهم هو أماريّة رأي المجتهد للواقع، كأماريّة رأي كلّ ذي صنعة إلى الواقع في صنعته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في جريان الاستصحاب من حكم أو موضوع ذي حكم، وليس في المقام شي‌ء قابل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الحكم الشرعيّ فمفقود؛ لعدم تطرّق جعل وتأسيس من الشارع</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لدى العقلاء من حجّية قول أهل الخبرة، فلعدم كونه موضوعاً لحكم</w:t>
      </w:r>
    </w:p>
    <w:p>
      <w:pPr>
        <w:pStyle w:val="BookText"/>
        <w:rPr/>
      </w:pPr>
      <w:r>
        <w:rPr>
          <w:rFonts w:ascii="Amiri" w:hAnsi="Amiri" w:eastAsia="Amiri" w:cs="Amiri"/>
          <w:color w:val="111111"/>
          <w:sz w:val="28"/>
          <w:sz w:val="28"/>
          <w:szCs w:val="28"/>
          <w:rtl w:val="true"/>
          <w:lang w:bidi="ar-SA"/>
        </w:rPr>
        <w:t>شرعيّ، بل هو أمر عقلائيّ، يتنجّز به الواقع بعد عدم ردع الشارع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إمضاء الشارع وارتضاؤه لما هو المرتكز بين العقلاء، فليس حكماً شرعيّاً حتّى يستصحب تأمّل </w:t>
      </w:r>
      <w:r>
        <w:rPr>
          <w:rStyle w:val="FootnoteAnchor"/>
          <w:rtl w:val="true"/>
        </w:rPr>
        <w:footnoteReference w:id="271"/>
      </w:r>
      <w:r>
        <w:rPr>
          <w:rFonts w:ascii="Amiri" w:hAnsi="Amiri" w:eastAsia="Amiri" w:cs="Amiri"/>
          <w:color w:val="111111"/>
          <w:sz w:val="28"/>
          <w:sz w:val="28"/>
          <w:szCs w:val="28"/>
          <w:rtl w:val="true"/>
          <w:lang w:bidi="ar-SA"/>
        </w:rPr>
        <w:t>، بل لايستفاد من الأدلّة إلّاالإرشاد إلى ما هو المرتكز، فليس جعل وتأسيس كما لا يخفى</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عليه ينسدّ باب الاستصحاب في مطلق مؤدّيات الأمارات، فهل فتوى الفقيه إلّاإحداها؟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حقّق في محلّه جريانه في مؤدّياتها</w:t>
      </w:r>
      <w:r>
        <w:rPr>
          <w:rStyle w:val="FootnoteAnchor"/>
          <w:rtl w:val="true"/>
        </w:rPr>
        <w:footnoteReference w:id="272"/>
      </w:r>
      <w:r>
        <w:rPr>
          <w:rFonts w:ascii="Amiri" w:hAnsi="Amiri" w:eastAsia="Amiri" w:cs="Amiri"/>
          <w:color w:val="111111"/>
          <w:sz w:val="28"/>
          <w:sz w:val="28"/>
          <w:szCs w:val="28"/>
          <w:rtl w:val="true"/>
          <w:lang w:bidi="ar-SA"/>
        </w:rPr>
        <w:t>، فكما يجري فيها لابدّ وأن يجري في الحكم المستفاد من فتوى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مغالطة نشأت من خلط الشكّ في بقاء الحكم، والشكّ في بقاء حجّية الحجّة عليه، فإنّ الأوّل مجرى الاستصحاب، دون الثاني، فإذا قامت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أمارة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حكم، ثمّ شكّ في بقائه لأحد أسباب طروّ الشك، كالشكّ في النسخ، يجري الأصل؛ لما ذكرنا في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شمول أدلّته مؤدّيات الأمارات أيضاً</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شكّ في 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قيامها على حكم وحجّيتها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بقاء الحجّية لها في زمان الشكّ، فلا يجري فيها؛ لعدم الشكّ في بقاء حكم شرعيّ كما عرفت </w:t>
      </w:r>
      <w:r>
        <w:rPr>
          <w:rStyle w:val="FootnoteAnchor"/>
          <w:rtl w:val="true"/>
        </w:rPr>
        <w:footnoteReference w:id="27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فقياس الاستصحاب في نفس الأمارة وحكمها، على الاستصحاب في مؤدّاها، مع الفارق؛ فإنّ المستصحب في الثاني هوالحكم الواقعيّ المحرز بالأمارة،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استتباع قيام 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الفقيه كانت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للحكم، يلزم عدم تمكّن المكلّف من الجزم في النيّة، وإتيان كثير من أجزاء العبادات وشرائطها رجاءً، وهو باطل، فلابدّ من الالتزام باستتباعها الحكم؛ لتحصيل الجزم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لادليل على لزوم الجزم فيها من إجماع أو غيره، ودعوى الإجماع </w:t>
      </w:r>
      <w:r>
        <w:rPr>
          <w:rStyle w:val="FootnoteAnchor"/>
          <w:rtl w:val="true"/>
        </w:rPr>
        <w:footnoteReference w:id="275"/>
      </w:r>
      <w:r>
        <w:rPr>
          <w:rFonts w:ascii="Amiri" w:hAnsi="Amiri" w:eastAsia="Amiri" w:cs="Amiri"/>
          <w:color w:val="111111"/>
          <w:sz w:val="28"/>
          <w:sz w:val="28"/>
          <w:szCs w:val="28"/>
          <w:rtl w:val="true"/>
          <w:lang w:bidi="ar-SA"/>
        </w:rPr>
        <w:t>، ممنوعة في هذه المسألة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الجزم حاصل؛ لما ذكرناه </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احتمال الخلاف في الطرق العقلائيّة، مغفول عنه غالباً، ألا ترى أنّ جميع المعاملات الواقعة من ذوي الأيادي على الأموال، تقع على سبيل الجزم، مع أنّ الطريق إلى ملكيّتهم هو اليد التي تكون طريقاً عقلائيّاً؟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إلّالعدم انقداح احتمال الخلاف في النفوس تفصيلًا بحسب الغالب</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المقلِّدين الآخذين بقول الفقهاء، لا يرون فتاويهم إلّاطريقاً إلى الواقع، فالإتيان على مقتضى فتاويهم، ليس إلّابملاحظة طريقيّتها إلى الواقع، وكاشفيّتها عن أحكام اللَّه الواقعيّة، كعملهم على طبق رأي كلّ خبير فيما يرجع</w:t>
      </w:r>
      <w:bookmarkStart w:id="149" w:name="pg1534_18293"/>
    </w:p>
    <w:p>
      <w:pPr>
        <w:pStyle w:val="BookText"/>
        <w:rPr/>
      </w:pPr>
      <w:bookmarkEnd w:id="149"/>
      <w:r>
        <w:rPr>
          <w:rFonts w:ascii="Amiri" w:hAnsi="Amiri" w:eastAsia="Amiri" w:cs="Amiri"/>
          <w:color w:val="111111"/>
          <w:sz w:val="28"/>
          <w:sz w:val="28"/>
          <w:szCs w:val="28"/>
          <w:rtl w:val="true"/>
          <w:lang w:bidi="ar-SA"/>
        </w:rPr>
        <w:t>إليه، من دون تفاوت في نظرهم، وليس استتباع فتاويهم للحكم الظاهريّ في ذهنهم بوجه، حتّى يكون الجزم باعتباره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 الظاهريّ على فرض وجوده، ليس محصّلًا للجزم؛ ضرورة كون هذا الاستتباع مغفولًا عنه لدى العقلاء، العاملين على قول الفقهاء بما أنّهم عالمون بالأحكام؛ وفتاويهم طريق إلى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غير جارٍ؛ لفقدان المستصحب، أي الحكم، أو الموضوع الذي له حكم</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555024_3650668749"/>
      <w:bookmarkStart w:id="151" w:name="_Toc55"/>
      <w:bookmarkEnd w:id="150"/>
      <w:r>
        <w:rPr>
          <w:rtl w:val="true"/>
        </w:rPr>
        <w:t>التفصّي عن الإشكال</w:t>
      </w:r>
      <w:bookmarkEnd w:id="151"/>
    </w:p>
    <w:p>
      <w:pPr>
        <w:pStyle w:val="BookText"/>
        <w:rPr/>
      </w:pPr>
      <w:r>
        <w:rPr>
          <w:rFonts w:ascii="Amiri" w:hAnsi="Amiri" w:eastAsia="Amiri" w:cs="Amiri"/>
          <w:color w:val="111111"/>
          <w:sz w:val="28"/>
          <w:sz w:val="28"/>
          <w:szCs w:val="28"/>
          <w:rtl w:val="true"/>
          <w:lang w:bidi="ar-SA"/>
        </w:rPr>
        <w:t>وغاية ما يمكن أن يقال في التفصّي عن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احتياج الفقيه للفتوى بجواز البقاء على تقليد الميّت إلى الاستصحاب، إنّما يكون في مورد اختلاف رأيه مع رأي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توافقهما، فيجوز له الإفتاء بالأخذ برأي الميّت؛ لقيام الدليل عنده عليه، وعدم الموضوعيّة للفتوى والأخذ برأي الحيّ، فلو فرض موافقة رأي فقيه حيّ لجميع ما في رسالة فقيه ميّت، يجوز له الإرجاع إلى رسالته، من غير احتياج إلى الاستصحاب، بل لقيام الأمارة على صحّته، فما يحتاج في الحكم بجواز البقاء إلى الاستصحاب، هو موارد اختلافهما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 مكلّف في زمان بلوغه مجتهدَين حيّين، متساويَين</w:t>
      </w:r>
    </w:p>
    <w:p>
      <w:pPr>
        <w:pStyle w:val="BookText"/>
        <w:rPr/>
      </w:pPr>
      <w:r>
        <w:rPr>
          <w:rFonts w:ascii="Amiri" w:hAnsi="Amiri" w:eastAsia="Amiri" w:cs="Amiri"/>
          <w:color w:val="111111"/>
          <w:sz w:val="28"/>
          <w:sz w:val="28"/>
          <w:szCs w:val="28"/>
          <w:rtl w:val="true"/>
          <w:lang w:bidi="ar-SA"/>
        </w:rPr>
        <w:t xml:space="preserve">في العلم، مختلفَين في الفتوى، يكون مخيّراً في الأخذ بأيّهما شاء، وهذا حكم مسلّم بين الفقهاء، وأرسلوه إرسال المسلّمات، من غير احتمال إشكال فيه </w:t>
      </w:r>
      <w:r>
        <w:rPr>
          <w:rStyle w:val="FootnoteAnchor"/>
          <w:rtl w:val="true"/>
        </w:rPr>
        <w:footnoteReference w:id="277"/>
      </w:r>
      <w:r>
        <w:rPr>
          <w:rFonts w:ascii="Amiri" w:hAnsi="Amiri" w:eastAsia="Amiri" w:cs="Amiri"/>
          <w:color w:val="111111"/>
          <w:sz w:val="28"/>
          <w:sz w:val="28"/>
          <w:szCs w:val="28"/>
          <w:rtl w:val="true"/>
          <w:lang w:bidi="ar-SA"/>
        </w:rPr>
        <w:t>، مع أنّه خلاف القاعدة؛ فإنّها تقتضي تساقطهما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 بالتخيير بنحو التسلّم في هذا المورد المخالف للقاعدة، لايكون إلّا بدليل شرعيّ وصل إليهم، أو للسيرة المستمرّة إلى زمن الأئمّة عليهم السلام، كما هي ليست ببعيدة، فإذا مات أحد المجتهدين يستصحب هذا الحكم التخييريّ، وهذا الاستصحاب جارٍ في الابتدائيّ والاستمراريّ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جريانه في الابتدائيّ الذي لم يدركه المكلّف حيّاً، محلّ إشكال؛ لعدم دليل يثبت الحكم للعنوان حتّى يستصحب، فما ذكرنا في التفصّي عن الإشكال الأوّل في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استصحاب الحكم الثابت للعنوان، إنّما هو على فرض ثبوت الحكم له، وهو فرض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 تفصيل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التفصيل بين الابتدائيّ الذي لم يدرك المكلّف مجتهده حيّاً حال بلوغه، وبين الابتدائيّ المدرك كذلك والاستمراريّ</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مقتضى الاستصحاب، فلو قام الإجماع على عدم جواز الابتدائيّ مطلقاً، تصير النتيجة التفصيل بين الابتدائيّ والاستمراريّ، هذا كلّه حال الاستصحاب</w:t>
      </w:r>
      <w:r>
        <w:rPr>
          <w:rFonts w:eastAsia="Amiri" w:cs="Amiri" w:ascii="Amiri" w:hAnsi="Amiri"/>
          <w:color w:val="111111"/>
          <w:sz w:val="28"/>
          <w:szCs w:val="28"/>
          <w:rtl w:val="true"/>
          <w:lang w:bidi="ar-SA"/>
        </w:rPr>
        <w:t>.</w:t>
      </w:r>
      <w:bookmarkStart w:id="152" w:name="pg1534_18295"/>
    </w:p>
    <w:p>
      <w:pPr>
        <w:pStyle w:val="Heading3"/>
        <w:numPr>
          <w:ilvl w:val="2"/>
          <w:numId w:val="1"/>
        </w:numPr>
        <w:rPr/>
      </w:pPr>
      <w:bookmarkStart w:id="153" w:name="__RefHeading___Toc555026_3650668749"/>
      <w:bookmarkStart w:id="154" w:name="_Toc56"/>
      <w:bookmarkEnd w:id="152"/>
      <w:bookmarkEnd w:id="153"/>
      <w:r>
        <w:rPr>
          <w:rtl w:val="true"/>
        </w:rPr>
        <w:t>حال بناء العقلاء في تقليد الميّت</w:t>
      </w:r>
      <w:bookmarkEnd w:id="154"/>
    </w:p>
    <w:p>
      <w:pPr>
        <w:pStyle w:val="BookText"/>
        <w:rPr/>
      </w:pPr>
      <w:r>
        <w:rPr>
          <w:rFonts w:ascii="Amiri" w:hAnsi="Amiri" w:eastAsia="Amiri" w:cs="Amiri"/>
          <w:color w:val="111111"/>
          <w:sz w:val="28"/>
          <w:sz w:val="28"/>
          <w:szCs w:val="28"/>
          <w:rtl w:val="true"/>
          <w:lang w:bidi="ar-SA"/>
        </w:rPr>
        <w:t>وأمّا بناء العقلاء، فمحصّل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عدم التفاوت في ارتكاز العقلاء وحكم العقل، بين فتوى الحيّ والميّت؛ ضرورة طريقيّة كلّ منهما إلى الواقع من غير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مجرّد ارتكازهم وحكمهم العقليّ بعدم الفرق بينهما، لايكفي في جواز العمل، بل لابدّ من إثبات بنائهم على العمل على طبق فتوى الميّت كالحيّ، وتعارفه لديهم، حتّى يكون عدم ردع الشارع كاشفاً عن إمضائه، وإلّا فلو فرض عدم جريان العمل على طبق فتوى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يتفاوت في ارتكازهم مع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للردع مورد حتّى يكشف عدمُه عن إمضاء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الاتكال على الأمارات العقلائيّة، موقوف على إمضاء الشارع لفظاً، أو كشفه عن عدم الردع، وليس ما يدلّ لفظاً عليه، والكشف عن عدم الردع موقوف على جري العقلاء عملًا على طبق ارتكازهم، ومع عدمه لامعنى لردع الشارع، ولايكون سكوته كاشفاً عن رضاه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بناء العقلاء على العمل برأي الحيّ، ويمكن دعوى بنائهم على العمل بما أخذوا من الحيّ في زمان حياته ثمّ مات؛ ضرورة أنّ الجاهل بعد تعلّم مايحتاج إليه من الحيّ، يرى نفسه عالماً، فلا داعي له في الرجوع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إثبات ذلك من الروايات، كرواية عليّ بن المسيّب المتقدّمة</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إرجاعه إلى زكريّا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ذكر حال حياته؛ وأنّ ما يأخذه منه في حال الحياة، لايجوز العمل به بعد موته، مع أنّ في ارتكازه وارتكاز كلّ عاقل عدمَ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جواز العمل بما تعلّم منه مطلقاً؛ فإنّ كون شقّته بعيدة، بحيث أنّه بعد رجوعه إلى شقّته، كان يصير منقطعاً عن الإمام عليه السلام في مثل تلك الأزمنة، كان يوجب عليه بيان الاشتراط لو كانت الحياة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أنّ رجوع عليّ بن المسيّب إليه كان في نقل الرواية، يدفعه ظهور الرواية، ومثلها مكاتبة أحمد بن حاتم وأخيه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 الأئمّة عليهم السلام في الروايات الكثيرة، شيعتهم إلى العلماء عموماً وخصوصاً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خلوّها عن اشتراط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عن ارتضائهم بذلك</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لايكشف عن الأخذ الابتدائيّ بفتوى الميّت؛ فإنّ الدواعيّ منصرفة عن الرجوع إلى الميّت مع وجود الحيّ، ولم يكن في تلك الأزمنة تدوين الكتب الفتوائيّة متعارفاً،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يراجعون الكتب؛ فإنّ الكتب الموجودة في تلك الأزمنة كانت منحصرة بكتب الأحاديث، ثمّ بعد أزمنة متطاولة صار بناؤهم على تدوين كتب نحو متون الأخبار، ككتب الصدوقين، ومن في طبقتهما، أو</w:t>
      </w:r>
    </w:p>
    <w:p>
      <w:pPr>
        <w:pStyle w:val="BookText"/>
        <w:rPr/>
      </w:pPr>
      <w:r>
        <w:rPr>
          <w:rFonts w:ascii="Amiri" w:hAnsi="Amiri" w:eastAsia="Amiri" w:cs="Amiri"/>
          <w:color w:val="111111"/>
          <w:sz w:val="28"/>
          <w:sz w:val="28"/>
          <w:szCs w:val="28"/>
          <w:rtl w:val="true"/>
          <w:lang w:bidi="ar-SA"/>
        </w:rPr>
        <w:t>قريب العصر بهما</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بعد مرور الأزمنة، جرت عادتهم على تدوين الكتب التفريعيّة والاستدلاليّة، فلم يكن الأخذ من الأموات ابتداءً، ممكناً في الصدر الأوّل، ولا متعارفاً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أخذ فتوى حيّ في زمان حياته، فقد كان يعمل بها على الظاهر؛ ضرورة عدم الفرق في ارتكازه بين الحيّ والميّت، ولم يرد ردع عن ارتكازهم وبنائهم العمليّ، بل إطلاق الأدلّة يقتضي الجواز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مبنى جواز البقاء على تقليد الميّت، هو بناء العقلاء، فلابدّ من التفصيل بين ما إذا أخذ فتوى الميّت في زمان حياته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البقاء على فتوى الميّت بعد الأخذ منه في الجملة، هو الأقوى، وأمّا الأخذ الابتدائيّ ففيه إشكال، بل الأقوى عدم جوازه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التمسّك بالأدلّة اللّفظية كالكتاب والسنّة</w:t>
      </w:r>
      <w:r>
        <w:rPr>
          <w:rStyle w:val="FootnoteAnchor"/>
          <w:rtl w:val="true"/>
        </w:rPr>
        <w:footnoteReference w:id="281"/>
      </w:r>
      <w:r>
        <w:rPr>
          <w:rFonts w:ascii="Amiri" w:hAnsi="Amiri" w:eastAsia="Amiri" w:cs="Amiri"/>
          <w:color w:val="111111"/>
          <w:sz w:val="28"/>
          <w:sz w:val="28"/>
          <w:szCs w:val="28"/>
          <w:rtl w:val="true"/>
          <w:lang w:bidi="ar-SA"/>
        </w:rPr>
        <w:t xml:space="preserve">، فقد عرفت في المبحث السالف؛ عدم دلالتهما على تأسيس حكم شرعيّ في هذا الباب، فراجع </w:t>
      </w:r>
      <w:r>
        <w:rPr>
          <w:rStyle w:val="FootnoteAnchor"/>
          <w:rtl w:val="true"/>
        </w:rPr>
        <w:footnoteReference w:id="282"/>
      </w:r>
      <w:bookmarkStart w:id="155" w:name="pg1534_18298"/>
    </w:p>
    <w:p>
      <w:pPr>
        <w:pStyle w:val="Heading2"/>
        <w:numPr>
          <w:ilvl w:val="1"/>
          <w:numId w:val="1"/>
        </w:numPr>
        <w:rPr/>
      </w:pPr>
      <w:bookmarkStart w:id="156" w:name="__RefHeading___Toc555028_3650668749"/>
      <w:bookmarkStart w:id="157" w:name="_Toc57"/>
      <w:bookmarkEnd w:id="155"/>
      <w:bookmarkEnd w:id="156"/>
      <w:r>
        <w:rPr>
          <w:rtl w:val="true"/>
        </w:rPr>
        <w:t>الفصل الثالث في تبدّل الاجتهاد</w:t>
      </w:r>
      <w:bookmarkEnd w:id="157"/>
    </w:p>
    <w:p>
      <w:pPr>
        <w:pStyle w:val="Heading3"/>
        <w:numPr>
          <w:ilvl w:val="2"/>
          <w:numId w:val="1"/>
        </w:numPr>
        <w:rPr/>
      </w:pPr>
      <w:bookmarkStart w:id="158" w:name="__RefHeading___Toc555030_3650668749"/>
      <w:bookmarkStart w:id="159" w:name="_Toc58"/>
      <w:bookmarkEnd w:id="158"/>
      <w:r>
        <w:rPr>
          <w:rtl w:val="true"/>
        </w:rPr>
        <w:t>تكليف المجتهد عند تبدّل رأيه</w:t>
      </w:r>
      <w:bookmarkEnd w:id="159"/>
    </w:p>
    <w:p>
      <w:pPr>
        <w:pStyle w:val="BookText"/>
        <w:rPr/>
      </w:pPr>
      <w:r>
        <w:rPr>
          <w:rFonts w:ascii="Amiri" w:hAnsi="Amiri" w:eastAsia="Amiri" w:cs="Amiri"/>
          <w:color w:val="111111"/>
          <w:sz w:val="28"/>
          <w:sz w:val="28"/>
          <w:szCs w:val="28"/>
          <w:rtl w:val="true"/>
          <w:lang w:bidi="ar-SA"/>
        </w:rPr>
        <w:t>إذا اضمحلّ الاجتهاد السابق، وتبدلّ رأي المجتهد، فلايخلو إمّا أن يتبدلّ من القطع إلى القطع، أو إلى الظنّ المعتبر، أو من الظنّ المعتبر إلى القطع، أو إلى الظنّ المعتبر</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555032_3650668749"/>
      <w:bookmarkStart w:id="161" w:name="_Toc59"/>
      <w:bookmarkEnd w:id="160"/>
      <w:r>
        <w:rPr>
          <w:rtl w:val="true"/>
        </w:rPr>
        <w:t>حال الفتوى المستندة إلى القطع</w:t>
      </w:r>
      <w:bookmarkEnd w:id="161"/>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تبدّل من القطع إلى غيره، فلا مجال للقول بالإجزاء؛ ضرورة أنّ الواقع لا يتغيّر عمّا هو عليه بحسب العلم والجهل، فإذا قطع بعدم كون السورة جزءً للصلاة، ثمّ قطع بجزئيّتها، أو قامت الأمارة عليها، أو تبدلّ قطعه، يتبيّن له في الحال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وجداناً أو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المأتيّ به مصداق المأموربه، ومعه</w:t>
      </w:r>
      <w:bookmarkStart w:id="162" w:name="pg1534_18299"/>
    </w:p>
    <w:p>
      <w:pPr>
        <w:pStyle w:val="BookText"/>
        <w:rPr/>
      </w:pPr>
      <w:bookmarkEnd w:id="162"/>
      <w:r>
        <w:rPr>
          <w:rFonts w:ascii="IRNazanin" w:hAnsi="IRNazanin" w:eastAsia="IRNazanin"/>
          <w:color w:val="111111"/>
          <w:sz w:val="28"/>
          <w:sz w:val="28"/>
          <w:szCs w:val="28"/>
          <w:rtl w:val="true"/>
          <w:lang w:bidi="fa-IR"/>
        </w:rPr>
        <w:t>لا وجه للإجزاء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ولايتعلّق بالقطع جعل حتّى يتكلّم في دلالة دليله على إجزائه عن الواقع، أو بدليّته عنه، وإنّما هو عذر في صورة ترك المأموربه، فإذا ارتفع العذر يجب عليه الإتيان بالمأموربه في الوقت، وخارجه إن كان له قضاء</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555034_3650668749"/>
      <w:bookmarkStart w:id="164" w:name="_Toc60"/>
      <w:bookmarkEnd w:id="163"/>
      <w:r>
        <w:rPr>
          <w:rtl w:val="true"/>
        </w:rPr>
        <w:t>حال الفتوى المستندة إلى الأمارات</w:t>
      </w:r>
      <w:bookmarkEnd w:id="164"/>
    </w:p>
    <w:p>
      <w:pPr>
        <w:pStyle w:val="BookText"/>
        <w:rPr/>
      </w:pPr>
      <w:r>
        <w:rPr>
          <w:rFonts w:ascii="Amiri" w:hAnsi="Amiri" w:eastAsia="Amiri" w:cs="Amiri"/>
          <w:color w:val="111111"/>
          <w:sz w:val="28"/>
          <w:sz w:val="28"/>
          <w:szCs w:val="28"/>
          <w:rtl w:val="true"/>
          <w:lang w:bidi="ar-SA"/>
        </w:rPr>
        <w:t>وإن تبدّل من الظنّ المعتبر، فإن كان مستنده الأمارات كخبر الثقة وغيره، فكذلك إذا كانت الأمارة عقلائيّة أمضاها الشارع؛ ضرورة أنّ العقلاء إنّما يعملون على ماعندهم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كخبر الثقة والظواهر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أنّها كاشفة عن الواقع، وطريق إليه، ومن حيث عدم اعتنائهم باحتمال الخلاف، وإمضاءُ الشارع هذه الطريقة لايدلّ على رفع اليد عن الواقعيّات؛ وتبديل المصاديق الأوّلية بالمصاديق الثانويّة، أو جعل المصاديق الناقصة منزلة التامّة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إذا أمر بطبيعة كالصلاة، ثمّ أمر بالعمل بقول الثقة، أو أجاز المأمور بالعمل به، يكون لازمه الأمر أو الإجازة بإتيان المأموربه على طبق ما أدّى إليه قول الثقة، ولازم ذلك هو الإجزاء</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 إِلى غَسَقِ اللَّيْلِ</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 يكون أمر بصلاتين إلى غسق اللّيل</w:t>
      </w:r>
    </w:p>
    <w:p>
      <w:pPr>
        <w:pStyle w:val="BookText"/>
        <w:rPr/>
      </w:pPr>
      <w:r>
        <w:rPr>
          <w:rFonts w:ascii="Amiri" w:hAnsi="Amiri" w:eastAsia="Amiri" w:cs="Amiri"/>
          <w:color w:val="111111"/>
          <w:sz w:val="28"/>
          <w:sz w:val="28"/>
          <w:szCs w:val="28"/>
          <w:rtl w:val="true"/>
          <w:lang w:bidi="ar-SA"/>
        </w:rPr>
        <w:t>لاغير، فإذا أمر بالعمل على قول الثقة، فقد أمر بإتيان المأموربه بالكيفيّة التي أدّت إليها الأمارة، فلا محالة يكون المأتيّ به مصداقاً للمأمور به عنده، وإلّا لما أمر بإتيانه كذلك، فلا محيص عن الإجزاء؛ لتحقّق مصداق المأموربه، وسقوط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ولكنّك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إمضاء طريقة العقلاء، ليس إلّالأجل تحصيل الواقعيّات؛ لمطابقة الأمارات العقلائيّة نوعاً للواقع، وضعف احتمال تخلّفها عنه، وفي مثل ذلك لاوجه لسقوط الأمر إذا تخلّف عن الواقع، كما أنّ الأمر كذلك عند العقلاء، والفرض أنّ الشارع لم يأمر تأسيساً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وكذا الحال لو أمر الشارع بأمارة تأسيساً، وكان لسان الدليل هو التحفّظ على الواقع، فإنّ العرف لا يفهم منه إلّاتحصيل الواقع، لاتبديله بمؤدّى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إذا راجعت الأدلّة المستدلّ بها على حجّية خبر الثقة، لرأيت أنّ مفادها ليس إلّاإيجاب العمل به؛ لأجل الوصول إلى الواقعيّات، كالآيات على فرض دلالتها، وكالروايات، فإنّها تنادي بأعلى صوتها بأنّ إيجاب العمل على قول الثقة، إنّما هو لكونه ثقة وغير كاذب، وأنّه موصل إلى الواقع، وفي مثله لايفهم العرف، أنّ الشارع يتصرّف في الواقعيّات على نحو أداء الأمارة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أنّ احتمال التأسيس في باب الأمارات العقلائيّة، مجرّد فرض، وإلّا فالناظر فيها يقطع بأنّ الشارع لم يكن في مقام تأسيس وتحكيم، بل في مقام إرشاد وإمضاء ما لدى العقلاء، والضرورة قاضية بأنّ العقلاء لايعملون على طبقها</w:t>
      </w:r>
      <w:bookmarkStart w:id="165" w:name="pg1534_18301"/>
    </w:p>
    <w:p>
      <w:pPr>
        <w:pStyle w:val="BookText"/>
        <w:rPr/>
      </w:pPr>
      <w:bookmarkEnd w:id="165"/>
      <w:r>
        <w:rPr>
          <w:rFonts w:ascii="Amiri" w:hAnsi="Amiri" w:eastAsia="Amiri" w:cs="Amiri"/>
          <w:color w:val="111111"/>
          <w:sz w:val="28"/>
          <w:sz w:val="28"/>
          <w:szCs w:val="28"/>
          <w:rtl w:val="true"/>
          <w:lang w:bidi="ar-SA"/>
        </w:rPr>
        <w:t>إلّا لتحصيل الواقع، وحديث تبديل الواقع بما يكون مؤدّى الأمارة</w:t>
      </w:r>
      <w:r>
        <w:rPr>
          <w:rStyle w:val="FootnoteAnchor"/>
          <w:rtl w:val="true"/>
        </w:rPr>
        <w:footnoteReference w:id="285"/>
      </w:r>
      <w:r>
        <w:rPr>
          <w:rFonts w:ascii="Amiri" w:hAnsi="Amiri" w:eastAsia="Amiri" w:cs="Amiri"/>
          <w:color w:val="111111"/>
          <w:sz w:val="28"/>
          <w:sz w:val="28"/>
          <w:szCs w:val="28"/>
          <w:rtl w:val="true"/>
          <w:lang w:bidi="ar-SA"/>
        </w:rPr>
        <w:t>، ممّا لا أصل له في طريقتهم، فالقول بالإجزاء فيها ضعيف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وأضعف منه التفصيل بين تبدّل الاجتهاد الأوّل بالقطع فلايجزي، وبين تبدلّه باجتهاد آخر فيجزي، بدعوى عدم الفرق بين الاجتهادين الظنّيين، وعدم ترجيح الثاني حتّى يبطل الأوّل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لأنّ تبدّل الاجتهاد لايمكن إلّامع اضمحلال الاجتهاد الأوّل؛ بالعثور على دليل أقوى أو بالتخطئة للاجتهاد الأوّل، ومعه لاوجه لاعتباره، فضلًا عن مصادمته للثاني، هذا حال الفتوى المستندة إلى الأمارات</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555036_3650668749"/>
      <w:bookmarkStart w:id="167" w:name="_Toc61"/>
      <w:bookmarkEnd w:id="166"/>
      <w:r>
        <w:rPr>
          <w:rtl w:val="true"/>
        </w:rPr>
        <w:t>حال الفتوى المستندة إلى الاصول</w:t>
      </w:r>
      <w:bookmarkEnd w:id="167"/>
    </w:p>
    <w:p>
      <w:pPr>
        <w:pStyle w:val="BookText"/>
        <w:rPr/>
      </w:pPr>
      <w:r>
        <w:rPr>
          <w:rFonts w:ascii="Amiri" w:hAnsi="Amiri" w:eastAsia="Amiri" w:cs="Amiri"/>
          <w:color w:val="111111"/>
          <w:sz w:val="28"/>
          <w:sz w:val="28"/>
          <w:szCs w:val="28"/>
          <w:rtl w:val="true"/>
          <w:lang w:bidi="ar-SA"/>
        </w:rPr>
        <w:t xml:space="preserve">وأمّا إذا استندت إلى الاصول، كأصالتي الطهارة والحلّية في الشبهات الحكميّة، وكالاستصحاب فيها، وكحديث الرفع </w:t>
      </w:r>
      <w:r>
        <w:rPr>
          <w:rStyle w:val="FootnoteAnchor"/>
          <w:rtl w:val="true"/>
        </w:rPr>
        <w:footnoteReference w:id="287"/>
      </w:r>
      <w:r>
        <w:rPr>
          <w:rFonts w:ascii="IRNazanin" w:hAnsi="IRNazanin" w:eastAsia="IRNazanin"/>
          <w:color w:val="111111"/>
          <w:sz w:val="28"/>
          <w:sz w:val="28"/>
          <w:szCs w:val="28"/>
          <w:rtl w:val="true"/>
          <w:lang w:bidi="fa-IR"/>
        </w:rPr>
        <w:t>، فالظاهر هو الإجزاء مع اضمحلال الاجتهاد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في أصالتي الطهارة والحلّ؛ فلأنّ الظاهر من دليلهما، هو جعل الوظيفة الظاهريّة لدى الشكّ في الواقع؛ فإنّ معنى قوله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نظيف حتّى تعلم أنّه</w:t>
      </w:r>
    </w:p>
    <w:p>
      <w:pPr>
        <w:pStyle w:val="BookText"/>
        <w:rPr/>
      </w:pPr>
      <w:r>
        <w:rPr>
          <w:rFonts w:ascii="IRNazanin" w:hAnsi="IRNazanin" w:eastAsia="IRNazanin"/>
          <w:color w:val="111111"/>
          <w:sz w:val="28"/>
          <w:sz w:val="28"/>
          <w:szCs w:val="28"/>
          <w:rtl w:val="true"/>
          <w:lang w:bidi="fa-IR"/>
        </w:rPr>
        <w:t>قذر</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حتّى تعرف أنّه حرام بعينه </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ليس أنّه طاهر وحلال واقعاً، حتّى تكون النجاسة والحرمة متقيّدتين بحال العلم بهما؛ ضرورة أنّه التصويب الباطل، ولامعنى لجعل المحرزيّة والكاشفيّة للشكّ مع كونه خلاف أدلّتهما، ولا لجعلهما لأجل التحفّظ على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من أدلّتهما، هو جعل الطهارة والحلّية الظاهريّتين، ولامعنى لهما إلّا تجويز ترتيب آثار الطهارة والحلّية على المشكوك فيه، ومعنى تجويز ترتيب الآثار، تجويز إتيان ما اشترطت فيه الطهارة والحليّة مع المشكوك فيه، فيصير المأتيّ به معهما مصداق المأموربه تعبّداً، فيسقط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دلّ الدليل على لزوم إتيان الصلاة مع طهارة الثوب، ثمّ شكّ في طهارة ثوبه، دلّ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طاهر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يرجع إلى جواز ترتيب الطهارة على الثوب المشكوك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 إتيان الصلاة معه، وتحقّق مصداق الصلاة به، فإذا تبدّل شكّه بالعلم، لايكون من قبيل كشف الخلاف، كما ذكرنا في الأمارات؛ لأنّها كواشف عن الواقع، فلها واقع تطابقه أو لا تطابقه، بخلاف مؤدّى الأصلين، فإنّ مفاد أدلّتهما ترتيب آثار الطهارة أو الحلّية بلسان جعلهما، فتبديل الشكّ بالعلم من قبيل تبديل الموضوع، لا التخلّف عن الواقع، فأدلّتهما حاكمة على أدلّة</w:t>
      </w:r>
    </w:p>
    <w:p>
      <w:pPr>
        <w:pStyle w:val="BookText"/>
        <w:rPr/>
      </w:pPr>
      <w:r>
        <w:rPr>
          <w:rFonts w:ascii="Amiri" w:hAnsi="Amiri" w:eastAsia="Amiri" w:cs="Amiri"/>
          <w:color w:val="111111"/>
          <w:sz w:val="28"/>
          <w:sz w:val="28"/>
          <w:szCs w:val="28"/>
          <w:rtl w:val="true"/>
          <w:lang w:bidi="ar-SA"/>
        </w:rPr>
        <w:t>جعل الشروط والموانع في المركّبات المأمور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 المولى بإتيان الصلاة مع الطهارة، وأجاز الإتيان بها في ظرف الشكّ مع الثوب المشكوك فيه بلسان جعل الطهارة، وأجاز ترتيب آثار الطهارة الواقعيّة عليه، ينتج جواز إتيان الصلاة المأمور بها مع الطهارة الظاهريّة، ومعاملة المكلّف معها معاملة الطهارة الواقعيّة، فيفهم العرف من ذلك حصول مصداق المأموربه معها، فيسقط الأمر، وبعد العلم بالنجاسة لايكون من قبيل كشف الخلاف، كما في الأمارات الكاشفة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ولايبعد أن يكون الأمر كذلك في الاستصحاب؛ فإنّ الكبرى المجعولة فيه وهي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لاينبغي لك أن تنقض اليقين بالشكّ أبداً</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ليس مفادها جعل اليقين أمارة بالنسبة إلى زمان الشكّ؛ ضرورة عدم كاشفيّته بالنسبة إليه عقلًا؛ لامتناع كونه طريقاً إلى غير متعلّقه، ولا معنى لجعله طريقاً إلى غيره، فلا يكون الاستصحاب من الأمارات</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ولا يكون جعله للتحفّظ على الواقع، كإيجاب الاحتياط في الشبهة البدويّة في الأعراض والدماء، فإنّه أيضاً خلاف مفادها، وإن احتملناه بل رجّحناه سابقاً</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بل الظاهر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ينبغي للشاكّ الذي كان على يقين، رفع اليد عن آثاره، فيجب عليه ترتيب آثاره، فيرجع إلى وجوب معاملة بقاء اليقين الطريقيّ معه في زمان الشكّ، وهو مساوق عرفاً لتجويز إتيان المأموربه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المشروط بالطهارة الواقعيّة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الطهارة المستصحبة، ولا زم ذلك صيرورة المأتيّ به معها مصداقاً للمأمور به، فيسقط الأمر المتعلّق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حاله في هذا الأثر كحال أصالتي الطهارة والحلّ؛ من حيث كونهما أصلين عمليّين، ووظيفةً في زمان الشكّ، لا أمارة على الواقع، ولا أصلًا للتحفّظ عليه، حتّى يأتي فيه كشف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صحيحة زرارة الثانية، حيث حكم فيها بغسل الثوب، وعدم إعادة الصلاة معلّلًا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على يقين من طهارته فشكّ، وليس ينبغي له أن ينقض اليقين بالشكّ</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الحال فيما إذا كان المستند حديث الرفع، فإنّ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لايعلمون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شموله للشبهات الحكميّة والموضوعيّة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لسانه رفع الحكم والموضوع باعتبار الحكم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لابدّ من رفع اليد عن هذا الظاهر حتّى بالنسبة إلى الشبهات</w:t>
      </w:r>
    </w:p>
    <w:p>
      <w:pPr>
        <w:pStyle w:val="BookText"/>
        <w:rPr/>
      </w:pPr>
      <w:r>
        <w:rPr>
          <w:rFonts w:ascii="Amiri" w:hAnsi="Amiri" w:eastAsia="Amiri" w:cs="Amiri"/>
          <w:color w:val="111111"/>
          <w:sz w:val="28"/>
          <w:sz w:val="28"/>
          <w:szCs w:val="28"/>
          <w:rtl w:val="true"/>
          <w:lang w:bidi="ar-SA"/>
        </w:rPr>
        <w:t>الموضوعيّة؛ لأنّ لازمه طهارة ما شكّ في نجاسته موضوعاً واقعاً، ولا يمكن الالتزام بطهارة ملاقيه في زمان الشكّ بعد كشف الخلاف، فلابدّ من الحمل على البناء العمليّ على الرفع، وترتيب آثار الرفع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شكّ في جزئيّة شي‌ء في الصلاة، أو شرطيّته لها، أو مانعيّته، فحديث الرفع يدلّ على رفع الجزئيّة والشرطيّة والمانعيّة، فحيث لا يمكن الالتزام بالرفع الحقيقي، لا مانع من الالتزام بالرفع الظاهريّ، نظير الوضع الظاهري في أصالتي الطهارة والحليّة، فيرجع إلى معاملة الرفع في الظاهر، وجواز إتيان المأموربه كذلك، وصيرورة المأتيّ به مصداقاً للمأمور به؛ بواسطة حكومة دليل الرفع على أدلّة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التحقيق هو التفصيل بين الأمارات والاصول، كما عليه المحقّق الخراسانيّ رحمه الله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والمحقّق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العلّامة المحقّق الشهير، والاصوليّ المدقّق النحرير، آية اللَّه العظمى الآخوند؛ محمّد كاظم بن حسين الهرويّ الخراساني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بطوس، وفيها قرأ مقدّماته العلميّة حتّى بلغ الثالثة والعشرين، ثمّ أقام في طهران ستّة أشهر، درس في أثنائها بعض العلوم الفلسفيّة، ثمّ قصد العراق، فحضر عند الشيخ الأعظم فقهاً واصولًا أكثر من سنتين، وبعد وفاته لازم المجدّد الشيرازي، كما أخذ في الفقه أيضاً عن الشيخ راضي ابن الشيخ محمّد، وحينما خرج المجدّد وأكثر تلامذته إلى سامرّاء لم يخرج الآخوند معهم، وبقي في النجف، واستقلّ بالتدريس في الفقه والاصول، الذي كان له قدس سره مسلك خاصّ بتدريسه، وتخرّج عليه عدد كبير لا يحصى من العلماء والمحقّقين والمجتهدين، ولما احتلّ الروس بلاد إيران، تهيأ مع جماعة من العلماء للخروج وإعلان الجهاد، فاغتالته يد المنيّة في فجر نفس اليوم الّذي عزم فيه على السفر، عام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مؤلّفات عديدة، منها الكفاية، والشذرات، وشرح التبصرة، وحاشية على المكاسب وتعاليق على شرح المنظومة والأسفار والحاشية على المكاسب</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أعيان الشيعة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ومعارف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bookmarkStart w:id="168" w:name="pg1534_18306"/>
    </w:p>
    <w:p>
      <w:pPr>
        <w:pStyle w:val="BookText"/>
        <w:rPr/>
      </w:pPr>
      <w:bookmarkEnd w:id="168"/>
      <w:r>
        <w:rPr>
          <w:rFonts w:ascii="Amiri" w:hAnsi="Amiri" w:eastAsia="Amiri" w:cs="Amiri"/>
          <w:color w:val="111111"/>
          <w:sz w:val="28"/>
          <w:sz w:val="28"/>
          <w:szCs w:val="28"/>
          <w:rtl w:val="true"/>
          <w:lang w:bidi="ar-SA"/>
        </w:rPr>
        <w:t xml:space="preserve">هذا كلّه بحسب مقام الإثبات وظهور الأدلّة، وأمّا بحسب مقام الثبوت، فلابدّ من توجيهه بوجه لا يرجع إلى التصويب الباطل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 w:name="__RefHeading___Toc555038_3650668749"/>
      <w:bookmarkStart w:id="170" w:name="_Toc62"/>
      <w:bookmarkEnd w:id="169"/>
      <w:r>
        <w:rPr>
          <w:rtl w:val="true"/>
        </w:rPr>
        <w:t>في الإشارة إلى الخلط الواقع من بعض الأعاظم في المقام</w:t>
      </w:r>
      <w:bookmarkEnd w:id="170"/>
    </w:p>
    <w:p>
      <w:pPr>
        <w:pStyle w:val="BookText"/>
        <w:rPr/>
      </w:pPr>
      <w:r>
        <w:rPr>
          <w:rFonts w:ascii="Amiri" w:hAnsi="Amiri" w:eastAsia="Amiri" w:cs="Amiri"/>
          <w:color w:val="111111"/>
          <w:sz w:val="28"/>
          <w:sz w:val="28"/>
          <w:szCs w:val="28"/>
          <w:rtl w:val="true"/>
          <w:lang w:bidi="ar-SA"/>
        </w:rPr>
        <w:t>ثمّ إنّه 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القائل بالإجزاء، لا يلتزم بالتصرّف في أحكام المحرّمات والنجاسات، ولا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بحكومة أدلّة الاصول على أدلّة الأحكام الواقعيّة التي هي في طولها، وليس محطّ البحث في باب الإجزاء بأدلّة اصول الطهارة والحلّية والاستصحاب، هو التضييق أو التوسعة في أدلّة النجاسات والمحرّمات،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الأمارات والاصول وقعت في رتبة إحراز الأحكام الواقعيّة، والحكومة فيها غير الحكومة بين الأدلّة الواقعيّة بعضها مع بعض، وإنّ لازم ذلك هو الحكم بطهارة ملاقي النجس الواقعيّ إذا لاقى في زمان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ذلك ممّا وقع من بعض الأعاظم على ما في تقريرات بحثه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والمراد ببعض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شيخ الإسلام المحقّق والعلّامة الاصولي الفقيه؛ الميرزا محمّد حسين بن عبد الرحيم النائينيّ الأصفهانيّ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بنائين في حدود سنة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تلقّى مبادئ العلوم، ثمّ هاجر إلى أصفهان، فحضر عند الشيخ محمّد باقر الأصفهانيّ، والميرزا أبي المعالي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قصد العراق، فحضر عند المجدّد الشيرازيّ، والسيّد الفشاركيّ، والميرزا النوريّ، وبعدها حضر المجلس الخاصّ الذي كان يعقده الآخوند الخراسانيّ في داره لأجل المذاكرة في مشكلات المسائل، وكان رحمه الله من أكبر الدعاة إلى السلطنة المشروطة في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ابعد هو والسيّد أبو الحسن الأصفهانيّ من العراق إلى إيران، فبقيا بقم المشرّفة عاماً كاملًا، ثمّ عادا إلى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رحمه الله سنة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آثاره التي هي بخط تلامذته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الاصول، وأجود التقريرات، ومنية الطالب، وكتاب الصلاة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أعيان الشيعة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ومعارف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bookmarkStart w:id="171" w:name="pg1534_18307"/>
    </w:p>
    <w:p>
      <w:pPr>
        <w:pStyle w:val="BookText"/>
        <w:rPr/>
      </w:pPr>
      <w:bookmarkEnd w:id="171"/>
      <w:r>
        <w:rPr>
          <w:rFonts w:ascii="Amiri" w:hAnsi="Amiri" w:eastAsia="Amiri" w:cs="Amiri"/>
          <w:color w:val="111111"/>
          <w:sz w:val="28"/>
          <w:sz w:val="28"/>
          <w:szCs w:val="28"/>
          <w:rtl w:val="true"/>
          <w:lang w:bidi="ar-SA"/>
        </w:rPr>
        <w:t>بل محطّ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أدلّة الاصول الثلاثة، هل 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بحكومتها على أدلّة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تحقّق مصداق المأموربه تعبّداً، حتّى يقال بالإجزاء، أم لا؟</w:t>
      </w:r>
    </w:p>
    <w:p>
      <w:pPr>
        <w:pStyle w:val="BookText"/>
        <w:rPr/>
      </w:pPr>
      <w:r>
        <w:rPr>
          <w:rFonts w:ascii="Amiri" w:hAnsi="Amiri" w:eastAsia="Amiri" w:cs="Amiri"/>
          <w:color w:val="111111"/>
          <w:sz w:val="28"/>
          <w:sz w:val="28"/>
          <w:szCs w:val="28"/>
          <w:rtl w:val="true"/>
          <w:lang w:bidi="ar-SA"/>
        </w:rPr>
        <w:t>هذا مع بقاء النجاسات والمحرّمات على ما هي عليها، من غير تصرّف في أدلّتها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فالشكّ في الطهارة والحلّية بحسب الشبهة الحكميّة، إنّما هو في طول جعل النجاسات والمحرّمات، لا في طول جعل الصلاة مشروطةً بطهارة ثوب المصلّي، وبكونه من المأكول، والخلط بين المقامين أوقعه فيما أوقعه، وفي كلامه محالّ أنظار تركناها مخافة التطويل</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555040_3650668749"/>
      <w:bookmarkStart w:id="173" w:name="_Toc63"/>
      <w:bookmarkEnd w:id="172"/>
      <w:r>
        <w:rPr>
          <w:rtl w:val="true"/>
        </w:rPr>
        <w:t>تكليف المقلّد مع تبدّل رأي مجتهده</w:t>
      </w:r>
      <w:bookmarkEnd w:id="17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هذا كلّه حال المجتهد بالنسبة إلى تكاليف نفسه، وأمّا تكليف مقلّديه،</w:t>
      </w:r>
    </w:p>
    <w:p>
      <w:pPr>
        <w:pStyle w:val="BookText"/>
        <w:rPr/>
      </w:pPr>
      <w:r>
        <w:rPr>
          <w:rFonts w:ascii="Amiri" w:hAnsi="Amiri" w:eastAsia="Amiri" w:cs="Amiri"/>
          <w:color w:val="111111"/>
          <w:sz w:val="28"/>
          <w:sz w:val="28"/>
          <w:szCs w:val="28"/>
          <w:rtl w:val="true"/>
          <w:lang w:bidi="ar-SA"/>
        </w:rPr>
        <w:t>فهل هو كالمجتهد في التفصيل بين كون رأي المقلّد مستنداً إلى الأمارات، وبين كونه مستنداً إلى الاصول،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المجتهد يعيّن وظائف العباد مطلقاً واقعاً وظاهراً، فكما أنّ في وظائفه الظاهريّة نحكم بالإجزاء؛ بواسطة أدلّة الاصول وحكومتها على الأدلّة، فكذا في تكاليف مقلّديه، طابق النعل بالنعل؟</w:t>
      </w:r>
    </w:p>
    <w:p>
      <w:pPr>
        <w:pStyle w:val="BookText"/>
        <w:rPr/>
      </w:pPr>
      <w:r>
        <w:rPr>
          <w:rFonts w:ascii="Amiri" w:hAnsi="Amiri" w:eastAsia="Amiri" w:cs="Amiri"/>
          <w:color w:val="111111"/>
          <w:sz w:val="28"/>
          <w:sz w:val="28"/>
          <w:szCs w:val="28"/>
          <w:rtl w:val="true"/>
          <w:lang w:bidi="ar-SA"/>
        </w:rPr>
        <w:t>أو لا؟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المقلّد مستنده في الأحكام مطلقاً، هو رأي المجتهد، وهو أمارة على تكاليفه بحسب ارتكازه العقلائيّ، والشرع أيضاً أمضى هذا الارتكاز والبناء العمليّ العقلائيّ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مستند المقلّدين في العمل هو أصالة الطهارة أو الحلّية، ولا الاستصحاب أو حديث الرفع في الشبهات الحكميّة التي هي مورد بحثنا هاهنا؛ لأنّ العامّي لا يكون مورداً لجريان الاصول الحكميّة؛ فإنّ موضوعها الشك بعد الفحص واليأس من الأدلّة الاجتهاديّة، والعامّي لا يكون كذلك، فلا تجري في حقّه الاصول حتّى تحرز مصداق المأموربه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كون مستند المجتهد هو الاصول، ومقتضاها الإجزاء، لايوجب الإجزاء بالنسبة إلى من لم يكن مستنده إيّاها؛ فإنّ المقلّد ليس مستنده في العمل هي الاصول الحكميّة، بل مستنده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رأي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حكم اللَّه تعالى فإذا تبدّل رأيه فلا دليل على الإجزاء</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دليل وجوب اتباع المجتهد، فلأنّه ليس إلّابناء العقلاء الممضى كما يظهر للناظر في الأدلّة، وإنّما يعمل العقلاء على رأيه لإلغاء احتمال الخلاف،</w:t>
      </w:r>
    </w:p>
    <w:p>
      <w:pPr>
        <w:pStyle w:val="BookText"/>
        <w:rPr/>
      </w:pPr>
      <w:r>
        <w:rPr>
          <w:rFonts w:ascii="Amiri" w:hAnsi="Amiri" w:eastAsia="Amiri" w:cs="Amiri"/>
          <w:color w:val="111111"/>
          <w:sz w:val="28"/>
          <w:sz w:val="28"/>
          <w:szCs w:val="28"/>
          <w:rtl w:val="true"/>
          <w:lang w:bidi="ar-SA"/>
        </w:rPr>
        <w:t xml:space="preserve">وإمضاء الشارع لذلك لايوجب الإجزاء كما تقدّم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أدلّة الاصول، فهي ليست مستنده، ولا هو مورد جريانها؛ لعدم كونه شاكّاً بعد الفحص واليأس من الأدلّة، فلا وجه للإجزاء، وهذا هو الأقوى</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المقلّد موضوعاً للأصل، ولا يجري في حقّه، فَلِمَ يجوز للمجتهد أن يفتي مستنداً إلى الأصل بالنسبة إلى مقلّديه، مع أنّ أدلّة الاصول لا تجري إلّاللشاكّ بعد الفحص واليأس؛ وهو المجتهد فقط، لا المقلّد؟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المجتهد نائب عن مقلّديه </w:t>
      </w:r>
      <w:r>
        <w:rPr>
          <w:rStyle w:val="FootnoteAnchor"/>
          <w:rtl w:val="true"/>
        </w:rPr>
        <w:footnoteReference w:id="297"/>
      </w:r>
      <w:r>
        <w:rPr>
          <w:rFonts w:ascii="IRNazanin" w:hAnsi="IRNazanin" w:eastAsia="IRNazanin"/>
          <w:color w:val="111111"/>
          <w:sz w:val="28"/>
          <w:sz w:val="28"/>
          <w:szCs w:val="28"/>
          <w:rtl w:val="true"/>
          <w:lang w:bidi="fa-IR"/>
        </w:rPr>
        <w:t>، فمع أنّه لا محصّل له، لازمه الإجزاء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سابقاً، أنّ المجتهد إذا كان عالماً بثبوت الحكم الكلي المشترك بين العباد، ثمّ شكّ في نسخه مثلًا، يصير شاكّاً في ثبوت هذا الحكم المشترك بينهم، فيجوز له الإفتاء به، كما له العمل به </w:t>
      </w:r>
      <w:r>
        <w:rPr>
          <w:rStyle w:val="FootnoteAnchor"/>
          <w:rtl w:val="true"/>
        </w:rPr>
        <w:footnoteReference w:id="298"/>
      </w:r>
      <w:r>
        <w:rPr>
          <w:rFonts w:ascii="Amiri" w:hAnsi="Amiri" w:eastAsia="Amiri" w:cs="Amiri"/>
          <w:color w:val="111111"/>
          <w:sz w:val="28"/>
          <w:sz w:val="28"/>
          <w:szCs w:val="28"/>
          <w:rtl w:val="true"/>
          <w:lang w:bidi="ar-SA"/>
        </w:rPr>
        <w:t>، فكما أنّ الأمارة إذا قامت على حكم مشترك كلي، يجوز له الإفتاء بمقتضاها، كذلك إذا كان ذلك مقتضى الاستصحاب، فله العمل به، والفتوى بمقتضاه، فإذا أفتى يجب على المقلّدين العمل على طبق فتواه؛ لبناء العقلاء على رجوع الجاهل إلى العالم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المجتهد له الإفتاء بمقتضى الاصول الحكميّة،</w:t>
      </w:r>
    </w:p>
    <w:p>
      <w:pPr>
        <w:pStyle w:val="BookText"/>
        <w:rPr/>
      </w:pPr>
      <w:r>
        <w:rPr>
          <w:rFonts w:ascii="Amiri" w:hAnsi="Amiri" w:eastAsia="Amiri" w:cs="Amiri"/>
          <w:color w:val="111111"/>
          <w:sz w:val="28"/>
          <w:sz w:val="28"/>
          <w:szCs w:val="28"/>
          <w:rtl w:val="true"/>
          <w:lang w:bidi="ar-SA"/>
        </w:rPr>
        <w:t>ومقتضى القاعدة هو الإجزاء بالنسبة إليه، دون مقلّديه؛ لاستناده إلى الاصول المقتضيّة للإجزاء، واستنادهم إلى رأيه الغير المقتضي لذلك</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تمّت مهمّات مباحث الاجتهاد والتقليد، وبقيت بعض الامور غير المهمّة، تركناها لذلك، وقد وقع الفراغ من تسويده يوم الجمعة؛ عيد الفطر، 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أوّلًا وآخراً، وظاهراً وباطناً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الضميمة</w:t>
      </w:r>
      <w:bookmarkStart w:id="174" w:name="pg1534_18314"/>
    </w:p>
    <w:p>
      <w:pPr>
        <w:pStyle w:val="Heading2"/>
        <w:numPr>
          <w:ilvl w:val="1"/>
          <w:numId w:val="1"/>
        </w:numPr>
        <w:rPr/>
      </w:pPr>
      <w:bookmarkStart w:id="175" w:name="__RefHeading___Toc555042_3650668749"/>
      <w:bookmarkStart w:id="176" w:name="_Toc64"/>
      <w:bookmarkEnd w:id="174"/>
      <w:bookmarkEnd w:id="175"/>
      <w:r>
        <w:rPr>
          <w:rtl w:val="true"/>
        </w:rPr>
        <w:t>الفصل الرابع هل التخيير بدويّ أو استمراريّ؟</w:t>
      </w:r>
      <w:bookmarkEnd w:id="176"/>
    </w:p>
    <w:p>
      <w:pPr>
        <w:pStyle w:val="BookText"/>
        <w:rPr/>
      </w:pPr>
      <w:r>
        <w:rPr>
          <w:rFonts w:ascii="Amiri" w:hAnsi="Amiri" w:eastAsia="Amiri" w:cs="Amiri"/>
          <w:color w:val="111111"/>
          <w:sz w:val="28"/>
          <w:sz w:val="28"/>
          <w:szCs w:val="28"/>
          <w:rtl w:val="true"/>
          <w:lang w:bidi="ar-SA"/>
        </w:rPr>
        <w:t>بعد البناء على تخيير العامّي في الرجوع إلى مجتهدين متساويين، هل يجوز له العدول بعد تقليد أحدهما؟</w:t>
      </w:r>
    </w:p>
    <w:p>
      <w:pPr>
        <w:pStyle w:val="BookText"/>
        <w:rPr/>
      </w:pPr>
      <w:r>
        <w:rPr>
          <w:rFonts w:ascii="Amiri" w:hAnsi="Amiri" w:eastAsia="Amiri" w:cs="Amiri"/>
          <w:color w:val="111111"/>
          <w:sz w:val="28"/>
          <w:sz w:val="28"/>
          <w:szCs w:val="28"/>
          <w:rtl w:val="true"/>
          <w:lang w:bidi="ar-SA"/>
        </w:rPr>
        <w:t>اختار شيخنا العلّامة التفصيل بين العدول في شخص واقعة بعد الأخذ والعمل فيه، كما لو صلّى بلا سورة بفتوى أحدهما، فأراد تكرار الصلاة مع السورة بفتوى الآخر، وبين العدول في الوقائع المستقبلة التي لم تعمل، أو العدول قبل العمل بعد الالتزام والأخذ</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فذهب إلى عدم الجواز مطلقاً في الأوّل، وعدم الجواز في الأخيرين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التقليد هو الالتزام والأخذ، والجواز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نفس العمل مستنداً</w:t>
      </w:r>
    </w:p>
    <w:p>
      <w:pPr>
        <w:pStyle w:val="BookText"/>
        <w:rPr/>
      </w:pPr>
      <w:r>
        <w:rPr>
          <w:rFonts w:ascii="IRNazanin" w:hAnsi="IRNazanin" w:eastAsia="IRNazanin"/>
          <w:color w:val="111111"/>
          <w:sz w:val="28"/>
          <w:sz w:val="28"/>
          <w:szCs w:val="28"/>
          <w:rtl w:val="true"/>
          <w:lang w:bidi="fa-IR"/>
        </w:rPr>
        <w:t>إلى الفتوى</w:t>
      </w:r>
    </w:p>
    <w:p>
      <w:pPr>
        <w:pStyle w:val="BookText"/>
        <w:rPr/>
      </w:pPr>
      <w:r>
        <w:rPr>
          <w:rFonts w:ascii="Amiri" w:hAnsi="Amiri" w:eastAsia="Amiri" w:cs="Amiri"/>
          <w:color w:val="111111"/>
          <w:sz w:val="28"/>
          <w:sz w:val="28"/>
          <w:szCs w:val="28"/>
          <w:rtl w:val="true"/>
          <w:lang w:bidi="ar-SA"/>
        </w:rPr>
        <w:t>ووجّهه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مجال له للعدول بعد العمل بالواجب المخيّر؛ لعدم إمكان تكرار صِرْف الوجود، وامتناع تحصيل الحاصل، وليس كلّ زمان قيداً للأخذ بالفتوى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باعتبار الزمان المتأخّر تحصيلًا للحاصل، بل الأخذ بالمضمون أمر واحد ممتدّ، يكون الزمان ظرفاً له بحسب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إفادة التخيير في الأزمنة المتأخّرة بدليل آخر، يفيد التخيير في الاستدامة على العمل الموجود، ورفع اليد عنه والأخذ بالآخر، وإذ هو ليس 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وإفادته بأدلّة التخيير في إحداث الأخذ بهذا أو ذاك ممتنع؛ للزوم الجمع بين لحاظين متنافيين، نظير الجمع بين الاستصحاب والقاعدة بدليل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يجري الاستصحاب؛ لأنّ التخيير بين الإحداثين، غير ممكن الجرّ إلى الزمان الثاني، وبالنحو الثاني لا حالة سابقة له، والاستصحاب التعليقيّ لفتوى الآخر غير جارٍ؛ لأنّ الحجّية المبهمة السابقة، صارت معيّنة في المأخوذ، وزالت قطعاً، كالملكيّة المشاعة إذا صارت مفروزة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الأخيرين هذا البيان بعينه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المأموربه في مثل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فارجعوا فيها إلى رواة أحاديثنا</w:t>
      </w:r>
      <w:r>
        <w:rPr>
          <w:rFonts w:eastAsia="Amiri" w:cs="Amiri" w:ascii="Amiri" w:hAnsi="Amiri"/>
          <w:color w:val="111111"/>
          <w:sz w:val="28"/>
          <w:szCs w:val="28"/>
          <w:rtl w:val="true"/>
          <w:lang w:bidi="ar-SA"/>
        </w:rPr>
        <w:t>)</w:t>
      </w:r>
      <w:r>
        <w:rPr>
          <w:rStyle w:val="FootnoteAnchor"/>
          <w:rtl w:val="true"/>
        </w:rPr>
        <w:footnoteReference w:id="299"/>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 </w:t>
      </w:r>
      <w:r>
        <w:rPr>
          <w:rStyle w:val="FootnoteAnchor"/>
          <w:rtl w:val="true"/>
        </w:rPr>
        <w:footnoteReference w:id="300"/>
      </w:r>
      <w:r>
        <w:rPr>
          <w:rFonts w:ascii="Amiri" w:hAnsi="Amiri" w:eastAsia="Amiri" w:cs="Amiri"/>
          <w:color w:val="111111"/>
          <w:sz w:val="28"/>
          <w:sz w:val="28"/>
          <w:szCs w:val="28"/>
          <w:rtl w:val="true"/>
          <w:lang w:bidi="ar-SA"/>
        </w:rPr>
        <w:t>، هو العمل الجوانحيّ؛ أي الالتزام</w:t>
      </w:r>
    </w:p>
    <w:p>
      <w:pPr>
        <w:pStyle w:val="BookText"/>
        <w:rPr/>
      </w:pPr>
      <w:r>
        <w:rPr>
          <w:rFonts w:ascii="Amiri" w:hAnsi="Amiri" w:eastAsia="Amiri" w:cs="Amiri"/>
          <w:color w:val="111111"/>
          <w:sz w:val="28"/>
          <w:sz w:val="28"/>
          <w:szCs w:val="28"/>
          <w:rtl w:val="true"/>
          <w:lang w:bidi="ar-SA"/>
        </w:rPr>
        <w:t>والبناء القلبيّ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العمل، فلا إشكال في بقاء الأمر التخييريّ في كلا القسمين بلا محذور، ومع فقد الإطلاق لا مانع من الاستصحاب </w:t>
      </w:r>
      <w:r>
        <w:rPr>
          <w:rStyle w:val="FootnoteAnchor"/>
          <w:rtl w:val="true"/>
        </w:rPr>
        <w:footnoteReference w:id="301"/>
      </w:r>
      <w:r>
        <w:rPr>
          <w:rFonts w:ascii="Amiri" w:hAnsi="Amiri" w:eastAsia="Amiri" w:cs="Amiri"/>
          <w:color w:val="111111"/>
          <w:sz w:val="28"/>
          <w:sz w:val="28"/>
          <w:szCs w:val="28"/>
          <w:rtl w:val="true"/>
          <w:lang w:bidi="ar-SA"/>
        </w:rPr>
        <w:t>، انتهى ملخّصاً من تقرير بحثه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البحث عنه في الصورة الاولى هو جواز تكرار العمل بعد الإتيان به مطابقاً لفتوى الأوّل، وأمّا البحث عن بقاء التخيير، وكذا جواز العدول بعنوانهما، فأمر غير صحيح؛ ضرورة أنّ التخيير بين الإتيان بما أتى به، والعمل بقول الآخر، ممّا لا معنى له، وطرح العمل الأوّل وإعدامه غير معقول بعد الوجود، حتّى يتحقّق ثانياً موضوع التخيير، وكذا لايعقل العدول بحقيقته بعد العمل، فلابدّ وأن يكون البحث ممحّضاً في جواز العمل بقول الثاني بعد العمل بقول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الجواز؛ لأنّ الإتيان بأحد شقّي الواجب التخييريّ، موجب لسقوط التكليف جزماً، فالإتيان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بداعويّة الأمر الأوّل، أو باحتمال داعويّته، أو بداعويّة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معقول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العلم بالسقوط لا معنى لإجراء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استصحاب الواجب التخييريّ، وهو واضح، ولا جواز العمل على طبق الثاني؛ لفرض عدم احتمال أمر آخر غير التخييريّ الساقط، وكأنّ الظاهر من تقريرات بحث شيخنا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ناشئ من الخلط بين التخيير في المسألة الفرعيّة، والمسألة الاصوليّة، فإنّ ما ذكر وجيه في الأوّل، دون الثانىّ؛ لأنّ الأمر التخييريّ في الثاني لا نفسيّة له، بل لتحصيل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 الإلزام بالاحتياط، فمع الإتيان بأحد شقّي التخيير فيه، يبقى للعمل بالآخر مجال واسع وإن لم يكن المكلّف ملزماً به؛ تخفيفاً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بحرمة الاحتياط، أو بالإجزاء في باب الطرق ولو مع عدم المطابقة، لكان الوجه ما ذكر، لكنّهما خلاف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جواز الإتيان بما لم يأتِ به، لا مانع منه لو 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لايجري الاستصحاب التعليقي؛ لأنّ التعليق ليس بشرعيّ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الصورتان الأخيرتان، بناءً على كون التقليد الالتزام والعقد القلبيّ، فقياسهما على الصورة الاولى مع الفارق؛ لإمكان إبطال الموضوع وإعدامه بالرجوع عن الالتزام وعقد القلب، فصار حينئذٍ موضوعاً للأمر بإحداث الأخذ بأحدهما، من غير ورود الإشكال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لزوم الجمع بين اللحاظين </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وليس الكلام هاهنا في إطلاق الدليل وإهماله، بل في إمكانه بعد الفراغ عن فرض الإطلاق</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أفاده رحمه الله؛ من أنّ الالتزام وعقد القلب أمر وجدانيّ</w:t>
      </w:r>
    </w:p>
    <w:p>
      <w:pPr>
        <w:pStyle w:val="BookText"/>
        <w:rPr/>
      </w:pPr>
      <w:r>
        <w:rPr>
          <w:rFonts w:ascii="Amiri" w:hAnsi="Amiri" w:eastAsia="Amiri" w:cs="Amiri"/>
          <w:color w:val="111111"/>
          <w:sz w:val="28"/>
          <w:sz w:val="28"/>
          <w:szCs w:val="28"/>
          <w:rtl w:val="true"/>
          <w:lang w:bidi="ar-SA"/>
        </w:rPr>
        <w:t>ممتدّ، إذا حصل في زمان لايعقل حدوثه ثانياً، غير وجيه؛ لأنّ الالتزام بعد انعدام الالتزام الأوّل، إحداث لا إبقاء؛ لامتناع إعادة 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قطع النظر عن حال الأدلّة إثباتاً، وإلّا فقد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لادليل لفظيّ في باب التقليد يمكن الاتكال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حال التعارض بين فتويين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بالتخيير؛ للشهرة والإجماع المنقولين </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معتبران في مثل تلك المسألة المخالفة للقواعد، والمتيقّن منهما هو التخيير الابتدائيّ؛ أي التخيير قبل الالتزام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استصحاب التخيير ولا الجواز؛ لاختلاف التخيير الابتدائيّ والاستمراريّ موضوعاً وجعلًا، فلا يجري استصحاب شخص الحكم، وكذا استصحاب الكلي؛ لفقدان الأركان في الأوّل، ولكون الجامع أمراً انتزاعيّاً، لا حكماً شرعيّاً، ولاموضوعاً ذا أثر شرعيّ، وترتيب أثر المصداق على استصحاب الجامع مثبت، ولافرق في ذلك بين استصحاب جامع التخييرين، أو جامع الجوازين الآتيين من قبلهما</w:t>
      </w:r>
      <w:r>
        <w:rPr>
          <w:rFonts w:eastAsia="Amiri" w:cs="Amiri" w:ascii="Amiri" w:hAnsi="Amiri"/>
          <w:color w:val="111111"/>
          <w:sz w:val="28"/>
          <w:szCs w:val="28"/>
          <w:rtl w:val="true"/>
          <w:lang w:bidi="ar-SA"/>
        </w:rPr>
        <w:t>.</w:t>
      </w:r>
      <w:bookmarkStart w:id="177" w:name="pg1534_18320"/>
    </w:p>
    <w:p>
      <w:pPr>
        <w:pStyle w:val="Heading2"/>
        <w:numPr>
          <w:ilvl w:val="1"/>
          <w:numId w:val="1"/>
        </w:numPr>
        <w:rPr/>
      </w:pPr>
      <w:bookmarkStart w:id="178" w:name="__RefHeading___Toc555044_3650668749"/>
      <w:bookmarkStart w:id="179" w:name="_Toc65"/>
      <w:bookmarkEnd w:id="177"/>
      <w:bookmarkEnd w:id="178"/>
      <w:r>
        <w:rPr>
          <w:rtl w:val="true"/>
        </w:rPr>
        <w:t>الفصل الخامس في اختلاف الحيّ والميّت في مسألة البقاء</w:t>
      </w:r>
      <w:bookmarkEnd w:id="179"/>
    </w:p>
    <w:p>
      <w:pPr>
        <w:pStyle w:val="Heading3"/>
        <w:numPr>
          <w:ilvl w:val="2"/>
          <w:numId w:val="1"/>
        </w:numPr>
        <w:rPr/>
      </w:pPr>
      <w:bookmarkStart w:id="180" w:name="__RefHeading___Toc555046_3650668749"/>
      <w:bookmarkStart w:id="181" w:name="_Toc66"/>
      <w:bookmarkEnd w:id="180"/>
      <w:r>
        <w:rPr>
          <w:rtl w:val="true"/>
        </w:rPr>
        <w:t>اشارة</w:t>
      </w:r>
      <w:bookmarkEnd w:id="181"/>
    </w:p>
    <w:p>
      <w:pPr>
        <w:pStyle w:val="BookText"/>
        <w:rPr/>
      </w:pPr>
      <w:r>
        <w:rPr>
          <w:rFonts w:ascii="Amiri" w:hAnsi="Amiri" w:eastAsia="Amiri" w:cs="Amiri"/>
          <w:color w:val="111111"/>
          <w:sz w:val="28"/>
          <w:sz w:val="28"/>
          <w:szCs w:val="28"/>
          <w:rtl w:val="true"/>
          <w:lang w:bidi="ar-SA"/>
        </w:rPr>
        <w:t>إذا قلّد مجتهداً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الرجوع إلى الحيّ فمات، فإن غفل المقلّد عن الواقعة و لوازمها، ورجع عنه بتوهّم جواز تقليده في الرجوع، فلا كلام إلّا في صحّة أعماله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ذكر عدم جواز تقليده في ذلك؛ فإنّه أيضاً تقليد للميّت، أو تحيّر ورجع إلى الحيّ في هذه المسألة، وهو كان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البقاء، فمع تقليده الحيّ فيها، يجب عليه البقاء في سائر المسائل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هذه المسألة الاصوليّة، فلا يجوز له البقاء؛ لأنّه قلّد فيها الحيّ، ولا تحيّر له فيها حتّى قلّد الميّت، ولا يجوز للمفتي الحيّ الإفتاء بالبقاء فيها؛ لكون</w:t>
      </w:r>
      <w:bookmarkStart w:id="182" w:name="pg1534_18321"/>
    </w:p>
    <w:p>
      <w:pPr>
        <w:pStyle w:val="BookText"/>
        <w:rPr/>
      </w:pPr>
      <w:bookmarkEnd w:id="182"/>
      <w:r>
        <w:rPr>
          <w:rFonts w:ascii="Amiri" w:hAnsi="Amiri" w:eastAsia="Amiri" w:cs="Amiri"/>
          <w:color w:val="111111"/>
          <w:sz w:val="28"/>
          <w:sz w:val="28"/>
          <w:szCs w:val="28"/>
          <w:rtl w:val="true"/>
          <w:lang w:bidi="ar-SA"/>
        </w:rPr>
        <w:t>الميّت على خطأ عنده، فلا يشكّ حتّى يجري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لايجوز له إجراء الاستصحاب للمقلّد؛ لكونه غير شاكّ فيها، لقيام الأمارة لديه؛ وهي فتوى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لايجري بالنسبة إليه ولو مع قطع النظر عن فتوى الحيّ، لأنّ المجتهد في الشبهات الحكميّة، يكون مشخصاً لمجاري الاصول، وأمّا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اصوليّة، أو 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اختصاص لها بالمجتهد، بل هي مشتركة بين العالم والجاهل، فحينئذٍ لو رأى خطأ الميّت، وقيام الدليل على خلافه، فلا محالة يرى عدم جريان الاستصحاب؛ لاختلال أركانه، وهو أمر مشترك بينه و بين جميع المكلّفين</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555048_3650668749"/>
      <w:bookmarkStart w:id="184" w:name="_Toc67"/>
      <w:bookmarkEnd w:id="183"/>
      <w:r>
        <w:rPr>
          <w:rtl w:val="true"/>
        </w:rPr>
        <w:t>هل يرجع بفتوى الثالث إلى الأوّل أو الثاني؟</w:t>
      </w:r>
      <w:bookmarkEnd w:id="184"/>
    </w:p>
    <w:p>
      <w:pPr>
        <w:pStyle w:val="BookText"/>
        <w:rPr/>
      </w:pPr>
      <w:r>
        <w:rPr>
          <w:rFonts w:ascii="Amiri" w:hAnsi="Amiri" w:eastAsia="Amiri" w:cs="Amiri"/>
          <w:color w:val="111111"/>
          <w:sz w:val="28"/>
          <w:sz w:val="28"/>
          <w:szCs w:val="28"/>
          <w:rtl w:val="true"/>
          <w:lang w:bidi="ar-SA"/>
        </w:rPr>
        <w:t>وبما ذكرناه تظهر مسألة اخرى وهي أنّه لو قلّد مجتهداً في الفروع فمات، فقلّد مجتهداً يرى وجوب الرجوع، فرجع إليه فمات، فقلّد مجتهداً يرى وجوب البقاء، يجب عليه الرجوع إلى فتوى المجتهد الأوّل؛ لقيام الأمارة الفعليّة على بطلان فتوى الثاني بالرجوع، فيرى أنّ رجوعه عن الميّت الأوّل كان باطلًا، فالميزان على الحجّة الفعليّة؛ وهي فتوى الحيّ</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البقاء على رأي الثاني برأى الثالث </w:t>
      </w:r>
      <w:r>
        <w:rPr>
          <w:rStyle w:val="FootnoteAnchor"/>
          <w:rtl w:val="true"/>
        </w:rPr>
        <w:footnoteReference w:id="305"/>
      </w:r>
      <w:r>
        <w:rPr>
          <w:rFonts w:ascii="Amiri" w:hAnsi="Amiri" w:eastAsia="Amiri" w:cs="Amiri"/>
          <w:color w:val="111111"/>
          <w:sz w:val="28"/>
          <w:sz w:val="28"/>
          <w:szCs w:val="28"/>
          <w:rtl w:val="true"/>
          <w:lang w:bidi="ar-SA"/>
        </w:rPr>
        <w:t>، غير صحيح؛ لأنّ الثالث يرى بطلان رأي الثاني في المسألة الاصوليّة، وعدم صحّة رجوع المقلّد</w:t>
      </w:r>
      <w:bookmarkStart w:id="185" w:name="pg1534_18322"/>
    </w:p>
    <w:p>
      <w:pPr>
        <w:pStyle w:val="BookText"/>
        <w:rPr/>
      </w:pPr>
      <w:bookmarkEnd w:id="185"/>
      <w:r>
        <w:rPr>
          <w:rFonts w:ascii="Amiri" w:hAnsi="Amiri" w:eastAsia="Amiri" w:cs="Amiri"/>
          <w:color w:val="111111"/>
          <w:sz w:val="28"/>
          <w:sz w:val="28"/>
          <w:szCs w:val="28"/>
          <w:rtl w:val="true"/>
          <w:lang w:bidi="ar-SA"/>
        </w:rPr>
        <w:t>عن تقليد الأوّل، فقامت عند المقلّد فعلًا أمارة على بطلانه، فلا معنى لبقائه فيها</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555050_3650668749"/>
      <w:bookmarkStart w:id="187" w:name="_Toc68"/>
      <w:bookmarkEnd w:id="186"/>
      <w:r>
        <w:rPr>
          <w:rtl w:val="true"/>
        </w:rPr>
        <w:t>كلام العلّامة الحائري قدس سره</w:t>
      </w:r>
      <w:bookmarkEnd w:id="187"/>
    </w:p>
    <w:p>
      <w:pPr>
        <w:pStyle w:val="BookText"/>
        <w:rPr/>
      </w:pPr>
      <w:r>
        <w:rPr>
          <w:rFonts w:ascii="Amiri" w:hAnsi="Amiri" w:eastAsia="Amiri" w:cs="Amiri"/>
          <w:color w:val="111111"/>
          <w:sz w:val="28"/>
          <w:sz w:val="28"/>
          <w:szCs w:val="28"/>
          <w:rtl w:val="true"/>
          <w:lang w:bidi="ar-SA"/>
        </w:rPr>
        <w:t>هذا، وأمّا شيخنا العلّامة 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فبعدما نقل كلام شيخنا الأعظم قدس سره </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إشكالًا وجواباً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قيل </w:t>
      </w:r>
      <w:r>
        <w:rPr>
          <w:rStyle w:val="FootnoteAnchor"/>
          <w:rtl w:val="true"/>
        </w:rPr>
        <w:footnoteReference w:id="307"/>
      </w:r>
      <w:r>
        <w:rPr>
          <w:rFonts w:ascii="Amiri" w:hAnsi="Amiri" w:eastAsia="Amiri" w:cs="Amiri"/>
          <w:color w:val="111111"/>
          <w:sz w:val="28"/>
          <w:sz w:val="28"/>
          <w:szCs w:val="28"/>
          <w:rtl w:val="true"/>
          <w:lang w:bidi="ar-SA"/>
        </w:rPr>
        <w:t>في شمول أدلّة حجّية خبر الثقة، لخبر السيّد</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انظر فهرست الشيخ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وجامع الاصول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وتتمّة اليتيمة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ولسان الميزان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بعدم حجّيته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وأجاب عنه بمثل ما أجاب في</w:t>
      </w:r>
    </w:p>
    <w:p>
      <w:pPr>
        <w:pStyle w:val="BookText"/>
        <w:rPr/>
      </w:pPr>
      <w:r>
        <w:rPr>
          <w:rFonts w:ascii="Amiri" w:hAnsi="Amiri" w:eastAsia="Amiri" w:cs="Amiri"/>
          <w:color w:val="111111"/>
          <w:sz w:val="28"/>
          <w:sz w:val="28"/>
          <w:szCs w:val="28"/>
          <w:rtl w:val="true"/>
          <w:lang w:bidi="ar-SA"/>
        </w:rPr>
        <w:t xml:space="preserve">ذلك المقام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بيان الفرق بين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يلزم في المقام التخصيص المستهجن واللّغز والمعمّى لعدم عموم صادر من المعصوم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ملخّصه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 في المقام 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لايمكن الأخذ بكليهما؛ لأنّ المجتهد بعد ما نزّل نفسه منزلة المقلّد في كونه شاكّاً، رأى هنا طائفتين من الأحكام ثابتتين للمقلّد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الميّت في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الفتوى في الاصول الناظرة إلى الفتاوى في الفروع، والمسقطة لها عن الحجّية، فيرى أركان الاستصحاب فيهما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محيص من الأخذ بالفتوى الاصوليّة؛ فإنّه لو اريد في الفرعيّة استصحاب الأحكام الواقعيّة، فالشكّ في اللّاحق موجود، دون اليقين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الوجدانيّ 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التعبّدي، فلارتفاعه بموت المفتي، فصار كالشكّ الساري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استصحاب الحكم الظاهريّ الجائي من قبل دليل اتباع الميّت، فإن اريد استصحابه مقيّداً بفتوى الميّت، فالاستصحاب في الاصوليّة حاكم عليه؛ لأنّ الشكّ في الفرعيّة مسبّب عن الشكّ فيها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اريد استصحاب ذات الحكم الظاهريّ، وجعل كونه مقول قول الميّت جهة تعليليّة، فاحتمال ثبوته إمّا بسبب سابق، فقد سدّ بابه الاستصحاب الحاكم،</w:t>
      </w:r>
    </w:p>
    <w:p>
      <w:pPr>
        <w:pStyle w:val="BookText"/>
        <w:rPr/>
      </w:pPr>
      <w:r>
        <w:rPr>
          <w:rFonts w:ascii="Amiri" w:hAnsi="Amiri" w:eastAsia="Amiri" w:cs="Amiri"/>
          <w:color w:val="111111"/>
          <w:sz w:val="28"/>
          <w:sz w:val="28"/>
          <w:szCs w:val="28"/>
          <w:rtl w:val="true"/>
          <w:lang w:bidi="ar-SA"/>
        </w:rPr>
        <w:t>أو بسبب لاحق فهو مقطوع العدم؛ إذ مفروض الكلام صورة مخالفة فتوى الميّت للحيّ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يحتمل بقاء الحكم الواقعيّ، لكن لايكفي ذلك في الاستصحاب؛ لأنّه مع الحكم الظاهريّ في رتبتين وموضوعين، فلايكون أحدهما بقاء الآخر، لكن يجري استصحاب الكلي، بناءً على جريانه في القسم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استصحاب حجّية الفتاوى الفرعيّة، فاستصحاب الحجّية في الاصوليّة حاكم عليه؛ لأنّ شكّه مسبّب عنه، لأنّ عدم حجّية تلك الفتاوى أثر لحجّية هذه، وليس الأصل مثبتاً؛ لأنّ هذا من الآثار الثابتة لذات الحجّة، الأعمّ من الظاهريّة والواقعيّة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عمّا تقدّم، واختار عدم جريان الاستصحاب في الاصوليّة؛ فإنّ مقتضى جريانه الأخذ بخلاف مدلوله، ومثله غير مشمول لأدلّة الاستصحاب؛ فإنّ مقتضى الأخذ باستصحاب هذه الفتوى، سقوط فتاويه عن الحجّية، ومقتضى سقوطها الرجوع إلى الحيّ، وهو يفتي بوجوب البقاء، فالأخذ بالاستصحاب في الاصوليّة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مفادها عدم الأخذ بفتاويه في الفرعيّات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لازمه الأخذ في الفرعيّات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باطل وإن كان اللّزوم لأجل الرجوع إلى الحيّ، لالكون مفاد الاستصحاب ذلك؛ إذ لافرق في الفساد بين الاحتمالين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أنّ المسؤول عنه في الفرعيّات المسألة الاصوليّة؛ أعني من المرجع فيها، فلا ينافي مخالفة الحيّ للميّت في نفس الفروع مع إفتائه بالبقاء في</w:t>
      </w:r>
      <w:bookmarkStart w:id="188" w:name="pg1534_18325"/>
    </w:p>
    <w:p>
      <w:pPr>
        <w:pStyle w:val="BookText"/>
        <w:rPr/>
      </w:pPr>
      <w:bookmarkEnd w:id="188"/>
      <w:r>
        <w:rPr>
          <w:rFonts w:ascii="Amiri" w:hAnsi="Amiri" w:eastAsia="Amiri" w:cs="Amiri"/>
          <w:color w:val="111111"/>
          <w:sz w:val="28"/>
          <w:sz w:val="28"/>
          <w:szCs w:val="28"/>
          <w:rtl w:val="true"/>
          <w:lang w:bidi="ar-SA"/>
        </w:rPr>
        <w:t xml:space="preserve">المسألة الاصوليّة، وأمّا الفتوى الاصوليّة، فنفسها مسؤول عنها، ويكون الحيّ هو المرجع فيها، وفي هذه المسألة لامعنى للاستصحاب بعد أن يرى الحيّ خطأ الميّت، فلاحالة سابقة حتّى تستصحب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Heading3"/>
        <w:numPr>
          <w:ilvl w:val="2"/>
          <w:numId w:val="1"/>
        </w:numPr>
        <w:rPr/>
      </w:pPr>
      <w:bookmarkStart w:id="189" w:name="__RefHeading___Toc555052_3650668749"/>
      <w:bookmarkStart w:id="190" w:name="_Toc69"/>
      <w:bookmarkEnd w:id="189"/>
      <w:r>
        <w:rPr>
          <w:rtl w:val="true"/>
        </w:rPr>
        <w:t>الإيراد على مختار العلامة الحائري قدس سره</w:t>
      </w:r>
      <w:bookmarkEnd w:id="190"/>
    </w:p>
    <w:p>
      <w:pPr>
        <w:pStyle w:val="BookText"/>
        <w:rPr/>
      </w:pPr>
      <w:r>
        <w:rPr>
          <w:rFonts w:ascii="Amiri" w:hAnsi="Amiri" w:eastAsia="Amiri" w:cs="Amiri"/>
          <w:color w:val="111111"/>
          <w:sz w:val="28"/>
          <w:sz w:val="28"/>
          <w:szCs w:val="28"/>
          <w:rtl w:val="true"/>
          <w:lang w:bidi="ar-SA"/>
        </w:rPr>
        <w:t>وفيه محالّ للنظر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في الأحكام الواقعيّة في المقام، لايجري ولو فرض وجود اليقين السابق؛ لعدم الشكّ في البقاء، فإنّ الشكّ فيه إمّا ناشئ من احتمال النسخ، أو احتمال فقدان شرط، أو وجدان مانع، والكلّ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الشكّ فيه ممحّض في حجّية الفتوى وجواز العمل بها، وإنّما يتصوّر الشكّ في البقاء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بالسببيّة والتصويب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حكومة الأصل في المسألة الاصوليّة عليه في الفرعيّة ممنوعة؛ لأنّ المجتهد إذا قام مقام المقلّد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مفروض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شكّه في جواز العمل على فتاوى الميّت في الاصول والفروع، ناشئاً من الشكّ في اعتبار الحياة في المفتي، وجوازُ العمل في كلّ من الطائفتين مضادٌّ للآخر، ومقتضى جواز كلّ عدم جواز الآخر</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إرجاع الحيّ إيّاه إلى الميّت، سببيّة شكّه في الاصوليّة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المفروض، وإلّا فلا يبقى مجال للشكّ له في هذه المسألة، ففرض الشكّ فيما لم يقلّد الحيّ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 مطلق كون الشكّ مسبّباً عن الآخر، لايوجب التحكيم، كما قرّرنا في محلّه مستقصىً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وجه تقدّم الأصل السببيّ؛ هو أنّ الأصل في السبب منقّح لموضوع دليل اجتهاديّ ينطبق عليه بعد التنقيح، والدليل الاجتهاديّ بلسانه حاكم على الأصل المسببيّ، فإذا شكّ في طهارة ثوب غسل بماء شكّ في كرّيته، فاستصحاب الكرّية ينقّح موضوع الدليل الاجتهاديّ الدالّ على أنّ ما غسل بالكرّ يطهر، وهو حاكم على الأصل المسبّبي بلسانه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لامناقضة بين الأصل السببيّ والمسبّبي؛ لأنّ موضوعيهما مختلفان، والمناقض للأصل المسبّبي إنّما هو الدليل الاجتهاديّ بعد تنقيح موضوعه؛ حيث 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الوجدان وتطبيقه على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الثوب المغسول بهذا الماء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والاستصحاب في المسبّبي مفاده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الثوب المشكوك في نجاسته وطهارته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لسان الأوّل حاكم على الثاني</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الأصل السببيّ، هو ترتيب جميع آثار الكرّية على الماء، ومنها ترتيب آثار طهارة الثوب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مدفوع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مفاد الاستصحاب، ليس إلّاعدم نقض اليقين بالشكّ، فإذا شكّ في كرّية ماء كان كرّاً، لايكون مقتضى دليل الاستصحاب إلّاالتعبّد بكون الماء كرّاً، وأمّا لزوم ترتيب الآثار، فبدليل آخر هو الدليل الاجتهاديّ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ظهور أدلّته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لسان أدلّته في استصحاب الأحكام والموضوعات واحد، فكما أنّ استصحاب الأحكام ليس إلّاالبناء على تحقّقها، لا ترتيب الآثار، فكذلك استصحاب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لابدّ في استصحابها من دليل اجتهادي، ينقّح موضوعه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لازم ذلك، عدم تقدّم السببيّ على المسبّبي؛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شككت في بقاء الكرّ فابنِ على طهارة الثوب المغسول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لايقدّم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في طهارة الثوب الكذائي فابنِ على 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ولايراد باستصحاب نجاسة الثوب سلب الكرّية،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استصحاب النجاسة لايسلبها إلّابالأصل المثبت </w:t>
      </w:r>
      <w:r>
        <w:rPr>
          <w:rStyle w:val="FootnoteAnchor"/>
          <w:rtl w:val="true"/>
        </w:rPr>
        <w:footnoteReference w:id="312"/>
      </w:r>
      <w:r>
        <w:rPr>
          <w:rFonts w:ascii="Amiri" w:hAnsi="Amiri" w:eastAsia="Amiri" w:cs="Amiri"/>
          <w:color w:val="111111"/>
          <w:sz w:val="28"/>
          <w:sz w:val="28"/>
          <w:szCs w:val="28"/>
          <w:rtl w:val="true"/>
          <w:lang w:bidi="ar-SA"/>
        </w:rPr>
        <w:t>، بل يراد إبقاء النجاسة في الثوب فقط، ولايضرّ في مقام الحكم الظاهريّ التفكيك بين الآثار، فيحكم ببقاء كرّية الماء، وبقاء نجاسة الثوب المغسول به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اتضح لك، عدم تقدّم الأصل في المسألة الاصوليّة على الفرعيّة؛ لعدم دليل اجتهاديّ موجب للتحكيم، ومجرّد كون مفاد المستصحب في الاصوليّة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لايجوز العمل بفتاواي عند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لايوجب التقدّم على ما كان</w:t>
      </w:r>
    </w:p>
    <w:p>
      <w:pPr>
        <w:pStyle w:val="BookText"/>
        <w:rPr/>
      </w:pPr>
      <w:r>
        <w:rPr>
          <w:rFonts w:ascii="Amiri" w:hAnsi="Amiri" w:eastAsia="Amiri" w:cs="Amiri"/>
          <w:color w:val="111111"/>
          <w:sz w:val="28"/>
          <w:sz w:val="28"/>
          <w:szCs w:val="28"/>
          <w:rtl w:val="true"/>
          <w:lang w:bidi="ar-SA"/>
        </w:rPr>
        <w:t>مفاده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يجوزالعمل بفتاواي الفرعيّة لدى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كلًاّ منهمايدفع الآخر وينافيه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ذكرناه يظهر النظر فيما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حكومة استصحاب حجّية الفتوى في المسألة الاصوليّة، على استصحاب حجّيتها في المسائل الفرعيّة؛ فإنّ البيان والإيراد فيهما واحد لدى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جريان استصحاب الحجّية؛ لاالعقلائية منها، ولا الشرعيّة</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أفاده من تقديم الأصل في الفتوى الاصوليّة ولو اريد استصحاب الحكم الظاهريّ بجهة تعليليّة، غير وجيه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الأصل السببيّ في الفرض المتقدّم على الأصل المسبّبي؛ لأنّ نفي المعلول باستصحاب نفي العلّة، مثبت وإن كانت العلّة شرعيّة؛ فإنّ ترتّب المسبّب على السبب، عقليّ ولو كان السبب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ورد دليل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وجد ذا وجد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الأصل مثبتاً، 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غلى العصير أو نشّ </w:t>
      </w:r>
      <w:r>
        <w:rPr>
          <w:rStyle w:val="FootnoteAnchor"/>
          <w:rtl w:val="true"/>
        </w:rPr>
        <w:footnoteReference w:id="314"/>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وهو في المقام مفقود</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بناءه على جريان استصحاب الكلي الجامع بين الحكم الظاهريّ</w:t>
      </w:r>
    </w:p>
    <w:p>
      <w:pPr>
        <w:pStyle w:val="BookText"/>
        <w:rPr/>
      </w:pPr>
      <w:r>
        <w:rPr>
          <w:rFonts w:ascii="Amiri" w:hAnsi="Amiri" w:eastAsia="Amiri" w:cs="Amiri"/>
          <w:color w:val="111111"/>
          <w:sz w:val="28"/>
          <w:sz w:val="28"/>
          <w:szCs w:val="28"/>
          <w:rtl w:val="true"/>
          <w:lang w:bidi="ar-SA"/>
        </w:rPr>
        <w:t>والواقعيّ، غير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مرّ من عدم الشكّ في بقاء الحكم الواقعي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فرض حكومة الأصل السببيّ على المسبّبي، يسقط الحكم الظاهريّ، وبسقوطه لادليل فعلًا على ثبوت الحكم الواقعيّ؛ لسراية الشكّ إلى السابق، كما مرّ منه قدس سره </w:t>
      </w:r>
      <w:r>
        <w:rPr>
          <w:rStyle w:val="FootnoteAnchor"/>
          <w:rtl w:val="true"/>
        </w:rPr>
        <w:footnoteReference w:id="317"/>
      </w:r>
      <w:r>
        <w:rPr>
          <w:rFonts w:ascii="Amiri" w:hAnsi="Amiri" w:eastAsia="Amiri" w:cs="Amiri"/>
          <w:color w:val="111111"/>
          <w:sz w:val="28"/>
          <w:sz w:val="28"/>
          <w:szCs w:val="28"/>
          <w:rtl w:val="true"/>
          <w:lang w:bidi="ar-SA"/>
        </w:rPr>
        <w:t>، فلايقين فعلًا بالجامع بينهما، فاستصحاب الكلي إنّما يجري، إذا علم بالجامع فعلًا، وشكّ في بقائه، وهو غير نظير المقام الذي بانعدام أحد الفردين ينعدم الآخر من الأوّل، أوينعدم الدليل على ثبوته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الغضّ عن الإشكال في استصحاب الجامع في الأحكام، ممّا مرّ منّا مراراً</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إنكاره جريان الاستصحاب في المسألة الاصوليّة، معلّلًا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يلزم من جريانه الأخذ بخلاف مفاده، ومثله غير مشمول لأدلّته </w:t>
      </w:r>
      <w:r>
        <w:rPr>
          <w:rStyle w:val="FootnoteAnchor"/>
          <w:rtl w:val="true"/>
        </w:rPr>
        <w:footnoteReference w:id="319"/>
      </w:r>
      <w:r>
        <w:rPr>
          <w:rFonts w:ascii="Amiri" w:hAnsi="Amiri" w:eastAsia="Amiri" w:cs="Amiri"/>
          <w:color w:val="111111"/>
          <w:sz w:val="28"/>
          <w:sz w:val="28"/>
          <w:szCs w:val="28"/>
          <w:rtl w:val="true"/>
          <w:lang w:bidi="ar-SA"/>
        </w:rPr>
        <w:t>، غير وجيه؛ لأنّ مفاد الاستصحاب هو سقوط حجّية الفتاوى الفرعيّة، وهو غير اعتبار فتاواه، ولا لازمه ذلك، ولا الأخذ بفتوى الحيّ؛ لإمكان العمل بالاحتياط بعد سقوطها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الفتاوى عن الحجّية، أمر جاء من قبل الاستصحاب، والرجوع إلى الحيّ أمر آخر غير مربوط به وإن كان لازم الرجوع إليه البقاء على قول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أنّه قدس سره تنبّه على هذا الإشكال </w:t>
      </w:r>
      <w:r>
        <w:rPr>
          <w:rStyle w:val="FootnoteAnchor"/>
          <w:rtl w:val="true"/>
        </w:rPr>
        <w:footnoteReference w:id="320"/>
      </w:r>
      <w:r>
        <w:rPr>
          <w:rFonts w:ascii="Amiri" w:hAnsi="Amiri" w:eastAsia="Amiri" w:cs="Amiri"/>
          <w:color w:val="111111"/>
          <w:sz w:val="28"/>
          <w:sz w:val="28"/>
          <w:szCs w:val="28"/>
          <w:rtl w:val="true"/>
          <w:lang w:bidi="ar-SA"/>
        </w:rPr>
        <w:t>، ولم يأتِ بجواب مقنع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انصراف أدلّة الاستصحاب عن مثل المقام، لكان انصرافها عن الأصل السببيّ وعن الأصلين المتعارضين أولى؛ لأنّ إجراء الاستصحاب للسقوط، أسوأ حالًا من إجرائه في مورد، كان المكلفّ ملزماً بالأخذ بدليل آخر مقابل له في المفاد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والحلّ في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فرق بين ورود دليل لخصوص مورد من تلك الموارد، وبين ماشملها بإطلاقه، والإشكال متّجه فيها على الأوّل، لا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أخيراً في وجه عدم جريان الاستصحاب في المسألة الاصوليّة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المفتي الحيّ كان يرى خطأ الميّت </w:t>
      </w:r>
      <w:r>
        <w:rPr>
          <w:rStyle w:val="FootnoteAnchor"/>
          <w:rtl w:val="true"/>
        </w:rPr>
        <w:footnoteReference w:id="321"/>
      </w:r>
      <w:r>
        <w:rPr>
          <w:rFonts w:ascii="Amiri" w:hAnsi="Amiri" w:eastAsia="Amiri" w:cs="Amiri"/>
          <w:color w:val="111111"/>
          <w:sz w:val="28"/>
          <w:sz w:val="28"/>
          <w:szCs w:val="28"/>
          <w:rtl w:val="true"/>
          <w:lang w:bidi="ar-SA"/>
        </w:rPr>
        <w:t>، إنّما يصحّ لو كان المفتي أراد إجراء الاستصحاب لنفسه، وقد فَرَض في صدر المبحث أنّه نزّل نفسه منزلة العاميّ في الشكّ في الواقعة</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عرفت من عدم جريان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بالنسبة إلى المفتي، ولا بالنسبة إلى العامّي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الاصوليّة</w:t>
      </w:r>
      <w:r>
        <w:rPr>
          <w:rFonts w:eastAsia="Amiri" w:cs="Amiri" w:ascii="Amiri" w:hAnsi="Amiri"/>
          <w:color w:val="111111"/>
          <w:sz w:val="28"/>
          <w:szCs w:val="28"/>
          <w:rtl w:val="true"/>
          <w:lang w:bidi="ar-SA"/>
        </w:rPr>
        <w:t>.</w:t>
      </w:r>
      <w:bookmarkStart w:id="191" w:name="pg1534_18332"/>
    </w:p>
    <w:p>
      <w:pPr>
        <w:pStyle w:val="Heading2"/>
        <w:numPr>
          <w:ilvl w:val="1"/>
          <w:numId w:val="1"/>
        </w:numPr>
        <w:rPr/>
      </w:pPr>
      <w:bookmarkStart w:id="192" w:name="__RefHeading___Toc555054_3650668749"/>
      <w:bookmarkStart w:id="193" w:name="_Toc70"/>
      <w:bookmarkEnd w:id="191"/>
      <w:bookmarkEnd w:id="192"/>
      <w:r>
        <w:rPr>
          <w:rtl w:val="true"/>
        </w:rPr>
        <w:t>الفهارس العامّة</w:t>
      </w:r>
      <w:bookmarkEnd w:id="193"/>
    </w:p>
    <w:p>
      <w:pPr>
        <w:pStyle w:val="Heading3"/>
        <w:numPr>
          <w:ilvl w:val="2"/>
          <w:numId w:val="1"/>
        </w:numPr>
        <w:rPr/>
      </w:pPr>
      <w:bookmarkStart w:id="194" w:name="__RefHeading___Toc555056_3650668749"/>
      <w:bookmarkStart w:id="195" w:name="_Toc71"/>
      <w:bookmarkEnd w:id="194"/>
      <w:r>
        <w:rPr>
          <w:rtl w:val="true"/>
        </w:rPr>
        <w:t>اشارة</w:t>
      </w:r>
      <w:bookmarkEnd w:id="1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الكريمة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الشريفة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الأنبياء والأئمة المعصومين عليهم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التحقيق</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الموضوعات</w:t>
      </w:r>
      <w:bookmarkStart w:id="196" w:name="pg1534_18334"/>
    </w:p>
    <w:p>
      <w:pPr>
        <w:pStyle w:val="Heading3"/>
        <w:numPr>
          <w:ilvl w:val="2"/>
          <w:numId w:val="1"/>
        </w:numPr>
        <w:rPr/>
      </w:pPr>
      <w:bookmarkStart w:id="197" w:name="__RefHeading___Toc555058_3650668749"/>
      <w:bookmarkStart w:id="198" w:name="_Toc72"/>
      <w:bookmarkEnd w:id="196"/>
      <w:bookmarkEnd w:id="197"/>
      <w:r>
        <w:rPr/>
        <w:t>1</w:t>
      </w:r>
      <w:r>
        <w:rPr>
          <w:rtl w:val="true"/>
        </w:rPr>
        <w:t xml:space="preserve">- </w:t>
      </w:r>
      <w:r>
        <w:rPr>
          <w:rtl w:val="true"/>
        </w:rPr>
        <w:t>فهرس الآيات الكريمة</w:t>
      </w:r>
      <w:bookmarkEnd w:id="198"/>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أُمِّيُّونَ لا يَعْلَمُونَ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لِلَّهِ عَلَى النَّاسِ حِجُّ 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يَأْمُرُكُمْ أَنْ تُؤَدُّوا الْأَماناتِ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فَلا وَ رَبِّكَ لا يُؤْمِنُونَ حَتَّى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يا أَيُّهَا الَّذِينَ آمَنُوا أَطِيعُوا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فَاغْسِلُوا وُجُوهَكُمْ وَ أَيْدِيَكُمْ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وَ مَنْ لَمْ يَحْكُمْ بِما أَنْزَلَ اللَّهُ فَأُولئِكَ هُمُ الْكافِرُونَ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وَ مَنْ لَمْ يَحْكُمْ بِما أَنْزَلَ اللَّهُ فَأُولئِكَ هُمُ الظَّالِمُونَ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لَمْ يَحْكُمْ بِما أَنْزَلَ اللَّهُ فَأُولئِكَ هُمُ الْفاسِقُونَ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الْمُؤْمِنُونَ لِيَنْفِرُوا كَافَّةً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الظَّنَّ لا يُغْنِي مِنَ الْحَقِّ شَيْئاً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أَقِمِ الصَّلاةَ لِدُلُوكِ الشَّمْسِ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أَرْسَلْنا قَبْلَكَ إِلَّا رِجالًا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النَّبِيُّ أَوْلى بِالْمُؤْمِنِينَ مِنْ أَنْفُسِهِمْ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داوُدُ إِنَّا جَعَلْناكَ خَلِيفَةً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bookmarkStart w:id="199" w:name="pg1534_18336"/>
    </w:p>
    <w:p>
      <w:pPr>
        <w:pStyle w:val="Heading3"/>
        <w:numPr>
          <w:ilvl w:val="2"/>
          <w:numId w:val="1"/>
        </w:numPr>
        <w:rPr/>
      </w:pPr>
      <w:bookmarkStart w:id="200" w:name="__RefHeading___Toc555060_3650668749"/>
      <w:bookmarkStart w:id="201" w:name="_Toc73"/>
      <w:bookmarkEnd w:id="199"/>
      <w:bookmarkEnd w:id="200"/>
      <w:r>
        <w:rPr/>
        <w:t>2</w:t>
      </w:r>
      <w:r>
        <w:rPr>
          <w:rtl w:val="true"/>
        </w:rPr>
        <w:t xml:space="preserve">- </w:t>
      </w:r>
      <w:r>
        <w:rPr>
          <w:rtl w:val="true"/>
        </w:rPr>
        <w:t>فهرس الأحاديث الشريفة</w:t>
      </w:r>
      <w:bookmarkEnd w:id="201"/>
    </w:p>
    <w:p>
      <w:pPr>
        <w:pStyle w:val="BookText"/>
        <w:rPr/>
      </w:pPr>
      <w:r>
        <w:rPr>
          <w:rFonts w:ascii="Amiri" w:hAnsi="Amiri" w:eastAsia="Amiri" w:cs="Amiri"/>
          <w:color w:val="111111"/>
          <w:sz w:val="28"/>
          <w:sz w:val="28"/>
          <w:szCs w:val="28"/>
          <w:rtl w:val="true"/>
          <w:lang w:bidi="ar-SA"/>
        </w:rPr>
        <w:t xml:space="preserve">ائت فقيه البلد فاستفته من أمرك،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اتّقوا الحكومة؛ فإنّ الحكومة إنّما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اجلس في مسجد المدينة وأفتِ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إذا أردت حديثاً فعليك بهذا الجالس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إذا غلى العصير أو نشّ 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إن كان الوكيل أمضى الأمر الذي وكّل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إنّما علينا أن نلقي إليكم الاصول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إيّاكم أن يحاكم بعضكم بعضاً إلى أهل الجور،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أنتم أفقه الناس إذا عرفتم معاني كلامنا؛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الحكم ما حكم به أعدلهما وأفقههما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خذوا بما رووا، وذروا ما رأوا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رفع عن امّتي تسعة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عدل الإمام أن يدفع ما عنده إلى الإمام الذي بعده،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على اليد ما أخذت حتّى تؤدّي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عليك بالأسديّ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علينا إلقاء الاصول، وعليكم التفريع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فهمت ما ذكرتما، فاصمدا في دينكما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قل لهم إيّاكم إذا وقعت بينكم خصومة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حتّى تعرف أنّه حرام بعينه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كلّ شي‌ء طاهر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كلّ شي‌ء نظيف حتّى تعلم أنّه قذر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لا ضرر ولا ضرار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لا ينبغي لك أن تنقض اليقين بالشكّ أبداً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لا ينقض اليقين بالشكّ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ليس هو ذاك، إنّما هو الذي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ما يمنعك من محمّد بن مسلم الثقفيّ؛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ممّن روى حديثنا، ونظر في حلالنا وحرامنا،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من ردّ متشابه القرآن إلى محكمه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من زكريّا بن آدم القمّي، المأمون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من وكّل رجلًا على إمضاء أمر من الامور،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واجلس لهم العصرين، فأفت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وإنّ العلماء ورثة الأنبياء، إنّ 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وأمّا الحوادث الواقعة فارجعوا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وأمّا مَن كان من الفقهاء صائناً لنفسه،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هذا وأشباهه يعرف من كتاب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يا زرارة، قاله رسول اللَّه، ونزل به الكتاب عن اللَّه عزّوجلّ،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يا شريح، قد جلست مجلساً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يرجئه حتّى يلقى من يخبره،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bookmarkStart w:id="202" w:name="pg1534_18338"/>
    </w:p>
    <w:p>
      <w:pPr>
        <w:pStyle w:val="Heading3"/>
        <w:numPr>
          <w:ilvl w:val="2"/>
          <w:numId w:val="1"/>
        </w:numPr>
        <w:rPr/>
      </w:pPr>
      <w:bookmarkStart w:id="203" w:name="__RefHeading___Toc555062_3650668749"/>
      <w:bookmarkStart w:id="204" w:name="_Toc74"/>
      <w:bookmarkEnd w:id="202"/>
      <w:bookmarkEnd w:id="203"/>
      <w:r>
        <w:rPr/>
        <w:t>3</w:t>
      </w:r>
      <w:r>
        <w:rPr>
          <w:rtl w:val="true"/>
        </w:rPr>
        <w:t xml:space="preserve">- </w:t>
      </w:r>
      <w:r>
        <w:rPr>
          <w:rtl w:val="true"/>
        </w:rPr>
        <w:t>فهرس أسماء الأنبياء والمعصومين عليهم السلام</w:t>
      </w:r>
      <w:bookmarkEnd w:id="204"/>
    </w:p>
    <w:p>
      <w:pPr>
        <w:pStyle w:val="BookText"/>
        <w:rPr/>
      </w:pPr>
      <w:r>
        <w:rPr>
          <w:rFonts w:ascii="Amiri" w:hAnsi="Amiri" w:eastAsia="Amiri" w:cs="Amiri"/>
          <w:color w:val="111111"/>
          <w:sz w:val="28"/>
          <w:sz w:val="28"/>
          <w:szCs w:val="28"/>
          <w:rtl w:val="true"/>
          <w:lang w:bidi="ar-SA"/>
        </w:rPr>
        <w:t xml:space="preserve">رسول اللَّه، النبيّ، محمّد صلى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الأئمة، أهل البيت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أمير المؤمنين، الإمام علي بن أبي طالب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الإمام الباقر، أبو جعفر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الإمام الصادق، أبوعبد اللَّه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الإمام الرضا، أبو الحسن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الإمام الهادي، أبو الحسن الثالث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الإمام العسكري، أبو محمّد، الحسن بن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داود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bookmarkStart w:id="205" w:name="pg1534_18339"/>
    </w:p>
    <w:p>
      <w:pPr>
        <w:pStyle w:val="Heading3"/>
        <w:numPr>
          <w:ilvl w:val="2"/>
          <w:numId w:val="1"/>
        </w:numPr>
        <w:rPr/>
      </w:pPr>
      <w:bookmarkStart w:id="206" w:name="__RefHeading___Toc555064_3650668749"/>
      <w:bookmarkStart w:id="207" w:name="_Toc75"/>
      <w:bookmarkEnd w:id="205"/>
      <w:bookmarkEnd w:id="206"/>
      <w:r>
        <w:rPr/>
        <w:t>4</w:t>
      </w:r>
      <w:r>
        <w:rPr>
          <w:rtl w:val="true"/>
        </w:rPr>
        <w:t xml:space="preserve">- </w:t>
      </w:r>
      <w:r>
        <w:rPr>
          <w:rtl w:val="true"/>
        </w:rPr>
        <w:t>فهرس الأعلام</w:t>
      </w:r>
      <w:bookmarkEnd w:id="207"/>
    </w:p>
    <w:p>
      <w:pPr>
        <w:pStyle w:val="BookText"/>
        <w:rPr/>
      </w:pPr>
      <w:r>
        <w:rPr>
          <w:rFonts w:ascii="IRNazanin" w:hAnsi="IRNazanin" w:eastAsia="IRNazanin"/>
          <w:color w:val="111111"/>
          <w:sz w:val="28"/>
          <w:sz w:val="28"/>
          <w:szCs w:val="28"/>
          <w:rtl w:val="true"/>
          <w:lang w:bidi="fa-IR"/>
        </w:rPr>
        <w:t xml:space="preserve">أبان بن تغلب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ابن أبي عمير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ابن أبي ليلى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ابن أبي يعفور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ابن شبرمه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أبو البختري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أبو بصير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أبو الجهم بكير بن أعين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أبو خديجة، سالم بن مكرم الجمّال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أحمد بن حاتم بن ماهويه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أحمد بن عائذ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أحمد بن محمّد بن أبي نصر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أحمد بن محمّد، ابن عيسى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محمّد بن خالد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إسحاق بن عمّار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الثقفي، محمّد بن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الحسن بن علي الوشّاء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الحسين بن روح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الحسين بن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داود بن فرقد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زكريّا بن آدم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سليمان بن خالد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سماعة بن مهران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السيد المرتضى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شريح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شُعيب العقرقوفي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الشيخ عبد الكريم الحائري اليزدي شيخنا العلّامة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شيخ الطائفة 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الشيخ المرتضى الأنصاري الشيخ الأعظم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الصدوق محمد بن علي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عبد الأعلى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علي بن أسباط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علي بن المسيّب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عمر بن حنظلة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قتادة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قثم 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القدّاح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الكشّي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المحقق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المحقق صاحب الجواهر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محمّد بن إدريس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محمّد بن علي بن محبوب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محمّد بن عيسى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محمّد كاظم الخراساني المحقق الخراساني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معاوية بن وهب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المعلّى بن خنيس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هشام بن سالم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يعقوب بن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يونس بن عبد الرحمان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bookmarkStart w:id="208" w:name="pg1534_18342"/>
    </w:p>
    <w:p>
      <w:pPr>
        <w:pStyle w:val="Heading3"/>
        <w:numPr>
          <w:ilvl w:val="2"/>
          <w:numId w:val="1"/>
        </w:numPr>
        <w:rPr/>
      </w:pPr>
      <w:bookmarkStart w:id="209" w:name="__RefHeading___Toc555066_3650668749"/>
      <w:bookmarkStart w:id="210" w:name="_Toc76"/>
      <w:bookmarkEnd w:id="208"/>
      <w:bookmarkEnd w:id="209"/>
      <w:r>
        <w:rPr/>
        <w:t>5</w:t>
      </w:r>
      <w:r>
        <w:rPr>
          <w:rtl w:val="true"/>
        </w:rPr>
        <w:t xml:space="preserve">- </w:t>
      </w:r>
      <w:r>
        <w:rPr>
          <w:rtl w:val="true"/>
        </w:rPr>
        <w:t>فهرس الكتب</w:t>
      </w:r>
      <w:bookmarkEnd w:id="210"/>
    </w:p>
    <w:p>
      <w:pPr>
        <w:pStyle w:val="BookText"/>
        <w:rPr/>
      </w:pP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تفسير الإمام العسكري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قواعد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bookmarkStart w:id="211" w:name="pg1534_18343"/>
    </w:p>
    <w:p>
      <w:pPr>
        <w:pStyle w:val="Heading3"/>
        <w:numPr>
          <w:ilvl w:val="2"/>
          <w:numId w:val="1"/>
        </w:numPr>
        <w:rPr/>
      </w:pPr>
      <w:bookmarkStart w:id="212" w:name="__RefHeading___Toc555068_3650668749"/>
      <w:bookmarkStart w:id="213" w:name="_Toc77"/>
      <w:bookmarkEnd w:id="211"/>
      <w:bookmarkEnd w:id="212"/>
      <w:r>
        <w:rPr/>
        <w:t>6</w:t>
      </w:r>
      <w:r>
        <w:rPr>
          <w:rtl w:val="true"/>
        </w:rPr>
        <w:t xml:space="preserve">- </w:t>
      </w:r>
      <w:r>
        <w:rPr>
          <w:rtl w:val="true"/>
        </w:rPr>
        <w:t>مصادر التحقيق</w:t>
      </w:r>
      <w:bookmarkEnd w:id="2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 والتقليد، الشيخ محمّد حسين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في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قم، مؤسسة النشر الإسلامي،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على أهل اللجاج، أبو منصور، أحمد بن علي بن أبي طالب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مؤسسة الأعلمي،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المنسوب إلى أبي عبد اللَّه محمّد بن محمّد بن النعمان العكبري البغدادي المعروف بالشيخ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علي أكبر الغفاري، قم،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اختيار معرفة الرجال رجال الكشي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في معرفة حجج اللَّه على العباد، أبو عبد اللَّه محمّد بن محمّد بن النعمان العكبري البغدادي المعروف بالشيخ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الثالثة، بيروت، مؤسسة الأعلمي،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فيما اختلف من الأخبار، 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 السيد حسن الموسوي الخرسان،</w:t>
      </w:r>
    </w:p>
    <w:p>
      <w:pPr>
        <w:pStyle w:val="BookText"/>
        <w:rPr/>
      </w:pP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طهران، دار الكتب الإسلامية،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الإمام الخميني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تنظيم ونشر آثار الإمام الخميني قدس سره،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السيد محسن بن عبد الكريم الأمين الحسيني العاملي الشقرائي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السيد حسن الأمين، الطبعة الخامسة،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بيروت، دار التعارف للمطبوعات،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الموارد، سعيد خوري شرتوني اللبناني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مكتبة آية اللَّه المرعشي،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الدين وتمام النعمة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محمّد بن علي بن الحسين بن بابويه القمّي،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أكبر الغفاري، طهران، مكتبة الصدوق،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أبو جعفر محمّد بن علي بن الحسين بن بابويه القمّي،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الخامسة، بيروت، مؤسسة الأعلمي،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الهداية في التعليقة على الكفاية، الإمام الخميني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مجلّدان، قم، مؤسسة تنظيم ونشر آثار الإمام الخميني قدس سره،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أخبار الأئمة الأطهار، العلّامة محمّد باقر محمّدتقي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الثالثة،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بيروت، دار إحياء التراث العربي،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بدائع الأفكار، الميرزا حبيب اللَّه الرشتي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مؤسسة آل البيت عليهم السلام لإحياء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السيد هاشم بن سليمان بن إسماعيل بن عبد الجواد الحسيني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دار الكتب العلمية،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أبو جعفر محمّد بن الحسن بن فروخ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الميرزا محسن كوچه باغي، الطبعة الثانية،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عن آل الرسول عليهم السلام، أبو محمّد الحسن بن علي بن الحسين بن شُعبة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النشر الإسلامي،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الفقهاء، جمال الدين حسن بن يوسف بن المطهّر، 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مجلّدان، طهران، المكتبة المرتضوية لإحياء الآثار الجعفرية،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تذهيب التهذيب الكمال في أسماء الرجال، الحافظ صفي الدين أحمد بن عبد اللَّه الخزرجي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القاهرة، مكتبة القاهرة،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التعادل والترجيح، الإمام الخميني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تنظيم ونشر آثار الإمام الخميني قدس سره،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المنسوب إلى الإمام العسكري عليه السلام، المنسوب إلى الإمام أبي محمّد العسكري عليه أفضل صلوات المصلّين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مدرسة الإمام المهدي عليه السلام، قم، مدرسة الإمام المهدي عليه السلام،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 البرهان في تفسير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التنقيح في شرح العروة الوثقى، تقريراً لبحث السيد أبو القاسم الخوئي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بقلم الميرزا علي الغروي التبريزي، قم، دار الأنصاريان،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في علم الرجال، الشيخ عبد اللَّه بن محمّد حسن المامقاني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النجف الأشرف، مكتبة المرتضوية،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أبو جعفر محمّد بن الحسن،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السيد حسن الموسوي الخرسان،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طهران، دار الكتب الإسلامية،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في أسماء الرجال، أبو الحجّاج جمال الدين يوسف بن عبد الرحمن بن يوسف المزّي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بشّار عوّاد، الطبعة الاولى،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بيروت، مؤسسة الرسالة،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أبو جعفر محمّد بن علي بن الحسين بن بابويه القمّي،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أكبر الغفاري والسيّد هاشم الحسيني الطهراني، قم، مؤسسة النشر الإسلامي،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الأخبار، تاج الدين محمّد بن محمّد الشعيري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القرن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النجف الأشرف، مكتبة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الاصول، مجدالدين أبو السعادات المبارك بن محمّد ابن الأثير الجزري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مجلّدان، بيروت،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الشتات، الميرزا أبو القاسم بن الحسن الجيلاني، المحقق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الحجرية،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الكلام، الشيخ محمّد حسن بن باقر النجفي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الشيخ عباس القوچاني، الطبعة السابعة،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دار إحياء التراث العربي،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كتاب فرائد الاصول، الآخوند الخراساني المولى محمّد كاظم بن حسين الهروي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مكتبة بصيرتي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المكاسب، العلّامة السيد محمّد كاظم الطباطبائي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الحجرية، قم، مؤسسة إسماعيليان،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الناظرة في أحكام العترة الطاهرة، الشيخ يوسف بن أحمد البحراني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النجف الأشرف، دار الكتب الإسلامية، قم، مؤسسة النشر الإسلامي،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أبو جعفر محمّد بن علي بن الحسين بن بابويه القمّي،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النشر الإسلامي،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الأقوال في معرفة الرجال، أبو منصور حسن بن يوسف بن علي بن المطهر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السيّد محمد صادق بحر العلوم، قم، منشورات الشريف الرضي،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دُرر الفوائد، الشيخ عبد الكريم الحائري اليزدي المهرجردي الميبدي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النشر الإسلامي،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في التفسير المأثور، جلال الدين 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بيروت، دار الفكر،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إلى اصول الشريعة، أبو القاسم علي بن الحسين الموسوي، الشريف المرتضى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أبو القاسم گرجي، الطبعة الاولى، مجلّدان، طهران، جامعة طهران،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ابن داود، تقي الدين الحسن بن علي بن داود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 السيد محمّد صادق آل بحرالعلوم، قم، منشورات الشريف الرضي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أبو جعفر شيخ الطائفة محمّد بن الحسن،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النجف الأشرف، المطبعة الحيدرية،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العلّامة خلاصة الأقوال في معرفة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أبو جعفر شيخ الطائفة محمّد بن الحسن،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حسن المصطفوي، الطبعة الاولى، مشهد المقدسة، جامعة مشهد،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أحمد بن علي بن أحمد بن عباس النجاشي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موسى الشبيري الزنجاني، الطبعة الاولى، قم، مؤسسة النشر الإسلامي،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الاجتهاد والتقليد، الشيخ محمّد علي الأراكي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قم، مؤسسة إسماعيليان،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روضات الجنّات في أحوال العلماء والسادات، السيد محمّد باقر الموسوي الخوانساري الأصفهاني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أسد اللَّه إسماعيليان،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إسماعيليان،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الناظر وجنّة المناظر، موفق الدين أحمد بن قدامة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مصر، المطبعة السلفية،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الاجتهاد والتقليد، الشيخ الأعظم مرتضى بن محمّد أمين الأنصاري الدزفولي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رسائل فقهية واصولية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قم، مكتبة المفيد،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أبو عيسى محمد بن عيسى بن سورة الترمذي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أحمد محمد شاكر،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بيروت، دار إحياء التراث العربي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شرحا البدخشي والأسنوي مناهج العقول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العضدي على مختصر المنتهى لابن الحاجب، القاضي عضد الملة والدين، اسلامبول، مطبعة العالم،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أبو الحسين مسلم بن الحجاج القشيري النيشابوري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فؤاد عبد الباقي، الطبعة الثانية،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بيروت، دار الفكر،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ضوابط الاصول، السيد إبراهيم بن محمّد باقر القزويني الحائري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الحجرية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السيد محمّد كاظم الطباطبائي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مجلّدان، إيران، المكتبة العلمية الإسلامية،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أبو جعفر محمّد بن علي بن الحسين بن بابويه القمّي،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النجف الأشرف، المكتبة الحيدرية،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عوائد الأيّام، المولى أحمد بن محمّد مهدي بن أبي ذرّ النراقي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قم، مكتب الإعلام الإسلامي،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عوالي اللآلي العزيزية في الأحاديث الدينية، محمّد بن علي بن إبراهيم الأحسائي، ابن أبي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أوائل القرن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مجتبى العراقي، الطبعة الاولى،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مطبعة سيد الشهداء،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أبو جعفر محمّد بن علي بن الحسين بن بابويه القمّي،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السيد مهدي الحسيني اللاجوردي، الطبعة الثانية، جزء ان في مجلّد واحد، قم، مطبعة الطوسي،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أبو جعفر محمّد بن الحسن،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مكتبة بصيرتي،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الغروية في الاصول الفقهية، الشيخ محمّد حسين بن عبد الرحيم الطهراني الأصفهاني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دار إحياء العلوم الإسلامية،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المنسوب للإمام الرضا عليه السلام، تحقيق مؤسسة آل البيت عليهم السلام لإحياء التراث، الطبعة الاولى، مشهد المقدسة، المؤتمر العالمي للإمام الرضا عليه السلام،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بن محمّد بن علي بن الحسين بن بابويه القمّي،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أكبر الغفاري،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طهران، دار الكتب الإسلامية،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الاصول، الشيخ محمّد علي الكاظمي الخراساني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تقريرات بحث الميرزا محمّد حسين الغروي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مؤسسة النشر الإسلامي،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المدنية، محمّد أمين بن محمّد شريف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الحجرية، طهران،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أبو جعفر محمّد بن الحسن،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 السيد محمّد صادق بحرالعلوم، قم، منشورات الشريف الرضي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أبو الفرج محمّد بن إسحاق، ابن النديم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رضا تجدد، 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قاموس الرجال، الشيخ محمّد تقي التستري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طهران، مركز نشر الكتاب،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أبو العباس عبد اللَّه بن جعفر الحميري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آل البيت عليهم السلام لإحياء التراث، الطبعة الاولى، قم، مؤسسة آل البيت عليهم السلام لإحياء التراث،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القضاء كتاب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قوانين الاصول، المحقق ميرزا أبو القاسم القمّي ابن المولى محمّد حسين الجيلاني المعروف بالميرزا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الحجرية، طهران، المكتبة العلمية الإسلامية،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أبو جعفر ثقة الإسلام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أكبر الغفاري، الطبعة الثالثة،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طهران، دار الكتب الإسلامية،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في الفقه، تقي الدين بن نجم، أبو الصلاح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رضا الاستادي، إصفهان، مكتبة الإمام أمير المؤمنين عليه السلام،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التأريخ، عزالدين أبو الحسن علي بن أبو الكرم محمّد بن محمّد بن عبد الكريم بن عبد الواحد الشيباني، ابن الأثير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بيروت، دار صادر،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البيع، الإمام الخميني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قم، مؤسسة إسماعيليان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القضاء، الحاج ميرزا محمّد حسن الآشتياني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دار الهجرة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اللثام، بهاء الدين محمّد بن حسن الأصفهاني، الفاضل الهندي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مجلّدان، طهران، فراهاني،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الأحكام، محمّد مؤمن الشريف الخراساني، المحقق السبزواري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الحجرية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الاصول، الآخوند الخراساني المولى محمّد كاظم بن حسين الهروي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 مؤسسة النشر الإسلامي، الطبعة الاولى، مؤسسة النشر الإسلامي،</w:t>
      </w:r>
    </w:p>
    <w:p>
      <w:pPr>
        <w:pStyle w:val="BookText"/>
        <w:rPr/>
      </w:pP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في سنن الأقوال والأفعال، علاء الدين علي المتقي بن حسام الدين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الخامسة،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بيروت، مؤسسة الرسالة،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الفوائد، أبو الفتوح الشيخ محمّد بن علي بن عثمان الكراجكي الطرابلسي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اللَّه نعمة، مجلّدان، بيروت، در الأضواء،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والألقاب، الشيخ عباس بن محمّد رضا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النجف الأشرف، المطبعة الحيدرية،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أبو الفضل جمال الدين محمّد بن مكرم بن منظور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بيروت، دار 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أبو الفضل أحمد بن علي بن علي بن حجر العسقلاني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الثالثة،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بيروت، مؤسسة الأعلمي،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أبو علي أمين الإسلام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الميرزا أبي الحسن الشعراني، الطبعة الخامسة،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طهران، المكتبة الإسلامية،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الرجال، زكي الدين المولى عناية اللَّه علي القهپائي، علّق عليه السيّد ضياء الدين، قم، مؤسسة إسماعيليان</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الفائدة والبرهان في شرح إرشاد الأذهان، أحمد بن محمد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صدر منه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حتى الآن، قم، مؤسسة</w:t>
      </w:r>
    </w:p>
    <w:p>
      <w:pPr>
        <w:pStyle w:val="BookText"/>
        <w:rPr/>
      </w:pPr>
      <w:r>
        <w:rPr>
          <w:rFonts w:ascii="Amiri" w:hAnsi="Amiri" w:eastAsia="Amiri" w:cs="Amiri"/>
          <w:color w:val="111111"/>
          <w:sz w:val="28"/>
          <w:sz w:val="28"/>
          <w:szCs w:val="28"/>
          <w:rtl w:val="true"/>
          <w:lang w:bidi="ar-SA"/>
        </w:rPr>
        <w:t xml:space="preserve">النشر الإسلامي،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أبو جعفر 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جلال الدين الحسيني، المحدّث الارموي، الطبعة الثانية، قم، دار الكتب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المحصول في علم اصول الفقه، فخرالدين محمّد بن عمر بن الحسين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الكتب العلمية،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مسالك الأفهام إلى تنقيح شرائع الإسلام، زين الدين علي بن أحمد العاملي، الشهيد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مجلّدان، قم، مكتبة بصيرتي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ومستنبط المسائل، الحاج ميرزا حسين النوري الطبرسي، المحدّث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طهران، المكتبة الإسلامية، والنجف الأشرف، المكتبة العلمية،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المستصفى من علم الاصول، أبو حامد محمّد بن محمّد الغزالي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مجلّدان، قم، مطبعةدار الذخائر،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مستطرفات السرائر، أبو عبد اللَّه محمّد بن منصور بن أحمد بن إدريس العجلي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مدرسة الإمام المهدي عليه السلام، الطبعة الاولى، قم، مدرسة الإمام المهدي عليه السلام،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مستمسك العروة الوثقى، السيد محسن الطباطبائي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الخامسة، قم، مؤسسة إسماعيليان،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أحمد بن محمّد بن حنبل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مصر، المطبعة الميمنية،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الأنوار في غرر الأخبار، أبو الفضل علي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أوائل القرن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النجف الأشرف، منشورات المكتبة الحيدرية،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المنير في غريب الشرح الكبير، أحمد بن محمّد بن علي القيومي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جزء ان في مجلّد واحد، بيروت، دار الكتب العلمية،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مصنفات الشيخ المفيد، أبو عبد اللَّه محمّد بن محمّد بن النعمان العكبري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المؤتمر العالمي لألفية الشيخ المفيد،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مطارح الأنظار، العلّامة أبو القاسم كلانتري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مؤسسة آل البيت عليهم السلام لإحياء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الرجال في تراجم العلماء والادباء، الشيخ محمّد حرزالدين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علّق عليه محمّد حسين حرزالدين،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مكتبة آية اللَّه المرعشي،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الدين وملاذ المجتهدين، أبو منصور جمال الدين الحسن بن زين الدين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منشورات الشريف الرضي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أبو جعفر محمّد بن علي بن الحسين بن بابويه القمّي،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أكبر الغفاري، قم، مؤسسة النشر الإسلامي،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وتفصيل طبقات الرواة، السيد أبو القاسم ابن السيد علي أكبر الموسوي الخوئي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الثالثة،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بيروت، دار الزهراء للطباعة والنشر،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الحافظ أبي القاسم سليمان بن أحمد الطبراني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إحياء التراث العربي،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الاصول، السيد محمّد ابن آقا مير سيد علي السيد محمّد الطباطبائي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آل البيت عليهم السلام لإحياء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بالاوفست عن طبعته الحجرية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الكرامة في شرح قواعد العلّامة، السيد محمّد جواد الحسيني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مؤسسة آل البيت عليهم السلام لإحياء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بالاوفست عن طبعته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مفردات ألفاظ القرآن، أبو القاسم حسين بن محمّد بن المفضل الراغب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نديم مرعشلي، دار الكتب الإسلامية،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مقالات الاصول، الشيخ ضياء الدين العراقي،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مكتبة الكتبي النجفي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أبو جعفر محمّد بن علي بن الحسين بن بابويه القمّي،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وقم، المكتبة الإسلامية ومؤسسة المطبوعات الدينية،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مقباس الهداية في علم الدراية، الشيخ عبد اللَّه بن محمّد حسن المامقاني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رضا المامقاني، قم، مؤسسة آل البيت عليهم السلام لإحياء التراث،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الشيخ مرتضى بن محمّد أمين الأنصاري الدزفولي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الحجرية، تبريز،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والبيع، تقرير أبحاث الاستاذ الميرزا محمّد حسين الغروي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بقلم الشيخ محمّد تقي الآملي، جزء ان، قم، مؤسسة النشر الإسلامي،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مناهج الأحكام والاصول، المولى أحمد بن محمّد مهدي بن أبي ذرّ النراقي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الحجرية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مناهج العقول، محمّد بن الحسن البدخشي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المطبوع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السُؤل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لجمال الدين عبد الرحيم الأسنوي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كلاهما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الوصول في علم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للقاضي البيضاوي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بيروت، دار الكتاب العربي،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منية الطالب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شرح المكاسب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الشيخ موسى بن محمّد النجفي الخوانساري، تقريرات أبحاث استاذه آية اللَّه الشيخ محمّد حسين الغروي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مجلّدان، طهران والنجف الأشرف، المكتبة الحيدرية والمكتبة الرضوية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منية المريد، زين الدين بن علي بن أحمد العاملي، الشهيد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رضا المختاري، قم، مكتبة الإعلام الإسلامي،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نقباء البشر، الشيخ محمّد محسن آقا بزرگ الطهراني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مكتبة آية اللَّه المرعشي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الراوندي، السيد فضل اللَّه بن علي الحسيني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حياً في القرن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مؤسسةدار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الأفكار، الشيخ محمّد تقي بن عبد الكريم البروجردي النجفي، تقريرات بحث استاذه آية اللَّه آغا ضياء الدين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النشر الإسلامي،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الدراية في شرح الكفاية، الشيخ محمّد حسين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آل البيت عليهم السلام لإحياء التراث، الطبعة الاولى، قم، مؤسسة آل البيت عليهم السلام لإحياء التراث،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في غريب الحديث والأثر، أبو السعادات مجدد الدين المبارك بن محمّد بن محمّد ابن الأثير الجزري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طاهر أحمد الزاوي ومحمود محمّدالطناحي، الطبعة الرابعة،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مؤسسة إسماعيليان،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أبو الحسن الشريف الرضي محمّد بن الحسين بن موسى الموسوي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صبحي الصالح، قم، دار الهجرة،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الأبرار إلى طريقة الأئمة الأطهار، الشيخ حسين بن شهاب الدين الكركي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النجف الأشرف،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محمّد بن المرتضى المولى محسن، الفيض الكاشاني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طهران، المكتبة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بالوفيات، صلاح الدين خليل بن أيبك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صادر،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الوافية في اصول الفقه، مولى عبد اللَّه بن محمّد البشروي الخراساني، الفاضل التوني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محمّد حسين الرضوي الكشميري، قم، مؤسسة إسماعيليان،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 وسائل الشيعة إلى تحصيل مسائل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الحسن الحرّ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طهران، المكتبة الإسلامية،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النور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هيمنة العقل في عملية الإفتاء</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تأثير الزمان والمكان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الخلط بين نظرية تأثير الزمان والمكان وعقلنة الفقه الذي يؤدّي إلى تهميش النصوص الشرعية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النور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روضات الجنّات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والهامش التالي</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هداية الأبرار إلى طريق الأئمّة الأطهار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الناظر وجنّة المناظر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المحصول في علم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شرح العضديّ على مختصر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شرحا البدخشيّ والأسنويّ على منهاج البيضاويّ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 المحقّق الرشتيّ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كشهادة الكليني والصدوق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أوّل الكافي والفقيه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فرقد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الثقة الثقة؛ داود بن أبي يزيد فرقد الأسديّ النصريّ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صحب الصادق والكاظم صلوات اللَّه عليهما، وكان له كتاب روته عنه جماعات كثيرة من أصحابنا، روى عن عبد الأعلى مولى آل سام، وعمرو بن عثمان الجهنيّ، والمعلّى بن خُنيس، وروى عنه الحسن بن عليّ بن فضّال، وصفوان بن يحيى ومحمّد بن أبي عمير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القاضى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شيخ الطائفة المحقّة، ورافع أعلام الشريعة الحقّة، إمام الفرقة بعد الأئمّة المعصومين عليهم السلام؛ أبو جعفر محمّد بن الحسن بن عليّ الطوسيّ البغداديّ الغرويّ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بطوس سنة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وحينما بلغ الثالثة والعشرين من عمره المبارك هاجر إلى بغداد، فتلمّذ عند الشيخ المفيد نحواً من خمس سنين حتّى وفاته، ثمّ التحق بالسيّد المرتضى، فلازمه نحواً من ثمان وعشرين سنة، ثمّ استقلّ بزعامة الطائفة ورئاستها، وصارت داره جامعة تضمّ أكثر من ثلاثمائة مجتهد من الخاصّة، كالشيخ آدم بن يونس النسفيّ، والشيخ أحمد بن الحسين الخزاعيّ النيسابوريّ، والشيخ أبو الصلاح الحلبيّ، والشيخ أبو عليّ الحسن ابن شيخ الطائفة نفسه، وغيرهم من علماء 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كان رحمه الله ذا إحاطة تامّة بمذاهب أهل السنّة، لذا عده السبكيّ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طبقاته من علماء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كان خبيراً بعلم الكلام ملمّاً بدقائقة وخفاياه، ولعلّ أبرز ما أنجزه الشيخ الطوسي هو أنّه أدخل عنصر الاجتهاد على الفقه الإماميّ، ونحا به منحى اصوليّاً بعد أن كان أخباريّاً في نزعته؛ لا يتجاوز نقل الروايات بألفاظها أو بعبارات اخرى على أحسن تقدير، كما صرّح به الشيخ نفسه في مقدّمة كتابه المبسوط</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المفيد قدس سره في كتاب المقنعة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أنوار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العلّامة المدقّق الشيخ؛ أبو القاسم جعفر بن الحسن بن يحيى بن سعيد الهذليّ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حاله في الفضل والعلم، والثقة والجلالة، والتحقيق والتدقيق، والفصاحة والشعر والأدب والإنشاء، وجميع العلوم والفضائل والمحاسن، أشهر من أن يذكر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وتلمّذ لدى والده الشيخ الحسن بن يحيى والسيّد النسّابة فخار بن معد الموسويّ، والفقيه محمّد بن جعفر بن أبي البقاء وغيرهم، وتخرّج به ابن اخته العلّامة الحلّي، والشيخ الحسن بن داود صاحب الرجال، والسيّد محمّد بن عليّ بن طاوس، والشيخ الحسن بن أبي طالب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بالفاضل الآبيّ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وآخرون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واحد أهل زمانه، وأقومهم بالحجّة، وأسرعهم استحضاراً، ولم يكن له نظير في زمانه، حتّى وصفه العلّامة في بعض إجازاته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كان أفضل أهل زمانه في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ويشهد بذلك أنَّ 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الإطلاق، ينصرف إليه خاصّة، رغم كثرة المحقّقين من علماء الطائفة المحقّة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جمع في شرائعه لبّ نهاية الشيخ التي هى مضامين الأخبار، وعصارة المبسوط والخلاف والسرائر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مؤلّفاته شرائع الإسلام، المختصر النافع، المعتبر في شرح المختصر، المسلك في اصول الدين، المعارج في اصول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رحمه الله سنة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صلى الله عليه و آله و سلم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الثقة الوجيه الفقيه المقرئ؛ أبو الربيع سليمان بن خالد بن دهقان بن نافلة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الباقر والصادق عليهما السلام، وكان من خاصّة الإمام الصادق عليه السلام وبطانته، وثقاته الفقهاء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مع زيد بن عليّ رضوان اللَّه عليه فقطعت يده، ولذا 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عنهما عليهما السلام وعن أبي بصير، وروى عنه إسحاق بن عمّار وجميل بن درّاج، وهشام بن سالم، مات في حياة الصادق عليه السلام فتوجّع لفقده، ودعا لولده، وأوصى بهم أصحابه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الفاضل الثقة؛ أبو يعقوب إسحاق بن عمّار بن حيّان الصيرفي الكوفي، مولى بني تغلب، جمع اللَّه له الدنيا والآخرة؛ فكان من بيت كبير من بيوت الشيعة، ثريّاً ورعاً تقيّاً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الباقر والصادق والكاظم عليهم السلام وعن أبي بصير، وعبد اللَّه بن أبي يعفور، وعمر بن يزيد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عنه، إبراهيم بن مهزم، وعليّ بن رئاب، ويونس بن عبد الرحمان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وما 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صلى الله عليه و آله و سلم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عليه السلام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تعالى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يَخْشَى اللَّهَ مِنْ عِبادِهِ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وفي رواية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i</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حصون المسلمين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الإمام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i</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العالم على العابد كفضلي على أدناكم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كالمحكيّ عن الإمام العسكريّ عليه السلام من قوله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i</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من كان من الفقهاء صائناً لنفسه، حافظاً لدينه، مخالفاً على هواه، مطيعاً لأمر مولاه، فللعوام أن يقلّدوه، وذلك لا يكون إلّافي بعض فقهاء الشيعة، لا كلّهم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حنظلة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صخر، عمر بن حنظلة الكوفيّ العجليّ البكريّ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صحب الصادقين عليهما السلام، وكان كثير الرواية، فقد روى عن الصادق عليه السلام وحُمران بن أعين، وروى عنه الأجلّاء من أمثال زرارة، وعبد اللَّه بن مسكان، وصفوان بن يحيى</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وتدلّ عليه رواية عبد اللَّه بن أبي يعفور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لأبى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ليس كلّ ساعة ألقاك، ولا يمكن القدوم، ويجي‌ء الرجل من أصحابنا فيسألني، وليس عندي كلّ ما يسألني عنه، فقال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التعادل والترجيح، العلّامة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خديجة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الصالح الثقة الثقة؛ سالم بن مُكْرَم بن عبد اللَّه الكُناسيّ، صاحب الغنم، مولى بني أسد الجمّال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يكنّى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 خديجة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فكنّاه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سالم أوّلًا من أصحاب أبي الخطّاب، فبعث والي الكوفة إليهم رجلًا فقتلهم جميعاً، ولم يفلت منهم إلّاأبو خديجة، فقد سقط على الأرض جراء الجراحات التي أصابته، فلمّا جنّه اللّيل خرج من بينهم وتاب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الصادق والكاظم عليهما السلام وعن سعدالإسكاف، والمعلّى بن خنيس، وروى عنه أحمد بن عائذ، وعبد الرحمان بن أبي هاشم، وعبد الرحمان بن محمّد الأسدي</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في الصفحة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الثقة؛ عبد اللَّه بن ميمون بن الأسود المكّي، مولى بني مخزوم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يبري القداح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السهام قبل أن تُراشَ وتركّب نُصولها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أنّ الإمام الصادق عليه السلام وصفه بأنّه</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محبوب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هوشيخ القمّيين في زمانه، الفقيه الثقة العين؛ أبو جعفر محمّد بن عليّ بن محبوب الأشعريّ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صحيح المذهب، كثيرالرواية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أحمد بن محمّد ابن عيسى وأحمد بن محمّد بن خالد، وعليّ بن السنديّ، ومحمّد بن الحسين بن أبي الخطّاب، ويعقوب بن شعيب، وروى عنه أحمد بن إدريس، وابن بطة، ومحمّد بن يحيى العطّار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طاب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بجميع كتبه ورواياته الحسين بن عبيداللَّه، وابن أبي جيد، عن أحمد بن محمّد بن يحيى عن أبيه، عن محمّد بن عليّ بن محبوب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وأخبرنا بها أيضاً جماعة، عن أبي المفضّل، عن ابن بطة، عنه وأخبرنا بها أيضاً جماعة، عن محمّد بن عليّ بن الحسين، عن أبيه ومحمّد بن الحسن، عن أحمد بن إدريس،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الكنية مشتركة بين أبي الجهم بن الحرث الذى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اسمه عبد اللَّه، وأبي الجهم الكوفيّ؛ أي ثوير بن أبي فاخته، وأبي الجهم الشيباني؛ بكير بن أعين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الاجتهاد والتقليد، المحقّق الأصفهاني، ضمن بحوث في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القضاء في اللّغة على وجوه، مرجعها انقطاع الشي‌ء وتمامه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جهة الوشّاء كما يأتي في الصفحة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التهذيب والوسائل، والموجود في الكافي والفقيه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ملحقات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واستدلال السيّد اليزدي قدس سره إنّما هو في خصوص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وقد استدلّ بها في 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المعلّى بن خنيس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اللَّه؛ المعلّى بن خنيس البزّاز 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مولى للإمام الصادق عليه السلام، ومن قوّامه، ممدوحاً عنده عليه السلام، وإنّما قتله داود بن عليّ بسبه، حتّى مضى على منهاجه، وقد توجّع عليه السلام لقتله، حتّى قال لداود بن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داود، على ما قتلت مولاي وقيّمي في ما لي وعلى عيالي؟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إنّه لأوجه عند اللَّه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أفاد الشيخ الطوسي في غيبته، ولكن عن ابن الغضائري أنّ سبب قتله هو دعوته إلى محمّد بن عبد اللَّه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بالنفس الزكيّة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لذا ضعّفه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أيّ حال فقد روى عن الصادق والكاظم عليهما السلام وعن أبي الصامت، والمفضّل بن عمر، ويونس بن ظبيان، وروى عنه إسحاق بن عمّار، وداود بن فرقد، وجميل بن درّاج، وهشام بن سالم وغيرهم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فقيه الإماميّة الكبير، مربيّ العلماء، وشيخ الفقهاء؛ الشيخ محمّد حسن ابن الشيخ باقر النجفيّ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عن الشيخ كاشف الغطاء، وولده الشيخ موسى وعن صاحب مفتاح الكرامة وعن صاحب الرياض قليلًا، وتتلمذ عليه الميرزا حبيب اللَّه الرشتي، والسيّد حسين الكوه كمريّ، والشيخ حسن المامقاني وغيرهم، وانتهت إليه رئاسة الطائفة في منتصف القرن الثالث عشر، فصار مرجعاً للتقليد في سائر الأقطار، وأذعن معاصروه بفضله وتقدّمه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صاحب الموسوعة الفقهيّة العظيمة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قضى في تأليفها ثلاثين عاماً وله رسالة عملية سمّاها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نجاة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مقالات اصوليّة ورسائل شتّى، وهو الذى سنّ الخروج إلى مسجدي الكوفة والسهلة في خصوص ليلة الأربعاء للدعاء والابتهال والتضرّع إليه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رحمه الله سنة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عائذ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الثقة؛ أبو عليّ أحمد بن عائذ بن حبيب الأحمسيّ العبسيّ البجليّ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صحب الباقر والصادق والكاظم عليهم السلام ولازم أبا خديجة؛ سالم بن مُكْرَم، وأخذ عنه، وعرف به، كما روى عن الحسين بن المختار، وعمر بن اذينة، وروى عنه أحمد بن محمّد بن أبي نصر، والحسن بن عليّ بن فضال، والوشّاء، ومحمّد بن عمر بن بزيع</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يعهد رواية ابن أبي عمير عن الوشاء إلّاما ذكره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الباقون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الجليل الفقيه الأوحديّ الثقة، أبو أحمد محمّد بن زياد بن عيسى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 الكاظم عليه السلام وسمع منه أحاديث، كنّاه في بعضها عليه السلام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روى عن الإمامين الرضا والجواد عليهما السلام وعن أبي بصير، وأبان بن عثمان، وعمر بن اذينة، وروى عنه أحمد بن محمّد بن عيسى، وأحمد بن محمّد بن خالد وسهيل بن زياد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بحراً طارساً بالموقف والمذهب، جليل القدر، عظيم المنزلة عند الخاصّة والعامّة، ومن أوثق الناس وأورعهم وأعبدهم، أجمع أصحابنا على تصحيح ما يصحّ عنه وتصديقه، وأقرّوا له بالفقه والعلم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قد سعي به إلى الخليفة العبّاسي يومذاك أنّه يعرف أسامي عامّة الشيعة بالعراق، فأمره أن يسمّيهم فامتنع، فضرب مائة سوط، فلم يخبر، ولكنّه غرم مائة ألف درهم فخلّي عنه، وفي تلك الفترة العصيبة هلكت كتبه لسبب أو لآخر، فحدّث من حفظه وما كان سلف له في أيدي الناس، فلذا سكن أصحابنا إلى مراسيله، ولم يفرّقوا بينها وبين مسانيده؛ لأنّه لا يرسل إلّاعن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قدس سره سنة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الثقة؛ أبو جعفر 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المكنّى بأبي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خالد البرقيّ صحب الإمامين الجواد والهادي صلوات اللَّه 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ثقة في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إلّاأنّه روى عن الضعفاء، واعتمد المراسيل، شأنه في ذلك شأن أهل الأخبار، لذا طعن عليه القمّيون، وأبعده رئيس قم؛ أحمد بن محمّد بن عيسى عنها، ثمّ أعاده إليها واعتذر إليه، ولمّا مات البرقيّ سنة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مشى ابن عيسى في جنازته حافياً حاسراً؛ ليبرّى نفسه ممّا قذفه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أبيه، وعن عثمان بن عيسى، ومحمّد بن علي، وروى عنه سعد بن عبد اللَّه، وسهل بن زياد، وعليّ بن محمّد ماجيلويه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كأيّوب بن نوح، وعلي بن الحسن بن فضّال، وعبد اللَّه بن الصلت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في طريق الصدوق قدس سره لأبي الحسن النهديّ، وأحمد بن عائذ وغيرهما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ومشيخة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الثقة الوجيه؛ أبو عليّ عبيداللَّه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عليّ بن أبي شعبة الحلبيّ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يتّجر هو وأبوه وإخوته إلى حلب، فعرفوا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اسرة معروفة في الكوفة، يرجع إليها في أقوالها، ويعدّ عبيداللَّه كبيرها ووجهها، صنّف كتابه المعروف، وعرضه على الإمام الصادق عليه السلام فلمّا رآه استحسنه وصحّحه قائلًا 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أترى لهؤلاء مثل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عليه السلام، وروى عن عبيداللَّه هذا أحمد بن عائذ، وحمّاد بن عثمان، وعبد اللَّه بن مسكان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ونهاية الدراية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ليلى هو محمّد بن عبد الرحمان بن أبي ليلى يسار الأنصاري القاضي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وصحب الصادق عليه السلام وكان من أصحاب الرأي فقيهاً مفتياً، وتولّى القضاء بالكوفة، وأقام حاكماً ثلاثاً وثلاثين سنة، ولي لبني امّية أوّلًا، ثمّ لبني العبّاس، وكان سيئ الحفظ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شبرمة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شُبْرُمة بن الطفيل الضبيّ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قاضياً لأبي جعفر المنصور على سواد الكوفة، شاعراً جواداً، قليل الحديث، ومن أصحاب الرأى والقياس، وكان عيسى بن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العهد بعد 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يقطع أمراً 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الآشتياني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قدس سره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الإمام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الآشتياني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والبيع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 بحث النائيني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الشيخ محمّدتقي الآملي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جامع الشتات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الفقيه، العالم والعامل الثقة؛ أبو الحسن معاوية بن وهب البجليّ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حسن الطريقة ممدوحاً، لا مطعن عليه ولا ذمّ، روى عن الإمامين الهمامين الصادق والكاظم عليهما السلام، كما روى عن أبي بصير، وزرارة، وعبيد بن زرارة، وروى عنه الحسن بن محبوب، ويونس بن عبد الرحمان وابن أبي عمير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كتاب الوكالة، أبواب أحكام الوكالة،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العالم المتكلّم الثقة الثقة؛ أبو الحكم هشام بن سالم الكوفيّ الجواليقيّ العلّاف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صحب الصادق والكاظم عليهما السلام، وكان من الرؤساء والأعلام المأخوذ منهم الحلال والحرام، والفتيا والأحكام، الذين لا يطعن عليهم بشي‌ء، ولا طريق إلى ذمّ واحد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جابر بن يزيد الجعفيّ، وسليمان بن خالد، وسَماعة بن مهران، وروى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عمير، وصفوان، والبزنطي</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كتاب الوكالة، أبواب أحكام الوكالة،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أنوار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الذريعة إلى اصول الشريعة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ومنية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ومطارح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السطر الأخير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الأوّل، وقوانين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مفاتيح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تقدّم في الصفحة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العلّامة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العضدي على مختصر ابن الحاجب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مناهج الأحكام والاصول، المحقّق النراقي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مفاتيح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درر الفوائد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نهاية الأفكار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 من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تعالى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تَقْفُ ما لَيْسَ لَكَ بِهِ 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المحدّث الأسترآبادي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في إبطال التمسّك بالاستنباطات الظنيّة في نفس أحكامه تعالى، والتمسّك فيه بالظنّ يشتمل على دور ظاهر، مع أنّه معارض بأقوى منه؛ من الآيات الصريحة في النهي عن العمل بالظنّ المتعلّق بنفس أحكامه تعالى، والروايات الصريحة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الأوّل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وما قرّر في نهاية الأفكار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 من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يعفور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الجليل العالم الفقيه الثقة الثقة، أبو محمّد عبد اللَّه بن أبي يعفور، واسم أبيه واقد أو وقدان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خواصّ أصحاب الإمام الصادق عليه السلام كريماً عليه، ومن أهل الورع والاجتهاد، وكان يقرئ القرآن في مسجد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عليه السلام وعن أخيه عبد الكريم ابن أبي يعفور، وأبي الصامت، وروى عنه إسحاق بن عمّار، والحسين بن المختار، ومنصور ابن حازم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رضوان اللَّه عليه في حياة الإمام الصادق عليه السلام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أبان بن تغلب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هوالشيخ المقرئ، الفقيه اللّغوي الثقة؛ أبو سيعد أبان بن تغلب بن رباح البكريّ الجريريّ الكنديّ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عظيم المنزلة في أصحابنا، مقدّماً في كلّ فنّ من العلوم، سواء في ذلك القرآن، والفقه، والحديث، والأدب، واللغة، والنحو، لقي الإمام زين العابدين والإمامين الصادقين عليهم السلام وكانت له عندهم منزلة وقدم، كان إذا حلّ بالمدينة تقوّضت إليه الحلق، واخليت له سارية النبي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أبي حمزة الثماليّ، وزرارة، وسعيد بن المسيّب، وروى عنه جميل بن درّاج، وعليّ بن رئاب، ومنصور بن حازم مات أبان رضي اللَّه عنه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فقال أبو عبد اللَّه الصادق عليه السلام لمّا أتاه نعيه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بعضها في الصفحة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راجع نهاية الأفكار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 من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الثقة الوجيه، والعالم الفقيه؛ يحيى بن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ابن أبي القاسم؛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مكفوفاً، ورأى الدنيا مرّتين ببركة الإمامين الصادقين عليهما السلام ويمنهما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عنهما صلوات اللَّه عليهما، وروى عنه أبو خديجة، وأبان بن عثمان، وإسحاق بن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أيضاً ممّن أجمع الأصحاب على تصديقه، وممّن أقرّوا له بالفقه والجلالة، وكان عليّ بن أبى حمزة البطائنيّ، قائده وتلميذه والراوي عنه كثيراً مات رحمه الله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شيخ الفقهاء والمجتهدين، الإمام المحقّق الكامل؛ فخر الدين أبو عبد اللَّه محمّد بن إدريس العجليّ الربعيّ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وكان عديم النظير في الفقه، كما في الوافي بالوفيّات، كثير التصانيف، ولكنّه لم يعمل بخبر الواحد، وكانت تربطه بالشيخ الطوسي قدس سره صلة رحم، لذا عبّر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عربيّ ابن مسافر، وأبي المكارم، وروى عنه محمّد بن نما، والسيّد فخار بن معد الموسويّ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مصنّفاته السرائر، ومنتخب كتاب 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نوّر اللَّه ضريحه سنة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العالم الفقيه الثقة؛ أبو جعفر أحمد بن محمّد بن عمرو بن أبي نصر زيد البزنطيّ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صحب الإمام الكاظم عليه السلام، ووقف عليه بعد وفاته، ولكنّه رجع لمّا ظهرت المعجزات على يد الرضا عليه السلام الدالّة على صحّة إمامته، فالتزم بالحجّة وقال بإمامته وإمامة مَن بعده من ولده، وصار عظيم المنزلة عنده وعند ابنه الإمام الجواد صلوات اللَّه عليهما، وهو ممّن أجمع أصحابنا على تصديقهم، والإقرار لهم بالفقه والعلم، روى عن أبان بن عثمان، وحنان بن سدير، وهشام بن سالم، وروى عنه أحمد بن محمّد بن عيسى وأحمد بن محمّد بن خالد، ومحمّد بن عيسى بن عبيد، ويعقوب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البزنطي رضى الله عنه سنة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نواقض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كتاب الغصب، أبواب الغصب،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أبواب إحياء الموات،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النفس وما يناسبه،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أسباط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الفقيه المقرئ الثقة؛ أبو الحسن عليّ بن أسباط بن سالم الكوفيّ الكنديّ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أوثق الناس وأصدقهم لهجة، صحب الإمامين الهمامين الرضا والجواد عليهما السلام، وكان فطحيّاً، وقد اختلف في توبته، فذهب محمّد بن مسعود إلى أنّه مات على الفطحيّة، وخالفه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إبراهيم بن أبي البلاد، والحسن بن الجهم، والعلاء بن رَزين، وروى عنه أحمد بن محمّد بن عيسى وأحمد بن محمّد بن خالد، وإبراهيم بن هاشم، ويعقوب بن يزيد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عليه السلام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عليه السلام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قثم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الصحابيّ التابعيّ الجليل، والعالم الفقيه؛ قُثَمْ بن العبّاس بن عبد المطّلب الهاشميّ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وجوه الصحابة والتابعين، كريماً جواداً، أمّره أميرالمؤمنين عليه السلام على مكّة المكرّمة، فلمّا توجه بسر بن أرطاة من قبل معاوية انهزم قثم منها، ودخلها بسر، فاستعمل عليها شيبة بن عثمان، وخرج منها، ثمّ رجع قثم فغلب عليها، وبقي على مكّة إلى أن استشهد أميرالمؤمنين 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شارك في جيش سعيد بن عثمان بن عفّان، حتّى قتل في سمرقند سنة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السفير الثالث للحجّة المنتظر صلوات اللَّه عليه، وبابه ونائبه؛ أبو القاسم الحسين بن روح النوبختيّ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قبل تشرّفه بمقام السفارة وكيلًا للنائب الثاني؛ أبي جعفر محمّد بن عثمان العمريّ، فكان ينظر له في أملاكه سنين عديدة، ويلقى بأسراره الرؤساء من الشيعة، وكان خصّيصاً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فحصل له في أنفس الشيعة مقام جليل؛ لمعرفتهم باختصاصه بالعمريّ، وتوثيقه عندهم، ونشر فضله ودينه، فتمهّدت له الحال في طول حياة العمريّ إلى أن انتهت الوصيّة إليه بالنصّ عليه، فلم تختلف الشيعة في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 القاسم رضوان اللَّه عليه من أعقل الناس عند المخالف والموافق، ويستعمل التقيّة، وكانت العامّة أيضاً تعظّمه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 نائباً أكثر من عشرين عاماً حتّى وافته المنيّة سنة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الوضوء،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المتكلّم الفقيه الثقة؛ أبو محمّد يونس بن عبد الرحمان مولى علي بن يقطين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وجهاً في أصحابنا، متقدّماً، عظيم المنزلة، رأى الإمام الصادق عليه السلام بين الصفا والمروة، ولم يروِ عنه، وروى عن الإمامين الكاظم والرضا صلوات اللَّه 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الإمام الرضا عليه السلام يشير إليه في العلم والفتوى، 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كان رحمه الله سلمان زمانه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أبان بن عثمان، وعبد الرحمان بن الحجّاج، وهشام بن الحكم، وروى عنه العبّاس بن معروف، ومحمّد بن خالد البرقيّ ومحمّد بن عيسى اليقطينيّ</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الحيض،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لإيضاح هذه الموارد طهارة الإمام العلّامة الأكبر الخميني قدس سره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العالم الفقيه الثقة؛ عبد الأعلى بن أعين مولى آل 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فقهاء أصحاب الإمام الصادق عليه السلام والأعلام والرؤساء، المأخوذ عنهم الحلال والحرام، والفتيا والأحكام، الذين لا يطعن عليهم، ولا طريق لذمّ واحد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سويد بن غفلة، والمعلّى بن خنيس، وأمّ فروة، وروى عنه ثعلبة بن ميمون، وحمّاد بن عثمان، وسيف بن عميرة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الوضوء،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الغيبة،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بعضها في الصفحة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المقدّم الجليل، والرجاليّ الخبير؛ أبو عمرو محمّد بن عمر بن عبد العزيز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ثقة عيناً، بصيراً بالرجال والأخبار، حسن الاعتقاد، صحب العيّاشي، وأخذ عنه، وتخرج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الرجال المعروف والذي كان كثير الأغلاط، جامعاً للأخبار الواردة في حقّ رواة الخاصّة والعامّة، فعمد الشيخ الطوسي رحمه الله إلى تهذيبه، ومحّضه في رجال الخاصّة، مسميّاً إياه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باختيار معرفة الرجال</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المسيّب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الثقة؛ عليّ بن المسيّب الهمدانيّ، من أصحاب الرضا عليه السلام، روى عنه عليه السلام وعن زياد بن بلال، وروى عنه محمّد بن عيسى العبيدي، وأحمد بن الوليد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زكريّا بن آدم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الثقة الجليل الفقيه؛ أبو يحيى زكريّا بن آدم بن عبد اللَّه بن سعد الأشعري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صحب الإمامين الرضا والجواد عليهما السلام وكان عظيم القدر، مأموناً على الدين والدنيا، وفيّاً لهما، وذا مقام رفيع ومنزلة عالية عندهما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داود الرقي، والكاهلي، وروى عنه أحمد بن محمّد بن أبي نصر، وسعد بن سعد، ومحمّد بن خالد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كصحيحة ابن أبي يعفور الآتية في الصفحة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مفاتيح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مقباس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قوانين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تصادف</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مفاتيح الاصول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يعمل</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وقرّره في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راجع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وما قرّره في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ويأتي قريباً التعرّض لبعضها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تعالى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الَّذِينَ يَكْتُمُونَ ما أَنْزَلْنا مِنَ الْبَيِّناتِ وَ الْهُدى مِنْ بَعْدِ ما بَيَّنَّاهُ لِلنَّاسِ فِي الْكِتابِ أُولئِكَ يَلْعَنُهُمُ اللَّهُ وَ يَلْعَنُهُمُ اللَّاعِنُونَ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راجع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وما قرّر في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عوامّهم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رسالة في الاجتهاد والتقليد، الشيخ الأعظم الأنصاري، ضمن مجموعة 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جماعة، منهم المحقّق الطوسي في بعض رسائله، انظر قوانين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التفسير رواه الصدوق، عن محمّد بن القاسم الأسترآبادي، عن يوسف بن محمّد بن زياد، وعلي بن محمّد بن سيار، عنه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وحيث إنّ وثاقة الأسترآبادي ومن يروى عنهما ممنوعة، فلا سبيل إلى تحديد زمان التأليف بشكل دقيق</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قوله عليه السلام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وما قرّره في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قوله عليه السلام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الغيبة،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راجع مناهج الأحكام والاصول للنراقي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وما قرّر في رسالة في الاجتهاد والتقليد، الشيخ الأعظم الأنصاري، ضمن مجموعة 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التوقيع مرويّ عن الكليني رحمه الله في غير الكافي، عن إسحاق بن يعقوب، وضعفه بإسحاق فإنّه لم يوثّق</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رواه الكشّي، عن جبريل بن محمّد الفاريابي، عن موسى بن جعفر بن وهب، عن أحمد ابن حاتم بن ماهويه، ولم يثبت توثيق من عدا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ودعوى وثاقة جبريل لرواية الكشّي عنه كثيراً، واعتماده عليه، وروايته لما وجده بخطّ جبريل، ووثاقة موسى لوقوعه في أسانيد كامل الزيارة، ووثاقة أحمد لما أفاده المحقّق الداماد في ترجمته، ممنوعة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حاتم بن ماهويه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الحسن أحمد بن حاتم بن ماهويه القزويني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كثير الرواية، مستقيماً في العقيدة، سالماً من الطعن روى عن الرضا عليه السلام، وروى عنه موسى بن جعفر بن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المحقّق الداماد قدس سره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لأحمد بن حاتم بن ماهويه القزويني ثلاثة إخوة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وانظر ما قرّره في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ما قبل الأخير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 الشيخ الأعظم، ضمن مجموعة 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تخريج المقبولة والمشهورة أخيراً في الصفحة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الذريعة إلى اصول الشريعة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ومعالم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الأوّل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آية اللَّه الشيخ الفقيه الاصوليّ الأديب، جامع المعقول والمنقول؛ محمّد حسين بن محمّد حسن الأصفهاني الكمپاني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النجف الأشرف سنة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من أسرة كريمة وثريّة، وتعلّم الخطّ منذ حداثته، فأظهر في جميع أنواعه براعة فائقة، حتّى صار من مشاهير الخطّاطين البارعين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طلب العلم في سنّ مبكّرة، فحضر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يبلغ العشرين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المحقّق الخراسانيّ فقهاً واصولًا، واختصّ به، ولازمه مدّة ثلاثة عشر عاماً إلى حين وفاته، وحضر قليلًا على السيّد المحقّق الفشاركي الأصفهاني، وأمّا في الفلسفة فقد تخرّج على الفيلسوف المعروف محمّد باقر الاصطهباناتيّ، ثمّ استقل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وفاة استاذه الآخوند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بالبحث والتدريس، فحضر عليه الكثيرون من مشاهير علماء العصر، وأنهى عدّة دراسات في الفقه والاصول، حتّى وافاه الأجل المحتوم في فجر الخامس من ذي الحجّة عام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أهمّ وأبرز ما خلّفه من تراثه العلميّ حاشيتاه على الكفاية والمكاسب</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الاجتهاد والتقليد، ضمن بحوث في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تهذيب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في الصفحة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الأحياء إذا لم يجز تقليدهم لجهة، بل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مفاتيح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الأحكام والاصول المحقّق النراقيّ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الأخير، 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الاجتهاد والتقليد، آية اللَّه العظمى الأراكي، ضمن كتاب البيع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آية اللَّه العظمى المحقّق، الزاهد العابد الشيخ عبد الكريم الحائريّ اليزديّ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قرية مهرجرد سنة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وكان مبدأ تحصيله في يزد، ثمّ هاجر إلى العراق فتلمّذ في المتون على العلّامتين الميرزا إبراهيم الشيرواني، والشيخ فضل اللَّه النوري، وفي الأبحاث الخارجة على المحقّقين السيّد الفشاركيّ والآخوند الخراساني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له مقام سام ودرجة رفيعة عند الميرزا محمّد تقيّ الشيرازي، لذا أرجع الميرزا مقلّديه إليه في موارد الاحتياط من فتاواه، فحاز بذلك ثقة العامّة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هاجر إلى إيران أثناء الحرب العالميّة الاولى فسكن مدينة أراك مدّة، ثمّ استقرّ به المقام في مدينة قم المشرّفة، فتقاطر إليه العلماء الفضلاء من كلّ صوب وحدب، وغصّت المدارس بهم، وقام بأعباء تعليمهم وإعاشتهم، وقرّر الامتحان السنويّ والإشراف على التعليم، ويعدّ إمامنا الراحل الخميني العظيم طاب ثراه من أكابر تلاميذه والمتخرّجين به ومنهم أيضاً آية اللَّه العظمى الأراكي وآية اللَّه الثقفيّ وغيرهم كثيرون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له خدمات جليلة للإسلام والمسلمين، ومآثر خالدة، وصفات حميدة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 بالرفيق الأعلى سنة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درر الفوائد، وكتاب الصلاة، وتقرير أبحاث استاذه السيّد الفشاركيّ</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الهامش الأوّل من الصفحة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في الصفحة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العالم الفقيه، الثقة الثقة؛ أبو ناشرة سَماعة بن مِهْران الحضرميّ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أصحاب الاصول المدوّنة، والمصنّفات المشهورة، ومن الأعلام الرؤساء، المأخوذ عنهم الحلال والحرام، والفتيا والأحكام، وكان يتّجر بالقزّ، وسكن الكوفة، روى عن الصادق والكاظم عليهما السلام، وروى عنه أحمد بن محمّد بن أبي نصر، والحسن بن محبوب، ومحمّد بن أبي عمير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لاتعمل بواحد منهما حتّى تلقى صاحبك فتسأل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الأثيريّة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التعادل والترجيح، العلّامة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مفاتيح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الأحكام والاصول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الأخير، 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الوافية في اصول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مفاتيح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مفاتيح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مقالات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رسالة الاجتهاد والتقليد، المحقّق الأصفهاني، ضمن بحوث في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الاستاذ الإمام المؤسّس، والفقيه الاصوليّ المتبحّر، شيخ مشايخ الإماميّة؛ مرتضى ابن الشيخ محمّد أمين الأنصاريّ التستريّ الدزفوليّ النجفيّ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ودرس عند السيّد المجاهد، وشريف العلماء، والشيخين موسى وعليّ كاشف الغطاء، والموسى النراقيّ وجمع بين الحفظ وسرعة الانتقال، واستقامة الذهن، وجودة الرأي، فلم يعيه حلّ مشكلة، ولا جواب مسألة، وكان يُضرب به المثل في زهده، وتقواه، وورعه، وعبادته، وقداسته، عالي الهمة أبيّاً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انتهت إليه رئاسة الإماميّة على الإطلاق، وأطبقت الشيعة على تقليده في شرق الأرض وغربها، وكان له في التدريس والتأليف طريق خاصّ؛ لما تمتّع به من طلاقة في القول، وفصاحة في النطق، وحسن تقريب آراء المحقّقين، وهو واضع أساس علم الاصول الحديث عند الشيعة، وطريقته الشهيرة المعروفة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أبرز تلامذته السيّد المجدّد الشيرازي، والميرزا حبيب اللَّه الرشتي، والآخوند الخراساني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مصنّفات مشهورة، صارت مدار حركة التدريس في حال حياته إلى يومنا هذا ألا وهي المكاسب والفرائد، بالإضافة إلى كتاب في الطهارة، وآخر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رحمه الله سنة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العلّامة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إلّاأنّه قدس سره أجاز إجراءه في الحكم الظاهريّ فراجع</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استصحاب رضا الشارع بالعمل ممّا لامانع منه؛ فإنّه وإن لم يكن حكماً، لكن مع التعبّد به يحكم العقل بجواز العمل، فهو مثل الحكم في ذلك منه قدس سره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الاستصحاب، العلّامة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الاستصحاب، العلّامة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وفيه نفي الخلاف</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الأحكام والاصول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الأخير، 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راجع 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راجع 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كمحمّد بن الحسن بن الوليد، وجعفر بن محمّد بن قولويه، والشيخ المفيد وغيره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السيّد على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النفس وما يناسبه،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النجاسات،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تعرف</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نواقض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النجاسات،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المستصفى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الغيبة،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بأيّهما أخذت من باب التسليم كان صواباً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الغيبة،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الاجتهاد والتقليد، آية اللَّه المحقّق الأراكي، ضمن كتاب البيع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مناهج الأحكام والاصول، المحقّق النراقي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الأخير،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 الشيخ الأعظم الأنصاريّ، ضمن مجموعة 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حاشية الآخوند على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سيّد علماء الامّة، وعلم هداها، الإمام الفقيه، المتكلّم الأديب؛ أبوالقاسم عليّ بن الحسين بن موسى الموسوي المرتضى ولد سنة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وتخرّج بالشيخ المفيد قدس سره، حتّى تفرّد بالعلوم، وحاز منها ما لم يدانه فيها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رحمه الله معروفاً بالعلم مع العمل الكثير في السرّ، وبالمواظبة على تلاوة القرآن، وقيام اللّيل، وإفادة العلم، مع ما كان عليه من البلاغة وفصاحة اللهجة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انتهت إليه الرئاسة في المجدوالشرف والعلم والأدب والفضل والكرم، ولمّا يبلغ العشرين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أوّل من جعل داره داراً للعلم، وقدّرها للمناظرة، كما أ نّه طاب ثراه أوّل من بسط كلام الشيعة الإماميّة في الفقه، وناظر الخصوم، واستخرج الغوامض، وقيّد المسائل، لذا عدّه ابن الأثير مجدّدمذهب الإماميّة على رأس المائة الرابعة للهجرة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كتب في علوم القرآن وتفسيره والكلام والفقه واصوله والأدب والشعر، تنوف على الثمانين كتاباً توفيّ رحمه الله سنة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العلّامة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فوائدالاصول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صوّت عند الغليان، راجع أقرب الموارد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أبواب الأشربة المحرمة،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هذا والموجود في المصادر تقديم النشيش على الغليان، فراجع</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في الصفحة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 الاستصحاب، العلّامة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وهذه الرسالة في الصفحة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image" Target="media/image2.jpeg"/><Relationship Id="rId214" Type="http://schemas.openxmlformats.org/officeDocument/2006/relationships/image" Target="media/image2.jpeg"/><Relationship Id="rId215" Type="http://schemas.openxmlformats.org/officeDocument/2006/relationships/footer" Target="footer208.xml"/><Relationship Id="rId216" Type="http://schemas.openxmlformats.org/officeDocument/2006/relationships/footnotes" Target="footnotes.xml"/><Relationship Id="rId217" Type="http://schemas.openxmlformats.org/officeDocument/2006/relationships/numbering" Target="numbering.xml"/><Relationship Id="rId218" Type="http://schemas.openxmlformats.org/officeDocument/2006/relationships/fontTable" Target="fontTable.xml"/><Relationship Id="rId219" Type="http://schemas.openxmlformats.org/officeDocument/2006/relationships/settings" Target="settings.xml"/><Relationship Id="rId2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213</Pages>
  <Words>38281</Words>
  <Characters>176334</Characters>
  <CharactersWithSpaces>212826</CharactersWithSpaces>
  <Paragraphs>2190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2026-08-16T16:54:00Z</dcterms:created>
  <dc:creator>ghaemiyeh.com</dc:creator>
  <dc:description/>
  <dc:language>en-US</dc:language>
  <cp:lastModifiedBy/>
  <dcterms:modified xsi:type="dcterms:W3CDTF">2026-08-16T20:24:07Z</dcterms:modified>
  <cp:revision>1</cp:revision>
  <dc:subject/>
  <dc:title>الاجتهاد و التقلید</dc:title>
</cp:coreProperties>
</file>

<file path=docProps/custom.xml><?xml version="1.0" encoding="utf-8"?>
<Properties xmlns="http://schemas.openxmlformats.org/officeDocument/2006/custom-properties" xmlns:vt="http://schemas.openxmlformats.org/officeDocument/2006/docPropsVTypes"/>
</file>