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الاخوه الاسلامیه فی منظار ائمه اهل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156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3158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3160_383892988">
            <w:r>
              <w:rPr>
                <w:webHidden/>
                <w:rStyle w:val="IndexLink"/>
                <w:rtl w:val="true"/>
              </w:rPr>
              <w:t>المقدمه</w:t>
            </w:r>
            <w:r>
              <w:rPr>
                <w:rStyle w:val="IndexLink"/>
                <w:rtl w:val="true"/>
              </w:rPr>
              <w:tab/>
            </w:r>
            <w:r>
              <w:rPr>
                <w:rStyle w:val="IndexLink"/>
              </w:rPr>
              <w:t>5</w:t>
            </w:r>
          </w:hyperlink>
        </w:p>
        <w:p>
          <w:pPr>
            <w:pStyle w:val="Contents2"/>
            <w:tabs>
              <w:tab w:val="clear" w:pos="8743"/>
              <w:tab w:val="right" w:pos="9026" w:leader="dot"/>
            </w:tabs>
            <w:rPr/>
          </w:pPr>
          <w:hyperlink w:anchor="__RefHeading___Toc253162_383892988">
            <w:r>
              <w:rPr>
                <w:webHidden/>
                <w:rStyle w:val="IndexLink"/>
                <w:rtl w:val="true"/>
              </w:rPr>
              <w:t>الإهداء</w:t>
            </w:r>
            <w:r>
              <w:rPr>
                <w:rStyle w:val="IndexLink"/>
                <w:rtl w:val="true"/>
              </w:rPr>
              <w:tab/>
            </w:r>
            <w:r>
              <w:rPr>
                <w:rStyle w:val="IndexLink"/>
              </w:rPr>
              <w:t>6</w:t>
            </w:r>
          </w:hyperlink>
        </w:p>
        <w:p>
          <w:pPr>
            <w:pStyle w:val="Contents2"/>
            <w:tabs>
              <w:tab w:val="clear" w:pos="8743"/>
              <w:tab w:val="right" w:pos="9026" w:leader="dot"/>
            </w:tabs>
            <w:rPr/>
          </w:pPr>
          <w:hyperlink w:anchor="__RefHeading___Toc253164_383892988">
            <w:r>
              <w:rPr>
                <w:webHidden/>
                <w:rStyle w:val="IndexLink"/>
                <w:rtl w:val="true"/>
              </w:rPr>
              <w:t>هويّة المسلم</w:t>
            </w:r>
            <w:r>
              <w:rPr>
                <w:rStyle w:val="IndexLink"/>
                <w:rtl w:val="true"/>
              </w:rPr>
              <w:tab/>
            </w:r>
            <w:r>
              <w:rPr>
                <w:rStyle w:val="IndexLink"/>
              </w:rPr>
              <w:t>7</w:t>
            </w:r>
          </w:hyperlink>
        </w:p>
        <w:p>
          <w:pPr>
            <w:pStyle w:val="Contents3"/>
            <w:tabs>
              <w:tab w:val="clear" w:pos="8459"/>
              <w:tab w:val="right" w:pos="9026" w:leader="dot"/>
            </w:tabs>
            <w:rPr/>
          </w:pPr>
          <w:hyperlink w:anchor="__RefHeading___Toc253166_383892988">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53168_383892988">
            <w:r>
              <w:rPr>
                <w:webHidden/>
                <w:rStyle w:val="IndexLink"/>
              </w:rPr>
              <w:t>1</w:t>
            </w:r>
            <w:r>
              <w:rPr>
                <w:rStyle w:val="IndexLink"/>
                <w:rtl w:val="true"/>
              </w:rPr>
              <w:t xml:space="preserve">- </w:t>
            </w:r>
            <w:r>
              <w:rPr>
                <w:rStyle w:val="IndexLink"/>
                <w:rtl w:val="true"/>
              </w:rPr>
              <w:t>حرمة دمه</w:t>
            </w:r>
            <w:r>
              <w:rPr>
                <w:rStyle w:val="IndexLink"/>
                <w:rtl w:val="true"/>
              </w:rPr>
              <w:tab/>
            </w:r>
            <w:r>
              <w:rPr>
                <w:rStyle w:val="IndexLink"/>
              </w:rPr>
              <w:t>8</w:t>
            </w:r>
          </w:hyperlink>
        </w:p>
        <w:p>
          <w:pPr>
            <w:pStyle w:val="Contents4"/>
            <w:tabs>
              <w:tab w:val="clear" w:pos="8176"/>
              <w:tab w:val="right" w:pos="9026" w:leader="dot"/>
            </w:tabs>
            <w:rPr/>
          </w:pPr>
          <w:hyperlink w:anchor="__RefHeading___Toc253170_383892988">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253172_383892988">
            <w:r>
              <w:rPr>
                <w:webHidden/>
                <w:rStyle w:val="IndexLink"/>
                <w:rtl w:val="true"/>
              </w:rPr>
              <w:t>قتل النفس المحترمة</w:t>
            </w:r>
            <w:r>
              <w:rPr>
                <w:rStyle w:val="IndexLink"/>
                <w:rtl w:val="true"/>
              </w:rPr>
              <w:tab/>
            </w:r>
            <w:r>
              <w:rPr>
                <w:rStyle w:val="IndexLink"/>
              </w:rPr>
              <w:t>8</w:t>
            </w:r>
          </w:hyperlink>
        </w:p>
        <w:p>
          <w:pPr>
            <w:pStyle w:val="Contents3"/>
            <w:tabs>
              <w:tab w:val="clear" w:pos="8459"/>
              <w:tab w:val="right" w:pos="9026" w:leader="dot"/>
            </w:tabs>
            <w:rPr/>
          </w:pPr>
          <w:hyperlink w:anchor="__RefHeading___Toc253174_383892988">
            <w:r>
              <w:rPr>
                <w:webHidden/>
                <w:rStyle w:val="IndexLink"/>
              </w:rPr>
              <w:t>2</w:t>
            </w:r>
            <w:r>
              <w:rPr>
                <w:rStyle w:val="IndexLink"/>
                <w:rtl w:val="true"/>
              </w:rPr>
              <w:t xml:space="preserve">- </w:t>
            </w:r>
            <w:r>
              <w:rPr>
                <w:rStyle w:val="IndexLink"/>
                <w:rtl w:val="true"/>
              </w:rPr>
              <w:t>حرمة أمواله</w:t>
            </w:r>
            <w:r>
              <w:rPr>
                <w:rStyle w:val="IndexLink"/>
                <w:rtl w:val="true"/>
              </w:rPr>
              <w:tab/>
            </w:r>
            <w:r>
              <w:rPr>
                <w:rStyle w:val="IndexLink"/>
              </w:rPr>
              <w:t>9</w:t>
            </w:r>
          </w:hyperlink>
        </w:p>
        <w:p>
          <w:pPr>
            <w:pStyle w:val="Contents4"/>
            <w:tabs>
              <w:tab w:val="clear" w:pos="8176"/>
              <w:tab w:val="right" w:pos="9026" w:leader="dot"/>
            </w:tabs>
            <w:rPr/>
          </w:pPr>
          <w:hyperlink w:anchor="__RefHeading___Toc253176_383892988">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253178_383892988">
            <w:r>
              <w:rPr>
                <w:webHidden/>
                <w:rStyle w:val="IndexLink"/>
                <w:rtl w:val="true"/>
              </w:rPr>
              <w:t>الحجر على الأموال</w:t>
            </w:r>
            <w:r>
              <w:rPr>
                <w:rStyle w:val="IndexLink"/>
                <w:rtl w:val="true"/>
              </w:rPr>
              <w:tab/>
            </w:r>
            <w:r>
              <w:rPr>
                <w:rStyle w:val="IndexLink"/>
              </w:rPr>
              <w:t>9</w:t>
            </w:r>
          </w:hyperlink>
        </w:p>
        <w:p>
          <w:pPr>
            <w:pStyle w:val="Contents4"/>
            <w:tabs>
              <w:tab w:val="clear" w:pos="8176"/>
              <w:tab w:val="right" w:pos="9026" w:leader="dot"/>
            </w:tabs>
            <w:rPr/>
          </w:pPr>
          <w:hyperlink w:anchor="__RefHeading___Toc253180_383892988">
            <w:r>
              <w:rPr>
                <w:webHidden/>
                <w:rStyle w:val="IndexLink"/>
                <w:rtl w:val="true"/>
              </w:rPr>
              <w:t>الامتناع من وفاء الدَّين</w:t>
            </w:r>
            <w:r>
              <w:rPr>
                <w:rStyle w:val="IndexLink"/>
                <w:rtl w:val="true"/>
              </w:rPr>
              <w:tab/>
            </w:r>
            <w:r>
              <w:rPr>
                <w:rStyle w:val="IndexLink"/>
              </w:rPr>
              <w:t>10</w:t>
            </w:r>
          </w:hyperlink>
        </w:p>
        <w:p>
          <w:pPr>
            <w:pStyle w:val="Contents4"/>
            <w:tabs>
              <w:tab w:val="clear" w:pos="8176"/>
              <w:tab w:val="right" w:pos="9026" w:leader="dot"/>
            </w:tabs>
            <w:rPr/>
          </w:pPr>
          <w:hyperlink w:anchor="__RefHeading___Toc253182_383892988">
            <w:r>
              <w:rPr>
                <w:webHidden/>
                <w:rStyle w:val="IndexLink"/>
                <w:rtl w:val="true"/>
              </w:rPr>
              <w:t>السفيه</w:t>
            </w:r>
            <w:r>
              <w:rPr>
                <w:rStyle w:val="IndexLink"/>
                <w:rtl w:val="true"/>
              </w:rPr>
              <w:tab/>
            </w:r>
            <w:r>
              <w:rPr>
                <w:rStyle w:val="IndexLink"/>
              </w:rPr>
              <w:t>10</w:t>
            </w:r>
          </w:hyperlink>
        </w:p>
        <w:p>
          <w:pPr>
            <w:pStyle w:val="Contents3"/>
            <w:tabs>
              <w:tab w:val="clear" w:pos="8459"/>
              <w:tab w:val="right" w:pos="9026" w:leader="dot"/>
            </w:tabs>
            <w:rPr/>
          </w:pPr>
          <w:hyperlink w:anchor="__RefHeading___Toc253184_383892988">
            <w:r>
              <w:rPr>
                <w:webHidden/>
                <w:rStyle w:val="IndexLink"/>
              </w:rPr>
              <w:t>3</w:t>
            </w:r>
            <w:r>
              <w:rPr>
                <w:rStyle w:val="IndexLink"/>
                <w:rtl w:val="true"/>
              </w:rPr>
              <w:t xml:space="preserve">- </w:t>
            </w:r>
            <w:r>
              <w:rPr>
                <w:rStyle w:val="IndexLink"/>
                <w:rtl w:val="true"/>
              </w:rPr>
              <w:t>المواريث</w:t>
            </w:r>
            <w:r>
              <w:rPr>
                <w:rStyle w:val="IndexLink"/>
                <w:rtl w:val="true"/>
              </w:rPr>
              <w:tab/>
            </w:r>
            <w:r>
              <w:rPr>
                <w:rStyle w:val="IndexLink"/>
              </w:rPr>
              <w:t>10</w:t>
            </w:r>
          </w:hyperlink>
        </w:p>
        <w:p>
          <w:pPr>
            <w:pStyle w:val="Contents3"/>
            <w:tabs>
              <w:tab w:val="clear" w:pos="8459"/>
              <w:tab w:val="right" w:pos="9026" w:leader="dot"/>
            </w:tabs>
            <w:rPr/>
          </w:pPr>
          <w:hyperlink w:anchor="__RefHeading___Toc253186_383892988">
            <w:r>
              <w:rPr>
                <w:webHidden/>
                <w:rStyle w:val="IndexLink"/>
              </w:rPr>
              <w:t>4</w:t>
            </w:r>
            <w:r>
              <w:rPr>
                <w:rStyle w:val="IndexLink"/>
                <w:rtl w:val="true"/>
              </w:rPr>
              <w:t xml:space="preserve">- </w:t>
            </w:r>
            <w:r>
              <w:rPr>
                <w:rStyle w:val="IndexLink"/>
                <w:rtl w:val="true"/>
              </w:rPr>
              <w:t>العلاقات الزوجيّة</w:t>
            </w:r>
            <w:r>
              <w:rPr>
                <w:rStyle w:val="IndexLink"/>
                <w:rtl w:val="true"/>
              </w:rPr>
              <w:tab/>
            </w:r>
            <w:r>
              <w:rPr>
                <w:rStyle w:val="IndexLink"/>
              </w:rPr>
              <w:t>11</w:t>
            </w:r>
          </w:hyperlink>
        </w:p>
        <w:p>
          <w:pPr>
            <w:pStyle w:val="Contents2"/>
            <w:tabs>
              <w:tab w:val="clear" w:pos="8743"/>
              <w:tab w:val="right" w:pos="9026" w:leader="dot"/>
            </w:tabs>
            <w:rPr/>
          </w:pPr>
          <w:hyperlink w:anchor="__RefHeading___Toc253188_383892988">
            <w:r>
              <w:rPr>
                <w:webHidden/>
                <w:rStyle w:val="IndexLink"/>
                <w:rtl w:val="true"/>
              </w:rPr>
              <w:t>الإسلام محبّةٌ ومودّة</w:t>
            </w:r>
            <w:r>
              <w:rPr>
                <w:rStyle w:val="IndexLink"/>
                <w:rtl w:val="true"/>
              </w:rPr>
              <w:tab/>
            </w:r>
            <w:r>
              <w:rPr>
                <w:rStyle w:val="IndexLink"/>
              </w:rPr>
              <w:t>13</w:t>
            </w:r>
          </w:hyperlink>
        </w:p>
        <w:p>
          <w:pPr>
            <w:pStyle w:val="Contents2"/>
            <w:tabs>
              <w:tab w:val="clear" w:pos="8743"/>
              <w:tab w:val="right" w:pos="9026" w:leader="dot"/>
            </w:tabs>
            <w:rPr/>
          </w:pPr>
          <w:hyperlink w:anchor="__RefHeading___Toc253190_383892988">
            <w:r>
              <w:rPr>
                <w:webHidden/>
                <w:rStyle w:val="IndexLink"/>
                <w:rtl w:val="true"/>
              </w:rPr>
              <w:t>المسلم أخو المسلم</w:t>
            </w:r>
            <w:r>
              <w:rPr>
                <w:rStyle w:val="IndexLink"/>
                <w:rtl w:val="true"/>
              </w:rPr>
              <w:tab/>
            </w:r>
            <w:r>
              <w:rPr>
                <w:rStyle w:val="IndexLink"/>
              </w:rPr>
              <w:t>15</w:t>
            </w:r>
          </w:hyperlink>
        </w:p>
        <w:p>
          <w:pPr>
            <w:pStyle w:val="Contents2"/>
            <w:tabs>
              <w:tab w:val="clear" w:pos="8743"/>
              <w:tab w:val="right" w:pos="9026" w:leader="dot"/>
            </w:tabs>
            <w:rPr/>
          </w:pPr>
          <w:hyperlink w:anchor="__RefHeading___Toc253192_383892988">
            <w:r>
              <w:rPr>
                <w:webHidden/>
                <w:rStyle w:val="IndexLink"/>
                <w:rtl w:val="true"/>
              </w:rPr>
              <w:t>الصفات الرفيعة للمسلم</w:t>
            </w:r>
            <w:r>
              <w:rPr>
                <w:rStyle w:val="IndexLink"/>
                <w:rtl w:val="true"/>
              </w:rPr>
              <w:tab/>
            </w:r>
            <w:r>
              <w:rPr>
                <w:rStyle w:val="IndexLink"/>
              </w:rPr>
              <w:t>17</w:t>
            </w:r>
          </w:hyperlink>
        </w:p>
        <w:p>
          <w:pPr>
            <w:pStyle w:val="Contents2"/>
            <w:tabs>
              <w:tab w:val="clear" w:pos="8743"/>
              <w:tab w:val="right" w:pos="9026" w:leader="dot"/>
            </w:tabs>
            <w:rPr/>
          </w:pPr>
          <w:hyperlink w:anchor="__RefHeading___Toc253194_383892988">
            <w:r>
              <w:rPr>
                <w:webHidden/>
                <w:rStyle w:val="IndexLink"/>
                <w:rtl w:val="true"/>
              </w:rPr>
              <w:t>حقوق للمسلمين فيما بينهم</w:t>
            </w:r>
            <w:r>
              <w:rPr>
                <w:rStyle w:val="IndexLink"/>
                <w:rtl w:val="true"/>
              </w:rPr>
              <w:tab/>
            </w:r>
            <w:r>
              <w:rPr>
                <w:rStyle w:val="IndexLink"/>
              </w:rPr>
              <w:t>19</w:t>
            </w:r>
          </w:hyperlink>
        </w:p>
        <w:p>
          <w:pPr>
            <w:pStyle w:val="Contents2"/>
            <w:tabs>
              <w:tab w:val="clear" w:pos="8743"/>
              <w:tab w:val="right" w:pos="9026" w:leader="dot"/>
            </w:tabs>
            <w:rPr/>
          </w:pPr>
          <w:hyperlink w:anchor="__RefHeading___Toc253196_383892988">
            <w:r>
              <w:rPr>
                <w:webHidden/>
                <w:rStyle w:val="IndexLink"/>
                <w:rtl w:val="true"/>
              </w:rPr>
              <w:t>عوامل المحبّة</w:t>
            </w:r>
            <w:r>
              <w:rPr>
                <w:rStyle w:val="IndexLink"/>
                <w:rtl w:val="true"/>
              </w:rPr>
              <w:tab/>
            </w:r>
            <w:r>
              <w:rPr>
                <w:rStyle w:val="IndexLink"/>
              </w:rPr>
              <w:t>23</w:t>
            </w:r>
          </w:hyperlink>
        </w:p>
        <w:p>
          <w:pPr>
            <w:pStyle w:val="Contents3"/>
            <w:tabs>
              <w:tab w:val="clear" w:pos="8459"/>
              <w:tab w:val="right" w:pos="9026" w:leader="dot"/>
            </w:tabs>
            <w:rPr/>
          </w:pPr>
          <w:hyperlink w:anchor="__RefHeading___Toc253198_383892988">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253200_383892988">
            <w:r>
              <w:rPr>
                <w:webHidden/>
                <w:rStyle w:val="IndexLink"/>
              </w:rPr>
              <w:t>1</w:t>
            </w:r>
            <w:r>
              <w:rPr>
                <w:rStyle w:val="IndexLink"/>
                <w:rtl w:val="true"/>
              </w:rPr>
              <w:t xml:space="preserve">- </w:t>
            </w:r>
            <w:r>
              <w:rPr>
                <w:rStyle w:val="IndexLink"/>
                <w:rtl w:val="true"/>
              </w:rPr>
              <w:t>التراحم والتعاطف</w:t>
            </w:r>
            <w:r>
              <w:rPr>
                <w:rStyle w:val="IndexLink"/>
                <w:rtl w:val="true"/>
              </w:rPr>
              <w:tab/>
            </w:r>
            <w:r>
              <w:rPr>
                <w:rStyle w:val="IndexLink"/>
              </w:rPr>
              <w:t>23</w:t>
            </w:r>
          </w:hyperlink>
        </w:p>
        <w:p>
          <w:pPr>
            <w:pStyle w:val="Contents3"/>
            <w:tabs>
              <w:tab w:val="clear" w:pos="8459"/>
              <w:tab w:val="right" w:pos="9026" w:leader="dot"/>
            </w:tabs>
            <w:rPr/>
          </w:pPr>
          <w:hyperlink w:anchor="__RefHeading___Toc253202_383892988">
            <w:r>
              <w:rPr>
                <w:webHidden/>
                <w:rStyle w:val="IndexLink"/>
              </w:rPr>
              <w:t>2</w:t>
            </w:r>
            <w:r>
              <w:rPr>
                <w:rStyle w:val="IndexLink"/>
                <w:rtl w:val="true"/>
              </w:rPr>
              <w:t xml:space="preserve">- </w:t>
            </w:r>
            <w:r>
              <w:rPr>
                <w:rStyle w:val="IndexLink"/>
                <w:rtl w:val="true"/>
              </w:rPr>
              <w:t>التزاور</w:t>
            </w:r>
            <w:r>
              <w:rPr>
                <w:rStyle w:val="IndexLink"/>
                <w:rtl w:val="true"/>
              </w:rPr>
              <w:tab/>
            </w:r>
            <w:r>
              <w:rPr>
                <w:rStyle w:val="IndexLink"/>
              </w:rPr>
              <w:t>25</w:t>
            </w:r>
          </w:hyperlink>
        </w:p>
        <w:p>
          <w:pPr>
            <w:pStyle w:val="Contents3"/>
            <w:tabs>
              <w:tab w:val="clear" w:pos="8459"/>
              <w:tab w:val="right" w:pos="9026" w:leader="dot"/>
            </w:tabs>
            <w:rPr/>
          </w:pPr>
          <w:hyperlink w:anchor="__RefHeading___Toc253204_383892988">
            <w:r>
              <w:rPr>
                <w:webHidden/>
                <w:rStyle w:val="IndexLink"/>
              </w:rPr>
              <w:t>3</w:t>
            </w:r>
            <w:r>
              <w:rPr>
                <w:rStyle w:val="IndexLink"/>
                <w:rtl w:val="true"/>
              </w:rPr>
              <w:t xml:space="preserve">- </w:t>
            </w:r>
            <w:r>
              <w:rPr>
                <w:rStyle w:val="IndexLink"/>
                <w:rtl w:val="true"/>
              </w:rPr>
              <w:t>قضاء الحوائج</w:t>
            </w:r>
            <w:r>
              <w:rPr>
                <w:rStyle w:val="IndexLink"/>
                <w:rtl w:val="true"/>
              </w:rPr>
              <w:tab/>
            </w:r>
            <w:r>
              <w:rPr>
                <w:rStyle w:val="IndexLink"/>
              </w:rPr>
              <w:t>28</w:t>
            </w:r>
          </w:hyperlink>
        </w:p>
        <w:p>
          <w:pPr>
            <w:pStyle w:val="Contents3"/>
            <w:tabs>
              <w:tab w:val="clear" w:pos="8459"/>
              <w:tab w:val="right" w:pos="9026" w:leader="dot"/>
            </w:tabs>
            <w:rPr/>
          </w:pPr>
          <w:hyperlink w:anchor="__RefHeading___Toc253206_383892988">
            <w:r>
              <w:rPr>
                <w:webHidden/>
                <w:rStyle w:val="IndexLink"/>
              </w:rPr>
              <w:t>4</w:t>
            </w:r>
            <w:r>
              <w:rPr>
                <w:rStyle w:val="IndexLink"/>
                <w:rtl w:val="true"/>
              </w:rPr>
              <w:t xml:space="preserve">- </w:t>
            </w:r>
            <w:r>
              <w:rPr>
                <w:rStyle w:val="IndexLink"/>
                <w:rtl w:val="true"/>
              </w:rPr>
              <w:t>الإغاثة والمواساة</w:t>
            </w:r>
            <w:r>
              <w:rPr>
                <w:rStyle w:val="IndexLink"/>
                <w:rtl w:val="true"/>
              </w:rPr>
              <w:tab/>
            </w:r>
            <w:r>
              <w:rPr>
                <w:rStyle w:val="IndexLink"/>
              </w:rPr>
              <w:t>31</w:t>
            </w:r>
          </w:hyperlink>
        </w:p>
        <w:p>
          <w:pPr>
            <w:pStyle w:val="Contents2"/>
            <w:tabs>
              <w:tab w:val="clear" w:pos="8743"/>
              <w:tab w:val="right" w:pos="9026" w:leader="dot"/>
            </w:tabs>
            <w:rPr/>
          </w:pPr>
          <w:hyperlink w:anchor="__RefHeading___Toc253208_383892988">
            <w:r>
              <w:rPr>
                <w:webHidden/>
                <w:rStyle w:val="IndexLink"/>
                <w:rtl w:val="true"/>
              </w:rPr>
              <w:t>عوامل التفرقة</w:t>
            </w:r>
            <w:r>
              <w:rPr>
                <w:rStyle w:val="IndexLink"/>
                <w:rtl w:val="true"/>
              </w:rPr>
              <w:tab/>
            </w:r>
            <w:r>
              <w:rPr>
                <w:rStyle w:val="IndexLink"/>
              </w:rPr>
              <w:t>33</w:t>
            </w:r>
          </w:hyperlink>
        </w:p>
        <w:p>
          <w:pPr>
            <w:pStyle w:val="Contents3"/>
            <w:tabs>
              <w:tab w:val="clear" w:pos="8459"/>
              <w:tab w:val="right" w:pos="9026" w:leader="dot"/>
            </w:tabs>
            <w:rPr/>
          </w:pPr>
          <w:hyperlink w:anchor="__RefHeading___Toc253210_383892988">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253212_383892988">
            <w:r>
              <w:rPr>
                <w:webHidden/>
                <w:rStyle w:val="IndexLink"/>
              </w:rPr>
              <w:t>1</w:t>
            </w:r>
            <w:r>
              <w:rPr>
                <w:rStyle w:val="IndexLink"/>
                <w:rtl w:val="true"/>
              </w:rPr>
              <w:t xml:space="preserve">- </w:t>
            </w:r>
            <w:r>
              <w:rPr>
                <w:rStyle w:val="IndexLink"/>
                <w:rtl w:val="true"/>
              </w:rPr>
              <w:t>التقاطع</w:t>
            </w:r>
            <w:r>
              <w:rPr>
                <w:rStyle w:val="IndexLink"/>
                <w:rtl w:val="true"/>
              </w:rPr>
              <w:tab/>
            </w:r>
            <w:r>
              <w:rPr>
                <w:rStyle w:val="IndexLink"/>
              </w:rPr>
              <w:t>34</w:t>
            </w:r>
          </w:hyperlink>
        </w:p>
        <w:p>
          <w:pPr>
            <w:pStyle w:val="Contents3"/>
            <w:tabs>
              <w:tab w:val="clear" w:pos="8459"/>
              <w:tab w:val="right" w:pos="9026" w:leader="dot"/>
            </w:tabs>
            <w:rPr/>
          </w:pPr>
          <w:hyperlink w:anchor="__RefHeading___Toc253214_383892988">
            <w:r>
              <w:rPr>
                <w:webHidden/>
                <w:rStyle w:val="IndexLink"/>
              </w:rPr>
              <w:t>2</w:t>
            </w:r>
            <w:r>
              <w:rPr>
                <w:rStyle w:val="IndexLink"/>
                <w:rtl w:val="true"/>
              </w:rPr>
              <w:t xml:space="preserve">- </w:t>
            </w:r>
            <w:r>
              <w:rPr>
                <w:rStyle w:val="IndexLink"/>
                <w:rtl w:val="true"/>
              </w:rPr>
              <w:t>عدم التعاون</w:t>
            </w:r>
            <w:r>
              <w:rPr>
                <w:rStyle w:val="IndexLink"/>
                <w:rtl w:val="true"/>
              </w:rPr>
              <w:tab/>
            </w:r>
            <w:r>
              <w:rPr>
                <w:rStyle w:val="IndexLink"/>
              </w:rPr>
              <w:t>36</w:t>
            </w:r>
          </w:hyperlink>
        </w:p>
        <w:p>
          <w:pPr>
            <w:pStyle w:val="Contents3"/>
            <w:tabs>
              <w:tab w:val="clear" w:pos="8459"/>
              <w:tab w:val="right" w:pos="9026" w:leader="dot"/>
            </w:tabs>
            <w:rPr/>
          </w:pPr>
          <w:hyperlink w:anchor="__RefHeading___Toc253216_383892988">
            <w:r>
              <w:rPr>
                <w:webHidden/>
                <w:rStyle w:val="IndexLink"/>
              </w:rPr>
              <w:t>3</w:t>
            </w:r>
            <w:r>
              <w:rPr>
                <w:rStyle w:val="IndexLink"/>
                <w:rtl w:val="true"/>
              </w:rPr>
              <w:t xml:space="preserve">- </w:t>
            </w:r>
            <w:r>
              <w:rPr>
                <w:rStyle w:val="IndexLink"/>
                <w:rtl w:val="true"/>
              </w:rPr>
              <w:t>الإيذاء والتحقير</w:t>
            </w:r>
            <w:r>
              <w:rPr>
                <w:rStyle w:val="IndexLink"/>
                <w:rtl w:val="true"/>
              </w:rPr>
              <w:tab/>
            </w:r>
            <w:r>
              <w:rPr>
                <w:rStyle w:val="IndexLink"/>
              </w:rPr>
              <w:t>38</w:t>
            </w:r>
          </w:hyperlink>
        </w:p>
        <w:p>
          <w:pPr>
            <w:pStyle w:val="Contents3"/>
            <w:tabs>
              <w:tab w:val="clear" w:pos="8459"/>
              <w:tab w:val="right" w:pos="9026" w:leader="dot"/>
            </w:tabs>
            <w:rPr/>
          </w:pPr>
          <w:hyperlink w:anchor="__RefHeading___Toc253218_383892988">
            <w:r>
              <w:rPr>
                <w:webHidden/>
                <w:rStyle w:val="IndexLink"/>
              </w:rPr>
              <w:t>4</w:t>
            </w:r>
            <w:r>
              <w:rPr>
                <w:rStyle w:val="IndexLink"/>
                <w:rtl w:val="true"/>
              </w:rPr>
              <w:t xml:space="preserve">- </w:t>
            </w:r>
            <w:r>
              <w:rPr>
                <w:rStyle w:val="IndexLink"/>
                <w:rtl w:val="true"/>
              </w:rPr>
              <w:t>التخويف والترهيب</w:t>
            </w:r>
            <w:r>
              <w:rPr>
                <w:rStyle w:val="IndexLink"/>
                <w:rtl w:val="true"/>
              </w:rPr>
              <w:tab/>
            </w:r>
            <w:r>
              <w:rPr>
                <w:rStyle w:val="IndexLink"/>
              </w:rPr>
              <w:t>40</w:t>
            </w:r>
          </w:hyperlink>
        </w:p>
        <w:p>
          <w:pPr>
            <w:pStyle w:val="Contents3"/>
            <w:tabs>
              <w:tab w:val="clear" w:pos="8459"/>
              <w:tab w:val="right" w:pos="9026" w:leader="dot"/>
            </w:tabs>
            <w:rPr/>
          </w:pPr>
          <w:hyperlink w:anchor="__RefHeading___Toc253220_383892988">
            <w:r>
              <w:rPr>
                <w:webHidden/>
                <w:rStyle w:val="IndexLink"/>
              </w:rPr>
              <w:t>5</w:t>
            </w:r>
            <w:r>
              <w:rPr>
                <w:rStyle w:val="IndexLink"/>
                <w:rtl w:val="true"/>
              </w:rPr>
              <w:t xml:space="preserve">- </w:t>
            </w:r>
            <w:r>
              <w:rPr>
                <w:rStyle w:val="IndexLink"/>
                <w:rtl w:val="true"/>
              </w:rPr>
              <w:t>السِّباب</w:t>
            </w:r>
            <w:r>
              <w:rPr>
                <w:rStyle w:val="IndexLink"/>
                <w:rtl w:val="true"/>
              </w:rPr>
              <w:tab/>
            </w:r>
            <w:r>
              <w:rPr>
                <w:rStyle w:val="IndexLink"/>
              </w:rPr>
              <w:t>41</w:t>
            </w:r>
          </w:hyperlink>
        </w:p>
        <w:p>
          <w:pPr>
            <w:pStyle w:val="Contents3"/>
            <w:tabs>
              <w:tab w:val="clear" w:pos="8459"/>
              <w:tab w:val="right" w:pos="9026" w:leader="dot"/>
            </w:tabs>
            <w:rPr/>
          </w:pPr>
          <w:hyperlink w:anchor="__RefHeading___Toc253222_383892988">
            <w:r>
              <w:rPr>
                <w:webHidden/>
                <w:rStyle w:val="IndexLink"/>
              </w:rPr>
              <w:t>6</w:t>
            </w:r>
            <w:r>
              <w:rPr>
                <w:rStyle w:val="IndexLink"/>
                <w:rtl w:val="true"/>
              </w:rPr>
              <w:t xml:space="preserve">- </w:t>
            </w:r>
            <w:r>
              <w:rPr>
                <w:rStyle w:val="IndexLink"/>
                <w:rtl w:val="true"/>
              </w:rPr>
              <w:t>انتقاص المسلم</w:t>
            </w:r>
            <w:r>
              <w:rPr>
                <w:rStyle w:val="IndexLink"/>
                <w:rtl w:val="true"/>
              </w:rPr>
              <w:tab/>
            </w:r>
            <w:r>
              <w:rPr>
                <w:rStyle w:val="IndexLink"/>
              </w:rPr>
              <w:t>42</w:t>
            </w:r>
          </w:hyperlink>
        </w:p>
        <w:p>
          <w:pPr>
            <w:pStyle w:val="Contents3"/>
            <w:tabs>
              <w:tab w:val="clear" w:pos="8459"/>
              <w:tab w:val="right" w:pos="9026" w:leader="dot"/>
            </w:tabs>
            <w:rPr/>
          </w:pPr>
          <w:hyperlink w:anchor="__RefHeading___Toc253224_383892988">
            <w:r>
              <w:rPr>
                <w:webHidden/>
                <w:rStyle w:val="IndexLink"/>
              </w:rPr>
              <w:t>7</w:t>
            </w:r>
            <w:r>
              <w:rPr>
                <w:rStyle w:val="IndexLink"/>
                <w:rtl w:val="true"/>
              </w:rPr>
              <w:t xml:space="preserve">- </w:t>
            </w:r>
            <w:r>
              <w:rPr>
                <w:rStyle w:val="IndexLink"/>
                <w:rtl w:val="true"/>
              </w:rPr>
              <w:t>تتبّع العثرات</w:t>
            </w:r>
            <w:r>
              <w:rPr>
                <w:rStyle w:val="IndexLink"/>
                <w:rtl w:val="true"/>
              </w:rPr>
              <w:tab/>
            </w:r>
            <w:r>
              <w:rPr>
                <w:rStyle w:val="IndexLink"/>
              </w:rPr>
              <w:t>43</w:t>
            </w:r>
          </w:hyperlink>
        </w:p>
        <w:p>
          <w:pPr>
            <w:pStyle w:val="Contents3"/>
            <w:tabs>
              <w:tab w:val="clear" w:pos="8459"/>
              <w:tab w:val="right" w:pos="9026" w:leader="dot"/>
            </w:tabs>
            <w:rPr/>
          </w:pPr>
          <w:hyperlink w:anchor="__RefHeading___Toc253226_383892988">
            <w:r>
              <w:rPr>
                <w:webHidden/>
                <w:rStyle w:val="IndexLink"/>
              </w:rPr>
              <w:t>8</w:t>
            </w:r>
            <w:r>
              <w:rPr>
                <w:rStyle w:val="IndexLink"/>
                <w:rtl w:val="true"/>
              </w:rPr>
              <w:t xml:space="preserve">- </w:t>
            </w:r>
            <w:r>
              <w:rPr>
                <w:rStyle w:val="IndexLink"/>
                <w:rtl w:val="true"/>
              </w:rPr>
              <w:t>الغيبة</w:t>
            </w:r>
            <w:r>
              <w:rPr>
                <w:rStyle w:val="IndexLink"/>
                <w:rtl w:val="true"/>
              </w:rPr>
              <w:tab/>
            </w:r>
            <w:r>
              <w:rPr>
                <w:rStyle w:val="IndexLink"/>
              </w:rPr>
              <w:t>45</w:t>
            </w:r>
          </w:hyperlink>
        </w:p>
        <w:p>
          <w:pPr>
            <w:pStyle w:val="Contents4"/>
            <w:tabs>
              <w:tab w:val="clear" w:pos="8176"/>
              <w:tab w:val="right" w:pos="9026" w:leader="dot"/>
            </w:tabs>
            <w:rPr/>
          </w:pPr>
          <w:hyperlink w:anchor="__RefHeading___Toc253228_383892988">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253230_383892988">
            <w:r>
              <w:rPr>
                <w:webHidden/>
                <w:rStyle w:val="IndexLink"/>
                <w:rtl w:val="true"/>
              </w:rPr>
              <w:t>الأخبار النبويّة</w:t>
            </w:r>
            <w:r>
              <w:rPr>
                <w:rStyle w:val="IndexLink"/>
                <w:rtl w:val="true"/>
              </w:rPr>
              <w:tab/>
            </w:r>
            <w:r>
              <w:rPr>
                <w:rStyle w:val="IndexLink"/>
              </w:rPr>
              <w:t>46</w:t>
            </w:r>
          </w:hyperlink>
        </w:p>
        <w:p>
          <w:pPr>
            <w:pStyle w:val="Contents3"/>
            <w:tabs>
              <w:tab w:val="clear" w:pos="8459"/>
              <w:tab w:val="right" w:pos="9026" w:leader="dot"/>
            </w:tabs>
            <w:rPr/>
          </w:pPr>
          <w:hyperlink w:anchor="__RefHeading___Toc253232_383892988">
            <w:r>
              <w:rPr>
                <w:webHidden/>
                <w:rStyle w:val="IndexLink"/>
              </w:rPr>
              <w:t>9</w:t>
            </w:r>
            <w:r>
              <w:rPr>
                <w:rStyle w:val="IndexLink"/>
                <w:rtl w:val="true"/>
              </w:rPr>
              <w:t xml:space="preserve">- </w:t>
            </w:r>
            <w:r>
              <w:rPr>
                <w:rStyle w:val="IndexLink"/>
                <w:rtl w:val="true"/>
              </w:rPr>
              <w:t>النميمة</w:t>
            </w:r>
            <w:r>
              <w:rPr>
                <w:rStyle w:val="IndexLink"/>
                <w:rtl w:val="true"/>
              </w:rPr>
              <w:tab/>
            </w:r>
            <w:r>
              <w:rPr>
                <w:rStyle w:val="IndexLink"/>
              </w:rPr>
              <w:t>48</w:t>
            </w:r>
          </w:hyperlink>
        </w:p>
        <w:p>
          <w:pPr>
            <w:pStyle w:val="Contents3"/>
            <w:tabs>
              <w:tab w:val="clear" w:pos="8459"/>
              <w:tab w:val="right" w:pos="9026" w:leader="dot"/>
            </w:tabs>
            <w:rPr/>
          </w:pPr>
          <w:hyperlink w:anchor="__RefHeading___Toc253234_383892988">
            <w:r>
              <w:rPr>
                <w:webHidden/>
                <w:rStyle w:val="IndexLink"/>
              </w:rPr>
              <w:t>10</w:t>
            </w:r>
            <w:r>
              <w:rPr>
                <w:rStyle w:val="IndexLink"/>
                <w:rtl w:val="true"/>
              </w:rPr>
              <w:t xml:space="preserve">- </w:t>
            </w:r>
            <w:r>
              <w:rPr>
                <w:rStyle w:val="IndexLink"/>
                <w:rtl w:val="true"/>
              </w:rPr>
              <w:t>التفاخر</w:t>
            </w:r>
            <w:r>
              <w:rPr>
                <w:rStyle w:val="IndexLink"/>
                <w:rtl w:val="true"/>
              </w:rPr>
              <w:tab/>
            </w:r>
            <w:r>
              <w:rPr>
                <w:rStyle w:val="IndexLink"/>
              </w:rPr>
              <w:t>52</w:t>
            </w:r>
          </w:hyperlink>
        </w:p>
        <w:p>
          <w:pPr>
            <w:pStyle w:val="Contents2"/>
            <w:tabs>
              <w:tab w:val="clear" w:pos="8743"/>
              <w:tab w:val="right" w:pos="9026" w:leader="dot"/>
            </w:tabs>
            <w:rPr/>
          </w:pPr>
          <w:hyperlink w:anchor="__RefHeading___Toc253236_383892988">
            <w:r>
              <w:rPr>
                <w:webHidden/>
                <w:rStyle w:val="IndexLink"/>
                <w:rtl w:val="true"/>
              </w:rPr>
              <w:t>هوامش</w:t>
            </w:r>
            <w:r>
              <w:rPr>
                <w:rStyle w:val="IndexLink"/>
                <w:rtl w:val="true"/>
              </w:rPr>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4_15828"/>
      <w:bookmarkStart w:id="1" w:name="pg1434_15828"/>
      <w:bookmarkEnd w:id="1"/>
    </w:p>
    <w:p>
      <w:pPr>
        <w:pStyle w:val="Heading2"/>
        <w:numPr>
          <w:ilvl w:val="1"/>
          <w:numId w:val="1"/>
        </w:numPr>
        <w:rPr/>
      </w:pPr>
      <w:bookmarkStart w:id="2" w:name="pg1434_15828"/>
      <w:bookmarkStart w:id="3" w:name="__RefHeading___Toc253156_383892988"/>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قرشي، باقر شريف، </w:t>
      </w:r>
      <w:r>
        <w:rPr>
          <w:rFonts w:ascii="Amiri" w:hAnsi="Amiri" w:eastAsia="Amiri" w:cs="Amiri"/>
          <w:color w:val="111111"/>
          <w:sz w:val="28"/>
          <w:sz w:val="28"/>
          <w:szCs w:val="28"/>
          <w:lang w:bidi="ar-SA"/>
        </w:rPr>
        <w:t>۱۹۲۶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الاخوه ‌الاسلاميه في منظار ائمه اهل‌البيت 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باقر شريف‌القرشي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اخلاقي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۱۰۸۳۷۵۸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3158_383892988"/>
      <w:bookmarkStart w:id="6" w:name="_Toc2"/>
      <w:bookmarkEnd w:id="5"/>
      <w:r>
        <w:rPr>
          <w:rtl w:val="true"/>
        </w:rPr>
        <w:t>اشارة</w:t>
      </w:r>
      <w:bookmarkStart w:id="7" w:name="pg1434_15835"/>
      <w:bookmarkEnd w:id="6"/>
    </w:p>
    <w:p>
      <w:pPr>
        <w:pStyle w:val="Heading2"/>
        <w:numPr>
          <w:ilvl w:val="1"/>
          <w:numId w:val="1"/>
        </w:numPr>
        <w:rPr/>
      </w:pPr>
      <w:bookmarkStart w:id="8" w:name="__RefHeading___Toc253160_383892988"/>
      <w:bookmarkStart w:id="9" w:name="_Toc3"/>
      <w:bookmarkEnd w:id="7"/>
      <w:bookmarkEnd w:id="8"/>
      <w:r>
        <w:rPr>
          <w:rtl w:val="true"/>
        </w:rPr>
        <w:t>المقدمه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bookmarkStart w:id="10" w:name="pg1434_15837"/>
    </w:p>
    <w:p>
      <w:pPr>
        <w:pStyle w:val="Heading2"/>
        <w:numPr>
          <w:ilvl w:val="1"/>
          <w:numId w:val="1"/>
        </w:numPr>
        <w:rPr/>
      </w:pPr>
      <w:bookmarkStart w:id="11" w:name="__RefHeading___Toc253162_383892988"/>
      <w:bookmarkStart w:id="12" w:name="_Toc4"/>
      <w:bookmarkEnd w:id="10"/>
      <w:bookmarkEnd w:id="11"/>
      <w:r>
        <w:rPr>
          <w:rtl w:val="true"/>
        </w:rPr>
        <w:t>الإهداء</w:t>
      </w:r>
      <w:bookmarkEnd w:id="12"/>
    </w:p>
    <w:p>
      <w:pPr>
        <w:pStyle w:val="BookText"/>
        <w:rPr/>
      </w:pPr>
      <w:r>
        <w:rPr>
          <w:rFonts w:ascii="Amiri" w:hAnsi="Amiri" w:eastAsia="Amiri" w:cs="Amiri"/>
          <w:color w:val="111111"/>
          <w:sz w:val="28"/>
          <w:sz w:val="28"/>
          <w:szCs w:val="28"/>
          <w:rtl w:val="true"/>
          <w:lang w:bidi="ar-SA"/>
        </w:rPr>
        <w:t xml:space="preserve">إلى كلّ مَن يعمل بوعي وإخلاص لجمع كلمة المسلمين، وإشاعة المودّة بينهم، وإذابة النعرات الطائشة التي تفرّق ولا توحِّد، وتشتّت ولا تجمع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أرفع لهم هذا المجهود آملًا أن يجدوا فيه الفائدة والمتعة، وهو ما أتمنّاه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المؤلِّف</w:t>
      </w:r>
      <w:bookmarkStart w:id="13" w:name="pg1434_15839"/>
    </w:p>
    <w:p>
      <w:pPr>
        <w:pStyle w:val="Heading2"/>
        <w:numPr>
          <w:ilvl w:val="1"/>
          <w:numId w:val="1"/>
        </w:numPr>
        <w:rPr/>
      </w:pPr>
      <w:bookmarkStart w:id="14" w:name="__RefHeading___Toc253164_383892988"/>
      <w:bookmarkStart w:id="15" w:name="_Toc5"/>
      <w:bookmarkEnd w:id="13"/>
      <w:bookmarkEnd w:id="14"/>
      <w:r>
        <w:rPr>
          <w:rtl w:val="true"/>
        </w:rPr>
        <w:t>هويّة المسلم</w:t>
      </w:r>
      <w:bookmarkEnd w:id="15"/>
    </w:p>
    <w:p>
      <w:pPr>
        <w:pStyle w:val="Heading3"/>
        <w:numPr>
          <w:ilvl w:val="2"/>
          <w:numId w:val="1"/>
        </w:numPr>
        <w:rPr/>
      </w:pPr>
      <w:bookmarkStart w:id="16" w:name="__RefHeading___Toc253166_383892988"/>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أمّا الهويّة التي تتحدّد بها شخصيّة الإنسان المسلم، ويمتاز بها عن غيره، وتكون وساماً له، فقد وضع خطوطها وبرامجها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المتواتر، والمجمع على صحّته بين جميع الفِرق والطوائف الإسلاميّة،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نطق بهذه الكلمة المشرقة فقد تحلّى برداء الإسلام، وجرت عليه جميع أحكامه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الشعار حينما دخل مكّة فاتحاً لها، فسارعت قريش التي ناهضت الإسلام ودانت بالإلحاد</w:t>
      </w:r>
      <w:bookmarkStart w:id="18" w:name="pg1434_15841"/>
    </w:p>
    <w:p>
      <w:pPr>
        <w:pStyle w:val="BookText"/>
        <w:rPr/>
      </w:pPr>
      <w:bookmarkEnd w:id="18"/>
      <w:r>
        <w:rPr>
          <w:rFonts w:ascii="Amiri" w:hAnsi="Amiri" w:eastAsia="Amiri" w:cs="Amiri"/>
          <w:color w:val="111111"/>
          <w:sz w:val="28"/>
          <w:sz w:val="28"/>
          <w:szCs w:val="28"/>
          <w:rtl w:val="true"/>
          <w:lang w:bidi="ar-SA"/>
        </w:rPr>
        <w:t>إلى النطق بها، وعلى رأسهم الجاهلي أبو سفيان عميد الأمويّين، نطقوا بهذه الشهادة صيانةً لدمائهم، وحفظاً على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النطق بالشهادتين هو المعيار في دخول الإنسان في حضيرة الإسلام، وتجري عليه جميع أحكامه من العقود والإيقاعات، والواجبات والمحرّمات، ومن حقوقه التي يتمتّع بها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53168_383892988"/>
      <w:bookmarkStart w:id="20" w:name="_Toc7"/>
      <w:bookmarkEnd w:id="19"/>
      <w:r>
        <w:rPr/>
        <w:t>1</w:t>
      </w:r>
      <w:r>
        <w:rPr>
          <w:rtl w:val="true"/>
        </w:rPr>
        <w:t xml:space="preserve">- </w:t>
      </w:r>
      <w:r>
        <w:rPr>
          <w:rtl w:val="true"/>
        </w:rPr>
        <w:t>حرمة دمه</w:t>
      </w:r>
      <w:bookmarkEnd w:id="20"/>
    </w:p>
    <w:p>
      <w:pPr>
        <w:pStyle w:val="Heading4"/>
        <w:numPr>
          <w:ilvl w:val="3"/>
          <w:numId w:val="1"/>
        </w:numPr>
        <w:rPr/>
      </w:pPr>
      <w:bookmarkStart w:id="21" w:name="__RefHeading___Toc253170_383892988"/>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إنَّ الإسلام أسدى على معتنقيه صيانة دمائهم، فلا يجوز سفكها إلّا بالحقّ، ويكون مهدور الدم إذا اقترف ما يلي</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253172_383892988"/>
      <w:bookmarkStart w:id="24" w:name="_Toc9"/>
      <w:bookmarkEnd w:id="23"/>
      <w:r>
        <w:rPr>
          <w:rtl w:val="true"/>
        </w:rPr>
        <w:t>قتل النفس المحترمة</w:t>
      </w:r>
      <w:bookmarkEnd w:id="2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تعدّى الإنسان المسلم على شخص مُصان دمه فقتله، فإنّه يقتصّ منه إن أراد وليّ الدم القصاص منه،</w:t>
      </w:r>
      <w:bookmarkStart w:id="25" w:name="pg1434_15843"/>
    </w:p>
    <w:p>
      <w:pPr>
        <w:pStyle w:val="BookText"/>
        <w:rPr/>
      </w:pPr>
      <w:bookmarkEnd w:id="25"/>
      <w:r>
        <w:rPr>
          <w:rFonts w:ascii="Amiri" w:hAnsi="Amiri" w:eastAsia="Amiri" w:cs="Amiri"/>
          <w:color w:val="111111"/>
          <w:sz w:val="28"/>
          <w:sz w:val="28"/>
          <w:szCs w:val="28"/>
          <w:rtl w:val="true"/>
          <w:lang w:bidi="ar-SA"/>
        </w:rPr>
        <w:t>ولم يرض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المورد تسقط حرمة دمه، وأمّا في غيره فلا سبيل لسفك دمه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253174_383892988"/>
      <w:bookmarkStart w:id="27" w:name="_Toc10"/>
      <w:bookmarkEnd w:id="26"/>
      <w:r>
        <w:rPr/>
        <w:t>2</w:t>
      </w:r>
      <w:r>
        <w:rPr>
          <w:rtl w:val="true"/>
        </w:rPr>
        <w:t xml:space="preserve">- </w:t>
      </w:r>
      <w:r>
        <w:rPr>
          <w:rtl w:val="true"/>
        </w:rPr>
        <w:t>حرمة أمواله</w:t>
      </w:r>
      <w:bookmarkEnd w:id="27"/>
    </w:p>
    <w:p>
      <w:pPr>
        <w:pStyle w:val="Heading4"/>
        <w:numPr>
          <w:ilvl w:val="3"/>
          <w:numId w:val="1"/>
        </w:numPr>
        <w:rPr/>
      </w:pPr>
      <w:bookmarkStart w:id="28" w:name="__RefHeading___Toc253176_383892988"/>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يتمتّع الإنسان المسلم بصيانة تامّة لأمواله المنقولة وغير المنقولة، فله أن يتصرّف فيها حسب ما يشاء من البيع والإجارة والهبة والوقف وغير ذلك، وله أن يقيم وكيلًا عنه في التصرّف في أمواله حسب رغباته، وعلى الوكيل مراعاة وكالته وأن لا يتجاوزها، فلو وكّله على إجارة عقاره، فليس له أن يبيعه</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53178_383892988"/>
      <w:bookmarkStart w:id="31" w:name="_Toc12"/>
      <w:bookmarkEnd w:id="30"/>
      <w:r>
        <w:rPr>
          <w:rtl w:val="true"/>
        </w:rPr>
        <w:t>الحجر على الأموال</w:t>
      </w:r>
      <w:bookmarkEnd w:id="3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يحجر على أموال فريق من الناس، ويمنعون من التصرّف فيها، وذلك فيما يلي</w:t>
      </w:r>
      <w:r>
        <w:rPr>
          <w:rFonts w:eastAsia="Amiri" w:cs="Amiri" w:ascii="Amiri" w:hAnsi="Amiri"/>
          <w:color w:val="111111"/>
          <w:sz w:val="28"/>
          <w:szCs w:val="28"/>
          <w:rtl w:val="true"/>
          <w:lang w:bidi="ar-SA"/>
        </w:rPr>
        <w:t>:</w:t>
      </w:r>
      <w:bookmarkStart w:id="32" w:name="pg1434_15844"/>
    </w:p>
    <w:p>
      <w:pPr>
        <w:pStyle w:val="Heading4"/>
        <w:numPr>
          <w:ilvl w:val="3"/>
          <w:numId w:val="1"/>
        </w:numPr>
        <w:rPr/>
      </w:pPr>
      <w:bookmarkStart w:id="33" w:name="__RefHeading___Toc253180_383892988"/>
      <w:bookmarkStart w:id="34" w:name="_Toc13"/>
      <w:bookmarkEnd w:id="32"/>
      <w:bookmarkEnd w:id="33"/>
      <w:r>
        <w:rPr>
          <w:rtl w:val="true"/>
        </w:rPr>
        <w:t>الامتناع من وفاء الدَّين</w:t>
      </w:r>
      <w:bookmarkEnd w:id="34"/>
    </w:p>
    <w:p>
      <w:pPr>
        <w:pStyle w:val="BookText"/>
        <w:rPr/>
      </w:pPr>
      <w:r>
        <w:rPr>
          <w:rFonts w:ascii="Amiri" w:hAnsi="Amiri" w:eastAsia="Amiri" w:cs="Amiri"/>
          <w:color w:val="111111"/>
          <w:sz w:val="28"/>
          <w:sz w:val="28"/>
          <w:szCs w:val="28"/>
          <w:rtl w:val="true"/>
          <w:lang w:bidi="ar-SA"/>
        </w:rPr>
        <w:t>المدين للغير إذا امتنع من أداء دَينه إلى الغير، أو كان في ذمّته مال لغيره، وكان متمكِّناً من أدائه، فللدائن أن يرفع دعواه إلى الحاكم الشرعي، فإذا دعاه وامتنع فإنّه يحجر على أمواله ويبيعها إن لم يكن عنده من الأموال ما يفي به دَين الشخص</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53182_383892988"/>
      <w:bookmarkStart w:id="36" w:name="_Toc14"/>
      <w:bookmarkEnd w:id="35"/>
      <w:r>
        <w:rPr>
          <w:rtl w:val="true"/>
        </w:rPr>
        <w:t>السفيه</w:t>
      </w:r>
      <w:bookmarkEnd w:id="36"/>
    </w:p>
    <w:p>
      <w:pPr>
        <w:pStyle w:val="BookText"/>
        <w:rPr/>
      </w:pPr>
      <w:r>
        <w:rPr>
          <w:rFonts w:ascii="Amiri" w:hAnsi="Amiri" w:eastAsia="Amiri" w:cs="Amiri"/>
          <w:color w:val="111111"/>
          <w:sz w:val="28"/>
          <w:sz w:val="28"/>
          <w:szCs w:val="28"/>
          <w:rtl w:val="true"/>
          <w:lang w:bidi="ar-SA"/>
        </w:rPr>
        <w:t>يحجر على أموال السفيه، ويُمنع من التصرّف فيها صيانةً واحتراماً للأموال، ويُعطى منها ما يسدّ حاجته، وذلك بأمر من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بحوث فقهيّة ذكرناها استطراداً نظراً لتعلّقها جزئيّاً بالبحث</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53184_383892988"/>
      <w:bookmarkStart w:id="38" w:name="_Toc15"/>
      <w:bookmarkEnd w:id="37"/>
      <w:r>
        <w:rPr/>
        <w:t>3</w:t>
      </w:r>
      <w:r>
        <w:rPr>
          <w:rtl w:val="true"/>
        </w:rPr>
        <w:t xml:space="preserve">- </w:t>
      </w:r>
      <w:r>
        <w:rPr>
          <w:rtl w:val="true"/>
        </w:rPr>
        <w:t>المواريث</w:t>
      </w:r>
      <w:bookmarkEnd w:id="3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الحقوق التي يتمتّع بها الإنسان المسلم المواريث،</w:t>
      </w:r>
      <w:bookmarkStart w:id="39" w:name="pg1434_15846"/>
    </w:p>
    <w:p>
      <w:pPr>
        <w:pStyle w:val="BookText"/>
        <w:rPr/>
      </w:pPr>
      <w:bookmarkEnd w:id="39"/>
      <w:r>
        <w:rPr>
          <w:rFonts w:ascii="Amiri" w:hAnsi="Amiri" w:eastAsia="Amiri" w:cs="Amiri"/>
          <w:color w:val="111111"/>
          <w:sz w:val="28"/>
          <w:sz w:val="28"/>
          <w:szCs w:val="28"/>
          <w:rtl w:val="true"/>
          <w:lang w:bidi="ar-SA"/>
        </w:rPr>
        <w:t>فهو يرث ويورِّث، إلّا أن يكون وارثه غير مسلم فلا يرثه، والميراث حسب ما قرّره الشارع</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53186_383892988"/>
      <w:bookmarkStart w:id="41" w:name="_Toc16"/>
      <w:bookmarkEnd w:id="40"/>
      <w:r>
        <w:rPr/>
        <w:t>4</w:t>
      </w:r>
      <w:r>
        <w:rPr>
          <w:rtl w:val="true"/>
        </w:rPr>
        <w:t xml:space="preserve">- </w:t>
      </w:r>
      <w:r>
        <w:rPr>
          <w:rtl w:val="true"/>
        </w:rPr>
        <w:t>العلاقات الزوجيّة</w:t>
      </w:r>
      <w:bookmarkEnd w:id="41"/>
    </w:p>
    <w:p>
      <w:pPr>
        <w:pStyle w:val="BookText"/>
        <w:rPr/>
      </w:pPr>
      <w:r>
        <w:rPr>
          <w:rFonts w:ascii="Amiri" w:hAnsi="Amiri" w:eastAsia="Amiri" w:cs="Amiri"/>
          <w:color w:val="111111"/>
          <w:sz w:val="28"/>
          <w:sz w:val="28"/>
          <w:szCs w:val="28"/>
          <w:rtl w:val="true"/>
          <w:lang w:bidi="ar-SA"/>
        </w:rPr>
        <w:t>وتجري على الإنسان المسلم جميع أحكام الزواج في الإسلام، وما قرّره الشرع له، وما أباحه وحرّمه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الحقوق لمن حمل الهويّة الإسلاميّة من جميع الفِرق والطوائف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سليل النبوّة، وعملاق الفكر الإسلامي،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كوكبة من أحاديثه عن الهويّة الإسلاميّة، وعن الفرق بينها وبين الإيمان، وهذه شذرات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الإسلام والإيمان أهما مختلفان؟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يُشارِكُ الإسلامَ، والإسلامُ لا يُشارِكُ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سماعة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شهادةُ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والتّصديقُ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حُقِنَت الدِّماءُ، وَعَلَيهِ جَرَتِ المَناكِحُ وَالمواريثُ، وعلى ظاهِرهِ 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وَالإيمانُ الهُدى، وَما يَثبُتُ في القُلوبِ مِن صِفةِ الإسلامِ، وَما ظَهَرَ مِنَ العَمَلِ بهِ، وَالإيمانُ أرفعُ مِنَ الإسلامِ بِدَرَجَة، إنَّ الإيمانَ يُشارِكُ الإسلامَ فِي الظاهِرِ، وَالإسلامَ لا يُشارِكُ الإيمانَ فِي الباطِنِ، وَإن اجتَمَعا في القولِ وَالصِّفَةِ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يُحقَنُ بهِ الدَّمُ، وتُؤدّى بِهِ</w:t>
      </w:r>
      <w:bookmarkStart w:id="42" w:name="pg1434_15850"/>
    </w:p>
    <w:p>
      <w:pPr>
        <w:pStyle w:val="BookText"/>
        <w:rPr/>
      </w:pPr>
      <w:bookmarkEnd w:id="42"/>
      <w:r>
        <w:rPr>
          <w:rFonts w:ascii="Amiri" w:hAnsi="Amiri" w:eastAsia="Amiri" w:cs="Amiri"/>
          <w:color w:val="111111"/>
          <w:sz w:val="28"/>
          <w:sz w:val="28"/>
          <w:szCs w:val="28"/>
          <w:rtl w:val="true"/>
          <w:lang w:bidi="ar-SA"/>
        </w:rPr>
        <w:t>الأَمانَةُ، وتُستَحَلُّ بهِ الفُروجُ، وَالثَّوابُ على الإيمانِ</w:t>
      </w:r>
      <w:r>
        <w:rPr>
          <w:rFonts w:eastAsia="Amiri" w:cs="Amiri" w:ascii="Amiri" w:hAnsi="Amiri"/>
          <w:color w:val="111111"/>
          <w:sz w:val="28"/>
          <w:szCs w:val="28"/>
          <w:rtl w:val="true"/>
          <w:lang w:bidi="ar-SA"/>
        </w:rPr>
        <w:t>»</w:t>
      </w:r>
    </w:p>
    <w:p>
      <w:pPr>
        <w:pStyle w:val="BookText"/>
        <w:rPr/>
      </w:pP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أمثال هذه الأحاديث اثرت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حدّدت الإسلام، ونصّت على الفرق بينه وبين الإيمان، الذي إذا استقرّ في أعماق النفس فإنّها تكون في صلابتها وإيمانها كزبر الحديد، وكان ذلك من السمات البارزة في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خاضوا الأهوال والمصاعب في سبيل إعلاء كلمة لا إله إلّا الله، وبهذا ننهي الحديث عن الهويّة الإسلاميّة</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253188_383892988"/>
      <w:bookmarkStart w:id="44" w:name="_Toc17"/>
      <w:bookmarkEnd w:id="43"/>
      <w:r>
        <w:rPr>
          <w:rtl w:val="true"/>
        </w:rPr>
        <w:t>الإسلام محبّةٌ ومودّة</w:t>
      </w:r>
      <w:bookmarkEnd w:id="4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الاخوّة الإسلاميّة مودّةٌ ورحمةٌ ورأفة، ومواساة في السرّاء والضرّاء، لاتخضع لحدود الوطن، ولا لعنصر ولا لقبيلة أو اسرة، ولا لأيّ حاجز من الحواجز المصطنعة التي يُقيمها</w:t>
      </w:r>
    </w:p>
    <w:p>
      <w:pPr>
        <w:pStyle w:val="BookText"/>
        <w:rPr/>
      </w:pPr>
      <w:r>
        <w:rPr>
          <w:rFonts w:ascii="Amiri" w:hAnsi="Amiri" w:eastAsia="Amiri" w:cs="Amiri"/>
          <w:color w:val="111111"/>
          <w:sz w:val="28"/>
          <w:sz w:val="28"/>
          <w:szCs w:val="28"/>
          <w:rtl w:val="true"/>
          <w:lang w:bidi="ar-SA"/>
        </w:rPr>
        <w:t>الناس في الأرض، إنّها امتداد ذاتي للعقيدة الإسلاميّة القائمة في أعماق القلوب، لا تتغيّر ولا تتبدّل، إنّها من العناصر المقوّمة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الاخوّة الإسلاميّة وحدة لا تعدّد ولا تشتّت فيها، قد ازدهرت بها الحياة الإسلاميّة في عصورها الاولى، فكان المسلم يقسّم داره نصفين، فيُعطي نصفاً منها لأخاه المسلم الذي لا يجد داراً لسكناه، وكذلك كان يشاركه في لقمة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استطاع المسلمون بهذه الروح الزكيّة أن يسيطروا على معظم أنحاء العالم، ويحملوا لهم أسمى القيم والمبادئ، وتدين لهم الامم والشعوب بالولاء والإكبار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ونعرض لما اثر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في الاخوّة الإسلاميّة، وما ينبغي أن يتحلّى به الإنسان المسلم من صفات كريمة، وغير ذلك ممّا يرتبط بها من شؤون</w:t>
      </w:r>
      <w:r>
        <w:rPr>
          <w:rFonts w:eastAsia="Amiri" w:cs="Amiri" w:ascii="Amiri" w:hAnsi="Amiri"/>
          <w:color w:val="111111"/>
          <w:sz w:val="28"/>
          <w:szCs w:val="28"/>
          <w:rtl w:val="true"/>
          <w:lang w:bidi="ar-SA"/>
        </w:rPr>
        <w:t>:</w:t>
      </w:r>
      <w:bookmarkStart w:id="45" w:name="pg1434_15853"/>
    </w:p>
    <w:p>
      <w:pPr>
        <w:pStyle w:val="Heading2"/>
        <w:numPr>
          <w:ilvl w:val="1"/>
          <w:numId w:val="1"/>
        </w:numPr>
        <w:rPr/>
      </w:pPr>
      <w:bookmarkStart w:id="46" w:name="__RefHeading___Toc253190_383892988"/>
      <w:bookmarkStart w:id="47" w:name="_Toc18"/>
      <w:bookmarkEnd w:id="45"/>
      <w:bookmarkEnd w:id="46"/>
      <w:r>
        <w:rPr>
          <w:rtl w:val="true"/>
        </w:rPr>
        <w:t>المسلم أخو المسلم</w:t>
      </w:r>
      <w:bookmarkEnd w:id="47"/>
    </w:p>
    <w:p>
      <w:pPr>
        <w:pStyle w:val="BookText"/>
        <w:rPr/>
      </w:pPr>
      <w:r>
        <w:rPr>
          <w:rFonts w:ascii="Amiri" w:hAnsi="Amiri" w:eastAsia="Amiri" w:cs="Amiri"/>
          <w:color w:val="111111"/>
          <w:sz w:val="28"/>
          <w:sz w:val="28"/>
          <w:szCs w:val="28"/>
          <w:rtl w:val="true"/>
          <w:lang w:bidi="ar-SA"/>
        </w:rPr>
        <w:t xml:space="preserve">وتظافرت الأخبار عن مصابيح الإسلام، ومنابع الحكمة،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سموّ الاخوّة الإسلاميّة، وعظيم شأنها،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 كَالجَسَدِ الواحِدِ إنِ اشتَكى شَيئاً وَجَدَ ألَمَ ذلك في سائِرِ جَسَدِهِ، وأَرْواحُهُما مِن رُوحٍ واحِدَةٍ، وإنَّ رُوحَ المُؤمِنِ لأَشَدُّ اتِّصالًا بِرُوحِ اللهِ مِنِ اتّصالِ شُعاعِ الشَّمْسِ بِها</w:t>
      </w:r>
      <w:r>
        <w:rPr>
          <w:rFonts w:eastAsia="Amiri" w:cs="Amiri" w:ascii="Amiri" w:hAnsi="Amiri"/>
          <w:color w:val="111111"/>
          <w:sz w:val="28"/>
          <w:szCs w:val="28"/>
          <w:rtl w:val="true"/>
          <w:lang w:bidi="ar-SA"/>
        </w:rPr>
        <w:t>»</w:t>
      </w:r>
    </w:p>
    <w:p>
      <w:pPr>
        <w:pStyle w:val="BookText"/>
        <w:rPr/>
      </w:pP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هذا الوسام الذي منحه سليل النبوّة إلى الاخوّة الإسلاميّة، فالمسلم أخو المسلم، وهما كنفس واحدة ليست بينهما أيّة فواصل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 عَيْنُهُ</w:t>
      </w:r>
    </w:p>
    <w:p>
      <w:pPr>
        <w:pStyle w:val="BookText"/>
        <w:rPr/>
      </w:pPr>
      <w:r>
        <w:rPr>
          <w:rFonts w:ascii="Amiri" w:hAnsi="Amiri" w:eastAsia="Amiri" w:cs="Amiri"/>
          <w:color w:val="111111"/>
          <w:sz w:val="28"/>
          <w:sz w:val="28"/>
          <w:szCs w:val="28"/>
          <w:rtl w:val="true"/>
          <w:lang w:bidi="ar-SA"/>
        </w:rPr>
        <w:t>وَدَليلُهُ، لا يَخُونُهُ، وَلا يَظْلِمُهُ، وَلا يَغُشُّهُ، وَلا يَعِدُهُ عِدَةً فيُخلِفَهُ</w:t>
      </w:r>
      <w:r>
        <w:rPr>
          <w:rFonts w:eastAsia="Amiri" w:cs="Amiri" w:ascii="Amiri" w:hAnsi="Amiri"/>
          <w:color w:val="111111"/>
          <w:sz w:val="28"/>
          <w:szCs w:val="28"/>
          <w:rtl w:val="true"/>
          <w:lang w:bidi="ar-SA"/>
        </w:rPr>
        <w:t>»</w:t>
      </w:r>
    </w:p>
    <w:p>
      <w:pPr>
        <w:pStyle w:val="BookText"/>
        <w:rPr/>
      </w:pP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أقام الإمام الاخوّة الإسلاميّة على أساس وثيق من المودّة والرحمة، ونزّهها عن الخيانة والخذلان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المؤمِنُ أمانَتُكَ، فَاحْفَظِ الأَمانَةَ تَنالُ خَيْرَ الجَزاءِ</w:t>
      </w:r>
      <w:r>
        <w:rPr>
          <w:rFonts w:eastAsia="Amiri" w:cs="Amiri" w:ascii="Amiri" w:hAnsi="Amiri"/>
          <w:color w:val="111111"/>
          <w:sz w:val="28"/>
          <w:szCs w:val="28"/>
          <w:rtl w:val="true"/>
          <w:lang w:bidi="ar-SA"/>
        </w:rPr>
        <w:t>»</w:t>
      </w:r>
    </w:p>
    <w:p>
      <w:pPr>
        <w:pStyle w:val="BookText"/>
        <w:rPr/>
      </w:pP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الاهتمام البالغ بالترابط بين المسلمين حفظاً على الوحدة الإسلاميّة واتّحاد الكلمة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جهد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جمع كلمة المسلمين، وشيوع الالفة والمودّة بينهم، وفي طليعتهم سيّد العترة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تحمّل المحن الشاقّة والعسيرة، وخلد إلى الصبر حينما تقمّص الخلافة غيره، ومحلّه منها محلّ القطب من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bookmarkStart w:id="48" w:name="pg1434_15857"/>
    </w:p>
    <w:p>
      <w:pPr>
        <w:pStyle w:val="BookText"/>
        <w:rPr/>
      </w:pPr>
      <w:bookmarkEnd w:id="48"/>
      <w:r>
        <w:rPr>
          <w:rFonts w:ascii="Amiri" w:hAnsi="Amiri" w:eastAsia="Amiri" w:cs="Amiri"/>
          <w:color w:val="111111"/>
          <w:sz w:val="28"/>
          <w:sz w:val="28"/>
          <w:szCs w:val="28"/>
          <w:rtl w:val="true"/>
          <w:lang w:bidi="ar-SA"/>
        </w:rPr>
        <w:t>آثر مصلحة المسلمين على كلّ شي‌ء</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253192_383892988"/>
      <w:bookmarkStart w:id="50" w:name="_Toc19"/>
      <w:bookmarkEnd w:id="49"/>
      <w:r>
        <w:rPr>
          <w:rtl w:val="true"/>
        </w:rPr>
        <w:t>الصفات الرفيعة للمسلم</w:t>
      </w:r>
      <w:bookmarkEnd w:id="50"/>
    </w:p>
    <w:p>
      <w:pPr>
        <w:pStyle w:val="BookText"/>
        <w:rPr/>
      </w:pPr>
      <w:r>
        <w:rPr>
          <w:rFonts w:ascii="Amiri" w:hAnsi="Amiri" w:eastAsia="Amiri" w:cs="Amiri"/>
          <w:color w:val="111111"/>
          <w:sz w:val="28"/>
          <w:sz w:val="28"/>
          <w:szCs w:val="28"/>
          <w:rtl w:val="true"/>
          <w:lang w:bidi="ar-SA"/>
        </w:rPr>
        <w:t xml:space="preserve">ينبغي للمسلم أن يتحلّى بالصفات الرفيعة والمُثل الكريمة ليكون قدوة في سلوكه إلى الغير، وقد أدلى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بكوكبة من أحاديثه عن تلك الصفات، كان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لِلمؤمنِ أَن يكونَ فيه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وَقُوراً عند الهزاهِزِ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صَبُوراً عِندَ البلاء، شكوُراً عِندَ الرَّخاءِ، قانِعاً بما رَزَقَهُ اللهُ تعالى، لا يَظلِمُ الأَعْداءَ، ولا يَتَحامَلُ لِلأَصْدِقاءِ، بَدَنُهُ مِنْهُ في تَعَبٍ والنّاسُ مِنهُ في راحَةٍ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العِلْمَ خليلُ المؤمنِ، والحِلْمَ وَزيرُهُ، وَالعَقلَ أميرُ جُنودِهِ، وَالرِّفقَ أخُوهُ، والبِرَّ والِدُهُ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يتّصف بهذه الصفات الرفيعة فقد ارتقى إلى أرقى مستويات الشرف والكمال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المسلم بحديثه التالي،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المؤمِنِ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صَدَق، وَإذا ائْتُمِنَ أَدَّى الأَمانَةَ، وَإذا وَعَدَ أَنْجَزَ وَعْدَهُ</w:t>
      </w:r>
      <w:r>
        <w:rPr>
          <w:rFonts w:eastAsia="Amiri" w:cs="Amiri" w:ascii="Amiri" w:hAnsi="Amiri"/>
          <w:color w:val="111111"/>
          <w:sz w:val="28"/>
          <w:szCs w:val="28"/>
          <w:rtl w:val="true"/>
          <w:lang w:bidi="ar-SA"/>
        </w:rPr>
        <w:t>»</w:t>
      </w:r>
    </w:p>
    <w:p>
      <w:pPr>
        <w:pStyle w:val="BookText"/>
        <w:rPr/>
      </w:pP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التي يريد الإسلام أن يتزيّن بها المسلم ليكون مثالًا للإنسانيّة الكاملة وعنواناً للإسلام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له عن المُثل العُليا التي ينبغي للمسلم أن يتحلّى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حليمٌ لا يَجهلُ، وإنْ جُهِلَ عليه يَحلم، ولا يَظلِمُ، وإن ظُلِمَ غَفَرَ، ولا يبخَلُ، وإن بُخِلَ عَليهِ صَبَر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51" w:name="pg1434_15861"/>
    </w:p>
    <w:p>
      <w:pPr>
        <w:pStyle w:val="BookText"/>
        <w:rPr/>
      </w:pPr>
      <w:bookmarkEnd w:id="51"/>
      <w:r>
        <w:rPr>
          <w:rFonts w:ascii="Amiri" w:hAnsi="Amiri" w:eastAsia="Amiri" w:cs="Amiri"/>
          <w:color w:val="111111"/>
          <w:sz w:val="28"/>
          <w:sz w:val="28"/>
          <w:szCs w:val="28"/>
          <w:rtl w:val="true"/>
          <w:lang w:bidi="ar-SA"/>
        </w:rPr>
        <w:t>إنّ الإنسان إنّما يسمو بهذه النزعات الشريفة التي تشبّهه بالملائكة طهارةً وقداسةً وروحانيّة</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253194_383892988"/>
      <w:bookmarkStart w:id="53" w:name="_Toc20"/>
      <w:bookmarkEnd w:id="52"/>
      <w:r>
        <w:rPr>
          <w:rtl w:val="true"/>
        </w:rPr>
        <w:t>حقوق للمسلمين فيما بينهم</w:t>
      </w:r>
      <w:bookmarkEnd w:id="53"/>
    </w:p>
    <w:p>
      <w:pPr>
        <w:pStyle w:val="BookText"/>
        <w:rPr/>
      </w:pPr>
      <w:r>
        <w:rPr>
          <w:rFonts w:ascii="Amiri" w:hAnsi="Amiri" w:eastAsia="Amiri" w:cs="Amiri"/>
          <w:color w:val="111111"/>
          <w:sz w:val="28"/>
          <w:sz w:val="28"/>
          <w:szCs w:val="28"/>
          <w:rtl w:val="true"/>
          <w:lang w:bidi="ar-SA"/>
        </w:rPr>
        <w:t xml:space="preserve">إنّ للمسلم على أخيه المسلم حقوقاً ينبغي له مراعاتها والقيام بها، حفظاً لوحدة المسلمين، وجمعاً لكلمتهم، وإشاعةً للتآلف والمحبّة بينهم، وقد اهتمّ بها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وأكّدوا على ضرورتها، اسمعوا ما قاله سليل النبوّة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أكّد ذلك في كوكبة من أحاديثه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عَلى أَخيهِ المؤمِنِ سَبْعةُ حُقوقٍ واجِبَة لَهُ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سائِلَهُ عَمّا صَنَعَ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الإجلالُ لَهُ في عَيْنِهِ، وَالوِدُّ لَهُ في صَدْرِهِ، والمواساةُ لَه في مالِهِ، وَأن يُحِبَّ لَهُ ما يُحِبُّهُ لِنَفْسِهِ، وَأنْ يُحَرِّمَ غيبتَهُ، وأن يَعُودَهُ في مَرضِهِ، وَيُشَيِّعَ جَنازَتَهُ، وَلا</w:t>
      </w:r>
    </w:p>
    <w:p>
      <w:pPr>
        <w:pStyle w:val="BookText"/>
        <w:rPr/>
      </w:pPr>
      <w:r>
        <w:rPr>
          <w:rFonts w:ascii="Amiri" w:hAnsi="Amiri" w:eastAsia="Amiri" w:cs="Amiri"/>
          <w:color w:val="111111"/>
          <w:sz w:val="28"/>
          <w:sz w:val="28"/>
          <w:szCs w:val="28"/>
          <w:rtl w:val="true"/>
          <w:lang w:bidi="ar-SA"/>
        </w:rPr>
        <w:t>يَقُولُ فِيه بَعْدَ مَوتِهِ إلَّا خَيراً</w:t>
      </w:r>
      <w:r>
        <w:rPr>
          <w:rFonts w:eastAsia="Amiri" w:cs="Amiri" w:ascii="Amiri" w:hAnsi="Amiri"/>
          <w:color w:val="111111"/>
          <w:sz w:val="28"/>
          <w:szCs w:val="28"/>
          <w:rtl w:val="true"/>
          <w:lang w:bidi="ar-SA"/>
        </w:rPr>
        <w:t>»</w:t>
      </w:r>
    </w:p>
    <w:p>
      <w:pPr>
        <w:pStyle w:val="BookText"/>
        <w:rPr/>
      </w:pP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الحقوق تؤلّف ما بين القلوب والعواطف، وتجمع المسلمين على صعيد المحبّة والإخاء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المعلّى بن خنيس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حقّ المؤمن على المؤمن؟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 حُقوقٍ واجِباتٍ، ما فيها حقٌّ إلّا وَهُوَ 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المعلّى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هي؟</w:t>
      </w:r>
    </w:p>
    <w:p>
      <w:pPr>
        <w:pStyle w:val="BookText"/>
        <w:rPr/>
      </w:pPr>
      <w:r>
        <w:rPr>
          <w:rFonts w:ascii="Amiri" w:hAnsi="Amiri" w:eastAsia="Amiri" w:cs="Amiri"/>
          <w:color w:val="111111"/>
          <w:sz w:val="28"/>
          <w:sz w:val="28"/>
          <w:szCs w:val="28"/>
          <w:rtl w:val="true"/>
          <w:lang w:bidi="ar-SA"/>
        </w:rPr>
        <w:t>وخشي الإمام على المعلّى أن لا يقوم بها ولا يؤدّيها قائلًا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مُعلّى، إنّي شفيقٌ عليك أخشى أن تُضيِّعَ وَلا تَحفَظَ، وَتَعْلَمَ وَلا تَعْمَلَ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ورأى الإمام تعطّش المعلّى إلى معرفتها، فأدلى بها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أيسَرُ مِنها أنَ تُحِبَّ لَه ما تُحِبُّ لِنَفْسِكَ، وَتكْرَهَ لهُ ما تَكْرَهُ لِنَفسِكَ، وَهذا هُوَ أوّلُ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تَمشي في حاجَتِهِ، وَتبتغي رِضاهُ، وَلا تُخالِفُ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تَصِلَهُ بِنَفسِكَ وَمالِكَ وَيدِكَ ورِجلِكَ وَلِسانِكَ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ودليلَهُ ومِرآتَهُ وَقَمِيصَهُ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وَيَجُوعُ، ولا تَلبِسَ وَيَعرى، ولا تَروى ويَظْمَأُ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 امْرَأَةٌ وَخادِمٌ، وَليس له امرأةٌ ولا خادِمٌ، أَن تَبعَثَ خادِمَكَ فَتَغْسِلَ ثيابَهُ، وتَصْنَعَ طَعامَهُ، وَتُمَهِّدَ فِراشَهُ، فَإنَّ ذلك كُلَّهُ إنّما جُعِلَ فيما بَيْنَكَ وَبَينَهُ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 قَسَمَهُ، وَتُجيبَ دَعْوَتَهُ، وَتَشْهَدَ جَنازتَهُ، وَتَعُودَهُ في مَرَضِهِ، وتَشْخَصَ بدَنَكَ في قضاءِ</w:t>
      </w:r>
    </w:p>
    <w:p>
      <w:pPr>
        <w:pStyle w:val="BookText"/>
        <w:rPr/>
      </w:pPr>
      <w:r>
        <w:rPr>
          <w:rFonts w:ascii="Amiri" w:hAnsi="Amiri" w:eastAsia="Amiri" w:cs="Amiri"/>
          <w:color w:val="111111"/>
          <w:sz w:val="28"/>
          <w:sz w:val="28"/>
          <w:szCs w:val="28"/>
          <w:rtl w:val="true"/>
          <w:lang w:bidi="ar-SA"/>
        </w:rPr>
        <w:t>حاجَتِهِ، فَإذا فَعَلْتَ ذلِكَ بِهِ وَصَلْتَ وَلايَتَكَ بِوَلايَتِهِ، وَوَلايَتَهُ بِوَلايَةِ اللهِ عزَّ وَجَلَّ</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الحقوق السبع من أسمى ما شُرِّعَ في الإسلام لضمان وحدة المسلمين وتضامنهم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فرضَ على المؤمِنِ أَنْ لا يُفشي لأَخِيهِ سِرّاً، وَلا يَهْمِلُ لَهُ أَمراً، وَلا يُوغِرُ لَهُ صَدراً، وَلا يُضمِرُ له شَرّاً، ولا يُحوِجُهُ إلى عُذْر</w:t>
      </w:r>
      <w:r>
        <w:rPr>
          <w:rFonts w:eastAsia="Amiri" w:cs="Amiri" w:ascii="Amiri" w:hAnsi="Amiri"/>
          <w:color w:val="111111"/>
          <w:sz w:val="28"/>
          <w:szCs w:val="28"/>
          <w:rtl w:val="true"/>
          <w:lang w:bidi="ar-SA"/>
        </w:rPr>
        <w:t>»</w:t>
      </w:r>
    </w:p>
    <w:p>
      <w:pPr>
        <w:pStyle w:val="BookText"/>
        <w:rPr/>
      </w:pP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ترى في هذه الحقوق خير ضمان إلى وحدة المسلمين وجمعهم على صعيد المحبّة والالفة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المؤمنِ على أخيهِ المؤمِن مواساتُهُ في الموتِ والحياةِ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مواساته في الحياة فهو البرّ به، والإحسان إليه،</w:t>
      </w:r>
      <w:bookmarkStart w:id="54" w:name="pg1434_15868"/>
    </w:p>
    <w:p>
      <w:pPr>
        <w:pStyle w:val="BookText"/>
        <w:rPr/>
      </w:pPr>
      <w:bookmarkEnd w:id="54"/>
      <w:r>
        <w:rPr>
          <w:rFonts w:ascii="Amiri" w:hAnsi="Amiri" w:eastAsia="Amiri" w:cs="Amiri"/>
          <w:color w:val="111111"/>
          <w:sz w:val="28"/>
          <w:sz w:val="28"/>
          <w:szCs w:val="28"/>
          <w:rtl w:val="true"/>
          <w:lang w:bidi="ar-SA"/>
        </w:rPr>
        <w:t>والقيام بشؤونه، وقضاء حوائجه، وأمّا مواساته في الموت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الترحّم عليه، والتصدّق عنه، وقراءة القرآن وإهداء ثوابه له، وغير ذلك من ألوان المبرّات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الحقوق التي أدلى بها الإمام الأعظم من أعظم الوسائل في وحدة المسلمين وجمع كلمتهم، وإذا طبّقها المسلمون على واقع حياتهم فتسدّ كلّ ثغرة يسلك منها العدوّ لتمزيق شملهم وتصديع كلمتهم</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253196_383892988"/>
      <w:bookmarkStart w:id="56" w:name="_Toc21"/>
      <w:bookmarkEnd w:id="55"/>
      <w:r>
        <w:rPr>
          <w:rtl w:val="true"/>
        </w:rPr>
        <w:t>عوامل المحبّة</w:t>
      </w:r>
      <w:bookmarkEnd w:id="56"/>
    </w:p>
    <w:p>
      <w:pPr>
        <w:pStyle w:val="Heading3"/>
        <w:numPr>
          <w:ilvl w:val="2"/>
          <w:numId w:val="1"/>
        </w:numPr>
        <w:rPr/>
      </w:pPr>
      <w:bookmarkStart w:id="57" w:name="__RefHeading___Toc253198_383892988"/>
      <w:bookmarkStart w:id="58" w:name="_Toc22"/>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إنّ جميع الأسباب التي تؤدّي إلى إشاعة الحبّ والمودّة بين المسلمين قد ندب إليها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لها، وكان منها</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53200_383892988"/>
      <w:bookmarkStart w:id="60" w:name="_Toc23"/>
      <w:bookmarkEnd w:id="59"/>
      <w:r>
        <w:rPr/>
        <w:t>1</w:t>
      </w:r>
      <w:r>
        <w:rPr>
          <w:rtl w:val="true"/>
        </w:rPr>
        <w:t xml:space="preserve">- </w:t>
      </w:r>
      <w:r>
        <w:rPr>
          <w:rtl w:val="true"/>
        </w:rPr>
        <w:t>التراحم والتعاطف</w:t>
      </w:r>
      <w:bookmarkEnd w:id="6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حثَّ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التراحم والتعاطف بين المسلمين؛ لأنّه يؤدّي إلى تماسكهم وترابطهم، اسمعوا قول</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تعالى، وكُونوا إخوةً برَرَةً مُتحابّين في الله، متواصلين، مُتراحمين، تَزاوروا، وتَلاقُوا، وتَذاكروا أمرَنا وأحيوهُ</w:t>
      </w:r>
      <w:r>
        <w:rPr>
          <w:rFonts w:eastAsia="Amiri" w:cs="Amiri" w:ascii="Amiri" w:hAnsi="Amiri"/>
          <w:color w:val="111111"/>
          <w:sz w:val="28"/>
          <w:szCs w:val="28"/>
          <w:rtl w:val="true"/>
          <w:lang w:bidi="ar-SA"/>
        </w:rPr>
        <w:t>»</w:t>
      </w:r>
    </w:p>
    <w:p>
      <w:pPr>
        <w:pStyle w:val="BookText"/>
        <w:rPr/>
      </w:pP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هذه الوصايا القيّمة التي تجمع المسلمين على صعيد المودّة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على المسلمين الاجتهادُ في التواصل والتعاون على التعاطُفِ، والمواساةُ لأهل الحاجةِ، وتعاطُفُ بعضهم على بعض، حتّى تكونوا كما أمرَكمُ الله عزّ وجلّ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مُتراحمين، مُغتمّين لما غابَ عنكم من أمرِهِم على ما مضى عليه معشر الأنصار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61" w:name="pg1434_15872"/>
    </w:p>
    <w:p>
      <w:pPr>
        <w:pStyle w:val="BookText"/>
        <w:rPr/>
      </w:pPr>
      <w:bookmarkEnd w:id="61"/>
      <w:r>
        <w:rPr>
          <w:rFonts w:ascii="Amiri" w:hAnsi="Amiri" w:eastAsia="Amiri" w:cs="Amiri"/>
          <w:color w:val="111111"/>
          <w:sz w:val="28"/>
          <w:sz w:val="28"/>
          <w:szCs w:val="28"/>
          <w:rtl w:val="true"/>
          <w:lang w:bidi="ar-SA"/>
        </w:rPr>
        <w:t>أرأيتم هذه التعاليم الرفيعة التي أدلى بها سليل النبوّة، وهي تحفظ المسلمين من التصدّع، وتجعلهم كالبنيان المرصوص يشدّ بعضه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تواصَلوا وتبارّوا وتراحَموا وتعاطَفوا</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الإسلامي لو أخذ بهذه التعاليم، وطبّقها على واقع حياته الاجتماعيّة لكانوا يداً واحدة، وانسدّت جميع الثغرات أمام أعدائهم وخصومهم، فإنّ التعاون والتآزر من أوثق الأسباب في التكافل الاجتماعي</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53202_383892988"/>
      <w:bookmarkStart w:id="63" w:name="_Toc24"/>
      <w:bookmarkEnd w:id="62"/>
      <w:r>
        <w:rPr/>
        <w:t>2</w:t>
      </w:r>
      <w:r>
        <w:rPr>
          <w:rtl w:val="true"/>
        </w:rPr>
        <w:t xml:space="preserve">- </w:t>
      </w:r>
      <w:r>
        <w:rPr>
          <w:rtl w:val="true"/>
        </w:rPr>
        <w:t>التزاور</w:t>
      </w:r>
      <w:bookmarkEnd w:id="6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الأسباب الوثيقة في ترابط المسلمين وتماسكهم تزاور المسلمين فيما بينهم، فإنّه يعقد أواصر المحبّة بينهم، وهذه بعض الأخبار التي اثرت عن أئمّة العدل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الإخوانِ مَغْنَمٌ جَسِيمٌ، وَإن قَلُّوا</w:t>
      </w:r>
      <w:r>
        <w:rPr>
          <w:rFonts w:eastAsia="Amiri" w:cs="Amiri" w:ascii="Amiri" w:hAnsi="Amiri"/>
          <w:color w:val="111111"/>
          <w:sz w:val="28"/>
          <w:szCs w:val="28"/>
          <w:rtl w:val="true"/>
          <w:lang w:bidi="ar-SA"/>
        </w:rPr>
        <w:t>»</w:t>
      </w:r>
    </w:p>
    <w:p>
      <w:pPr>
        <w:pStyle w:val="BookText"/>
        <w:rPr/>
      </w:pP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مغنم أعظمُ وأكثر عائدة من اجتماع الكلمة، ووحدة الصفّ، وإشاعة المودّة والالفة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وأوصى الإمام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أن يبلّغ شيعته بهذه الوصيّة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مَن تَرى مِن مَوالينا السَّلام، وَأَوصِهِم بِتَقْوى اللهِ تعالى، وَأَن يَعُودَ غَنِيُّهُم عَلى فَقِيرِهِم، وَقوِيُّهُم عَلى ضَعيفِهِم، وَأَن يَشْهَدَ حَيُّهُمْ جَنازَةَ مَيِّتِهِم، وَأَن يَتَلاقوا في بُيوُتِهِم، فإن لَقِيا بَعْضُهُم بَعضاً حياةً لأَمرِنا، رَحِمَ اللهُ عبداً أَحيا أمرَنا</w:t>
      </w:r>
      <w:r>
        <w:rPr>
          <w:rFonts w:eastAsia="Amiri" w:cs="Amiri" w:ascii="Amiri" w:hAnsi="Amiri"/>
          <w:color w:val="111111"/>
          <w:sz w:val="28"/>
          <w:szCs w:val="28"/>
          <w:rtl w:val="true"/>
          <w:lang w:bidi="ar-SA"/>
        </w:rPr>
        <w:t>»</w:t>
      </w:r>
    </w:p>
    <w:p>
      <w:pPr>
        <w:pStyle w:val="BookText"/>
        <w:rPr/>
      </w:pP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حفلت هذه الوصيّة بالقيم الكريمة التالية، وهي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تعالى، وهي التي تعصم الإنسان من</w:t>
      </w:r>
    </w:p>
    <w:p>
      <w:pPr>
        <w:pStyle w:val="BookText"/>
        <w:rPr/>
      </w:pPr>
      <w:r>
        <w:rPr>
          <w:rFonts w:ascii="IRNazanin" w:hAnsi="IRNazanin" w:eastAsia="IRNazanin"/>
          <w:color w:val="111111"/>
          <w:sz w:val="28"/>
          <w:sz w:val="28"/>
          <w:szCs w:val="28"/>
          <w:rtl w:val="true"/>
          <w:lang w:bidi="fa-IR"/>
        </w:rPr>
        <w:t>اقتراف الجرائم والذنوب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الأغنياء للفقراء، والبرّ بهم، فإنّها توحِّد الكلمة، وتوحّد ما بين المشاعر والعواطف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في جنائز الموتى من المسلمين، فإنّها ذات أثر في تخفيف لوعة المصاب عن ذوي الميّت، وتوجب الترابط والتماسك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ملاقاة بعض المسلمين لبعض، فإنّ فيه حياة لأمر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فيما إذا كان الحديث المتبادل هو ذكر مآثر أهل البيت وآدابهم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بالتزاور فيما بينهم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تَزاوَرُوا فإنَّ في زِيارتِكُم إحياءً لقُلوُبِكُمْ، وذِكْراً لأَحاديثنا، وَأحاديثُنا تُعَطِّفُ بَعْضَكُم عَلى بَعْضٍ، فَإنْ أخَذْتُم بِها رَشَدْتُم وَنَجَوتُم، وَإن تَرَكْتُموُها ضَلَلْتُم وهَلَكْتُمْ، فَخُذُوا بِها وَأنَا بِنَجاتِكُم زَعِيمٌ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64" w:name="pg1434_15878"/>
    </w:p>
    <w:p>
      <w:pPr>
        <w:pStyle w:val="BookText"/>
        <w:rPr/>
      </w:pPr>
      <w:bookmarkEnd w:id="64"/>
      <w:r>
        <w:rPr>
          <w:rFonts w:ascii="Amiri" w:hAnsi="Amiri" w:eastAsia="Amiri" w:cs="Amiri"/>
          <w:color w:val="111111"/>
          <w:sz w:val="28"/>
          <w:sz w:val="28"/>
          <w:szCs w:val="28"/>
          <w:rtl w:val="true"/>
          <w:lang w:bidi="ar-SA"/>
        </w:rPr>
        <w:t>في هذا الحديث الشريف بعض النقاط والفوائد المهمّة في الزيارة،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زيارة بعض المسلمين لبعض إحياء لقلوبهم، وذلك فيما إذا دار الحديث بينهم بتقوى الله تعالى، وذكر فضائل أهل بيت الوحي، فإنّ فيه حياة للنفوس، ورواءً للقلوب؛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المنهل لكلّ فضيلة وكرامة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على‌ذكر مآثر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الأندية والمجالس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منجى من الشرّ والإثم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أمثال هذه الأحاديث اثرت عن أئمّة التقوى، وهي تحثّ المسلمين على التزاور والتآلف وإشاعة المحبّة بينهم</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53204_383892988"/>
      <w:bookmarkStart w:id="66" w:name="_Toc25"/>
      <w:bookmarkEnd w:id="65"/>
      <w:r>
        <w:rPr/>
        <w:t>3</w:t>
      </w:r>
      <w:r>
        <w:rPr>
          <w:rtl w:val="true"/>
        </w:rPr>
        <w:t xml:space="preserve">- </w:t>
      </w:r>
      <w:r>
        <w:rPr>
          <w:rtl w:val="true"/>
        </w:rPr>
        <w:t>قضاء الحوائج</w:t>
      </w:r>
      <w:bookmarkEnd w:id="6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العوامل التي تشدّ أواصر المحبّة بين المسلمين قضاء</w:t>
      </w:r>
    </w:p>
    <w:p>
      <w:pPr>
        <w:pStyle w:val="BookText"/>
        <w:rPr/>
      </w:pPr>
      <w:r>
        <w:rPr>
          <w:rFonts w:ascii="Amiri" w:hAnsi="Amiri" w:eastAsia="Amiri" w:cs="Amiri"/>
          <w:color w:val="111111"/>
          <w:sz w:val="28"/>
          <w:sz w:val="28"/>
          <w:szCs w:val="28"/>
          <w:rtl w:val="true"/>
          <w:lang w:bidi="ar-SA"/>
        </w:rPr>
        <w:t>الحوائج، وإسعاف المحتاجين، فإنّها من أعظم الوسائل في نشر المودّة بين المسلمين، وهذه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على السعي في حوائج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في قَضاءِ حاجَةِ أخيهِ ساعَةً في لَيلٍ أو نَهارٍ قَضاها أو لَم يَقْضِها كانَ خَيراً منِ اعتِكافِ شَهرٍ</w:t>
      </w:r>
      <w:r>
        <w:rPr>
          <w:rFonts w:eastAsia="Amiri" w:cs="Amiri" w:ascii="Amiri" w:hAnsi="Amiri"/>
          <w:color w:val="111111"/>
          <w:sz w:val="28"/>
          <w:szCs w:val="28"/>
          <w:rtl w:val="true"/>
          <w:lang w:bidi="ar-SA"/>
        </w:rPr>
        <w:t>»</w:t>
      </w:r>
    </w:p>
    <w:p>
      <w:pPr>
        <w:pStyle w:val="BookText"/>
        <w:rPr/>
      </w:pP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أبو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تَنافَسوا في الْمَعروفِ لإخوانِكُم، وَكُونُوا مِن أَهلِهِ، فَإنَّ لِلْجَنّةِ باباً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لا يَدْخُلُهُ إلّا مَنِ اصْطَنَعَ الْمَعروفَ في الحَياةِ الدُّنيا، فَإنَّ العَبْدَ لَيَمْشي في حاجَةِ أخِيهِ المؤمِنِ فيُوكِّلُ اللهُ تَعالى بِهِ 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عَن يمينِهِ، وَآخَرَ عن شِمالِهِ، يَسْتَغْفِرانِ لَهُ ربَّهُ، وَيَدْعُوانِ لَهُ بِقَضاءِ حاجَتِهِ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الحديث الترغيب في قضاء حوائج الناس، وما</w:t>
      </w:r>
    </w:p>
    <w:p>
      <w:pPr>
        <w:pStyle w:val="BookText"/>
        <w:rPr/>
      </w:pPr>
      <w:r>
        <w:rPr>
          <w:rFonts w:ascii="Amiri" w:hAnsi="Amiri" w:eastAsia="Amiri" w:cs="Amiri"/>
          <w:color w:val="111111"/>
          <w:sz w:val="28"/>
          <w:sz w:val="28"/>
          <w:szCs w:val="28"/>
          <w:rtl w:val="true"/>
          <w:lang w:bidi="ar-SA"/>
        </w:rPr>
        <w:t>أعدَّ الله تعالى من الأجر الجزيل للقائمين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العبد الصالح صفوان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الإمام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أهل مكّة يُقال له ميمون، فشكا تعذّر الكراء عليه، فقال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فَأعِن أخاكَ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صفوان فقضى حاجته وسارع إلى الإمام، فالتفت إليه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صنعتَ في حاجةِ أخيك؟</w:t>
      </w:r>
    </w:p>
    <w:p>
      <w:pPr>
        <w:pStyle w:val="BookText"/>
        <w:rPr/>
      </w:pPr>
      <w:r>
        <w:rPr>
          <w:rFonts w:ascii="Amiri" w:hAnsi="Amiri" w:eastAsia="Amiri" w:cs="Amiri"/>
          <w:color w:val="111111"/>
          <w:sz w:val="28"/>
          <w:sz w:val="28"/>
          <w:szCs w:val="28"/>
          <w:rtl w:val="true"/>
          <w:lang w:bidi="ar-SA"/>
        </w:rPr>
        <w:t>قضاها الله بأبي أنت وامّي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موجاتٌ من السرور داخلت الإمام، فشكره وقال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إنْ تُعين أخاكَ المسلمَ أَحَبُّ إليَّ مِن طَوافِ اسبوعٍ بِالْبَيْتِ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 في قضاء حوائج الناس من أهمّ الأعمال</w:t>
      </w:r>
      <w:bookmarkStart w:id="67" w:name="pg1434_15884"/>
    </w:p>
    <w:p>
      <w:pPr>
        <w:pStyle w:val="BookText"/>
        <w:rPr/>
      </w:pPr>
      <w:bookmarkEnd w:id="67"/>
      <w:r>
        <w:rPr>
          <w:rFonts w:ascii="Amiri" w:hAnsi="Amiri" w:eastAsia="Amiri" w:cs="Amiri"/>
          <w:color w:val="111111"/>
          <w:sz w:val="28"/>
          <w:sz w:val="28"/>
          <w:szCs w:val="28"/>
          <w:rtl w:val="true"/>
          <w:lang w:bidi="ar-SA"/>
        </w:rPr>
        <w:t>الخيريّة التي ندب إليها الإسلام؛ لأنّها تعقد أواصر المحبّة بين المسلمين التي تستند إليها الاخوّة الإسلاميّة</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53206_383892988"/>
      <w:bookmarkStart w:id="69" w:name="_Toc26"/>
      <w:bookmarkEnd w:id="68"/>
      <w:r>
        <w:rPr/>
        <w:t>4</w:t>
      </w:r>
      <w:r>
        <w:rPr>
          <w:rtl w:val="true"/>
        </w:rPr>
        <w:t xml:space="preserve">- </w:t>
      </w:r>
      <w:r>
        <w:rPr>
          <w:rtl w:val="true"/>
        </w:rPr>
        <w:t>الإغاثة والمواساة</w:t>
      </w:r>
      <w:bookmarkEnd w:id="69"/>
    </w:p>
    <w:p>
      <w:pPr>
        <w:pStyle w:val="BookText"/>
        <w:rPr/>
      </w:pPr>
      <w:r>
        <w:rPr>
          <w:rFonts w:ascii="Amiri" w:hAnsi="Amiri" w:eastAsia="Amiri" w:cs="Amiri"/>
          <w:color w:val="111111"/>
          <w:sz w:val="28"/>
          <w:sz w:val="28"/>
          <w:szCs w:val="28"/>
          <w:rtl w:val="true"/>
          <w:lang w:bidi="ar-SA"/>
        </w:rPr>
        <w:t>من أهمّ الأسباب الوثيقة التي تدعو إلى تماسك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إغاثة الملهوفين ومواساتهم، وإدخال السرور عليهم، وقد تظافرت الأخبار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الحثّ على ذلك، وهذه شذرات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الأعمالِ إلى اللهِ تَعالى إدخالُ السُّرورِ عَلَى المُؤْمِنِينَ</w:t>
      </w:r>
      <w:r>
        <w:rPr>
          <w:rFonts w:eastAsia="Amiri" w:cs="Amiri" w:ascii="Amiri" w:hAnsi="Amiri"/>
          <w:color w:val="111111"/>
          <w:sz w:val="28"/>
          <w:szCs w:val="28"/>
          <w:rtl w:val="true"/>
          <w:lang w:bidi="ar-SA"/>
        </w:rPr>
        <w:t>»</w:t>
      </w:r>
    </w:p>
    <w:p>
      <w:pPr>
        <w:pStyle w:val="BookText"/>
        <w:rPr/>
      </w:pP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أَحَدُكُم إذا أَدخَلَ عَلى مُؤمِنٍ سُرُوراً أَنّهُ عَلَيْهِ أَدْخَلَهُ فَقَطْ، بَل وَاللهِ عَلَيْنا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على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وَاللهِ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أحاديثه على إغاثة</w:t>
      </w:r>
    </w:p>
    <w:p>
      <w:pPr>
        <w:pStyle w:val="BookText"/>
        <w:rPr/>
      </w:pPr>
      <w:r>
        <w:rPr>
          <w:rFonts w:ascii="Amiri" w:hAnsi="Amiri" w:eastAsia="Amiri" w:cs="Amiri"/>
          <w:color w:val="111111"/>
          <w:sz w:val="28"/>
          <w:sz w:val="28"/>
          <w:szCs w:val="28"/>
          <w:rtl w:val="true"/>
          <w:lang w:bidi="ar-SA"/>
        </w:rPr>
        <w:t xml:space="preserve">الملهوفين، وإزاحة ما في نفوسهم من همّ، وهذه بعض أحاديثه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عَن مُؤمِنٍ كُربَةً نفَّسَ اللهُ تَعالى عَنْهُ كُرَبَ الآخِرَةِ، وَخَرَجَ مِنْ قَبْرِهِ وَهُوَ ثَلِجُ الفُؤادِ، وَمَن أطْعَمَهُ مِنْ جُوعٍ أَطْعَمَهُ اللهُ تَعالى مِن ثِمارِ الجنَّة، وَمَن سَقاهُ شُربةً سَقاهُ اللهُ تَعالى مِنَ الرَّحيقِ المختُومِ</w:t>
      </w:r>
      <w:r>
        <w:rPr>
          <w:rFonts w:eastAsia="Amiri" w:cs="Amiri" w:ascii="Amiri" w:hAnsi="Amiri"/>
          <w:color w:val="111111"/>
          <w:sz w:val="28"/>
          <w:szCs w:val="28"/>
          <w:rtl w:val="true"/>
          <w:lang w:bidi="ar-SA"/>
        </w:rPr>
        <w:t>»</w:t>
      </w:r>
    </w:p>
    <w:p>
      <w:pPr>
        <w:pStyle w:val="BookText"/>
        <w:rPr/>
      </w:pP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نَفَّسَ عَنْ مُؤْمِنٍ كُرْبَةً وَهُوَ مُعْسِرٌ يَسَّرَ اللهُ تَعالى لَهُ حَوائِجَهُ في الدُّنيا والآخِرةِ، ومَنْ سَتَرَ عَلى مُؤْمِنٍ عَورَةً يَخافُها سَتَرَ اللهُ عَلَيْهِ سَبْعينَ عَوْرَةً مِنْ عَوْراتِ الدُّنيا وَالآخِرة، واللهُ في عَونِ المؤمِنِ ما كانَ المؤمنُ في عَونِ أَخِيهِ، فَانْتَفِعُوا بِالْعِظَةِ، وارغَبُوا في الخيرِ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أنظرتم إلى هذا الحثّ على إعانة المسلم ومواساته،</w:t>
      </w:r>
      <w:bookmarkStart w:id="70" w:name="pg1434_15888"/>
    </w:p>
    <w:p>
      <w:pPr>
        <w:pStyle w:val="BookText"/>
        <w:rPr/>
      </w:pPr>
      <w:bookmarkEnd w:id="70"/>
      <w:r>
        <w:rPr>
          <w:rFonts w:ascii="Amiri" w:hAnsi="Amiri" w:eastAsia="Amiri" w:cs="Amiri"/>
          <w:color w:val="111111"/>
          <w:sz w:val="28"/>
          <w:sz w:val="28"/>
          <w:szCs w:val="28"/>
          <w:rtl w:val="true"/>
          <w:lang w:bidi="ar-SA"/>
        </w:rPr>
        <w:t>والستر على عوراته، وصيانة كرامته، والبرّ به، ومساعدته في البأساء والضرّاء، كلّ ذلك من أجل وحدة المسلمين وتضامنهم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فَرَّجَ عَن مُؤْمِنٍ فَرَّجَ اللهُ تَعالى عَنْ قَلْبِهِ يَومَ القِيامَة</w:t>
      </w:r>
      <w:r>
        <w:rPr>
          <w:rFonts w:eastAsia="Amiri" w:cs="Amiri" w:ascii="Amiri" w:hAnsi="Amiri"/>
          <w:color w:val="111111"/>
          <w:sz w:val="28"/>
          <w:szCs w:val="28"/>
          <w:rtl w:val="true"/>
          <w:lang w:bidi="ar-SA"/>
        </w:rPr>
        <w:t>»</w:t>
      </w:r>
    </w:p>
    <w:p>
      <w:pPr>
        <w:pStyle w:val="BookText"/>
        <w:rPr/>
      </w:pP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أمثال هذه الأخبار اثرت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تدعو المسلمين إلى إغاثة الملهوف، والإحسان إليه، وإزالة ما ألمّ به من محن الدُّنيا وبؤسها، وكلّ ذلك من صميم رسالة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العوامل التي ندب إليها الإسلام لإشاعة الحبّ والمودّة بين المسلمين</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253208_383892988"/>
      <w:bookmarkStart w:id="72" w:name="_Toc27"/>
      <w:bookmarkEnd w:id="71"/>
      <w:r>
        <w:rPr>
          <w:rtl w:val="true"/>
        </w:rPr>
        <w:t>عوامل التفرقة</w:t>
      </w:r>
      <w:bookmarkEnd w:id="72"/>
    </w:p>
    <w:p>
      <w:pPr>
        <w:pStyle w:val="Heading3"/>
        <w:numPr>
          <w:ilvl w:val="2"/>
          <w:numId w:val="1"/>
        </w:numPr>
        <w:rPr/>
      </w:pPr>
      <w:bookmarkStart w:id="73" w:name="__RefHeading___Toc253210_383892988"/>
      <w:bookmarkStart w:id="74" w:name="_Toc28"/>
      <w:bookmarkEnd w:id="73"/>
      <w:r>
        <w:rPr>
          <w:rtl w:val="true"/>
        </w:rPr>
        <w:t>اشارة</w:t>
      </w:r>
      <w:bookmarkEnd w:id="7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نهى الإسلام عن جميع الأسباب التي تنشر العداوة</w:t>
      </w:r>
      <w:bookmarkStart w:id="75" w:name="pg1434_15890"/>
    </w:p>
    <w:p>
      <w:pPr>
        <w:pStyle w:val="BookText"/>
        <w:rPr/>
      </w:pPr>
      <w:bookmarkEnd w:id="75"/>
      <w:r>
        <w:rPr>
          <w:rFonts w:ascii="Amiri" w:hAnsi="Amiri" w:eastAsia="Amiri" w:cs="Amiri"/>
          <w:color w:val="111111"/>
          <w:sz w:val="28"/>
          <w:sz w:val="28"/>
          <w:szCs w:val="28"/>
          <w:rtl w:val="true"/>
          <w:lang w:bidi="ar-SA"/>
        </w:rPr>
        <w:t>والبغضاء بين المسلمين، وهذه بعضها</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253212_383892988"/>
      <w:bookmarkStart w:id="77" w:name="_Toc29"/>
      <w:bookmarkEnd w:id="76"/>
      <w:r>
        <w:rPr/>
        <w:t>1</w:t>
      </w:r>
      <w:r>
        <w:rPr>
          <w:rtl w:val="true"/>
        </w:rPr>
        <w:t xml:space="preserve">- </w:t>
      </w:r>
      <w:r>
        <w:rPr>
          <w:rtl w:val="true"/>
        </w:rPr>
        <w:t>التقاطع</w:t>
      </w:r>
      <w:bookmarkEnd w:id="77"/>
    </w:p>
    <w:p>
      <w:pPr>
        <w:pStyle w:val="BookText"/>
        <w:rPr/>
      </w:pPr>
      <w:r>
        <w:rPr>
          <w:rFonts w:ascii="Amiri" w:hAnsi="Amiri" w:eastAsia="Amiri" w:cs="Amiri"/>
          <w:color w:val="111111"/>
          <w:sz w:val="28"/>
          <w:sz w:val="28"/>
          <w:szCs w:val="28"/>
          <w:rtl w:val="true"/>
          <w:lang w:bidi="ar-SA"/>
        </w:rPr>
        <w:t>نهى الإسلام عن التقاطع والتباعد بين المسلمين، وقد تظافرت الأخبار في النهي عنه، وهذه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أحاديثه عن تقاطع المسلمين وتباعدهم، كان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مُسْلِمَينِ تَهاجَرا فَمَكَثا ثَلاثاً لا يَصْطَلِحانِ إلَّا كَانا خارِجَينِ مِنَ الإسلامِ، وَلَم يَكُن بَيْنَهُما وَلايَةٌ، فَأَيُّهُما سَبَقَ إلى كَلامِ أَخِيهِ كانَ السّابِقُ إِلى الجَنّةِ يَوْمَ الحِسابِ</w:t>
      </w:r>
      <w:r>
        <w:rPr>
          <w:rFonts w:eastAsia="Amiri" w:cs="Amiri" w:ascii="Amiri" w:hAnsi="Amiri"/>
          <w:color w:val="111111"/>
          <w:sz w:val="28"/>
          <w:szCs w:val="28"/>
          <w:rtl w:val="true"/>
          <w:lang w:bidi="ar-SA"/>
        </w:rPr>
        <w:t>»</w:t>
      </w:r>
    </w:p>
    <w:p>
      <w:pPr>
        <w:pStyle w:val="BookText"/>
        <w:rPr/>
      </w:pP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لِمُسلِمٍ أَنْ يَهْجُرَ أخاهُ فَوقَ ثَلاثٍ</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حرص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وحدة المسلمين وشيوع المحبّة بينهم ليكونوا يداً واحدة على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عملاق هذه الامّة، ورائد نهضتها الفكريّة والحضاريّة قد نهى عن التقاطع والتباعد بين المسلمين، وهذه بعض أحاديثه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يَفْتَرِقُ رَجُلانِ عَلَى الهِجرانِ إلّا استَوْجَبَ أَحَدُهُما البَرَاءَةَ واللَّعنَةَ، وَرُبَّما استَحَقَّ ذلِكَ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الله فداك، هذا الظالم، فما بال المظلوم؟</w:t>
      </w:r>
    </w:p>
    <w:p>
      <w:pPr>
        <w:pStyle w:val="BookText"/>
        <w:rPr/>
      </w:pPr>
      <w:r>
        <w:rPr>
          <w:rFonts w:ascii="IRNazanin" w:hAnsi="IRNazanin" w:eastAsia="IRNazanin"/>
          <w:color w:val="111111"/>
          <w:sz w:val="28"/>
          <w:sz w:val="28"/>
          <w:szCs w:val="28"/>
          <w:rtl w:val="true"/>
          <w:lang w:bidi="fa-IR"/>
        </w:rPr>
        <w:t>فأجابه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يَدْعو أَخاهُ إِلى صِلَتِهِ، وَلا يَتَغامَسُ لَهُ عَنْ كَلامِهِ،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اثنانِ فعازَّ أَحَدُهُمَا الآخَرَ فَلْيَرْجَعِ المَظلوُمُ إلى صاحِبِه حَتّى يَقُولَ 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أخي، أَنا الظالمُ حتّى يَقْطَعَ الهِجْرانَ بَيْنهُ وَبيْنَ صاحِبهِ، فَإنَّ اللهَ تَبارَكَ وَتَعالَى حَكَمٌ عَدْلٌ يأخُذُ</w:t>
      </w:r>
      <w:bookmarkStart w:id="78" w:name="pg1434_15893"/>
    </w:p>
    <w:p>
      <w:pPr>
        <w:pStyle w:val="BookText"/>
        <w:rPr/>
      </w:pPr>
      <w:bookmarkEnd w:id="78"/>
      <w:r>
        <w:rPr>
          <w:rFonts w:ascii="Amiri" w:hAnsi="Amiri" w:eastAsia="Amiri" w:cs="Amiri"/>
          <w:color w:val="111111"/>
          <w:sz w:val="28"/>
          <w:sz w:val="28"/>
          <w:szCs w:val="28"/>
          <w:rtl w:val="true"/>
          <w:lang w:bidi="ar-SA"/>
        </w:rPr>
        <w:t>لِلْمَظلُومِ مِنَ الظالِمِ</w:t>
      </w:r>
      <w:r>
        <w:rPr>
          <w:rFonts w:eastAsia="Amiri" w:cs="Amiri" w:ascii="Amiri" w:hAnsi="Amiri"/>
          <w:color w:val="111111"/>
          <w:sz w:val="28"/>
          <w:szCs w:val="28"/>
          <w:rtl w:val="true"/>
          <w:lang w:bidi="ar-SA"/>
        </w:rPr>
        <w:t>»</w:t>
      </w:r>
    </w:p>
    <w:p>
      <w:pPr>
        <w:pStyle w:val="BookText"/>
        <w:rPr/>
      </w:pP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التقاطع يؤدّي إلى فصم عُرى الوحدة الإسلاميّة، وإلى انتشار البغضاء بين المسلمين، فلذا حرّمه الإسلام ونهى عنه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اثرت عنهم في ذلك أحاديث كثيرة</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253214_383892988"/>
      <w:bookmarkStart w:id="80" w:name="_Toc30"/>
      <w:bookmarkEnd w:id="79"/>
      <w:r>
        <w:rPr/>
        <w:t>2</w:t>
      </w:r>
      <w:r>
        <w:rPr>
          <w:rtl w:val="true"/>
        </w:rPr>
        <w:t xml:space="preserve">- </w:t>
      </w:r>
      <w:r>
        <w:rPr>
          <w:rtl w:val="true"/>
        </w:rPr>
        <w:t>عدم التعاون</w:t>
      </w:r>
      <w:bookmarkEnd w:id="80"/>
    </w:p>
    <w:p>
      <w:pPr>
        <w:pStyle w:val="BookText"/>
        <w:rPr/>
      </w:pPr>
      <w:r>
        <w:rPr>
          <w:rFonts w:ascii="Amiri" w:hAnsi="Amiri" w:eastAsia="Amiri" w:cs="Amiri"/>
          <w:color w:val="111111"/>
          <w:sz w:val="28"/>
          <w:sz w:val="28"/>
          <w:szCs w:val="28"/>
          <w:rtl w:val="true"/>
          <w:lang w:bidi="ar-SA"/>
        </w:rPr>
        <w:t xml:space="preserve">من الأسباب التي تؤدّي إلى إشاعة الفرقة بين المسلمين عدم تعاونهم في شؤونهم، وعدم اجتماعهم على صعيد المحبّة، وقد نهى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في كثير من أحاديثهم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ندب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التعاون، ونهى عن عدمه، 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بَخِلَ بمعُونَةِ أَخِيهِ المُسْلِم وَالقِيامِ لَهُ في حاجَتِهِ إلّا ابتُلِيَ بِالْقِيامِ بمعُونَةِ مَن يَأْثَمُ عَلَيهِ</w:t>
      </w:r>
    </w:p>
    <w:p>
      <w:pPr>
        <w:pStyle w:val="BookText"/>
        <w:rPr/>
      </w:pPr>
      <w:r>
        <w:rPr>
          <w:rFonts w:ascii="Amiri" w:hAnsi="Amiri" w:eastAsia="Amiri" w:cs="Amiri"/>
          <w:color w:val="111111"/>
          <w:sz w:val="28"/>
          <w:sz w:val="28"/>
          <w:szCs w:val="28"/>
          <w:rtl w:val="true"/>
          <w:lang w:bidi="ar-SA"/>
        </w:rPr>
        <w:t>وَلا يُؤْجَرُ</w:t>
      </w:r>
      <w:r>
        <w:rPr>
          <w:rFonts w:eastAsia="Amiri" w:cs="Amiri" w:ascii="Amiri" w:hAnsi="Amiri"/>
          <w:color w:val="111111"/>
          <w:sz w:val="28"/>
          <w:szCs w:val="28"/>
          <w:rtl w:val="true"/>
          <w:lang w:bidi="ar-SA"/>
        </w:rPr>
        <w:t>»</w:t>
      </w:r>
    </w:p>
    <w:p>
      <w:pPr>
        <w:pStyle w:val="BookText"/>
        <w:rPr/>
      </w:pP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تعاون المسلمين فيما بينهم، فقد 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تَسْتَخِفُّونَ بِنا؟</w:t>
      </w:r>
    </w:p>
    <w:p>
      <w:pPr>
        <w:pStyle w:val="BookText"/>
        <w:rPr/>
      </w:pPr>
      <w:r>
        <w:rPr>
          <w:rFonts w:ascii="Amiri" w:hAnsi="Amiri" w:eastAsia="Amiri" w:cs="Amiri"/>
          <w:color w:val="111111"/>
          <w:sz w:val="28"/>
          <w:sz w:val="28"/>
          <w:szCs w:val="28"/>
          <w:rtl w:val="true"/>
          <w:lang w:bidi="ar-SA"/>
        </w:rPr>
        <w:t>فذعروا، وانبرى إليه شخص من أهل خراسان من شيعته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نستخفّ بك أو بشي‌ء من أمرك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الإمام عن استخفافه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أحدُ مَن استخفَّ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 أن أستخفّ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فُلاناً وَنَحْنُ بِقُرْبِ الجُحفَةِ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قَدْرَ ميلٍ فَقَدْ واللهِ أعْيَيْتُ، وَاللهِ ما رَفَعْتَ لَهُ رَأْساً، لَقَدِ استَخْفَفْتَ بهِ، ومَنِ اسْتَخَفَّ بِمُؤمِنٍ فَبِنَا</w:t>
      </w:r>
      <w:bookmarkStart w:id="81" w:name="pg1434_15897"/>
    </w:p>
    <w:p>
      <w:pPr>
        <w:pStyle w:val="BookText"/>
        <w:rPr/>
      </w:pPr>
      <w:bookmarkEnd w:id="81"/>
      <w:r>
        <w:rPr>
          <w:rFonts w:ascii="Amiri" w:hAnsi="Amiri" w:eastAsia="Amiri" w:cs="Amiri"/>
          <w:color w:val="111111"/>
          <w:sz w:val="28"/>
          <w:sz w:val="28"/>
          <w:szCs w:val="28"/>
          <w:rtl w:val="true"/>
          <w:lang w:bidi="ar-SA"/>
        </w:rPr>
        <w:t>اسْتَخَفَّ، وَضَيَّعَ حُرمَةَ اللهِ عَزَّ وَجَلَّ</w:t>
      </w:r>
      <w:r>
        <w:rPr>
          <w:rFonts w:eastAsia="Amiri" w:cs="Amiri" w:ascii="Amiri" w:hAnsi="Amiri"/>
          <w:color w:val="111111"/>
          <w:sz w:val="28"/>
          <w:szCs w:val="28"/>
          <w:rtl w:val="true"/>
          <w:lang w:bidi="ar-SA"/>
        </w:rPr>
        <w:t>»</w:t>
      </w:r>
    </w:p>
    <w:p>
      <w:pPr>
        <w:pStyle w:val="BookText"/>
        <w:rPr/>
      </w:pP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هذا الاهتمام البالغ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التعاون بين المسلمين وكراهيّته لتركه الأمر الذي يؤدّي إلى انتشار البغضاء بين المسلمين</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53216_383892988"/>
      <w:bookmarkStart w:id="83" w:name="_Toc31"/>
      <w:bookmarkEnd w:id="82"/>
      <w:r>
        <w:rPr/>
        <w:t>3</w:t>
      </w:r>
      <w:r>
        <w:rPr>
          <w:rtl w:val="true"/>
        </w:rPr>
        <w:t xml:space="preserve">- </w:t>
      </w:r>
      <w:r>
        <w:rPr>
          <w:rtl w:val="true"/>
        </w:rPr>
        <w:t>الإيذاء والتحقير</w:t>
      </w:r>
      <w:bookmarkEnd w:id="83"/>
    </w:p>
    <w:p>
      <w:pPr>
        <w:pStyle w:val="BookText"/>
        <w:rPr/>
      </w:pPr>
      <w:r>
        <w:rPr>
          <w:rFonts w:ascii="Amiri" w:hAnsi="Amiri" w:eastAsia="Amiri" w:cs="Amiri"/>
          <w:color w:val="111111"/>
          <w:sz w:val="28"/>
          <w:sz w:val="28"/>
          <w:szCs w:val="28"/>
          <w:rtl w:val="true"/>
          <w:lang w:bidi="ar-SA"/>
        </w:rPr>
        <w:t>من الأسباب التي تؤدّي إلى تصدّع شمل المسلمين، وإشاعة الكراهة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بعضهم لبعض، واحتقار بعضهم لبعض، وذلك لما فيهما من الظلم والاعتداء، وقد أعلن القرآن الكريم حرمة ذلك،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بعض النصوص في التحريم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لِلْمُسْلِمِ أَنْ يُشِيرَ إلى أَخِيهِ بِنَظْرَةٍ تُؤْذِيهِ</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يَدِهِ وَلِسانِهِ</w:t>
      </w:r>
      <w:r>
        <w:rPr>
          <w:rFonts w:eastAsia="Amiri" w:cs="Amiri" w:ascii="Amiri" w:hAnsi="Amiri"/>
          <w:color w:val="111111"/>
          <w:sz w:val="28"/>
          <w:szCs w:val="28"/>
          <w:rtl w:val="true"/>
          <w:lang w:bidi="ar-SA"/>
        </w:rPr>
        <w:t>»</w:t>
      </w:r>
    </w:p>
    <w:p>
      <w:pPr>
        <w:pStyle w:val="BookText"/>
        <w:rPr/>
      </w:pP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وتظافرت الأخبار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إيذاء المسلم واحتقاره،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اسْتَذَلَّ مُؤمناً وَاحْتَقَرَهُ لِقلّةِ ذاتِ يَدِهِ وَلِفَقْرهِ شَهَّرَهُ اللهُ تَعالى يَومَ القِيامَةِ عَلى رُؤُوسِ الخَلائِقِ</w:t>
      </w:r>
      <w:r>
        <w:rPr>
          <w:rFonts w:eastAsia="Amiri" w:cs="Amiri" w:ascii="Amiri" w:hAnsi="Amiri"/>
          <w:color w:val="111111"/>
          <w:sz w:val="28"/>
          <w:szCs w:val="28"/>
          <w:rtl w:val="true"/>
          <w:lang w:bidi="ar-SA"/>
        </w:rPr>
        <w:t>»</w:t>
      </w:r>
    </w:p>
    <w:p>
      <w:pPr>
        <w:pStyle w:val="BookText"/>
        <w:rPr/>
      </w:pP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حقَّر مؤمناً مسكيناً أو غيرَ مسكين لم يَزَلِ اللهُ عزّ وجلّ حاقِراً له ماقِتاً حَتّى يَرْجِعَ عَنْ مَحقَرَتِهِ إيّاهُ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إيذاء الناس من الصفات الممقوتة التي حرّمها</w:t>
      </w:r>
      <w:bookmarkStart w:id="84" w:name="pg1434_15901"/>
    </w:p>
    <w:p>
      <w:pPr>
        <w:pStyle w:val="BookText"/>
        <w:rPr/>
      </w:pPr>
      <w:bookmarkEnd w:id="84"/>
      <w:r>
        <w:rPr>
          <w:rFonts w:ascii="Amiri" w:hAnsi="Amiri" w:eastAsia="Amiri" w:cs="Amiri"/>
          <w:color w:val="111111"/>
          <w:sz w:val="28"/>
          <w:sz w:val="28"/>
          <w:szCs w:val="28"/>
          <w:rtl w:val="true"/>
          <w:lang w:bidi="ar-SA"/>
        </w:rPr>
        <w:t>الإسلام، وأهاب بالمسلم أن يبتعد عنها ولا يتّصف بها</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253218_383892988"/>
      <w:bookmarkStart w:id="86" w:name="_Toc32"/>
      <w:bookmarkEnd w:id="85"/>
      <w:r>
        <w:rPr/>
        <w:t>4</w:t>
      </w:r>
      <w:r>
        <w:rPr>
          <w:rtl w:val="true"/>
        </w:rPr>
        <w:t xml:space="preserve">- </w:t>
      </w:r>
      <w:r>
        <w:rPr>
          <w:rtl w:val="true"/>
        </w:rPr>
        <w:t>التخويف والترهيب</w:t>
      </w:r>
      <w:bookmarkEnd w:id="86"/>
    </w:p>
    <w:p>
      <w:pPr>
        <w:pStyle w:val="BookText"/>
        <w:rPr/>
      </w:pPr>
      <w:r>
        <w:rPr>
          <w:rFonts w:ascii="Amiri" w:hAnsi="Amiri" w:eastAsia="Amiri" w:cs="Amiri"/>
          <w:color w:val="111111"/>
          <w:sz w:val="28"/>
          <w:sz w:val="28"/>
          <w:szCs w:val="28"/>
          <w:rtl w:val="true"/>
          <w:lang w:bidi="ar-SA"/>
        </w:rPr>
        <w:t>حرّم الإسلام كأشدّ ما يكون التحريم إدخال الخوف على المسلم وإرهابه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مُؤمنٍ نَظْرَةً ليُخيفَهُ بِها أَخافَهُ اللهُ تَعالى يَومَ لا ظِلَّ إلّا ظِلُّهُ</w:t>
      </w:r>
      <w:r>
        <w:rPr>
          <w:rFonts w:eastAsia="Amiri" w:cs="Amiri" w:ascii="Amiri" w:hAnsi="Amiri"/>
          <w:color w:val="111111"/>
          <w:sz w:val="28"/>
          <w:szCs w:val="28"/>
          <w:rtl w:val="true"/>
          <w:lang w:bidi="ar-SA"/>
        </w:rPr>
        <w:t>»</w:t>
      </w:r>
    </w:p>
    <w:p>
      <w:pPr>
        <w:pStyle w:val="BookText"/>
        <w:rPr/>
      </w:pP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روَّعَ مُؤمناً بِسُلْطانٍ ليُصِيبَهُ بِمَكْرُوهٍ، فَلَمْ يُصِبْهُ فَهُوَ فِي النّارِ، وَمَن رَوَّعَ مُؤمِناً بِسُلْطانٍ لِيُصِيبَهُ مِنْهُ مَكْرُوهٌ فأَصَابَهُ فَهُو مَعَ فِرْعَوْنَ وَآلِ فِرعَونَ فِي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أمثال هذه الأحاديث حرّمت الإرهاب الذي يتنافى مع الإسلام، دين المحبّة والرحمة والرأفة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المسلّم أنّ الذين يمارسون الإرهاب بزرعهم</w:t>
      </w:r>
      <w:bookmarkStart w:id="87" w:name="pg1434_15903"/>
    </w:p>
    <w:p>
      <w:pPr>
        <w:pStyle w:val="BookText"/>
        <w:rPr/>
      </w:pPr>
      <w:bookmarkEnd w:id="87"/>
      <w:r>
        <w:rPr>
          <w:rFonts w:ascii="Amiri" w:hAnsi="Amiri" w:eastAsia="Amiri" w:cs="Amiri"/>
          <w:color w:val="111111"/>
          <w:sz w:val="28"/>
          <w:sz w:val="28"/>
          <w:szCs w:val="28"/>
          <w:rtl w:val="true"/>
          <w:lang w:bidi="ar-SA"/>
        </w:rPr>
        <w:t>للعبوات الناسفة، والسيّارات المفخّخة، والاغتيالات، فإنّهم أعداء الإسلام، وأصدقاء الشيطان، وعملاء الصهيونيّة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53220_383892988"/>
      <w:bookmarkStart w:id="89" w:name="_Toc33"/>
      <w:bookmarkEnd w:id="88"/>
      <w:r>
        <w:rPr/>
        <w:t>5</w:t>
      </w:r>
      <w:r>
        <w:rPr>
          <w:rtl w:val="true"/>
        </w:rPr>
        <w:t xml:space="preserve">- </w:t>
      </w:r>
      <w:r>
        <w:rPr>
          <w:rtl w:val="true"/>
        </w:rPr>
        <w:t>السِّباب</w:t>
      </w:r>
      <w:bookmarkEnd w:id="89"/>
    </w:p>
    <w:p>
      <w:pPr>
        <w:pStyle w:val="BookText"/>
        <w:rPr/>
      </w:pPr>
      <w:r>
        <w:rPr>
          <w:rFonts w:ascii="Amiri" w:hAnsi="Amiri" w:eastAsia="Amiri" w:cs="Amiri"/>
          <w:color w:val="111111"/>
          <w:sz w:val="28"/>
          <w:sz w:val="28"/>
          <w:szCs w:val="28"/>
          <w:rtl w:val="true"/>
          <w:lang w:bidi="ar-SA"/>
        </w:rPr>
        <w:t>من العوامل المفرِّقة للجماعة الإسلاميّة، وقد حرّمه الإسلام ونهى المسلمين عنه حتّى مع أعدائهم،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 ثُمَّ إِلَى رَبِّهِمْ مَرْجِعُهُمْ فَيُنَبِّئُهُمْ بِمَا كَانُوا يَعْمَلُونَ‌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ولنستمع إلى ما اثر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وأوصيائه في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المؤمنِ فُسُوقٌ، وقِتالُهُ كُفرٌ، وأكْلُ لَحْمِهِ مَعْصِيَةٌ، وَحُرْمَةُ مالِهِ كَحُرْمَةِ دَمِهِ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بني تميم طلب</w:t>
      </w:r>
      <w:bookmarkStart w:id="90" w:name="pg1434_15905"/>
    </w:p>
    <w:p>
      <w:pPr>
        <w:pStyle w:val="BookText"/>
        <w:rPr/>
      </w:pPr>
      <w:bookmarkEnd w:id="90"/>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يوصيه بما ينفعه، فكان ممّا أوصاه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النّاس فَتَكْتَسِبُوا العَداوَةِ</w:t>
      </w:r>
      <w:r>
        <w:rPr>
          <w:rFonts w:eastAsia="Amiri" w:cs="Amiri" w:ascii="Amiri" w:hAnsi="Amiri"/>
          <w:color w:val="111111"/>
          <w:sz w:val="28"/>
          <w:szCs w:val="28"/>
          <w:rtl w:val="true"/>
          <w:lang w:bidi="ar-SA"/>
        </w:rPr>
        <w:t>»</w:t>
      </w:r>
    </w:p>
    <w:p>
      <w:pPr>
        <w:pStyle w:val="BookText"/>
        <w:rPr/>
      </w:pP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وحذّر الإمام الأعظم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السباب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إنسانٍ يَطعَنُ في عَيْنِ مُؤْمِنٍ إلّا ماتَ بِشَرِّ مِيتَةٍ، وَكانَ قَمِناً</w:t>
      </w:r>
    </w:p>
    <w:p>
      <w:pPr>
        <w:pStyle w:val="BookText"/>
        <w:rPr/>
      </w:pP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يَرْجِعَ إلى خَيْرٍ</w:t>
      </w:r>
      <w:r>
        <w:rPr>
          <w:rFonts w:eastAsia="Amiri" w:cs="Amiri" w:ascii="Amiri" w:hAnsi="Amiri"/>
          <w:color w:val="111111"/>
          <w:sz w:val="28"/>
          <w:szCs w:val="28"/>
          <w:rtl w:val="true"/>
          <w:lang w:bidi="ar-SA"/>
        </w:rPr>
        <w:t>»</w:t>
      </w:r>
    </w:p>
    <w:p>
      <w:pPr>
        <w:pStyle w:val="BookText"/>
        <w:rPr/>
      </w:pP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حذّرت من السباب؛ لأنّه موجب لنشر الكراهية بين المسلمين، وتفلّل وحدتهم</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53222_383892988"/>
      <w:bookmarkStart w:id="92" w:name="_Toc34"/>
      <w:bookmarkEnd w:id="91"/>
      <w:r>
        <w:rPr/>
        <w:t>6</w:t>
      </w:r>
      <w:r>
        <w:rPr>
          <w:rtl w:val="true"/>
        </w:rPr>
        <w:t xml:space="preserve">- </w:t>
      </w:r>
      <w:r>
        <w:rPr>
          <w:rtl w:val="true"/>
        </w:rPr>
        <w:t>انتقاص المسلم</w:t>
      </w:r>
      <w:bookmarkEnd w:id="9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الإسلام انتقاص الإنسان المسلم والاستهانة به لصدور سيّئة أو ذنب منه، فإنّ ذلك من بواعث البغضاء، بالإضافة إلى إسقاط الشخص 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ما اثر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عنه</w:t>
      </w:r>
      <w:r>
        <w:rPr>
          <w:rFonts w:eastAsia="Amiri" w:cs="Amiri" w:ascii="Amiri" w:hAnsi="Amiri"/>
          <w:color w:val="111111"/>
          <w:sz w:val="28"/>
          <w:szCs w:val="28"/>
          <w:rtl w:val="true"/>
          <w:lang w:bidi="ar-SA"/>
        </w:rPr>
        <w:t>:</w:t>
      </w:r>
      <w:bookmarkStart w:id="93" w:name="pg1434_15906"/>
    </w:p>
    <w:p>
      <w:pPr>
        <w:pStyle w:val="BookText"/>
        <w:rPr/>
      </w:pPr>
      <w:bookmarkEnd w:id="93"/>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أذاعَ فاحِشَةً كان كَمُبْتَدئِها، وَمَنْ عَيَّرَ مُؤمِناً بِشَيْ‌ءٍ لَمْ يَمُتْ حَتّى يَرْكَبَهُ</w:t>
      </w:r>
      <w:r>
        <w:rPr>
          <w:rFonts w:eastAsia="Amiri" w:cs="Amiri" w:ascii="Amiri" w:hAnsi="Amiri"/>
          <w:color w:val="111111"/>
          <w:sz w:val="28"/>
          <w:szCs w:val="28"/>
          <w:rtl w:val="true"/>
          <w:lang w:bidi="ar-SA"/>
        </w:rPr>
        <w:t>»</w:t>
      </w:r>
    </w:p>
    <w:p>
      <w:pPr>
        <w:pStyle w:val="BookText"/>
        <w:rPr/>
      </w:pP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أَخاهُ بِما يُؤَنِّبُهُ أَنَّبَهُ اللهُ في الدُّنيا وَالآخِرَةِ</w:t>
      </w:r>
      <w:r>
        <w:rPr>
          <w:rFonts w:eastAsia="Amiri" w:cs="Amiri" w:ascii="Amiri" w:hAnsi="Amiri"/>
          <w:color w:val="111111"/>
          <w:sz w:val="28"/>
          <w:szCs w:val="28"/>
          <w:rtl w:val="true"/>
          <w:lang w:bidi="ar-SA"/>
        </w:rPr>
        <w:t>»</w:t>
      </w:r>
    </w:p>
    <w:p>
      <w:pPr>
        <w:pStyle w:val="BookText"/>
        <w:rPr/>
      </w:pP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حرّمت انتقاص المسلم حفظاً على وحدة المسلمين وإبعادهم عن المستوى السحيق</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253224_383892988"/>
      <w:bookmarkStart w:id="95" w:name="_Toc35"/>
      <w:bookmarkEnd w:id="94"/>
      <w:r>
        <w:rPr/>
        <w:t>7</w:t>
      </w:r>
      <w:r>
        <w:rPr>
          <w:rtl w:val="true"/>
        </w:rPr>
        <w:t xml:space="preserve">- </w:t>
      </w:r>
      <w:r>
        <w:rPr>
          <w:rtl w:val="true"/>
        </w:rPr>
        <w:t>تتبّع العثرات</w:t>
      </w:r>
      <w:bookmarkEnd w:id="95"/>
    </w:p>
    <w:p>
      <w:pPr>
        <w:pStyle w:val="BookText"/>
        <w:rPr/>
      </w:pPr>
      <w:r>
        <w:rPr>
          <w:rFonts w:ascii="Amiri" w:hAnsi="Amiri" w:eastAsia="Amiri" w:cs="Amiri"/>
          <w:color w:val="111111"/>
          <w:sz w:val="28"/>
          <w:sz w:val="28"/>
          <w:szCs w:val="28"/>
          <w:rtl w:val="true"/>
          <w:lang w:bidi="ar-SA"/>
        </w:rPr>
        <w:t>أحاط الإسلام الاخوّة الإسلاميّة بسياج واقٍ من التصدّع، وكان ممّا نهى عنه تتبّع عثرات الناس وإشاعة عيوبهم؛ لأنّه يسبّب الفتن، ويثير الكراهية والبغضاء، وقد أعلن القرآن الكريم حرمة 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w:t>
      </w:r>
    </w:p>
    <w:p>
      <w:pPr>
        <w:pStyle w:val="BookText"/>
        <w:rPr/>
      </w:pPr>
      <w:r>
        <w:rPr>
          <w:rFonts w:ascii="Amiri" w:hAnsi="Amiri" w:eastAsia="Amiri" w:cs="Amiri"/>
          <w:color w:val="111111"/>
          <w:sz w:val="28"/>
          <w:sz w:val="28"/>
          <w:szCs w:val="28"/>
          <w:rtl w:val="true"/>
          <w:lang w:bidi="ar-SA"/>
        </w:rPr>
        <w:t>الَّذِينَ آمَنُوا لَهُمْ عَذَابٌ أَلِيمٌ فِي الدُّنْيَا وَالْاخِرَةِ وَاللهُ يَعْلَمُ وَأَنْتُمْ لَا تَعْلَمُونَ‌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بعض الأحاديث الناهية عنه والمحرّمة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مَن أَسْلَمَ بِلِسَانِهِ وَلَم يُسْلِمْ بِقَلْبِهِ، لا تتّبِعُوا عَثَراتِ المُسْلِمِينَ، فإنَّه مَن تتبّعَ عَثَراتِ المُسْلِمينَ تَتَبَّعَ اللهُ عَثْرَتَهُ، وَمَنْ تَتَبَّع اللهُ عَثْرَتَهُ يَفْضَحْهُ</w:t>
      </w:r>
      <w:r>
        <w:rPr>
          <w:rFonts w:eastAsia="Amiri" w:cs="Amiri" w:ascii="Amiri" w:hAnsi="Amiri"/>
          <w:color w:val="111111"/>
          <w:sz w:val="28"/>
          <w:szCs w:val="28"/>
          <w:rtl w:val="true"/>
          <w:lang w:bidi="ar-SA"/>
        </w:rPr>
        <w:t>»</w:t>
      </w:r>
    </w:p>
    <w:p>
      <w:pPr>
        <w:pStyle w:val="BookText"/>
        <w:rPr/>
      </w:pP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أسْرَعَ الخَيْرِ ثَواباً البرُّ، وإنَّ أسْرَعَ الشَرِّ عُقُوبَةً البَغْيُ، وَكَفى بِالْمَرءِ عَيْباً أنْ يُبصِرَ مِنَ النّاسِ ما يَعمى عَنْهُ مِنْ نَفْسِهِ، وَأن يُعَيِّرَ النّاسَ بما لا يَسْتَطيعُ تَرْكَهُ، وَأنْ يُؤذِيَ جَلِيسَهُ بِما لا يَعنِيهِ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هذا التحذير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عثرات</w:t>
      </w:r>
      <w:bookmarkStart w:id="96" w:name="pg1434_15910"/>
    </w:p>
    <w:p>
      <w:pPr>
        <w:pStyle w:val="BookText"/>
        <w:rPr/>
      </w:pPr>
      <w:bookmarkEnd w:id="96"/>
      <w:r>
        <w:rPr>
          <w:rFonts w:ascii="Amiri" w:hAnsi="Amiri" w:eastAsia="Amiri" w:cs="Amiri"/>
          <w:color w:val="111111"/>
          <w:sz w:val="28"/>
          <w:sz w:val="28"/>
          <w:szCs w:val="28"/>
          <w:rtl w:val="true"/>
          <w:lang w:bidi="ar-SA"/>
        </w:rPr>
        <w:t>الناس فإنّه من أفحش المحرّمات وأكثرها بغضاً لله تعالى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إلى الكُفرِ أن يُواخِيَ الرَّجُلُ الرَّجُلَ عَلى الدّينِ فيُحصي عَلَيْهِ زَلّاتِهِ ليُعيِّرَهُ بِها يَوماً مَا</w:t>
      </w:r>
      <w:r>
        <w:rPr>
          <w:rFonts w:eastAsia="Amiri" w:cs="Amiri" w:ascii="Amiri" w:hAnsi="Amiri"/>
          <w:color w:val="111111"/>
          <w:sz w:val="28"/>
          <w:szCs w:val="28"/>
          <w:rtl w:val="true"/>
          <w:lang w:bidi="ar-SA"/>
        </w:rPr>
        <w:t>»</w:t>
      </w:r>
    </w:p>
    <w:p>
      <w:pPr>
        <w:pStyle w:val="BookText"/>
        <w:rPr/>
      </w:pP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أمثال هذه الأحاديث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تحرّم وتنهى أشدّ النهي عن اقتراف هذه السيّئة التي تؤدّي إلى نشر الكراهية بين الناس</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253226_383892988"/>
      <w:bookmarkStart w:id="98" w:name="_Toc36"/>
      <w:bookmarkEnd w:id="97"/>
      <w:r>
        <w:rPr/>
        <w:t>8</w:t>
      </w:r>
      <w:r>
        <w:rPr>
          <w:rtl w:val="true"/>
        </w:rPr>
        <w:t xml:space="preserve">- </w:t>
      </w:r>
      <w:r>
        <w:rPr>
          <w:rtl w:val="true"/>
        </w:rPr>
        <w:t>الغيبة</w:t>
      </w:r>
      <w:bookmarkEnd w:id="98"/>
    </w:p>
    <w:p>
      <w:pPr>
        <w:pStyle w:val="Heading4"/>
        <w:numPr>
          <w:ilvl w:val="3"/>
          <w:numId w:val="1"/>
        </w:numPr>
        <w:rPr/>
      </w:pPr>
      <w:bookmarkStart w:id="99" w:name="__RefHeading___Toc253228_383892988"/>
      <w:bookmarkStart w:id="100" w:name="_Toc37"/>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الغيبة من المحرّمات التي تفسد العلائق الاجتماعية، وتؤدّي إلى نشر الرذيلة، وقد حرّمها الإسلام أشدّ ألوان التحريم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يَغْتَبْ بَعْضُكُمْ بَعْضاً أَيُحِبُّ أَحَدُكُمْ</w:t>
      </w:r>
      <w:bookmarkStart w:id="101" w:name="pg1434_15912"/>
    </w:p>
    <w:p>
      <w:pPr>
        <w:pStyle w:val="BookText"/>
        <w:rPr/>
      </w:pPr>
      <w:bookmarkEnd w:id="101"/>
      <w:r>
        <w:rPr>
          <w:rFonts w:ascii="Amiri" w:hAnsi="Amiri" w:eastAsia="Amiri" w:cs="Amiri"/>
          <w:color w:val="111111"/>
          <w:sz w:val="28"/>
          <w:sz w:val="28"/>
          <w:szCs w:val="28"/>
          <w:rtl w:val="true"/>
          <w:lang w:bidi="ar-SA"/>
        </w:rPr>
        <w:t>أَنْ يَأْكُلَ لَحْمَ أَخِيهِ مَيْتاً فَكَرِهْتُمُوهُ وَاتَّقُوا اللهَ إِنَّ اللهَ تَوَّابٌ رَحِيمٌ‌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الغيبة؟ الغيبة أن يذكر المسلم أخاه المسلم في غيبته وعدم حضوره بما يكرهه ويسوؤه، سواء أكان ذلك صراحةً أو كنايةً أو إشارةً، وسواء ذكر ذلك بدينه أو دنياه، بخلقه أو بخلقته، لأنّها تُثير العداوة والبغضاء، وتحطّ من قيمة الإنسان المسلم، وتهدر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في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من الأحاديث في تحريمها، وكذلك عن أئمّة 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بعضها</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53230_383892988"/>
      <w:bookmarkStart w:id="103" w:name="_Toc38"/>
      <w:bookmarkEnd w:id="102"/>
      <w:r>
        <w:rPr>
          <w:rtl w:val="true"/>
        </w:rPr>
        <w:t>الأخبار النبويّة</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اغتابَ مُؤمناً بما فيهِ لَم يَجْمَعِ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فِي الجَنَّة أبداً، وَمَنْ اغْتابَ مُؤْمِناً</w:t>
      </w:r>
    </w:p>
    <w:p>
      <w:pPr>
        <w:pStyle w:val="BookText"/>
        <w:rPr/>
      </w:pPr>
      <w:r>
        <w:rPr>
          <w:rFonts w:ascii="Amiri" w:hAnsi="Amiri" w:eastAsia="Amiri" w:cs="Amiri"/>
          <w:color w:val="111111"/>
          <w:sz w:val="28"/>
          <w:sz w:val="28"/>
          <w:szCs w:val="28"/>
          <w:rtl w:val="true"/>
          <w:lang w:bidi="ar-SA"/>
        </w:rPr>
        <w:t>بِما لَيْسَ فِيهِ فَقَد انقطعتِ العِصْمَةُ بَيْنَهُمَا، وَكانَ المُغْتابُ فِي النار خالِداً فيها وبِئْسَ المَصِيرِ</w:t>
      </w:r>
      <w:r>
        <w:rPr>
          <w:rFonts w:eastAsia="Amiri" w:cs="Amiri" w:ascii="Amiri" w:hAnsi="Amiri"/>
          <w:color w:val="111111"/>
          <w:sz w:val="28"/>
          <w:szCs w:val="28"/>
          <w:rtl w:val="true"/>
          <w:lang w:bidi="ar-SA"/>
        </w:rPr>
        <w:t>»</w:t>
      </w:r>
    </w:p>
    <w:p>
      <w:pPr>
        <w:pStyle w:val="BookText"/>
        <w:rPr/>
      </w:pPr>
      <w:r>
        <w:rPr>
          <w:rStyle w:val="FootnoteAnchor"/>
          <w:rtl w:val="true"/>
        </w:rPr>
        <w:footnoteReference w:id="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عامّاً حتّى سمعته العوائق في بيوتها، فقال في جملة من خطابه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مَنْ آمَنَ بِلِسانِهِ وَلَمْ يُؤْمِنْ بِقَلْبِهِ، لا تَغْتابُوا المُسْلِمِينَ، ولا تَتّبِعُوا عَوْراتِهِمْ، فَإنَّ مَنْ تَتَبَّعَ عَوْرَةَ أخِيِهِ يَتَتَبَّعُ اللُه عَوْرَتهُ حَتّى يَفْضَحَهُ فِي جَوْفِ بَيْتِهِ</w:t>
      </w:r>
      <w:r>
        <w:rPr>
          <w:rFonts w:eastAsia="Amiri" w:cs="Amiri" w:ascii="Amiri" w:hAnsi="Amiri"/>
          <w:color w:val="111111"/>
          <w:sz w:val="28"/>
          <w:szCs w:val="28"/>
          <w:rtl w:val="true"/>
          <w:lang w:bidi="ar-SA"/>
        </w:rPr>
        <w:t>»</w:t>
      </w:r>
    </w:p>
    <w:p>
      <w:pPr>
        <w:pStyle w:val="BookText"/>
        <w:rPr/>
      </w:pPr>
      <w:r>
        <w:rPr>
          <w:rStyle w:val="FootnoteAnchor"/>
          <w:rtl w:val="true"/>
        </w:rPr>
        <w:footnoteReference w:id="5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أَسْرَعُ فِي دِينِ الرَّجُلِ المسلِمِ مِنَ الآكِلَة</w:t>
      </w:r>
    </w:p>
    <w:p>
      <w:pPr>
        <w:pStyle w:val="BookText"/>
        <w:rPr/>
      </w:pP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عُمِّرَ مَجْلِسٌ بالغيبَةِ إلّا خُرِّبَ بِالدِّينِ، فَنَزِّهُوا أسْماعَكُمْ مِن استِماعِ الغيبَةِ، فَإِنَّ القائِلَ</w:t>
      </w:r>
      <w:bookmarkStart w:id="104" w:name="pg1434_15916"/>
    </w:p>
    <w:p>
      <w:pPr>
        <w:pStyle w:val="BookText"/>
        <w:rPr/>
      </w:pPr>
      <w:bookmarkEnd w:id="104"/>
      <w:r>
        <w:rPr>
          <w:rFonts w:ascii="Amiri" w:hAnsi="Amiri" w:eastAsia="Amiri" w:cs="Amiri"/>
          <w:color w:val="111111"/>
          <w:sz w:val="28"/>
          <w:sz w:val="28"/>
          <w:szCs w:val="28"/>
          <w:rtl w:val="true"/>
          <w:lang w:bidi="ar-SA"/>
        </w:rPr>
        <w:t>والمُستَمِعَ لَها شَريكانِ فِي الإِثْمِ</w:t>
      </w:r>
      <w:r>
        <w:rPr>
          <w:rFonts w:eastAsia="Amiri" w:cs="Amiri" w:ascii="Amiri" w:hAnsi="Amiri"/>
          <w:color w:val="111111"/>
          <w:sz w:val="28"/>
          <w:szCs w:val="28"/>
          <w:rtl w:val="true"/>
          <w:lang w:bidi="ar-SA"/>
        </w:rPr>
        <w:t>»</w:t>
      </w:r>
    </w:p>
    <w:p>
      <w:pPr>
        <w:pStyle w:val="BookText"/>
        <w:rPr/>
      </w:pP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حكت هذه الأحاديث مدى اهتمام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الغيبة صيانةً للمسلمين من هذه الصفة السيّئة التي تفسد المجتمع وتلقيه في شرٍّ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مُؤْمِنٍ ما رَأَتْهُ عَيْناهُ، وَسَمِعَتْهُ اذُناهُ، فَهُوَ مِنَ الذينَ قالَ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يُحِبُّونَ أَنْ تَشِيعَ الْفَاحِشَةُ فِي الَّذِينَ آمَنُوا لَهُمْ عَذَابٌ أَلِيمٌ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التي حفلت بها مصادر الحديث وهي تحرّم وتنهي عن الغيبة التي هي من أفحش المحرّمات</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253232_383892988"/>
      <w:bookmarkStart w:id="106" w:name="_Toc39"/>
      <w:bookmarkEnd w:id="105"/>
      <w:r>
        <w:rPr/>
        <w:t>9</w:t>
      </w:r>
      <w:r>
        <w:rPr>
          <w:rtl w:val="true"/>
        </w:rPr>
        <w:t xml:space="preserve">- </w:t>
      </w:r>
      <w:r>
        <w:rPr>
          <w:rtl w:val="true"/>
        </w:rPr>
        <w:t>النميمة</w:t>
      </w:r>
      <w:bookmarkEnd w:id="10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المحرّمات في الإسلام التي يجب تنزيه المسلمين عنها</w:t>
      </w:r>
    </w:p>
    <w:p>
      <w:pPr>
        <w:pStyle w:val="BookText"/>
        <w:rPr/>
      </w:pPr>
      <w:r>
        <w:rPr>
          <w:rFonts w:ascii="Amiri" w:hAnsi="Amiri" w:eastAsia="Amiri" w:cs="Amiri"/>
          <w:color w:val="111111"/>
          <w:sz w:val="28"/>
          <w:sz w:val="28"/>
          <w:szCs w:val="28"/>
          <w:rtl w:val="true"/>
          <w:lang w:bidi="ar-SA"/>
        </w:rPr>
        <w:t>هي النميمة، وهي أن ينقل شخص قول الغير إلى المقول فيه،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تكلّم فيك كذا وكذا بما يثير عواطفه، ويفسد العلاقة بينهما، وهي كما تكون بالقول تكون بالكتابة والإشارة،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حرّمها الإسلام لأنّها تؤدّي إلى إشعال نار الفتنة، وتسبّب الكثير من المشاكل بين الناس، وقد حرّمها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ذَلِكَ زَنِيم</w:t>
      </w:r>
      <w:r>
        <w:rPr>
          <w:rStyle w:val="FootnoteAnchor"/>
          <w:rtl w:val="true"/>
        </w:rPr>
        <w:footnoteReference w:id="5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هُمَزَة لُمَزَة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التصريح في الذِّكر الحكيم بهذا الاسلوب ينمّ عن مدى حرمة النميمة وخطرها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كوكبة من الأحاديث في حرمة النميمة،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أَحَبُّكُم إِلى اللهِ تَعالَى أَحْسَنُكُمْ أَخْلاقاً،</w:t>
      </w:r>
    </w:p>
    <w:p>
      <w:pPr>
        <w:pStyle w:val="BookText"/>
        <w:rPr/>
      </w:pPr>
      <w:r>
        <w:rPr>
          <w:rFonts w:ascii="Amiri" w:hAnsi="Amiri" w:eastAsia="Amiri" w:cs="Amiri"/>
          <w:color w:val="111111"/>
          <w:sz w:val="28"/>
          <w:sz w:val="28"/>
          <w:szCs w:val="28"/>
          <w:rtl w:val="true"/>
          <w:lang w:bidi="ar-SA"/>
        </w:rPr>
        <w:t xml:space="preserve">المُوطِّئُونَ أكنافاً، الَّذِينَ يَألَفُونَ ويُؤْلَفُونَ، وإنَّ أبْغَضَكُم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المَشّاءُونَ بِالنَّمِيمَةِ، المُفرِّقُونَ بَيْنَ الأحِبّةِ، المُلْتَمِسُونَ لِلْبَراءِ</w:t>
      </w:r>
      <w:r>
        <w:rPr>
          <w:rStyle w:val="FootnoteAnchor"/>
          <w:rtl w:val="true"/>
        </w:rPr>
        <w:footnoteReference w:id="61"/>
      </w:r>
      <w:r>
        <w:rPr>
          <w:rFonts w:ascii="Amiri" w:hAnsi="Amiri" w:eastAsia="Amiri" w:cs="Amiri"/>
          <w:color w:val="111111"/>
          <w:sz w:val="28"/>
          <w:sz w:val="28"/>
          <w:szCs w:val="28"/>
          <w:rtl w:val="true"/>
          <w:lang w:bidi="ar-SA"/>
        </w:rPr>
        <w:t>العَثَرَاتِ</w:t>
      </w:r>
      <w:r>
        <w:rPr>
          <w:rFonts w:eastAsia="Amiri" w:cs="Amiri" w:ascii="Amiri" w:hAnsi="Amiri"/>
          <w:color w:val="111111"/>
          <w:sz w:val="28"/>
          <w:szCs w:val="28"/>
          <w:rtl w:val="true"/>
          <w:lang w:bidi="ar-SA"/>
        </w:rPr>
        <w:t>»</w:t>
      </w:r>
    </w:p>
    <w:p>
      <w:pPr>
        <w:pStyle w:val="BookText"/>
        <w:rPr/>
      </w:pP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أُنَبِّئُكُم بِشِرارِكُم؟</w:t>
      </w:r>
    </w:p>
    <w:p>
      <w:pPr>
        <w:pStyle w:val="BookText"/>
        <w:rPr/>
      </w:pPr>
      <w:r>
        <w:rPr>
          <w:rFonts w:ascii="Amiri" w:hAnsi="Amiri" w:eastAsia="Amiri" w:cs="Amiri"/>
          <w:color w:val="111111"/>
          <w:sz w:val="28"/>
          <w:sz w:val="28"/>
          <w:szCs w:val="28"/>
          <w:rtl w:val="true"/>
          <w:lang w:bidi="ar-SA"/>
        </w:rPr>
        <w:t>بلى، يارسول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المَشّاءُونَ بالنَّميمَةِ، المُفَرِّقُونَ بَيْنَ الأَحِبَّةِ، الْباغُونَ لِلْبُرَآءِ المَعايِبَ</w:t>
      </w:r>
      <w:r>
        <w:rPr>
          <w:rFonts w:eastAsia="Amiri" w:cs="Amiri" w:ascii="Amiri" w:hAnsi="Amiri"/>
          <w:color w:val="111111"/>
          <w:sz w:val="28"/>
          <w:szCs w:val="28"/>
          <w:rtl w:val="true"/>
          <w:lang w:bidi="ar-SA"/>
        </w:rPr>
        <w:t>»</w:t>
      </w:r>
    </w:p>
    <w:p>
      <w:pPr>
        <w:pStyle w:val="BookText"/>
        <w:rPr/>
      </w:pP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أَشارَ عَلى مُسِلمٍ بكَلِمَةٍ ليُشِينَهُ بِها بِغَيرِ حَقٍّ شَانَهُ اللهُ تَعالى في النّارِ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الأخبار الحرمة المشدّدة للنميمة وأنّها من موجبات العقاب في الدار الآخرة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حذّر من هذه الصفة</w:t>
      </w:r>
    </w:p>
    <w:p>
      <w:pPr>
        <w:pStyle w:val="BookText"/>
        <w:rPr/>
      </w:pPr>
      <w:r>
        <w:rPr>
          <w:rFonts w:ascii="Amiri" w:hAnsi="Amiri" w:eastAsia="Amiri" w:cs="Amiri"/>
          <w:color w:val="111111"/>
          <w:sz w:val="28"/>
          <w:sz w:val="28"/>
          <w:szCs w:val="28"/>
          <w:rtl w:val="true"/>
          <w:lang w:bidi="ar-SA"/>
        </w:rPr>
        <w:t xml:space="preserve">الذميمة التي هي من الموبقات، فقد روى محمّد بن فضيل أنّه سأل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من إخواني يبلغني عنه الشي‌ء الذي أكرهه، فأسأله عنه فينكر ذلك، وقد أخبرني عنه قوم من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كذِّبْ سمعَكَ وبَصَرَك عن أخيكَ، فإنْ شَهِدَ عندك خمسونَ قَسامَةً</w:t>
      </w:r>
    </w:p>
    <w:p>
      <w:pPr>
        <w:pStyle w:val="BookText"/>
        <w:rPr/>
      </w:pP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لَكَ قَوْلًا فَصَدِّقْهُ وَكَذِّبهُم، لا تُذيعنَّ عَلَيْهِ شَيْئاً تُشِينَهُ به، وَتَهْدِم مُروءَتَهُ، فَتَكُونَ مِنَ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يُحِبُّونَ أَنْ تَشِيعَ الْفَاحِشَةُ فِي الَّذِينَ آمَنُوا لَهُمْ عَذَابٌ أَلِيمٌ‌</w:t>
      </w:r>
      <w:r>
        <w:rPr>
          <w:rStyle w:val="FootnoteAnchor"/>
          <w:rtl w:val="true"/>
        </w:rPr>
        <w:footnoteReference w:id="66"/>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التي حرّمت النميمة التي لا تنفكّ عن الكذب والخيانة والإفساد بين الناس</w:t>
      </w:r>
      <w:r>
        <w:rPr>
          <w:rFonts w:eastAsia="Amiri" w:cs="Amiri" w:ascii="Amiri" w:hAnsi="Amiri"/>
          <w:color w:val="111111"/>
          <w:sz w:val="28"/>
          <w:szCs w:val="28"/>
          <w:rtl w:val="true"/>
          <w:lang w:bidi="ar-SA"/>
        </w:rPr>
        <w:t>.</w:t>
      </w:r>
      <w:bookmarkStart w:id="107" w:name="pg1434_15924"/>
    </w:p>
    <w:p>
      <w:pPr>
        <w:pStyle w:val="Heading3"/>
        <w:numPr>
          <w:ilvl w:val="2"/>
          <w:numId w:val="1"/>
        </w:numPr>
        <w:rPr/>
      </w:pPr>
      <w:bookmarkStart w:id="108" w:name="__RefHeading___Toc253234_383892988"/>
      <w:bookmarkStart w:id="109" w:name="_Toc40"/>
      <w:bookmarkEnd w:id="107"/>
      <w:bookmarkEnd w:id="108"/>
      <w:r>
        <w:rPr/>
        <w:t>10</w:t>
      </w:r>
      <w:r>
        <w:rPr>
          <w:rtl w:val="true"/>
        </w:rPr>
        <w:t xml:space="preserve">- </w:t>
      </w:r>
      <w:r>
        <w:rPr>
          <w:rtl w:val="true"/>
        </w:rPr>
        <w:t>التفاخر</w:t>
      </w:r>
      <w:bookmarkEnd w:id="109"/>
    </w:p>
    <w:p>
      <w:pPr>
        <w:pStyle w:val="BookText"/>
        <w:rPr/>
      </w:pPr>
      <w:r>
        <w:rPr>
          <w:rFonts w:ascii="Amiri" w:hAnsi="Amiri" w:eastAsia="Amiri" w:cs="Amiri"/>
          <w:color w:val="111111"/>
          <w:sz w:val="28"/>
          <w:sz w:val="28"/>
          <w:szCs w:val="28"/>
          <w:rtl w:val="true"/>
          <w:lang w:bidi="ar-SA"/>
        </w:rPr>
        <w:t>نهى الإسلام عن التفاخر بالأنساب؛ لأنّه من أسباب التناحر وتصديع الاخوّة الإسلاميّة، فالناس في شريعة الإسلام سواسية كأسنان المشط، لا فضل لأحد على أحد إلّا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تظافرت الأخبار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عنه، فقد قابل عقبة بن بشير الأسدي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يعرّفه نفسه، وأنّه من شخصيّات العرب البارزين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عقبة بن بشير الأسدي، وأنا في الحسب الضخم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الإمام هذا الإطراء والتبجيل، فقال 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تَمُنُّ علينا بحسَبِكَ إنَّ اللهَ رَفَعَ بِالإيمانِ مَن كانَ النّاسُ يُسَمّونَهُ وَضيعاً إذا كانَ مُؤْمِناً وَوَضَعَ بِالْكُفْرِ مَن كانَ النّاسُ يُسَمُّونَهُ شَرِيفاً إِذا كَان كَافراً فَلَيْسَ لأَحَدٍ</w:t>
      </w:r>
    </w:p>
    <w:p>
      <w:pPr>
        <w:pStyle w:val="BookText"/>
        <w:rPr/>
      </w:pPr>
      <w:r>
        <w:rPr>
          <w:rFonts w:ascii="Amiri" w:hAnsi="Amiri" w:eastAsia="Amiri" w:cs="Amiri"/>
          <w:color w:val="111111"/>
          <w:sz w:val="28"/>
          <w:sz w:val="28"/>
          <w:szCs w:val="28"/>
          <w:rtl w:val="true"/>
          <w:lang w:bidi="ar-SA"/>
        </w:rPr>
        <w:t>فَضْلٌ على أحدٍ إلّا بِالتَقْوى</w:t>
      </w:r>
      <w:r>
        <w:rPr>
          <w:rFonts w:eastAsia="Amiri" w:cs="Amiri" w:ascii="Amiri" w:hAnsi="Amiri"/>
          <w:color w:val="111111"/>
          <w:sz w:val="28"/>
          <w:szCs w:val="28"/>
          <w:rtl w:val="true"/>
          <w:lang w:bidi="ar-SA"/>
        </w:rPr>
        <w:t>»</w:t>
      </w:r>
    </w:p>
    <w:p>
      <w:pPr>
        <w:pStyle w:val="BookText"/>
        <w:rPr/>
      </w:pP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ميّز المؤمنين والمتحرّجين في دينهم، وفضّلهم على غيرهم، وإن كانوا مغمورين في أنسابهم، ولم تكن لهم منزلة اجتماعية قبل الإسلام، كعمّار بن ياسر وعبدالله بن مسعود وبلال، كما حطَّ من شأن الكافرين والطّغاة والجبابرة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سفيان وأبي جهل وأبي لهب، وقد كانت لهم منزلة مرموقة في الجاهليّة، فلم يحفل بها الإسلام، وجعل أساس التفوّق بالتقوى والعمل الصالح</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مكوّنات الاخوّة الإسلاميّة ومقوّماتها ومفرّقاتها التي تعصف بها، وقد استندت هذه البحوث إلى ما اثر عن أئمّة المسلمين، ودعاة الله تعالى في أرضه ليعتبر بها المسلمون في هذه الأجواء الرهيبة القاتمة التي عمد فيها من لا حريجة له في الدِّين إلى إثارة النعرات الطائفية، وتمزيق وحدة المسلمين، وتصديع شملهم، وبثّ</w:t>
      </w:r>
      <w:bookmarkStart w:id="110" w:name="pg1434_15928"/>
    </w:p>
    <w:p>
      <w:pPr>
        <w:pStyle w:val="BookText"/>
        <w:rPr/>
      </w:pPr>
      <w:bookmarkEnd w:id="110"/>
      <w:r>
        <w:rPr>
          <w:rFonts w:ascii="Amiri" w:hAnsi="Amiri" w:eastAsia="Amiri" w:cs="Amiri"/>
          <w:color w:val="111111"/>
          <w:sz w:val="28"/>
          <w:sz w:val="28"/>
          <w:szCs w:val="28"/>
          <w:rtl w:val="true"/>
          <w:lang w:bidi="ar-SA"/>
        </w:rPr>
        <w:t xml:space="preserve">الفتن فيما بينهم، وتكفير من دان بالولاء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عدلاء الذِّكر الحكيم، وسُفن نجاة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أعظم ما مُني به وطننا الغالي هذه الأحداث الجسام التي حلّت به، والتي أرعبت أبناء الرافدين، وتركتهم يموجون في تيّارات مذهلة من الفزع والخوف، كلّ ذلك من أجل أطماعهم الرخيصة، وأهوائهم الفاسدة للسيطرة على الحكم، ونهب خيرات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نتضرّع إلى الله تعالى، ونلجأ إليه أن ينقذ المسلمين ممّا دُبِّر لهم من الفتن، ويحميهم من هذا الشرّ الذي أحاط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تعالى وليّ ذلك والقادر عليه</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1" w:name="__RefHeading___Toc253236_383892988"/>
      <w:bookmarkStart w:id="112" w:name="_Toc41"/>
      <w:bookmarkEnd w:id="111"/>
      <w:r>
        <w:rPr>
          <w:rtl w:val="true"/>
        </w:rPr>
        <w:t>هوامش</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الجعفريّة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باختلاف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الجعفريّة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الجعفريّة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جديراً وأهلًا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163</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خبيث يتآكل لحم الجسم بسببه وتخصيصه بالجوف ربّما لأنّه أكثر أذىً وأسرع قتلًا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البري‌ء، وهو الخالي عمّا قيل فيه من عيب أو نُقِل عنه من كلام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شريف القرشي، الأخوة الإسلامية في منظار أئمة أهل البيت عليهم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الجعفريّة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باختلاف‌</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الجعفريّة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الجعفريّة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جديراً وأهلًا</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خبيث يتآكل لحم الجسم بسببه وتخصيصه بالجوف ربّما لأنّه أكثر أذىً وأسرع قتلًا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البري‌ء، وهو الخالي عمّا قيل فيه من عيب أو نُقِل عنه من كلام‌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الأخوة الإسلامية في منظار أئمة أهل البيت عليهم السلام،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5824</Words>
  <Characters>25790</Characters>
  <CharactersWithSpaces>31115</CharactersWithSpaces>
  <Paragraphs>610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2026-08-16T15:37:48Z</dcterms:created>
  <dc:creator>ghaemiyeh.com</dc:creator>
  <dc:description/>
  <dc:language>en-US</dc:language>
  <cp:lastModifiedBy/>
  <dcterms:modified xsi:type="dcterms:W3CDTF">2026-08-16T19:07:50Z</dcterms:modified>
  <cp:revision>1</cp:revision>
  <dc:subject/>
  <dc:title>الاخوه الاسلامیه فی منظار ائمه اهل البیت علیهم السلام</dc:title>
</cp:coreProperties>
</file>

<file path=docProps/custom.xml><?xml version="1.0" encoding="utf-8"?>
<Properties xmlns="http://schemas.openxmlformats.org/officeDocument/2006/custom-properties" xmlns:vt="http://schemas.openxmlformats.org/officeDocument/2006/docPropsVTypes"/>
</file>