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7.xml" ContentType="application/vnd.openxmlformats-officedocument.wordprocessingml.footer+xml"/>
  <Override PartName="/word/footer10.xml" ContentType="application/vnd.openxmlformats-officedocument.wordprocessingml.footer+xml"/>
  <Override PartName="/word/footer13.xml" ContentType="application/vnd.openxmlformats-officedocument.wordprocessingml.footer+xml"/>
  <Override PartName="/word/footer16.xml" ContentType="application/vnd.openxmlformats-officedocument.wordprocessingml.footer+xml"/>
  <Override PartName="/word/footer19.xml" ContentType="application/vnd.openxmlformats-officedocument.wordprocessingml.footer+xml"/>
  <Override PartName="/word/footer22.xml" ContentType="application/vnd.openxmlformats-officedocument.wordprocessingml.footer+xml"/>
  <Override PartName="/word/footer25.xml" ContentType="application/vnd.openxmlformats-officedocument.wordprocessingml.footer+xml"/>
  <Override PartName="/word/footer28.xml" ContentType="application/vnd.openxmlformats-officedocument.wordprocessingml.footer+xml"/>
  <Override PartName="/word/footer31.xml" ContentType="application/vnd.openxmlformats-officedocument.wordprocessingml.footer+xml"/>
  <Override PartName="/word/footer34.xml" ContentType="application/vnd.openxmlformats-officedocument.wordprocessingml.footer+xml"/>
  <Override PartName="/word/footer37.xml" ContentType="application/vnd.openxmlformats-officedocument.wordprocessingml.footer+xml"/>
  <Override PartName="/word/footer40.xml" ContentType="application/vnd.openxmlformats-officedocument.wordprocessingml.footer+xml"/>
  <Override PartName="/word/footer43.xml" ContentType="application/vnd.openxmlformats-officedocument.wordprocessingml.footer+xml"/>
  <Override PartName="/word/footer46.xml" ContentType="application/vnd.openxmlformats-officedocument.wordprocessingml.footer+xml"/>
  <Override PartName="/word/footer49.xml" ContentType="application/vnd.openxmlformats-officedocument.wordprocessingml.footer+xml"/>
  <Override PartName="/word/footer52.xml" ContentType="application/vnd.openxmlformats-officedocument.wordprocessingml.footer+xml"/>
  <Override PartName="/word/footer55.xml" ContentType="application/vnd.openxmlformats-officedocument.wordprocessingml.footer+xml"/>
  <Override PartName="/word/footer58.xml" ContentType="application/vnd.openxmlformats-officedocument.wordprocessingml.footer+xml"/>
  <Override PartName="/word/footer61.xml" ContentType="application/vnd.openxmlformats-officedocument.wordprocessingml.footer+xml"/>
  <Override PartName="/word/footer64.xml" ContentType="application/vnd.openxmlformats-officedocument.wordprocessingml.footer+xml"/>
  <Override PartName="/word/footer67.xml" ContentType="application/vnd.openxmlformats-officedocument.wordprocessingml.footer+xml"/>
  <Override PartName="/word/footer70.xml" ContentType="application/vnd.openxmlformats-officedocument.wordprocessingml.footer+xml"/>
  <Override PartName="/word/footer73.xml" ContentType="application/vnd.openxmlformats-officedocument.wordprocessingml.footer+xml"/>
  <Override PartName="/word/footer76.xml" ContentType="application/vnd.openxmlformats-officedocument.wordprocessingml.footer+xml"/>
  <Override PartName="/word/footer79.xml" ContentType="application/vnd.openxmlformats-officedocument.wordprocessingml.footer+xml"/>
  <Override PartName="/word/footer82.xml" ContentType="application/vnd.openxmlformats-officedocument.wordprocessingml.footer+xml"/>
  <Override PartName="/word/footer85.xml" ContentType="application/vnd.openxmlformats-officedocument.wordprocessingml.footer+xml"/>
  <Override PartName="/word/footer88.xml" ContentType="application/vnd.openxmlformats-officedocument.wordprocessingml.footer+xml"/>
  <Override PartName="/word/footer91.xml" ContentType="application/vnd.openxmlformats-officedocument.wordprocessingml.footer+xml"/>
  <Override PartName="/word/footer94.xml" ContentType="application/vnd.openxmlformats-officedocument.wordprocessingml.footer+xml"/>
  <Override PartName="/word/footer97.xml" ContentType="application/vnd.openxmlformats-officedocument.wordprocessingml.footer+xml"/>
  <Override PartName="/word/footer100.xml" ContentType="application/vnd.openxmlformats-officedocument.wordprocessingml.footer+xml"/>
  <Override PartName="/word/footer103.xml" ContentType="application/vnd.openxmlformats-officedocument.wordprocessingml.footer+xml"/>
  <Override PartName="/word/footer106.xml" ContentType="application/vnd.openxmlformats-officedocument.wordprocessingml.footer+xml"/>
  <Override PartName="/word/footer109.xml" ContentType="application/vnd.openxmlformats-officedocument.wordprocessingml.footer+xml"/>
  <Override PartName="/word/footer112.xml" ContentType="application/vnd.openxmlformats-officedocument.wordprocessingml.footer+xml"/>
  <Override PartName="/word/footer115.xml" ContentType="application/vnd.openxmlformats-officedocument.wordprocessingml.footer+xml"/>
  <Override PartName="/word/footer118.xml" ContentType="application/vnd.openxmlformats-officedocument.wordprocessingml.footer+xml"/>
  <Override PartName="/word/footer121.xml" ContentType="application/vnd.openxmlformats-officedocument.wordprocessingml.footer+xml"/>
  <Override PartName="/word/footer124.xml" ContentType="application/vnd.openxmlformats-officedocument.wordprocessingml.footer+xml"/>
  <Override PartName="/word/footer127.xml" ContentType="application/vnd.openxmlformats-officedocument.wordprocessingml.footer+xml"/>
  <Override PartName="/word/footer130.xml" ContentType="application/vnd.openxmlformats-officedocument.wordprocessingml.footer+xml"/>
  <Override PartName="/word/footnotes.xml" ContentType="application/vnd.openxmlformats-officedocument.wordprocessingml.footnote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/>
    <w:p>
      <w:pPr>
        <w:jc w:val="center"/>
      </w:pPr>
      <w:r>
        <w:pict>
          <v:shape type="#_x0000_t75" stroked="f" style="width:240pt; height:32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ect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/>
    <w:p/>
    <w:p/>
    <w:p/>
    <w:p/>
    <w:p/>
    <w:p>
      <w:pPr>
        <w:pStyle w:val="Title"/>
      </w:pPr>
      <w:r>
        <w:t>عدم تحریف القرآن</w:t>
      </w:r>
    </w:p>
    <w:p/>
    <w:p/>
    <w:p/>
    <w:p/>
    <w:p/>
    <w:p/>
    <w:p/>
    <w:p/>
    <w:p/>
    <w:p/>
    <w:p>
      <w:pPr>
        <w:jc w:val="center"/>
      </w:pPr>
      <w:r>
        <w:pict>
          <v:shape type="#_x0000_t75" stroked="f" style="width:90pt; height:90pt; margin-left:0pt; margin-top:0pt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jc w:val="center"/>
      </w:pPr>
      <w:r>
        <w:rPr>
          <w:color w:val="333333"/>
          <w:sz w:val="20"/>
          <w:szCs w:val="20"/>
        </w:rPr>
        <w:t xml:space="preserve">ghaemiyeh.com</w:t>
      </w:r>
    </w:p>
    <w:p>
      <w:r>
        <w:br w:type="page"/>
      </w:r>
    </w:p>
    <w:p>
      <w:pPr>
        <w:jc w:val="start"/>
        <w:bidi/>
      </w:pPr>
      <w:r>
        <w:rPr>
          <w:rFonts w:ascii="IRNazanin" w:hAnsi="IRNazanin" w:eastAsia="IRNazanin" w:cs="IRNazanin"/>
          <w:color w:val="111111"/>
          <w:sz w:val="28"/>
          <w:szCs w:val="28"/>
          <w:b w:val="1"/>
          <w:bCs w:val="1"/>
          <w:i w:val="0"/>
          <w:iCs w:val="0"/>
          <w:rtl/>
        </w:rPr>
        <w:t xml:space="preserve">فهرست مطالب</w:t>
      </w:r>
    </w:p>
    <w:p>
      <w:pPr>
        <w:tabs>
          <w:tab w:val="right" w:leader="dot" w:pos="9062"/>
        </w:tabs>
        <w:ind w:left="220"/>
      </w:pPr>
      <w:r>
        <w:fldChar w:fldCharType="begin"/>
      </w:r>
      <w:r>
        <w:instrText xml:space="preserve">TOC \o 2-6 \h \z \u</w:instrText>
      </w:r>
      <w:r>
        <w:fldChar w:fldCharType="separate"/>
      </w:r>
      <w:hyperlink w:anchor="_Toc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اشارة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اشارة</w:t>
        </w:r>
        <w:r>
          <w:tab/>
        </w:r>
        <w:r>
          <w:fldChar w:fldCharType="begin"/>
        </w:r>
        <w:r>
          <w:instrText xml:space="preserve">PAGEREF 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دلیل الکتاب :</w:t>
        </w:r>
        <w:r>
          <w:tab/>
        </w:r>
        <w:r>
          <w:fldChar w:fldCharType="begin"/>
        </w:r>
        <w:r>
          <w:instrText xml:space="preserve">PAGEREF 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مقدّمة المرکز :</w:t>
        </w:r>
        <w:r>
          <w:tab/>
        </w:r>
        <w:r>
          <w:fldChar w:fldCharType="begin"/>
        </w:r>
        <w:r>
          <w:instrText xml:space="preserve">PAGEREF 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تمهید :</w:t>
        </w:r>
        <w:r>
          <w:tab/>
        </w:r>
        <w:r>
          <w:fldChar w:fldCharType="begin"/>
        </w:r>
        <w:r>
          <w:instrText xml:space="preserve">PAGEREF 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سلامة القرآن من التحریف</w:t>
        </w:r>
        <w:r>
          <w:tab/>
        </w:r>
        <w:r>
          <w:fldChar w:fldCharType="begin"/>
        </w:r>
        <w:r>
          <w:instrText xml:space="preserve">PAGEREF 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اشارة</w:t>
        </w:r>
        <w:r>
          <w:tab/>
        </w:r>
        <w:r>
          <w:fldChar w:fldCharType="begin"/>
        </w:r>
        <w:r>
          <w:instrText xml:space="preserve">PAGEREF 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حسبنا کتاب الله :</w:t>
        </w:r>
        <w:r>
          <w:tab/>
        </w:r>
        <w:r>
          <w:fldChar w:fldCharType="begin"/>
        </w:r>
        <w:r>
          <w:instrText xml:space="preserve">PAGEREF 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معانی التحریف</w:t>
        </w:r>
        <w:r>
          <w:tab/>
        </w:r>
        <w:r>
          <w:fldChar w:fldCharType="begin"/>
        </w:r>
        <w:r>
          <w:instrText xml:space="preserve">PAGEREF 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اشارة</w:t>
        </w:r>
        <w:r>
          <w:tab/>
        </w:r>
        <w:r>
          <w:fldChar w:fldCharType="begin"/>
        </w:r>
        <w:r>
          <w:instrText xml:space="preserve">PAGEREF 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التحریف بالترتیب :</w:t>
        </w:r>
        <w:r>
          <w:tab/>
        </w:r>
        <w:r>
          <w:fldChar w:fldCharType="begin"/>
        </w:r>
        <w:r>
          <w:instrText xml:space="preserve">PAGEREF 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التحریف بالزیادة :</w:t>
        </w:r>
        <w:r>
          <w:tab/>
        </w:r>
        <w:r>
          <w:fldChar w:fldCharType="begin"/>
        </w:r>
        <w:r>
          <w:instrText xml:space="preserve">PAGEREF 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التحریف بالنقصان :</w:t>
        </w:r>
        <w:r>
          <w:tab/>
        </w:r>
        <w:r>
          <w:fldChar w:fldCharType="begin"/>
        </w:r>
        <w:r>
          <w:instrText xml:space="preserve">PAGEREF 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تنبیهان</w:t>
        </w:r>
        <w:r>
          <w:tab/>
        </w:r>
        <w:r>
          <w:fldChar w:fldCharType="begin"/>
        </w:r>
        <w:r>
          <w:instrText xml:space="preserve">PAGEREF 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الاول : نفی قصد التغلب فی البحث العلمی</w:t>
        </w:r>
        <w:r>
          <w:tab/>
        </w:r>
        <w:r>
          <w:fldChar w:fldCharType="begin"/>
        </w:r>
        <w:r>
          <w:instrText xml:space="preserve">PAGEREF 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الثانی : طرح البحث تارة علی صعید الروایات وتارة علی صعید الاقوال</w:t>
        </w:r>
        <w:r>
          <w:tab/>
        </w:r>
        <w:r>
          <w:fldChar w:fldCharType="begin"/>
        </w:r>
        <w:r>
          <w:instrText xml:space="preserve">PAGEREF 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التحریف بالنقصان حسب الروایات</w:t>
        </w:r>
        <w:r>
          <w:tab/>
        </w:r>
        <w:r>
          <w:fldChar w:fldCharType="begin"/>
        </w:r>
        <w:r>
          <w:instrText xml:space="preserve">PAGEREF 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اشارة</w:t>
        </w:r>
        <w:r>
          <w:tab/>
        </w:r>
        <w:r>
          <w:fldChar w:fldCharType="begin"/>
        </w:r>
        <w:r>
          <w:instrText xml:space="preserve">PAGEREF 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القسم الاول : الحمل علی اختلاف القراءات</w:t>
        </w:r>
        <w:r>
          <w:tab/>
        </w:r>
        <w:r>
          <w:fldChar w:fldCharType="begin"/>
        </w:r>
        <w:r>
          <w:instrText xml:space="preserve">PAGEREF 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القسم الثانی : ما نزل لا بعنوان القرآن</w:t>
        </w:r>
        <w:r>
          <w:tab/>
        </w:r>
        <w:r>
          <w:fldChar w:fldCharType="begin"/>
        </w:r>
        <w:r>
          <w:instrText xml:space="preserve">PAGEREF 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القسم الثالث : ما یصحّ حمله علی نسخ التلاوة</w:t>
        </w:r>
        <w:r>
          <w:tab/>
        </w:r>
        <w:r>
          <w:fldChar w:fldCharType="begin"/>
        </w:r>
        <w:r>
          <w:instrText xml:space="preserve">PAGEREF 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القسم الرابع : الروایات القابلة للحمل علی الدعاء</w:t>
        </w:r>
        <w:r>
          <w:tab/>
        </w:r>
        <w:r>
          <w:fldChar w:fldCharType="begin"/>
        </w:r>
        <w:r>
          <w:instrText xml:space="preserve">PAGEREF 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البحث فی سند الروایات :</w:t>
        </w:r>
        <w:r>
          <w:tab/>
        </w:r>
        <w:r>
          <w:fldChar w:fldCharType="begin"/>
        </w:r>
        <w:r>
          <w:instrText xml:space="preserve">PAGEREF 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فصل الخطاب :</w:t>
        </w:r>
        <w:r>
          <w:tab/>
        </w:r>
        <w:r>
          <w:fldChar w:fldCharType="begin"/>
        </w:r>
        <w:r>
          <w:instrText xml:space="preserve">PAGEREF 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التحریف بالنقصان حسب الاقوال</w:t>
        </w:r>
        <w:r>
          <w:tab/>
        </w:r>
        <w:r>
          <w:fldChar w:fldCharType="begin"/>
        </w:r>
        <w:r>
          <w:instrText xml:space="preserve">PAGEREF 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ملحق البحث</w:t>
        </w:r>
        <w:r>
          <w:tab/>
        </w:r>
        <w:r>
          <w:fldChar w:fldCharType="begin"/>
        </w:r>
        <w:r>
          <w:instrText xml:space="preserve">PAGEREF 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اشارة</w:t>
        </w:r>
        <w:r>
          <w:tab/>
        </w:r>
        <w:r>
          <w:fldChar w:fldCharType="begin"/>
        </w:r>
        <w:r>
          <w:instrText xml:space="preserve">PAGEREF 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 ـ حول قرآن علی علیه‌السلام :</w:t>
        </w:r>
        <w:r>
          <w:tab/>
        </w:r>
        <w:r>
          <w:fldChar w:fldCharType="begin"/>
        </w:r>
        <w:r>
          <w:instrText xml:space="preserve">PAGEREF 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 ـ موقف العلماء من المیرزا النوری وکتابه :</w:t>
        </w:r>
        <w:r>
          <w:tab/>
        </w:r>
        <w:r>
          <w:fldChar w:fldCharType="begin"/>
        </w:r>
        <w:r>
          <w:instrText xml:space="preserve">PAGEREF 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 ـ حول جمع القرآن الموجود :</w:t>
        </w:r>
        <w:r>
          <w:tab/>
        </w:r>
        <w:r>
          <w:fldChar w:fldCharType="begin"/>
        </w:r>
        <w:r>
          <w:instrText xml:space="preserve">PAGEREF 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 ـ مسألة تهذیب کتب الحدیث من مثل هذه الروایات :</w:t>
        </w:r>
        <w:r>
          <w:tab/>
        </w:r>
        <w:r>
          <w:fldChar w:fldCharType="begin"/>
        </w:r>
        <w:r>
          <w:instrText xml:space="preserve">PAGEREF 31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0" w:name="pg1338_15855"/>
    <w:bookmarkEnd w:id="0"/>
    <w:p>
      <w:pPr>
        <w:pStyle w:val="Heading2"/>
      </w:pPr>
      <w:bookmarkStart w:id="21" w:name="_Toc1"/>
      <w:r>
        <w:t>اشارة</w:t>
      </w:r>
      <w:bookmarkEnd w:id="2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سرشناسه : حسینی میلانی، علی، - ۱۳۲۶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عنوان و نام پدیدآور : عدم تحریف القرآن/ علی الحسینی المیلانی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مشخصات نشر : قم: مرکز الابحاث العقائدیه، ۱۴۲۱ق. = ۱۳۷۹.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مشخصات ظاهری : ص ۴۲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فروست : (سلسله الندوات العقائدیه ۱)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شابک : 964-319-247-4 ؛ 964-319-247-4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وضعیت فهرست نویسی : فهرستنویسی قبلی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یادداشت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یادداشت : کتابنامه به صورت زیرنویس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 -- تحریف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 -- دفاعیه ها و ردیه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رده بندی کنگره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BP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۸۹/۲/ح ۵ع ۴ ۱۳۷۹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رده بندی دیویی : ۲۹۷/۱۵۹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کتابشناسی ملی : م ۷۹-۱۶۴۴۲</w:t>
      </w:r>
    </w:p>
    <w:p>
      <w:pPr>
        <w:pStyle w:val="Heading2"/>
      </w:pPr>
      <w:bookmarkStart w:id="22" w:name="_Toc2"/>
      <w:r>
        <w:t>اشارة</w:t>
      </w:r>
      <w:bookmarkEnd w:id="22"/>
    </w:p>
    <w:p>
      <w:pPr>
        <w:sectPr>
          <w:footerReference w:type="default" r:id="rId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sectPr>
          <w:footerReference w:type="default" r:id="rId1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" w:name="pg1338_15857"/>
    <w:bookmarkEnd w:id="1"/>
    <w:p>
      <w:pPr>
        <w:pStyle w:val="Heading2"/>
      </w:pPr>
      <w:bookmarkStart w:id="23" w:name="_Toc3"/>
      <w:r>
        <w:t>دلیل الکتاب :</w:t>
      </w:r>
      <w:bookmarkEnd w:id="2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مقدّمة المرکز.......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تمهید... 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سلامة القرآن من التحریف... 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حسبنا کتاب الله.. 11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معانی التحریف.. 13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التحریف بالترتیب... 13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التحریف بالزیادة.. 14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التحریف بالنقصان... 15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تنبیهان.. 17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الاول : نفی قصد التغلب فی البحث العلمی.. 17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الثانی : طرح البحث تارة علی صعید الروایات وتارة علی صعید الاقوال.. 19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التحریف بالنقصان حسب الروایات... 23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القسم الاول : الحمل علی اختلاف القراءات... 23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القسم الثانی : ما نزل لا بعنوان القرآن... 24
</w:t>
      </w:r>
    </w:p>
    <w:p>
      <w:pPr>
        <w:sectPr>
          <w:footerReference w:type="default" r:id="rId1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القسم الثالث : ما یصحّ حمله علی نسخ التلاوة... 24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القسم الرابع : الروایات القابلة للحمل علی الدعاء.. 25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البحث فی سند الروایات.. 26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 فصل الخطاب... 31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التحریف بالنقصان حسب الاقوال... 35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ملحق البحث... 37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 ـ حول قرآن علی علیه‌السلام.. 37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 ـ موقف العلماء من المیرزا النوری وکتابه... 38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 ـ حول جمع القرآن الموجود... 40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 ـ مسألة تهذیب کتب الحدیث من مثل هذه الروایات.. 41
</w:t>
      </w:r>
    </w:p>
    <w:p>
      <w:pPr>
        <w:sectPr>
          <w:footerReference w:type="default" r:id="rId1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" w:name="pg1338_15859"/>
    <w:bookmarkEnd w:id="2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بسم الله الرحمن الرحیم</w:t>
      </w:r>
    </w:p>
    <w:p>
      <w:pPr>
        <w:pStyle w:val="Heading2"/>
      </w:pPr>
      <w:bookmarkStart w:id="24" w:name="_Toc4"/>
      <w:r>
        <w:t>مقدّمة المرکز :</w:t>
      </w:r>
      <w:bookmarkEnd w:id="2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لا یخفی أنّنا لازلنا بحاجة إلی تکریس الجهود ومضاعفتها نحو الفهم الصحیح والافهام المناسب لعقائدنا الحقّة ومفاهیمنا الرفیعة ، ممّا یستدعی الالتزام الجادّ بالبرامج والمناهج العلمیة التی توجد حالة من المفاعلة الدائمة بین الاُمّة وقیمها الحقّة ، بشکل یتناسب مع لغة العصر والتطوّر التقنی الحدیث.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وانطلاقاً من ذلک ، فقد بادر مرکز الابحاث العقائدیة التابع لمکتب سماحة آیة الله العظمی السید السیستانی ـ مدّ ظلّه ـ إلی اتّخاذ منهج ینتظم علی عدّة محاور بهدف طرح الفکر الاسلامی الشیعی علی أوسع نطاق ممکن.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ومن هذه المحاور : عقد الندوات العقائدیّة المختصّة ، باستضافة نخبة من أساتذة الحوزة العلمیة ومفکّریها المرموقین ، التی تقوم نوعاً علی الموضوعات الهامّة ، حیث یجری تناولها بالعرض والنقد
</w:t>
      </w:r>
    </w:p>
    <w:p>
      <w:pPr>
        <w:sectPr>
          <w:footerReference w:type="default" r:id="rId1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والتحلیل وطرح الرأی الشیعی المختار فیها ، ثم یخضع ذلک الموضوع ـ بطبیعة الحال ـ للحوار المفتوح والمناقشات الحرّة لغرض الحصول علی أفضل النتائج.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ولاجل تعمیم الفائدة فقد أخذت هذه الندوات طریقها إلی شبکة الانترنت العالمیة صوتاً وکتابةً.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کما یجری تکثیرها عبر التسجیل الصوتی والمرئی وتوزیعها علی المراکز والمؤسسات العلمیة والشخصیات الثقافیة فی شتی أرجاء العالم.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وأخیراً ، فإنّ الخطوة الثالثة تکمن فی طبعها ونشرها علی شکل کراریس تحت عنوان «سلسلة الندوات العقائدیة» بعد إجراء مجموعة من الخطوات التحقیقیة والفنیّة اللازمة علیها.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وهذا الکرّاس الماثل بین یدی القارئ الکریم واحدٌ من السلسلة المشار إلیها.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سائلینه سبحانه وتعالی أن یناله بأحسن قبوله.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مرکز الابحاث العقائدیة فارس الحسّون
</w:t>
      </w:r>
    </w:p>
    <w:p>
      <w:pPr>
        <w:sectPr>
          <w:footerReference w:type="default" r:id="rId1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" w:name="pg1338_15861"/>
    <w:bookmarkEnd w:id="3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بسم الله الرحمن الرحیم</w:t>
      </w:r>
    </w:p>
    <w:p>
      <w:pPr>
        <w:pStyle w:val="Heading2"/>
      </w:pPr>
      <w:bookmarkStart w:id="25" w:name="_Toc5"/>
      <w:r>
        <w:t>تمهید :</w:t>
      </w:r>
      <w:bookmarkEnd w:id="2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الحمد لله رب العالمین ، والصلاة والسلام علی محمد وآله خیر الخلق أجمعین ، ولعنة الله علی أعدائهم أجمعین من الاوّلین والاخرین.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تحریف القرآن لا یکفیه مجلس واحد ولا مجلسان ولا ثلاثة مجالس إذا أردتم أن نستوعب البحث ونستقصی جوانبه المتعددة المختلفة ، أمّا إذا أردتم الافتاء أو نقل الفتاوی عن الاخرین من کبار علمائنا السابقین والمعاصرین ، فأنقل لکم الفتاوی ، ولکنّکم تریدون الادلّة بشیء من التفصیل.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فإلیکم الان صورةً مفیدة عن هذا الموضوع ، وبالله التوفیق.
</w:t>
      </w:r>
    </w:p>
    <w:p>
      <w:pPr>
        <w:sectPr>
          <w:footerReference w:type="default" r:id="rId1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sectPr>
          <w:footerReference w:type="default" r:id="rId1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" w:name="pg1338_15863"/>
    <w:bookmarkEnd w:id="4"/>
    <w:p>
      <w:pPr>
        <w:pStyle w:val="Heading2"/>
      </w:pPr>
      <w:bookmarkStart w:id="26" w:name="_Toc6"/>
      <w:r>
        <w:t>سلامة القرآن من التحریف</w:t>
      </w:r>
      <w:bookmarkEnd w:id="26"/>
    </w:p>
    <w:p>
      <w:pPr>
        <w:pStyle w:val="Heading3"/>
      </w:pPr>
      <w:bookmarkStart w:id="27" w:name="_Toc7"/>
      <w:r>
        <w:t>اشارة</w:t>
      </w:r>
      <w:bookmarkEnd w:id="2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لا ریب ولا خلاف فی أنّ القرآن المجید الموجود الان بین أیدی المسلمین هو کلام الله المنزل علی رسوله صلی‌الله‌علیه‌وآله‌وسلم ، وهو المعجزة الخالدة له ، وهو الذی أوصی أُمّته بالرجوع إلیه ، والتحاکم إلیه ، وأفاد فی حدیث الثقلین المتواتر بین الفریقین أنّ القرآن والعترة هما الثقلان اللذان ترکهما فی أُمّته لئلاّ تضلّ ما دامت متمسّکة بهذین الثقلین.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هذا الحدیث مروی بهذه الصورة التی أنتم تعلمونها ، وفی أحد ألفاظه : «إنّی تارک فیکم الثقلین : کتاب الله وعترتی أهل بیتی ، ما إن تمسّکتم بهما لن تضلّوا بعدی أبداً ، وإنّهما لن یفترقا حتّی یردا عَلَیّ الحوض».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إلاّ أنّ بعض العامة یروون هذا الحدیث بلفظ : «إنّی تارک فیکم الثقلین کتاب الله وسنّتی» ، وقد أفردنا رسالة خاصة بهذا الحدیث ،
</w:t>
      </w:r>
    </w:p>
    <w:p>
      <w:pPr>
        <w:sectPr>
          <w:footerReference w:type="default" r:id="rId1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وهی رسالة مطبوعة منتشرة فی تحقیق هذا الحدیث سنداً ، ودلالةً ، إلاّ أنّی ذکرته هنا لغرض ما.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أئمّتنا صلوات الله علیهم اهتمّوا بهذا القرآن بأنواع الاهتمامات ، فأمیر المؤمنین أوّل من جمع القرآن ، أو من أوائل الذین جمعوا القرآن ، وهو والائمّة من بعده کلّهم کانوا یحثّون الاُمّة علی الرجوع إلی القرآن ، وتلاوة القرآن ، وحفظ القرآن ، والتحاکم إلی القرآن ، وتعلّم القرآن ، إلی آخره.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وهکذا کان شیعتهم إلی یومنا هذا.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والقرآن الکریم هو المصدر الاوّل لاستنباط الاحکام الشرعیة عند فقهائنا ، یرجعون إلی القرآن فی استنباط الاحکام الشرعیة واستخراجها.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إذن ، هذا القرآن الکریم ، هو القرآن الذی أنزله الله سبحانه وتعالی ، وهو الذی اهتمّ به أئمّتنا سلام الله علیهم ، وطالما رأیناهم یستشهدون بآیاته ، ویتمسّکون بآیاته ، ویستدلّون بها فی أقوالهم المختلفة ، فإذا رجعنا إلی الروایات المنقولة نجد الاهتمام بالقرآن الکریم والاستدلال به فی کلماتهم بکثرة ، سواء فی نهج البلاغة أو فی أُصول الکافی أو فی سائر کتبنا ، والمحدّثون أیضاً عقدوا لهذا الموضوع أبواباً خاصة ، ولعلّ فی کتاب الوافی أو بحار الانوار غنیً
</w:t>
      </w:r>
    </w:p>
    <w:p>
      <w:pPr>
        <w:sectPr>
          <w:footerReference w:type="default" r:id="rId1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" w:name="pg1338_15865"/>
    <w:bookmarkEnd w:id="5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وکفایة عن أی کتاب آخر ، حیث جمعوا هذه الروایات فی أبواب تخص القرآن الکریم.</w:t>
      </w:r>
    </w:p>
    <w:p>
      <w:pPr>
        <w:pStyle w:val="Heading3"/>
      </w:pPr>
      <w:bookmarkStart w:id="28" w:name="_Toc8"/>
      <w:r>
        <w:t>حسبنا کتاب الله :</w:t>
      </w:r>
      <w:bookmarkEnd w:id="2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النبی صلی‌الله‌علیه‌وآله‌وسلم خلّف فی أُمّته القرآن ، وأمرهم بالتمسّک بالقرآن مع العترة ، وعلی فرض صحّة الحدیث الاخر ، أمرهم بالتمسّک بالکتاب والسنّة ، إلاّ أنّ من الاصحاب الذین یقتدی بهم العامّة من قال : حسبنا کتاب الله ، ففرّق هذا القائل وأتباعه بین الکتاب والعترة ، أو بین الکتاب والسنّة ، وحرموا الاُمّة الانتفاع والاستفادة من العترة أو من السنّة ، وقالوا : حسبنا کتاب الله ، إلاّ أنّهم لم یحافظوا علی هذا القرآن الکریم ، هم الذین قالوا : حسبنا کتاب الله ، ترکوا تدوین الکتاب الکریم إلی زمن عثمان ، یعنی إلی عهد حکومة الاُمویین ، فالقرآن الموجود الان من جمع الاُمویین فی عهد عثمان ، کما أنّ السنّة الموجودة الان بید العامّة هی سنّة دوّنها الاُمویّون ، ولسنا الان بصدد الحدیث عن هذا المطلب.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المهم أن نعلم أنّ الذین قالوا : حسبنا کتاب الله ، لم یرووا القرآن ، ترکوا تدوینه وجمعه إلی زمن عثمان.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ولکن عثمان الذی جمع القرآن هو بنفسه قال : إنّ فیه لحناً ،
</w:t>
      </w:r>
    </w:p>
    <w:p>
      <w:pPr>
        <w:sectPr>
          <w:footerReference w:type="default" r:id="rId1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والذین جمعوا القرآن علی عهد عثمان وتعاونوا معه فی جمعه قالوا : إنّ فیه غلطاً ، قالوا : إنّ فیه خطأ.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إلاّ أنّک لا تجد مثل هذه التعابیر فی کلمات أهل البیت علیهم‌السلام ، لا تجد عن أئمّتنا کلمة تشین القرآن الکریم وتنقص من منزلته ومقامه ، بل بالعکس کما أشرنا من قبل ، وهذه نقطة یجب أن لا یغفل عنها الباحثون ، وأُؤکّد أنّک لا تجد فی روایاتنا کلمة فیها أقل تنقیص للقرآن الکریم.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فالذین قالوا : حسبنا کتاب الله ، وأرادوا أن یعزلوا الاُمّة عن العترة والسنّة ، أو یعزلوا السنّة والعترة عن الاُمّة ، هم لم یجمعوا القرآن ، وترکوا جمعه إلی زمن عثمان ، وعثمان قال : إنّ فیه لحناً. وقال آخر : إنّ فیه غلطاً. وقال آخر : إنّ فیه خطأ. </w:t>
      </w:r>
      <w:r>
        <w:rPr>
          <w:rStyle w:val="FootnoteReference"/>
        </w:rPr>
        <w:footnoteReference w:id="1"/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ثمّ جاء دور العلماء ، دور الباحثین ، دور المحدّثین ، فمنذ الیوم الاوّل جعلوا یتّهمون الشیعة الامامیّة الاثنی عشریة بأنّهم یقولون بتحریف القرآن.
</w:t>
      </w:r>
    </w:p>
    <w:p>
      <w:pPr>
        <w:sectPr>
          <w:footerReference w:type="default" r:id="rId2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" w:name="pg1338_15867"/>
    <w:bookmarkEnd w:id="6"/>
    <w:p>
      <w:pPr>
        <w:pStyle w:val="Heading2"/>
      </w:pPr>
      <w:bookmarkStart w:id="29" w:name="_Toc9"/>
      <w:r>
        <w:t>معانی التحریف</w:t>
      </w:r>
      <w:bookmarkEnd w:id="29"/>
    </w:p>
    <w:p>
      <w:pPr>
        <w:pStyle w:val="Heading3"/>
      </w:pPr>
      <w:bookmarkStart w:id="30" w:name="_Toc10"/>
      <w:r>
        <w:t>اشارة</w:t>
      </w:r>
      <w:bookmarkEnd w:id="3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إنّ للتحریف معانی عدیدة :</w:t>
      </w:r>
    </w:p>
    <w:p>
      <w:pPr>
        <w:pStyle w:val="Heading3"/>
      </w:pPr>
      <w:bookmarkStart w:id="31" w:name="_Toc11"/>
      <w:r>
        <w:t>التحریف بالترتیب :</w:t>
      </w:r>
      <w:bookmarkEnd w:id="3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هناک معنی للتحریف لا خلاف بین المسلمین فی وقوعه فی القرآن الکریم ، یتّفق الکل علی أنّ القرآن الموجود لیس تدوینه بحسب ما نزل ، یختلف وضع الموجود عن تنزیله وترتیبه فی النزول ، وهذا ما ینصّ علیه علماء القرآن فی کتبهم ، فراجعوا إن شئتم کتاب الاتقان لجلال الدین السیوطی ، ترونه یذکر أسامی السور ، سور القرآن الکریم بحسب نزولها.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وأیّ غرض کان عندهم من هذا الذی فعلوا؟ لماذا فعلوا هکذا؟ هذا بحث یجب أن یطرح ، فقد قلت لکم إنّ المجلس الواحد لا یکفی.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ترتیب السور وترتیب الایات یختلف عمّا نزل علیه القرآن
</w:t>
      </w:r>
    </w:p>
    <w:p>
      <w:pPr>
        <w:sectPr>
          <w:footerReference w:type="default" r:id="rId2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" w:name="pg1338_15868"/>
    <w:bookmarkEnd w:id="7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الکریم ، ترون آیة المودة مثلاً وضعت فی غیر موضعها ، آیة التطهیر وضعت فی غیر موضعها ، ترون آیة (أکملت لکم دینکم) وضعت فی غیر موضعها ، سورة المائدة التی هی بإجماع الفریقین آخر ما نزل من القرآن الکریم ، ترونها لیست فی آخر القرآن ، بل فی أوائل القرآن ، ما الغرض من هذا؟ فهذا نوع من التحریف لا ریب فی وقوعه ، وقد اتفق الکلّ علی وقوعه فی القرآن.</w:t>
      </w:r>
    </w:p>
    <w:p>
      <w:pPr>
        <w:pStyle w:val="Heading3"/>
      </w:pPr>
      <w:bookmarkStart w:id="32" w:name="_Toc12"/>
      <w:r>
        <w:t>التحریف بالزیادة :</w:t>
      </w:r>
      <w:bookmarkEnd w:id="3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وهناک معنی آخر من التحریف اتفقوا علی عدم وقوعه فی القرآن ، ولا خلاف فی ذلک ، وهو التحریف بالزیادة ، اتفق الکل وأجمعوا علی أنّ القرآن الکریم لا زیادة فیه ، أی لیس فی القرآن الموجود شیء من کلام الادمیین وغیر الادمیین ، إنّه کلام الله سبحانه وتعالی فقط.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نعم ینقلون عن ابن مسعود الصحابی أنّه لم یکتب فی مصحفه المعوّذتین </w:t>
      </w:r>
      <w:r>
        <w:rPr>
          <w:rStyle w:val="FootnoteReference"/>
        </w:rPr>
        <w:footnoteReference w:id="2"/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قال : لانّهما لیستا من القرآن.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إلاّ أنّ الکل خطّأه ، حتّی فی روایاتنا أیضاً خطّأه الائمّة سلام الله علیهم.
</w:t>
      </w:r>
    </w:p>
    <w:p>
      <w:pPr>
        <w:sectPr>
          <w:footerReference w:type="default" r:id="rId2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" w:name="pg1338_15869"/>
    <w:bookmarkEnd w:id="8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فلیس فی القرآن زیادة ، وهذا معنی آخر من التحریف.</w:t>
      </w:r>
    </w:p>
    <w:p>
      <w:pPr>
        <w:pStyle w:val="Heading3"/>
      </w:pPr>
      <w:bookmarkStart w:id="33" w:name="_Toc13"/>
      <w:r>
        <w:t>التحریف بالنقصان :</w:t>
      </w:r>
      <w:bookmarkEnd w:id="3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المعنی الذی وقع فیه النزاع هو التحریف بمعنی النقصان : بأن یکون القرآن الکریم قد وقع فیه نقص ، بأن یکون غیر مشتمل أو غیر جامع لجمیع ما نزل من الله سبحانه وتعالی بعنوان القرآن علی رسوله الکریم صلی‌الله‌علیه‌وآله‌وسلم ، هذا هو الامر الذی یُتّهم الشیعة الامامیّة بالاعتقاد به.
</w:t>
      </w:r>
    </w:p>
    <w:p>
      <w:pPr>
        <w:sectPr>
          <w:footerReference w:type="default" r:id="rId2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sectPr>
          <w:footerReference w:type="default" r:id="rId2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" w:name="pg1338_15871"/>
    <w:bookmarkEnd w:id="9"/>
    <w:p>
      <w:pPr>
        <w:pStyle w:val="Heading2"/>
      </w:pPr>
      <w:bookmarkStart w:id="34" w:name="_Toc14"/>
      <w:r>
        <w:t>تنبیهان</w:t>
      </w:r>
      <w:bookmarkEnd w:id="34"/>
    </w:p>
    <w:p>
      <w:pPr>
        <w:pStyle w:val="Heading3"/>
      </w:pPr>
      <w:bookmarkStart w:id="35" w:name="_Toc15"/>
      <w:r>
        <w:t>الاول : نفی قصد التغلب فی البحث العلمی</w:t>
      </w:r>
      <w:bookmarkEnd w:id="3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قبل کلّ شیء ، لابد من أن أُذکّرکم بمطلب ینفعنا فی هذا البحث وفی کلّ بحث من البحوث 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دائماً یجب أن یکون الذین یبحثون فی موضوع من المواضیع العلمیة ، وبعبارة أُخری : علی کلّ مختلفین فی مسألة ، سواء کان هناک عالمان یختلفان فی مسألة ، أو فرقتان وطائفتان تختلفان فی مسألة ، یجب أن یکونوا ملتفتین وواعین إلی نقطة ، وهی أن لا یکون القصد من البحث هو التغلّب علی الطرف الاخر بأیّ ثمن ، أن لا یحاولوا الغلبة علی الخصم ولو علی حساب الاسلام والقرآن ، دائماً یجب أن یحدّد الموضوع الذی یبحث عنه ، ویجب أن یکون الباحث ملتفتاً إلی الاثار المترتّبة علی بحثه ، أو علی الاعلان عن وجهة نظره فی تلک المسألة.
</w:t>
      </w:r>
    </w:p>
    <w:p>
      <w:pPr>
        <w:sectPr>
          <w:footerReference w:type="default" r:id="rId2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لاحظوا لو أنّ السنّیّ إتّهم الطائفة الشیعیة کلّها بأنّهم یقولون بنقصان القرآن ، فهذا خطأ إن لم یکن هناک تعصّب ، إن لم یکن هناک عداء ، إن لم یکن هناک أغراض أُخری ، هذا خطأ فی البحث.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فیجب علی الباحث أن یحدّد موضوع بحثه ، فالتحریف بأیّ معنی؟ قلنا : للتحریف معانی متعددة ، ثمّ إنّک تنسب إلی طائفة بأجمعها إنّهم یقولون بتحریف القرآن ، هل تقصد الشیعة کلّها بجمیع فرقها ، أو تقصد الشیعة الامامیة الاثنی عشریة.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لو قرأت کتاب منهاج السنة لرأیته یتهجّم علی الطائفة الشیعیة بأجمعها وبجمیع أشکالها وأقسامها وفرقها ، إذا سألته بأنّ هذه الاشیاء التی تنسبها إلی الشیعة هم لا یقولون بها ، یقول : إنّما قصدت الغلاة منهم ، إنّک تسبّ الشیعة بأجمعها ، ثمّ عندما تعتذر تقول قصدت بعضهم ، هذا خطأ فی البحث إنْ لم یکن غرض ، إن لم یکن مرض.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إذن ، یجب أن یحدّد البحث ، فتقول فی الطائفة الشیعیة الاثنی عشریة من یقول بتحریف القرآن بمعنی نقصان القرآن ، لا أن تقول إنّ الشیعة تقول بتحریف القرآن ، التحریف بمعنی النقصان ، ففی الشیعة من لا یقول بتحریف القرآن ، فی الشیعة من لا یقول بنقصان القرآن ، فی الشیعة من ینفی نقصان القرآن ، فکیف تنسب إلی کلّهم
</w:t>
      </w:r>
    </w:p>
    <w:p>
      <w:pPr>
        <w:sectPr>
          <w:footerReference w:type="default" r:id="rId2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" w:name="pg1338_15873"/>
    <w:bookmarkEnd w:id="10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هذا القول.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فلو أنّ شیعیّاً أیضاً بادر وانبری للدفاع عن مذهبه ، وعن عقائده ، فاتّهم السنّة کلّهم بأنّهم یقولون بتحریف القرآن ، وبنقصانه ، إذن ، وقع وفاق بین الجانبین من حیث لا یشعرون علی أنّ القرآن محرّف وناقص ، وهذا ممّا ینتفع به أعداء الاسلام وأعداء القرآن.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فلا یصحّ للشیعی أن ینسب إلی السنّی أو إلی السنّة کلّهم بأنّهم یقولون بتحریف القرآن ونقصانه ، کما لا یصحّ للسنّی أن یطرح البحث هکذا.</w:t>
      </w:r>
    </w:p>
    <w:p>
      <w:pPr>
        <w:pStyle w:val="Heading3"/>
      </w:pPr>
      <w:bookmarkStart w:id="36" w:name="_Toc16"/>
      <w:r>
        <w:t>الثانی : طرح البحث تارة علی صعید الروایات وتارة علی صعید الاقوال</w:t>
      </w:r>
      <w:bookmarkEnd w:id="3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کلّ بحث ، تارة یطرح البحث علی صعید الروایات ، وتارة یطرح البحث علی صعید الاقوال ، وهذا فیه فرق کثیر ، علینا أن ننتبه إلی أنّ الاقوال غیر الروایات ، والروایات غیر الاقوال ، فقد تکون هناک روایات وأصحاب المذهب الرواة لتلک الروایات لا یقولون بمضامینها ومدالیلها ، وقد یکون هناک قول وروایات الطائفة المتفق علیها تنافی وتخالف ذلک القول.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إذن ، یجب دائماً أن یکون الانسان علی التفات بأنّه کیف
</w:t>
      </w:r>
    </w:p>
    <w:p>
      <w:pPr>
        <w:sectPr>
          <w:footerReference w:type="default" r:id="rId2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یطرح البحث ، وما هو بحثه ، وما هی الخطوط العامّة للبحث ، وما هو الموضوع الذی یبحث عنه ، وکیف یرید البحث عن ذلک الموضوع ، هذا کلّه إذا کان الغرض أن یکون البحث موضوعیاً ، أن یکون البحث علمیّاً ، لا یکون فیه تهجّم أو تعصّب أو خروج عن الانصاف.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فالنقطة التی أُؤکّد علیها دائماً هی : أنّ أبناء المذهب الواحد إذا اختلفوا فی رأی ، علیهم أن یطرحوا البحث فیما بینهم بحیث لا ینتهی إلی الاضرار بالمذهب ، وأیضاً الطائفتان من المسلمین ، إذا اختلفتا فی رأی ، فی قضیّة ، فی مطلب ، علیهما أن یبحثا عن ذلک الموضوع بحیث لا یضرّ بالاسلام کلّه ، بحیث لا یضرّ القرآن کلّه.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أیصح أنّک إذا بحثت مع سنّی حول شیء من شؤون الخلافة مثلاً ، وأراد أن یتغلّب علیک فیضطرّ إلی إنکار عصمة النبی مثلاً ، هذا لیس أُسلوب البحث ، هذا غرض من الباحث ، وقد شاهدناه کثیراً فی بحوث القوم ، وهذا من جملة نقاط الضعف المهمّة الکبیرة عندهم ، إنّهم إذا تورّطوا ، وخافوا من الافحام ، نفوا شیئاً ممّا لا یجوز نفیه ، أو أنکروا أصلا مسلّماً من أُصول الاسلام.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وعلی کلّ حال ، فهذه أُمور أحببت أنْ أُذکّرکم بها ، لانّها تفید دائماً ، وفی بحثنا أیضاً مفیدة جدّاً.
</w:t>
      </w:r>
    </w:p>
    <w:p>
      <w:pPr>
        <w:sectPr>
          <w:footerReference w:type="default" r:id="rId2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لا یمکن أن ننسب إلی السنّة کلّهم أنّهم یقولون بنقصان القرآن ، هذا لا یجوز ، کما لا یجوز للسنّی أن ینسب إلی الطائفة الشیعیة الاثنی عشریة أنّها تقول بنقصان القرآن ، هذا لا یجوز.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ثمّ علی کلّ باحث أن یفصل بین الروایات ، وبین الاقوال ، وهذا شیء مهم جدّاً ، ففی مسألة تحریف القرآن بمعنی النقصان ، تارة نبحث عن الموضوع علی صعید الروایات ، وتارة نبحث عن الموضوع علی صعید الاقوال ، والروایات والاقوال تارةً عند السنّة ، وتارة عند الشیعة الامامیة الاثنی عشریة.
</w:t>
      </w:r>
    </w:p>
    <w:p>
      <w:pPr>
        <w:sectPr>
          <w:footerReference w:type="default" r:id="rId2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sectPr>
          <w:footerReference w:type="default" r:id="rId3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" w:name="pg1338_15877"/>
    <w:bookmarkEnd w:id="11"/>
    <w:p>
      <w:pPr>
        <w:pStyle w:val="Heading2"/>
      </w:pPr>
      <w:bookmarkStart w:id="37" w:name="_Toc17"/>
      <w:r>
        <w:t>التحریف بالنقصان حسب الروایات</w:t>
      </w:r>
      <w:bookmarkEnd w:id="37"/>
    </w:p>
    <w:p>
      <w:pPr>
        <w:pStyle w:val="Heading3"/>
      </w:pPr>
      <w:bookmarkStart w:id="38" w:name="_Toc18"/>
      <w:r>
        <w:t>اشارة</w:t>
      </w:r>
      <w:bookmarkEnd w:id="3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إنّ الروایات الواردة فی کتبنا نحن الامامیة ، فیما یتعلّق بموضوع نقصان القرآن الکریم ، یمکن تقسیمها إلی أقسام عدیدة ، وهذا التقسیم ینطبق فی رأیی علی روایات أهل السنة أیضاً ، لانّی أُرید أن أبحث عن المسألة بحثاً موضوعیّاً ، ولست فی مقام الدفاع أو الردّ :</w:t>
      </w:r>
    </w:p>
    <w:p>
      <w:pPr>
        <w:pStyle w:val="Heading3"/>
      </w:pPr>
      <w:bookmarkStart w:id="39" w:name="_Toc19"/>
      <w:r>
        <w:t>القسم الاول : الحمل علی اختلاف القراءات</w:t>
      </w:r>
      <w:bookmarkEnd w:id="3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إنّ کثیراً من الروایات الواردة فی کتبنا وفی کتبهم قابلة للحمل علی اختلاف القراءات ، وهذا شیء موجود لا إنکار فیه ، الاختلاف فی القراءات شیء موجود ، فی کتبنا موجود ، فی روایاتنا ، وفی روایات متعددة.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إذن ، لو أنّ شیعیّاً أراد أن یتمسّک بروایة قابلة للحمل علی
</w:t>
      </w:r>
    </w:p>
    <w:p>
      <w:pPr>
        <w:sectPr>
          <w:footerReference w:type="default" r:id="rId3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" w:name="pg1338_15878"/>
    <w:bookmarkEnd w:id="12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الاختلاف فی القراءة لیفحم الخصم بأنّک تقول بتحریف القرآن ، أو فی روایاتکم ما یدلّ علی تحریف القرآن ، هذا غیر صحیح ، کما لا یصحّ للسنّی أن یتمسّک بهکذا روایات موجودة فی کتبنا.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فهذا قسم من الروایات.</w:t>
      </w:r>
    </w:p>
    <w:p>
      <w:pPr>
        <w:pStyle w:val="Heading3"/>
      </w:pPr>
      <w:bookmarkStart w:id="40" w:name="_Toc20"/>
      <w:r>
        <w:t>القسم الثانی : ما نزل لا بعنوان القرآن</w:t>
      </w:r>
      <w:bookmarkEnd w:id="4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نزل عن الله سبحانه وتعالی ، ونزل بواسطة جبرئیل ، لکن لا بعنوان القرآن ، وقد وقع خلط کبیر بین القسمین ، ما نزل من الله سبحانه وتعالی علی رسوله بعنوان القرآن ، وما نزل من الله سبحانه وتعالی علی رسوله لا بعنوان القرآن ، وقع خلط کبیر بین القسمین من الروایات ، وهذا موجود فی روایاتنا وفی روایاتهم أیضاً.</w:t>
      </w:r>
    </w:p>
    <w:p>
      <w:pPr>
        <w:pStyle w:val="Heading3"/>
      </w:pPr>
      <w:bookmarkStart w:id="41" w:name="_Toc21"/>
      <w:r>
        <w:t>القسم الثالث : ما یصحّ حمله علی نسخ التلاوة</w:t>
      </w:r>
      <w:bookmarkEnd w:id="4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وهذا البحث بحث أصولی ، ولابدّ أنّکم درستم أو ستدرسون هذا الموضوع ، مسألة النسخ کما فی الکتب الاصولیّة.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فبناءً علی نسخ التلاوة ، ووجود نسخ التلاوة ، وأن یکون هناک لفظ لا یتلی إلاّ أنّ حکمه موجود.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إذ النسخ ینقسم إلی ثلاثة أقسام :
</w:t>
      </w:r>
    </w:p>
    <w:p>
      <w:pPr>
        <w:sectPr>
          <w:footerReference w:type="default" r:id="rId3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" w:name="pg1338_15879"/>
    <w:bookmarkEnd w:id="13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منسوخ اللفظ والحکم.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منسوخ الحکم دون اللفظ.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ومنسوخ اللفظ دون الحکم.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هذه ثلاثة أقسام فی النسخ ، یتعرضون لها فی الکتب الاصولیّة ، وفی علوم القرآن أیضاً یتعرضون لهذه البحوث.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فلو أنّا وافقنا علی وجود نسخ التلاوة ، فقسم من الروایات التی بظاهرها تدلّ علی نقصان القرآن ، هذه الروایات قابلة للحمل علی نسخ التلاوة.</w:t>
      </w:r>
    </w:p>
    <w:p>
      <w:pPr>
        <w:pStyle w:val="Heading3"/>
      </w:pPr>
      <w:bookmarkStart w:id="42" w:name="_Toc22"/>
      <w:r>
        <w:t>القسم الرابع : الروایات القابلة للحمل علی الدعاء</w:t>
      </w:r>
      <w:bookmarkEnd w:id="4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فهناک بعض الروایات تحمل ألفاظاً توهّم أنّها من القرآن ، والحال أنّ النبی صلی‌الله‌علیه‌وآله‌وسلم کان یدعو بها ، هذه أیضاً موجودة فی کتبهم وفی کتبنا.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وتبقی فی النتیجة أعداد قلیلة من الروایات ، هی لا تقبل الحمل ، لا علی نسخ التلاوة بناءً علی صحّته ، ولا علی الحدیث القدسی ، ولا علی الاختلاف فی القراءات ، ولا علی الدعاء ، ولا علی وجه آخر من الوجوه التی یمکن أن تحمل تلک الروایات علیها ، فتبقی هذه الروایات واضحة الدلالة علی نقصان القرآن.
</w:t>
      </w:r>
    </w:p>
    <w:p>
      <w:pPr>
        <w:sectPr>
          <w:footerReference w:type="default" r:id="rId3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" w:name="pg1338_15880"/>
    <w:bookmarkEnd w:id="14"/>
    <w:p>
      <w:pPr>
        <w:pStyle w:val="Heading2"/>
      </w:pPr>
      <w:bookmarkStart w:id="43" w:name="_Toc23"/>
      <w:r>
        <w:t>البحث فی سند الروایات :</w:t>
      </w:r>
      <w:bookmarkEnd w:id="4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حینئذ تصل النوبة إلی البحث عن سند تلک الروایات ، لانّ الروایة إنّما یصحّ الاستناد إلیها فی مسألة من المسائل ، فی أی باب من الابواب ، إنّما یصحّ التمسّک بروایة إذا ما تمّ سندها ، وتمّت دلالتها علی المدعی.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فلو فرضنا أنّ الروایة لا تقبل الحمل علی وجه من الوجوه المذکورة وغیرها من الوجوه ، فحینئذ تبقی الروایة ظاهرة فی الدلالة علی نقصان القرآن ، فتصل النوبة إلی البحث عن سندها.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هنا نقطة الخلاف بیننا وبین أهل السنّة ، ومع الاسف فإنّنا وجدنا الروایات التی تدلّ دلالة واضحة علی نقصان القرآن ولا تقبل الحمل علی شیء من الوجوه الصحیحة أبداً ، وجدنا تلک الروایات کثیرةً عدداً وصحیحة سنداً فی کتب أهل السنّة.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اللهمّ ، إلاّ أن نجد فی المعاصرین ـ کما نجد مَن یقول بما نقول ـ بأنْ لا کتاب صحیح عند السنّة من أوّله إلی آخره أبداً ، ونحن أیضاً منذ الیوم الاوّل قلنا بالنسبة إلی کتبهم : إنّهم تورّطوا عندما قالوا بصحّة الکتب الستة ولا سیّما الصحیحین ، ولاسیّما البخاری ، بناءاً علی المشهور بینهم حیث قدّموه علی کتاب مسلم ، وقالوا بأنّه
</w:t>
      </w:r>
    </w:p>
    <w:p>
      <w:pPr>
        <w:sectPr>
          <w:footerReference w:type="default" r:id="rId3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أصحّ الکتب بعد القرآن المجید ، تورّطوا فی هذا.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نعم ، نجد الان فی ثنایا کتب المعاصرین ، وفی بعض المحاضرات التی تبلغنا عن بعضهم ، أنّهم ینکرون أو ینفون القول بصحّة الکتابین أیضاً ، وهذا یفتح باباً لهم ، کما یفتح باباً لنا.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وأمّا بناءاً علی المشهور بینهم من صحّة الصحیحین والکتب الاربعة الاُخری ، بالاضافة إلی کتب وإن لم تسمّ بالصحاح إلاّ أنّهم یرون صحّتها ککتاب المختارة للضیاء المقدسی ، الذی یرون صحّته ، والمستدرک علی الصحیحین ، حیث الحاکم یراهُ صحیحاً ، وغیره أیضاً ، ومسند أحمد بن حنبل الذی یصرّ بعض علمائهم علی صحّته من أوّله إلی آخره ، وهکذا کتب أُخری.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فماذا یفعلون مع هذه الروایات؟ وماذا یقولون؟ روایات لا ریب فی دلالتها علی التحریف ، یعنی کلّما حاولنا أن نحملها علی بعض المحامل الصحیحة ونوجّهها التوجیه الصحیح ، لا نتمکّن ...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أمّا نحن ، فقد تقرّر عندنا منذ الیوم الاوّل ، أنْ لا کتاب صحیح من أوّله إلی آخره سوی القرآن ، هذا أوّلاً.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وثانیاً : تقرّر عندنا أنّ کلّ روایة خالفت القرآن الکریم فإنّها تطرح ... نعم ، کلّ خبر خالف الکتاب بالتباین فإنّه یطرح ، إن لم یمکن تأویله ، وفرضنا أنّ هذا القسم الاخیر لا یمکن تأویله.
</w:t>
      </w:r>
    </w:p>
    <w:p>
      <w:pPr>
        <w:sectPr>
          <w:footerReference w:type="default" r:id="rId3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نعم فی روایاتنا ـ ونحن لا ننکر ـ توجد روایات شاذة ، قلیلة جدّاً ، هذه لا یمکن حملها علی بعض المحامل.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لکن هذه الروایات أعرض عنها الاصحاب ، السیّد المرتضی رحمة الله علیه المتوفی قبل ألف سنة تقریباً یدّعی الاجماع علی عدم نقصان القرآن ، مع وجود هذه الروایات الشاذة ، یدّعی الاجماع علی ذلک ، فیدلّ علی إعراضهم عن هذه الروایات وعدم الاعتناء بها ، وکذلک الطبرسی فی مجمع البیان ، والشیخ الطوسی فی التبیان ، وهکذا کبار علمائنا </w:t>
      </w:r>
      <w:r>
        <w:rPr>
          <w:rStyle w:val="FootnoteReference"/>
        </w:rPr>
        <w:footnoteReference w:id="3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والاهمّ من ذلک کلّه ، لو أنّکم لاحظتم کتاب الاعتقادات للشیخ الصدوق </w:t>
      </w:r>
      <w:r>
        <w:rPr>
          <w:rStyle w:val="FootnoteReference"/>
        </w:rPr>
        <w:footnoteReference w:id="4"/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فنصّ عبارته : ومن نسب إلینا أنّا نقول بأنّ القرآن أکثر من هذا الموجود بین أیدینا فهو کاذب علینا.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مع العلم بأنّ الصدوق نفسه یروی بعض الروایات الدالة علی التحریف فی بعض کتبه ، وقد تقرّر عندنا فی الکتب العلمیة أنّ الروایة أعمّ من الاعتقاد ، لیس کلّ راو لحدیث یعتقد بما دلّ علیه الحدیث ، یشهد بذلک عبارة الصدوق رحمة الله علیه الذی هو رئیس المحدّثین ، فإنّه قد یروی بعض الروایات التی هی بظاهرها
</w:t>
      </w:r>
    </w:p>
    <w:p>
      <w:pPr>
        <w:sectPr>
          <w:footerReference w:type="default" r:id="rId3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تدلّ علی نقصان القرآن ، لکنّه یقول : من نسب إلینا أنّا نقول بأنّ القرآن أکثر ممّا هو الان بأیدینا فهو کاذب علینا.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إذن ، لا یقول بمضامین هذه الروایات ، فهذه نقطة أُخری.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لقد تتبّعت کتبنا منذ القدیم ، کتبنا فی الحدیث ، کتبنا فی التفسیر ، کتبنا فی علوم الحدیث ، وفی الاصول أیضاً ، وفی الفقه أیضاً فی أبواب القراءة حیث تطرح مسألة نقصان القرآن ، فلم أجد من علمائنا الکبار الذین یُرجع إلیهم ویعتمد علیهم فی المذهب من یقول بنقصان القرآن بعدد أصابع الید الواحدة.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إلاّ أنّک إذا راجعت کتاب البخاری الذی التزم فیه بالصحة ، وإذا راجعت کتاب مسلم الذی التزم فیه بالصحة ، والکتب الاُخری ، ککتاب مسند أحمد وغیره وغیره ... بل لقد ذکرت فی کتابی فی هذا الموضوع اسم أربعین عالماً من کبار علماء القوم ، فی مختلف القرون ، یروون أحادیث التحریف ، ومن بینهم أکثر من عشرة یلتزمون بصحّة تلک الاحادیث التی رووها فی کتبهم ، فلو أردنا أن ننسب هذا القول إلی قوم من المسلمین فبالاحری أن ینسب إلی ...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أمّا نحن ، فلا نقول هکذا ، لانّه قد قلنا إنّ البحث علی صعید الاقوال یجب أن لا یختلط بالبحث علی صعید الاحادیث ، ففی
</w:t>
      </w:r>
    </w:p>
    <w:p>
      <w:pPr>
        <w:sectPr>
          <w:footerReference w:type="default" r:id="rId3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الاقوال نجدهم أیضاً یدّعون الاجماع علی عدم نقصان القرآن.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إذن ، القرآن غیر ناقص ، لا عندنا ولا عندهم ، ولو کان هناک قول فهو قول شاذّ منّا ومنهم ، لکن الروایات عندهم کثیرة ، وهی عندهم صحیحة ، أکثرها عن عمر بن الخطّاب ، وعن عائشة ، وعن أبی موسی الاشعری ، وعن زید بن ثابت ، وعن عبدالله بن العباس ، وعن جماعة آخرین من کبار القرّاء عندهم ، من أُبی بن کعب ، وعبدالله بن مسعود ، هم یروون تلک الاحادیث ، ولا یوجد عُشر أعشارها فی کتبنا.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إلاّ أنّ الطریق الصحیح أن نقول ببطلان هذه الاحادیث کما یقولون ، ویبقی علیهم أن یرفعوا الید عن صحّة الصحیحین والصحاح الستّة ، فلو رفعوا الید عن هذا المبنی المشتهر بینهم ، وأیضاً رفعوا الید عمّا اشتهر بینهم من عدالة الصحابة أجمعین ، فلو أنّا وجدناهم لا یقولون بعدالة الصحابة ، ووجدناهم لا یقولون بصحّة الصحیحین أو الصحاح ، ارتفع النزاع بیننا وبینهم ، لانّ النزاع سیبقی فی دائرة الروایات الموجودة فی کتبهم ، إذ المفروض أنّهم علی صعید الاقوال لا یقولون بتحریف القرآن ، وإنْ کنت عثرت علی أقوال أیضاً منهم صریحة فی کون القرآن ناقصاً.
</w:t>
      </w:r>
    </w:p>
    <w:p>
      <w:pPr>
        <w:sectPr>
          <w:footerReference w:type="default" r:id="rId3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5" w:name="pg1338_15885"/>
    <w:bookmarkEnd w:id="15"/>
    <w:p>
      <w:pPr>
        <w:pStyle w:val="Heading2"/>
      </w:pPr>
      <w:bookmarkStart w:id="44" w:name="_Toc24"/>
      <w:r>
        <w:t>کتاب فصل الخطاب :</w:t>
      </w:r>
      <w:bookmarkEnd w:id="4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إلاّ أنّهم ما زالوا یواجهون الطائفة الشیعیة بکتاب فصل الخطاب للمیرزا النوری ، صحیح أنّ المیرزا نوری من کبار المحدّثین ، إنّنا نحترم المیرزا النوری ، المیرزا النوری رجل من کبار علمائنا ، ولا نتمکّن من الاعتداء علیه بأقل شیء ، ولا یجوز ، وهذا حرام ، إنّه محدّث کبیر من علمائنا ، لکنّکم لم تقرأوا کتاب فصل الخطاب ، لربّما قرأتم کتباً لبعض الهنود ، أو الباکستانیین ، أو بعض الخلیجیین ، أو بعض المصریین ، الذین یتهجّمون علی الشیعة ، ولا یوجد عندهم فی التهجّم إلاّ نقاط منها مسألة تحریف القرآن ، ولیس عندهم إلاّ المیرزا النوری وکتاب فصل الخطاب ، هذا تقرؤونه ، وما زالوا یکرّرون هذا ، ما زالوا وحتّی یومنا هذا ، بعضهم یحاول أن ینسب إلی الطائفة هذا القول من أجل کتاب فصل الخطاب ، ولکنّکم لو قرأتم کتاب فصل الخطاب لوجدتم خمسین بالمائة من روایاته من أهل السنّة أو أکثر من خمسین بالمائة ، ولوجدتم أنّ فصل الخطاب یشتمل علی الروایات المختلفة التی تقبل الحمل علی اختلاف القراءات ، وتقبل الحمل علی الحدیث القدسی ، وتقبل الحمل علی الدعاء ، ولا یبقی هناک إلاّ القلیل الذی
</w:t>
      </w:r>
    </w:p>
    <w:p>
      <w:pPr>
        <w:sectPr>
          <w:footerReference w:type="default" r:id="rId3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أشرت إلیه من قبل ، والذی یجب أن یدرس من الناحیة السندیة.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وحتّی أنّی وجدت کتاباً قد أُلّف من قبل بعضهم ، نظیر کتاب فصل الخطاب ، إلاّ أنّ الحکومة المصریّة صادرت هذا الکتاب وأحرقته بأمر من مشیخة الازهر ، وحاولوا أن یغطّوا علی هذا الامر ، فلا ینتشر ولا یسمع به أحد ، إلاّ أنّ الکتاب موجود عندنا الان فی قم ، کتاب صادرته الحکومة المصریّة.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والفرق بیننا وبینهم ، أنّا إذا طبع عندنا کتاب فصل الخطاب مرّةً واحدة منذ کذا من السنین ، لیست هناک حکومة تصادر هذا الکتاب ، إلاّ أنّهم لو أنّ باحثاً کتب شیئاً یضرّ بمذهبهم بأیّ شکل من الاشکال حاربوه وطاردوه وصادروا کتابه وحرّقوه وحکموا علیه بالسجن ، والکتاب الذی أشرت إلیه موجود عندنا فی قم ولا یجوز لی إظهاره لکم ، وقد ذکرت لکم من قبل إنّا لا نرید أن نطرح المسألة بحیث تضرّ بالاسلام والقرآن.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وعلی الجملة ، فإنّ هذا الموضوع یجب أن یبحث عنه فی دائرة البحث العلمی الموضوعی ، وعلی صعیدی الاقوال والروایات کلاًّ علی حدة ، بحیث یکون بحثاً موضوعیّاً خالصاً بحتاً ، ولا یکون هناک تهجّم من أحد علی أحد ، ولو أنّ السنّی أراد أن یواجه شیعیّاً عالماً مطّلعاً علی هذه القضایا لافحم فی أوّل
</w:t>
      </w:r>
    </w:p>
    <w:p>
      <w:pPr>
        <w:sectPr>
          <w:footerReference w:type="default" r:id="rId4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لحظة ، ولکنّهم ینشرون کتبهم علی مختلف اللغات وبأشکال مختلفة ، ولربّما حتّی فی موسم الحجّ یوزّعون کتبهم علی الحجّاج ، حتّی ینتشر هذا الافتراء منهم علی هذه الطائفة ، إلاّ أنّ واحداً منهم لا یستعد لانْ یباحث فی مثل هذا الموضوع الحسّاس الذی طالما حاولوا أن یخصموا به هذه الطائفة المظلومة منذ الیوم الاوّل.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إنّ الفرق بیننا وبینهم هو أنّهم دائماً یحاولون أن یغطّوا علی مساویهم وسیّئاتهم ، ثمّ یتهجّمون علی الاخرین بالافتراء والشتم ، ولست بصدد التهجّم علی أحد ، وإنّما البحث ینجرّ أحیاناً وینتهی إلی ما لا یقصده الانسان.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فنرجع إلی ما کنّا فیه وحاصله : أمّا علی صعید الروایات ، فروایات التحریف بمعنی نقصان القرآن فی کتب أولئک القوم هی أکثر عدداً وأصحّ سنداً ، ومن أراد البحث فأهلاً وسهلاً ، أنا مستعد أن أُباحثه فی هذا الموضوع.
</w:t>
      </w:r>
    </w:p>
    <w:p>
      <w:pPr>
        <w:sectPr>
          <w:footerReference w:type="default" r:id="rId4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sectPr>
          <w:footerReference w:type="default" r:id="rId4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6" w:name="pg1338_15889"/>
    <w:bookmarkEnd w:id="16"/>
    <w:p>
      <w:pPr>
        <w:pStyle w:val="Heading2"/>
      </w:pPr>
      <w:bookmarkStart w:id="45" w:name="_Toc25"/>
      <w:r>
        <w:t>التحریف بالنقصان حسب الاقوال</w:t>
      </w:r>
      <w:bookmarkEnd w:id="4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وأمّا علی صعید الاقوال ، فنحن وهم متفقون علی أنّ القرآن الکریم سالم من النقصان ، ولیس فیه أی تحریف بمعنی النقصان ، ولم یقع فیه أی نقیصة ، هذا متفق علیه بین الطائفتین ، ولا یُعبأ بالشذوذ الموجود عندنا وعندهم.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فالقرآن مصون من التحریف ، سالم من النقیصة ، لیس بیننا وبین الفرق الاُخری من المسلمین خلاف فی أنّه القرآن العظیم الکریم الذی یجب أن یُتلی ، یجب أن یتّبع ، یجب أن یتحاکم إلیه ، یجب أن ینشر ، یجب أن یُدرس ، وإلی آخره ، هذا هو القرآن.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إلاّ أنّ فی ثنایا أحادیثهم ما یضرّ بهذا القرآن ، ممّا نقل عن عثمان بسند صحیح أنّ فیه لحناً ، وعن ابن عبّاس أنّ فیه خطأ ، وعن آخر أنّ فیه غلطاً ، وهذه الاشیاء غیر موجودة فی روایاتنا أبداً ، والمحققون من أهل السنّة یعرضون عن هذه النقول ، وقول
</w:t>
      </w:r>
    </w:p>
    <w:p>
      <w:pPr>
        <w:sectPr>
          <w:footerReference w:type="default" r:id="rId4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بعض الصحابة : حسبنا کتاب الله ، فالغرض منه شیء آخر ، کان الغرض من هذه المقولة عزل الاُمّة عن العترة الطاهرة ، وعزل العترة عن الاُمّة ، وعلی فرض صحّة الحدیث القائل : إنّی تارک فیکم الثقلین کتاب الله وسنّتی ، فقد عزلوا السنّة عن الاُمّة والاُمّة عن السنّة أیضاً عندما قالوا : حسبنا کتاب الله ، لکنّ قولهم حسبنا کتاب الله یقصد منه شیء آخر أیضاً ، ألیس الولید قد رماه ومزّقه ، ألم یقل 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إذا ما جئت ربّک یوم حشر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فقل یا ربّ مزّقنی الولید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ألیس عبد الملک بن مروان الذی هو خلیفة المسلمین عندهم ، عندما أُخبر أو بُشّر بالحکم وکان یقرأ القرآن قال : هذا فراق بینی وبینک؟!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إذن ، لم یبق القرآن کما لم تبق العترة ولم تبق السنّة.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أکانت هذه الخطّة مدبّرة ، أو لا عن عمد قال القائل کذا وانتهی الامر إلی کذا ، لکنّ الله سبحانه وتعالی یقول : (أَفَإِنْ مَاتَ أَوْ قُتِلَ انْقَلَبْتُمْ عَلَی أَعْقَابِکُمْ وَمَنْ یَنْقَلِب عَلَی عَقِبَیْهِ فَلَنْ یَضُرَّ اللهَ شَیْئاً وَسَیَجْزِی اللهُ الشَّاکِرِینَ) </w:t>
      </w:r>
      <w:r>
        <w:rPr>
          <w:rStyle w:val="FootnoteReference"/>
        </w:rPr>
        <w:footnoteReference w:id="5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
</w:t>
      </w:r>
    </w:p>
    <w:p>
      <w:pPr>
        <w:sectPr>
          <w:footerReference w:type="default" r:id="rId4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7" w:name="pg1338_15891"/>
    <w:bookmarkEnd w:id="17"/>
    <w:p>
      <w:pPr>
        <w:pStyle w:val="Heading2"/>
      </w:pPr>
      <w:bookmarkStart w:id="46" w:name="_Toc26"/>
      <w:r>
        <w:t>ملحق البحث</w:t>
      </w:r>
      <w:bookmarkEnd w:id="46"/>
    </w:p>
    <w:p>
      <w:pPr>
        <w:pStyle w:val="Heading3"/>
      </w:pPr>
      <w:bookmarkStart w:id="47" w:name="_Toc27"/>
      <w:r>
        <w:t>اشارة</w:t>
      </w:r>
      <w:bookmarkEnd w:id="4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ملحق البحث</w:t>
      </w:r>
      <w:r>
        <w:rPr>
          <w:rStyle w:val="FootnoteReference"/>
        </w:rPr>
        <w:footnoteReference w:id="6"/>
      </w:r>
    </w:p>
    <w:p>
      <w:pPr>
        <w:pStyle w:val="Heading3"/>
      </w:pPr>
      <w:bookmarkStart w:id="48" w:name="_Toc28"/>
      <w:r>
        <w:t>1 ـ حول قرآن علی علیه‌السلام :</w:t>
      </w:r>
      <w:bookmarkEnd w:id="4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هذا الموضوع تعرّضت له فی بحثی حول تحریف القرآن </w:t>
      </w:r>
      <w:r>
        <w:rPr>
          <w:rStyle w:val="FootnoteReference"/>
        </w:rPr>
        <w:footnoteReference w:id="7"/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فهو یشکّل فصلاً من فصول الکتاب ، أو شبهةً من شبهات تحریف القرآن ، صحیح أنّ أمیر المؤمنین علیه‌السلام جمع القرآن ، وقد أشرت إلی هذا من قبل ، فالامام جاء بالقرآن إلیهم ، فرفضوه ، وهذا أیضاً موجود ، کان لعلی قرآن ، هذا موجود والکل یذکره ، علی جمع القرآن الکل یذکره ، حتی جاء فی فهرست الندیم أیضاً أنّ قرآن علی کان موجوداً عند أحد علماء الشیعة الکبار فی عصر الندیم ، أتذکر یقول : رأیته عند أبی یعلی الجعفری ، فهذا القرآن الان
</w:t>
      </w:r>
    </w:p>
    <w:p>
      <w:pPr>
        <w:sectPr>
          <w:footerReference w:type="default" r:id="rId4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8" w:name="pg1338_15892"/>
    <w:bookmarkEnd w:id="18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موجود عند الامام الحجة عجّل الله تعالی فرجه کسائر المواریث الموجودة عنده.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ویختلف هذا القرآن عن القرآن الموجود الان فی الترتیب أوّلاً ، ویختلف عن القرآن الموجود فی أنّ علیّاً قد أضاف فی هوامش الایات بعض الفوائد التی سمعها من النبی والمتعلّقة بتلک الایات ، ذکرها فی الهوامش.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أمّا أن یکون ذلک القرآن یختلف عن هذا القرآن فی ألفاظه أی فی سور القرآن ومتن القرآن ، هذا غیر ثابت عندنا ، غایة ما هناک أنّه یختلف مع هذا القرآن الموجود فی الترتیب ، وفی أنّ فیه إضافات أمیر المؤمنین تتعلّق بالایات وقد سمعها من النبی ، فکتبها فی هوامش تلک الایات ، إذن ، هذا الموضوع لا علاقة له بمسألة نقصان القرآن.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وهذا القرآن موجود عند الامام الثانی عشر علیه‌السلام کما فی روایاتنا.</w:t>
      </w:r>
    </w:p>
    <w:p>
      <w:pPr>
        <w:pStyle w:val="Heading3"/>
      </w:pPr>
      <w:bookmarkStart w:id="49" w:name="_Toc29"/>
      <w:r>
        <w:t>2 ـ موقف العلماء من المیرزا النوری وکتابه :</w:t>
      </w:r>
      <w:bookmarkEnd w:id="4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لقد ردّ علیه العلماء ، وکتبت ردود کثیرة علی کتابه ، من المعاصرین له ومن کبار علمائنا المتأخرین عنه ، هناک کتاب فی
</w:t>
      </w:r>
    </w:p>
    <w:p>
      <w:pPr>
        <w:sectPr>
          <w:footerReference w:type="default" r:id="rId4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الرد علی فصل الخطاب ، کتاب کبیر وضخم ، ردّ علی روایات فصل الخطاب واحده واحدة ، ونظر فیها واحداً واحداً ، وهذا المؤلّف معاصر له ، إلاّ أنّ هذا الکتاب غیر مطبوع الان.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ولاحظوا أنتم کتاب آلاء الرحمن فی تفسیر القرآن للشیخ البلاغی الذی هو معاصر للشیخ النوری ، لاحظوا هذا الکتاب وانظروا کیف یردّ علیه بشدّة.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أمّا أنْ نکفّره ونطرده عن طائفتنا ونخرجه عن دائرتنا ، کما یطالب بعض الکتّاب المعاصرین من أهل السنّة ، فهذا غلط وغیر ممکن أبداً ، وهل یفعلون هذا مع کبار الصحابة القائلین بالنقصان ، ومع کبار المحدّثین منهم الرواة لتلک الاقوال؟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هذا ، وشیخنا الشیخ آقا بزرک الطهرانی تلمیذ المحدّث المیرزا النوری ، فی کتاب الذریعة إلی تصانیف الشیعة ، تحت عنوان فصل الخطاب ، یصرُّ علی أنّ المیرزا النوری لم یکن معتقداً بمضامین هذه الروایات ، ولم یکن معتقداً بکون القرآن ناقصاً ومحرّفاً ، فهذا ما یقوله شیخنا الشیخ الطهرانی الذی هو أعرف بأحوال أُستاذه وبأقواله ، وهذا کتاب الذریعة موجود ، فراجعوه.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ولو سلّمنا أنّ الشیخ النوری یعتقد بنقصان القرآن ، فهو قوله ، لا قول الطائفة ، قول الواحد لا ینسب إلی الطائفة ، وکلّ بحثنا عن
</w:t>
      </w:r>
    </w:p>
    <w:p>
      <w:pPr>
        <w:sectPr>
          <w:footerReference w:type="default" r:id="rId4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9" w:name="pg1338_15894"/>
    <w:bookmarkEnd w:id="19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رأی الطائفة ، ولم یکن بحثنا عن رأی الشیخ النوری ، کنّا نبحث عن مسألة التحریف علی ضوء الاقوال عند الطائفة کلّها ، علی ضوء الروایات عند الطائفة کلّها ، لا علی رأی واحد أو اثنین ، وإلاّ لذکرت خمسین عالماً کبیراً هو أکبر من الشیخ النوری وینفی التحریف.</w:t>
      </w:r>
    </w:p>
    <w:p>
      <w:pPr>
        <w:pStyle w:val="Heading3"/>
      </w:pPr>
      <w:bookmarkStart w:id="50" w:name="_Toc30"/>
      <w:r>
        <w:t>3 ـ حول جمع القرآن الموجود :</w:t>
      </w:r>
      <w:bookmarkEnd w:id="5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إنّه لم یکن لائمّتنا علیهم‌السلام دور فی جمع هذا القرآن الموجود ، إلاّ أنّهم کانوا یحفظون هذا القرآن ، ویتلون هذا القرآن ، ویأمرون بتلاوته ، وبالتحاکم إلیه ، وبدراسته ، ولا تجد عنهم أقلّ شیء ینقص من شأنه.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القرآن کان مجموعاً علی عهد رسول الله صلی‌الله‌علیه‌وآله‌وسلم ، مکتوباً علی الخشب والحجر وأشیاء أُخری کانوا یکتبون علیها ، وکانت هذه مجتمعةً فی مکان واحد ، إلاّ أنّها غیر مرتّبة ، ومبعثرة غیر مدوّنة ، عند أبی بکر ، ثمّ عند عمر ، ثمّ عند حفصة ، حتّی جاء عثمان وقد حصل الترتیب علی الشکل الموجود الان فی زمن عثمان.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إلاّ أنّکم لو تلاحظون روایات القوم فی کیفیّة جمعه وتدوینه ، لاخذتکم الدهشة ، ولا شیء من مثل تلک الروایات فی کتب
</w:t>
      </w:r>
    </w:p>
    <w:p>
      <w:pPr>
        <w:sectPr>
          <w:footerReference w:type="default" r:id="rId4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0" w:name="pg1338_15895"/>
    <w:bookmarkEnd w:id="20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أصحابنا.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وعندما أرادوا جمع القرآن وتدوینه وترتیبه ، طالبوا من کتب قرآناً لنفسه بإحضار نسخته ، فأخذوها وأحرقوها ، أمّا قرآن علی علیه‌السلام فهو باق کما ذکرنا من قبل.</w:t>
      </w:r>
    </w:p>
    <w:p>
      <w:pPr>
        <w:pStyle w:val="Heading3"/>
      </w:pPr>
      <w:bookmarkStart w:id="51" w:name="_Toc31"/>
      <w:r>
        <w:t>4 ـ مسألة تهذیب کتب الحدیث من مثل هذه الروایات :</w:t>
      </w:r>
      <w:bookmarkEnd w:id="5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أمّا کتب أصحابنا فهی تشتمل علی روایات تدلُّ علی الجبر ، وأُخری علی التفویض ، وهکذا أشیاء أُخری ممّا لا نعتقد به ، ولذلک أسباب لیس هنا موضع ذکرها ، ولکنّ الذی یسهّل الخطب أنّه لا یوجد عندنا کتاب صحیح من أوّله إلی آخره سوی القرآن الکریم ، بخلاف کتب القوم ، فقد ذکرنا أنّ کثیراً منهم التزم فیها بالصحّة ، والروایات الباطلة فی کتبهم کثیرة جدّاً ، وقد حصلت عندهم الان فکرة تهذیب کتبهم ، ولکنّ هذا أمر عسیر جدّاً ولا أظنّهم یوفّقون.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نعم ، شرعوا بتحریف کتبهم فی الطبعات الجدیدة ، خاصّةً فیما یتعلّق بمسائل الامامة والخلافة ، من مناقب علی وأهل البیت علیهم‌السلام ، ومساویء مناوئیهم ، وقد سمعت بعضهم فی المدینة المنوّرة أنّه قد قرّروا إسقاط سبعین حدیثاً من أحادیث صحیح
</w:t>
      </w:r>
    </w:p>
    <w:p>
      <w:pPr>
        <w:sectPr>
          <w:footerReference w:type="default" r:id="rId4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مسلم من هذا القبیل.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هذا ، ومن شاء الوقوف علی تفاصیل القضایا والمسائل فی موضوع تحریف القرآن فلیرجع إلی کتابنا (التحقیق فی نفی التحریف عن القرآن الشریف).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وصلّی الله علی محمّد وآله الطاهرین.
</w:t>
      </w:r>
    </w:p>
    <w:p>
      <w:pPr>
        <w:sectPr>
          <w:footerReference w:type="default" r:id="rId5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/>
    <w:p/>
    <w:p/>
    <w:p/>
    <w:p/>
    <w:p/>
    <w:p/>
    <w:p/>
    <w:p/>
    <w:p/>
    <w:p/>
    <w:p/>
    <w:p>
      <w:pPr>
        <w:jc w:val="center"/>
      </w:pPr>
      <w:r>
        <w:pict>
          <v:shape type="#_x0000_t75" stroked="f" style="width:90pt; height:90pt; margin-left:0pt; margin-top:0pt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jc w:val="center"/>
      </w:pPr>
      <w:r>
        <w:rPr>
          <w:color w:val="333333"/>
          <w:sz w:val="20"/>
          <w:szCs w:val="20"/>
        </w:rPr>
        <w:t xml:space="preserve">ghaemiyeh.com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</w:t>
    </w: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</w:t>
    </w: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</w:t>
    </w:r>
  </w:p>
</w:ftr>
</file>

<file path=word/footer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</w:t>
    </w:r>
  </w:p>
</w:ftr>
</file>

<file path=word/footer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</w:t>
    </w:r>
  </w:p>
</w:ftr>
</file>

<file path=word/footer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</w:t>
    </w:r>
  </w:p>
</w:ftr>
</file>

<file path=word/footer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</w:t>
    </w:r>
  </w:p>
</w:ftr>
</file>

<file path=word/footer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</w:t>
    </w:r>
  </w:p>
</w:ftr>
</file>

<file path=word/footer3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</w:t>
    </w:r>
  </w:p>
</w:ftr>
</file>

<file path=word/footer3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</w:t>
    </w:r>
  </w:p>
</w:ftr>
</file>

<file path=word/footer3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</w:t>
    </w:r>
  </w:p>
</w:ftr>
</file>

<file path=word/footer4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</w:t>
    </w:r>
  </w:p>
</w:ftr>
</file>

<file path=word/footer4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</w:t>
    </w:r>
  </w:p>
</w:ftr>
</file>

<file path=word/footer4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</w:t>
    </w:r>
  </w:p>
</w:ftr>
</file>

<file path=word/footer4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15</w:t>
    </w:r>
  </w:p>
</w:ftr>
</file>

<file path=word/footer5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16</w:t>
    </w:r>
  </w:p>
</w:ftr>
</file>

<file path=word/footer5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17</w:t>
    </w:r>
  </w:p>
</w:ftr>
</file>

<file path=word/footer5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18</w:t>
    </w:r>
  </w:p>
</w:ftr>
</file>

<file path=word/footer6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19</w:t>
    </w:r>
  </w:p>
</w:ftr>
</file>

<file path=word/footer6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20</w:t>
    </w:r>
  </w:p>
</w:ftr>
</file>

<file path=word/footer6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21</w:t>
    </w:r>
  </w:p>
</w:ftr>
</file>

<file path=word/footer7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22</w:t>
    </w:r>
  </w:p>
</w:ftr>
</file>

<file path=word/footer7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23</w:t>
    </w:r>
  </w:p>
</w:ftr>
</file>

<file path=word/footer7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24</w:t>
    </w:r>
  </w:p>
</w:ftr>
</file>

<file path=word/footer7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25</w:t>
    </w:r>
  </w:p>
</w:ftr>
</file>

<file path=word/footer8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26</w:t>
    </w:r>
  </w:p>
</w:ftr>
</file>

<file path=word/footer8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27</w:t>
    </w:r>
  </w:p>
</w:ftr>
</file>

<file path=word/footer8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28</w:t>
    </w:r>
  </w:p>
</w:ftr>
</file>

<file path=word/footer9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29</w:t>
    </w:r>
  </w:p>
</w:ftr>
</file>

<file path=word/footer9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30</w:t>
    </w:r>
  </w:p>
</w:ftr>
</file>

<file path=word/footer9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31</w:t>
    </w:r>
  </w:p>
</w:ftr>
</file>

<file path=word/footer10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32</w:t>
    </w:r>
  </w:p>
</w:ftr>
</file>

<file path=word/footer10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33</w:t>
    </w:r>
  </w:p>
</w:ftr>
</file>

<file path=word/footer10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34</w:t>
    </w:r>
  </w:p>
</w:ftr>
</file>

<file path=word/footer10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35</w:t>
    </w:r>
  </w:p>
</w:ftr>
</file>

<file path=word/footer1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36</w:t>
    </w:r>
  </w:p>
</w:ftr>
</file>

<file path=word/footer1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37</w:t>
    </w:r>
  </w:p>
</w:ftr>
</file>

<file path=word/footer1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38</w:t>
    </w:r>
  </w:p>
</w:ftr>
</file>

<file path=word/footer1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39</w:t>
    </w:r>
  </w:p>
</w:ftr>
</file>

<file path=word/footer12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40</w:t>
    </w:r>
  </w:p>
</w:ftr>
</file>

<file path=word/footer12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41</w:t>
    </w:r>
  </w:p>
</w:ftr>
</file>

<file path=word/footer13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42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id="-1" w:type="separator">
    <w:p>
      <w:r>
        <w:separator/>
      </w:r>
    </w:p>
  </w:footnote>
  <w:footnote w:id="0" w:type="continuationSeparator">
    <w:p>
      <w:r>
        <w:continuationSeparator/>
      </w:r>
    </w:p>
  </w:footnote>
  <w:footnote w:id="1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راجع : الدرّ المنثور فی التفسیر بالمأثور 2 / 47 ، تفسیر الرازی 22 / 74 ، الاتقان فی علوم القرآن 1 / 316 ، فتح الباری 8 / 301 ، معالم التنزیل.</w:t>
      </w:r>
    </w:p>
  </w:footnote>
  <w:footnote w:id="2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مسند أحمد 5 / 129 ، الاتقان فی علوم القرآن 1 / 271.</w:t>
      </w:r>
    </w:p>
  </w:footnote>
  <w:footnote w:id="3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راجع : التبیان فی تفسیر القرآن 1 / 3 ، مجمع البیان فی تفسیر القرآن 1 / 15.</w:t>
      </w:r>
    </w:p>
  </w:footnote>
  <w:footnote w:id="4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الشیخ الصدوق أولاً : یلقّب برئیس المحدّثین ، وثانیاً : فی کتابه الاعتقادات یذکر هذا المطلب ، وثالثاً : الشیخ الصدوق من قدماء علمائنا.</w:t>
      </w:r>
    </w:p>
  </w:footnote>
  <w:footnote w:id="5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سورة آل عمران 3 / 144.</w:t>
      </w:r>
    </w:p>
  </w:footnote>
  <w:footnote w:id="6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یعقب المرکز ندواته العقائدیة بالاجابة علی الاسئلة ، وتتمیماً للفائدة نذکر فی هذا الملحق الاجابة علی بعض الاسئلة مع الاختصار وحذف الاسئلة والاکتفاء بوضع عنوان لکل سؤال.</w:t>
      </w:r>
    </w:p>
  </w:footnote>
  <w:footnote w:id="7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التحقیق فی نفی التحریف عن القرآن الشریف : 89.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D4DDDB57"/>
    <w:multiLevelType w:val="multilevel"/>
    <w:lvl w:ilvl="0">
      <w:start w:val="1"/>
      <w:numFmt w:val="none"/>
      <w:pStyle w:val="Heading1"/>
      <w:suff w:val="nothing"/>
      <w:pPr>
        <w:tabs>
          <w:tab w:val="num"/>
        </w:tabs>
        <w:ind/>
      </w:pPr>
      <w:rPr>
        <w:rFonts/>
      </w:rPr>
    </w:lvl>
    <w:lvl w:ilvl="1">
      <w:start w:val="1"/>
      <w:numFmt w:val="none"/>
      <w:pStyle w:val="Heading2"/>
      <w:suff w:val="nothing"/>
      <w:pPr>
        <w:tabs>
          <w:tab w:val="num"/>
        </w:tabs>
        <w:ind/>
      </w:pPr>
      <w:rPr>
        <w:rFonts/>
      </w:rPr>
    </w:lvl>
    <w:lvl w:ilvl="2">
      <w:start w:val="1"/>
      <w:numFmt w:val="none"/>
      <w:pStyle w:val="Heading3"/>
      <w:suff w:val="nothing"/>
      <w:pPr>
        <w:tabs>
          <w:tab w:val="num"/>
        </w:tabs>
        <w:ind/>
      </w:pPr>
      <w:rPr>
        <w:rFonts/>
      </w:rPr>
    </w:lvl>
    <w:lvl w:ilvl="3">
      <w:start w:val="1"/>
      <w:numFmt w:val="none"/>
      <w:pStyle w:val="Heading4"/>
      <w:suff w:val="nothing"/>
      <w:pPr>
        <w:tabs>
          <w:tab w:val="num"/>
        </w:tabs>
        <w:ind/>
      </w:pPr>
      <w:rPr>
        <w:rFonts/>
      </w:rPr>
    </w:lvl>
    <w:lvl w:ilvl="4">
      <w:start w:val="1"/>
      <w:numFmt w:val="none"/>
      <w:pStyle w:val="Heading5"/>
      <w:suff w:val="nothing"/>
      <w:pPr>
        <w:tabs>
          <w:tab w:val="num"/>
        </w:tabs>
        <w:ind/>
      </w:pPr>
      <w:rPr>
        <w:rFonts/>
      </w:rPr>
    </w:lvl>
    <w:lvl w:ilvl="5">
      <w:start w:val="1"/>
      <w:numFmt w:val="none"/>
      <w:pStyle w:val="Heading6"/>
      <w:suff w:val="nothing"/>
      <w:pPr>
        <w:tabs>
          <w:tab w:val="num"/>
        </w:tabs>
        <w:ind/>
      </w:pPr>
      <w:rPr>
        <w:rFonts/>
      </w:rPr>
    </w:lvl>
  </w:abstract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IRNazanin" w:hAnsi="IRNazanin" w:eastAsia="Arial" w:cs="IRNazanin"/>
        <w:color w:val="000000"/>
        <w:sz w:val="28"/>
        <w:szCs w:val="28"/>
        <w:lang w:val="en-US"/>
      </w:rPr>
    </w:rPrDefault>
  </w:docDefaults>
  <w:style w:type="paragraph" w:default="1" w:styleId="Normal">
    <w:name w:val="Normal"/>
    <w:pPr>
      <w:jc w:val="both"/>
      <w:bidi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Title">
    <w:link w:val="titleChar"/>
    <w:name w:val="title"/>
    <w:basedOn w:val="Normal"/>
    <w:pPr>
      <w:jc w:val="center"/>
      <w:bidi/>
      <w:spacing w:line="288" w:lineRule="auto"/>
    </w:pPr>
    <w:rPr>
      <w:rFonts w:ascii="IRNazanin" w:hAnsi="IRNazanin" w:eastAsia="IRNazanin" w:cs="IRNazanin"/>
      <w:color w:val="111827"/>
      <w:sz w:val="48"/>
      <w:szCs w:val="48"/>
      <w:b w:val="1"/>
      <w:bCs w:val="1"/>
      <w:i w:val="0"/>
      <w:iCs w:val="0"/>
    </w:rPr>
  </w:style>
  <w:style w:type="paragraph" w:styleId="Heading1">
    <w:link w:val="Heading1Char"/>
    <w:name w:val="heading 1"/>
    <w:basedOn w:val="Normal"/>
    <w:pPr>
      <w:jc w:val="start"/>
      <w:bidi/>
      <w:spacing w:line="288" w:lineRule="auto"/>
      <w:numPr>
        <w:numId w:val="3"/>
        <w:ilvl w:val="0"/>
      </w:numPr>
      <w:outlineLvl w:val="0"/>
    </w:pPr>
    <w:rPr>
      <w:rFonts w:ascii="IRTitr" w:hAnsi="IRTitr" w:eastAsia="IRTitr" w:cs="IRTitr"/>
      <w:color w:val="111827"/>
      <w:sz w:val="40"/>
      <w:szCs w:val="40"/>
      <w:b w:val="0"/>
      <w:bCs w:val="0"/>
      <w:i w:val="0"/>
      <w:iCs w:val="0"/>
    </w:rPr>
  </w:style>
  <w:style w:type="paragraph" w:styleId="Heading2">
    <w:link w:val="Heading2Char"/>
    <w:name w:val="heading 2"/>
    <w:basedOn w:val="Normal"/>
    <w:pPr>
      <w:jc w:val="start"/>
      <w:bidi/>
      <w:spacing w:line="288" w:lineRule="auto"/>
      <w:numPr>
        <w:numId w:val="3"/>
        <w:ilvl w:val="1"/>
      </w:numPr>
      <w:outlineLvl w:val="1"/>
    </w:pPr>
    <w:rPr>
      <w:rFonts w:ascii="IRNazanin" w:hAnsi="IRNazanin" w:eastAsia="IRNazanin" w:cs="IRNazanin"/>
      <w:color w:val="1F2937"/>
      <w:sz w:val="36"/>
      <w:szCs w:val="36"/>
      <w:b w:val="1"/>
      <w:bCs w:val="1"/>
      <w:i w:val="0"/>
      <w:iCs w:val="0"/>
    </w:rPr>
  </w:style>
  <w:style w:type="paragraph" w:styleId="Heading3">
    <w:link w:val="Heading3Char"/>
    <w:name w:val="heading 3"/>
    <w:basedOn w:val="Normal"/>
    <w:pPr>
      <w:jc w:val="start"/>
      <w:bidi/>
      <w:spacing w:line="288" w:lineRule="auto"/>
      <w:numPr>
        <w:numId w:val="3"/>
        <w:ilvl w:val="2"/>
      </w:numPr>
      <w:outlineLvl w:val="2"/>
    </w:pPr>
    <w:rPr>
      <w:rFonts w:ascii="IRNazanin" w:hAnsi="IRNazanin" w:eastAsia="IRNazanin" w:cs="IRNazanin"/>
      <w:color w:val="374151"/>
      <w:sz w:val="32"/>
      <w:szCs w:val="32"/>
      <w:b w:val="1"/>
      <w:bCs w:val="1"/>
      <w:i w:val="0"/>
      <w:iCs w:val="0"/>
    </w:rPr>
  </w:style>
  <w:style w:type="paragraph" w:styleId="Heading4">
    <w:link w:val="Heading4Char"/>
    <w:name w:val="heading 4"/>
    <w:basedOn w:val="Normal"/>
    <w:pPr>
      <w:jc w:val="start"/>
      <w:bidi/>
      <w:spacing w:line="288" w:lineRule="auto"/>
      <w:numPr>
        <w:numId w:val="3"/>
        <w:ilvl w:val="3"/>
      </w:numPr>
      <w:outlineLvl w:val="3"/>
    </w:pPr>
    <w:rPr>
      <w:rFonts w:ascii="IRNazanin" w:hAnsi="IRNazanin" w:eastAsia="IRNazanin" w:cs="IRNazanin"/>
      <w:color w:val="4B5563"/>
      <w:sz w:val="30"/>
      <w:szCs w:val="30"/>
      <w:b w:val="1"/>
      <w:bCs w:val="1"/>
      <w:i w:val="0"/>
      <w:iCs w:val="0"/>
    </w:rPr>
  </w:style>
  <w:style w:type="paragraph" w:styleId="Heading5">
    <w:link w:val="Heading5Char"/>
    <w:name w:val="heading 5"/>
    <w:basedOn w:val="Normal"/>
    <w:pPr>
      <w:jc w:val="start"/>
      <w:bidi/>
      <w:spacing w:line="288" w:lineRule="auto"/>
      <w:numPr>
        <w:numId w:val="3"/>
        <w:ilvl w:val="4"/>
      </w:numPr>
      <w:outlineLvl w:val="4"/>
    </w:pPr>
    <w:rPr>
      <w:rFonts w:ascii="IRNazanin" w:hAnsi="IRNazanin" w:eastAsia="IRNazanin" w:cs="IRNazanin"/>
      <w:color w:val="4B5563"/>
      <w:sz w:val="28"/>
      <w:szCs w:val="28"/>
      <w:b w:val="1"/>
      <w:bCs w:val="1"/>
      <w:i w:val="0"/>
      <w:iCs w:val="0"/>
    </w:rPr>
  </w:style>
  <w:style w:type="paragraph" w:styleId="Heading6">
    <w:link w:val="Heading6Char"/>
    <w:name w:val="heading 6"/>
    <w:basedOn w:val="Normal"/>
    <w:pPr>
      <w:jc w:val="start"/>
      <w:bidi/>
      <w:spacing w:line="288" w:lineRule="auto"/>
      <w:numPr>
        <w:numId w:val="3"/>
        <w:ilvl w:val="5"/>
      </w:numPr>
      <w:outlineLvl w:val="5"/>
    </w:pPr>
    <w:rPr>
      <w:rFonts w:ascii="IRNazanin" w:hAnsi="IRNazanin" w:eastAsia="IRNazanin" w:cs="IRNazanin"/>
      <w:color w:val="4B5563"/>
      <w:sz w:val="26"/>
      <w:szCs w:val="26"/>
      <w:b w:val="1"/>
      <w:bCs w:val="1"/>
      <w:i w:val="0"/>
      <w:iCs w:val="0"/>
    </w:rPr>
  </w:style>
  <w:style w:type="paragraph" w:customStyle="1" w:styleId="BookText">
    <w:name w:val="BookText"/>
    <w:basedOn w:val="Normal"/>
    <w:pPr>
      <w:jc w:val="both"/>
      <w:bidi/>
    </w:pPr>
  </w:style>
  <w:style w:type="paragraph" w:customStyle="1" w:styleId="Quote">
    <w:name w:val="Quote"/>
    <w:basedOn w:val="Normal"/>
    <w:pPr>
      <w:jc w:val="both"/>
      <w:bidi/>
    </w:pPr>
  </w:style>
  <w:style w:type="paragraph" w:customStyle="1" w:styleId="Caption">
    <w:name w:val="Caption"/>
    <w:basedOn w:val="Normal"/>
    <w:pPr>
      <w:jc w:val="center"/>
      <w:bidi/>
    </w:pPr>
  </w:style>
  <w:style w:type="paragraph" w:customStyle="1" w:styleId="Code">
    <w:name w:val="Code"/>
    <w:basedOn w:val="Normal"/>
    <w:pPr>
      <w:jc w:val="star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jpg"/><Relationship Id="rId9" Type="http://schemas.openxmlformats.org/officeDocument/2006/relationships/footer" Target="footer7.xml"/><Relationship Id="rId10" Type="http://schemas.openxmlformats.org/officeDocument/2006/relationships/footer" Target="footer10.xml"/><Relationship Id="rId11" Type="http://schemas.openxmlformats.org/officeDocument/2006/relationships/footer" Target="footer13.xml"/><Relationship Id="rId12" Type="http://schemas.openxmlformats.org/officeDocument/2006/relationships/footer" Target="footer16.xml"/><Relationship Id="rId13" Type="http://schemas.openxmlformats.org/officeDocument/2006/relationships/footer" Target="footer19.xml"/><Relationship Id="rId14" Type="http://schemas.openxmlformats.org/officeDocument/2006/relationships/footer" Target="footer22.xml"/><Relationship Id="rId15" Type="http://schemas.openxmlformats.org/officeDocument/2006/relationships/footer" Target="footer25.xml"/><Relationship Id="rId16" Type="http://schemas.openxmlformats.org/officeDocument/2006/relationships/footer" Target="footer28.xml"/><Relationship Id="rId17" Type="http://schemas.openxmlformats.org/officeDocument/2006/relationships/footer" Target="footer31.xml"/><Relationship Id="rId18" Type="http://schemas.openxmlformats.org/officeDocument/2006/relationships/footer" Target="footer34.xml"/><Relationship Id="rId19" Type="http://schemas.openxmlformats.org/officeDocument/2006/relationships/footer" Target="footer37.xml"/><Relationship Id="rId20" Type="http://schemas.openxmlformats.org/officeDocument/2006/relationships/footer" Target="footer40.xml"/><Relationship Id="rId21" Type="http://schemas.openxmlformats.org/officeDocument/2006/relationships/footer" Target="footer43.xml"/><Relationship Id="rId22" Type="http://schemas.openxmlformats.org/officeDocument/2006/relationships/footer" Target="footer46.xml"/><Relationship Id="rId23" Type="http://schemas.openxmlformats.org/officeDocument/2006/relationships/footer" Target="footer49.xml"/><Relationship Id="rId24" Type="http://schemas.openxmlformats.org/officeDocument/2006/relationships/footer" Target="footer52.xml"/><Relationship Id="rId25" Type="http://schemas.openxmlformats.org/officeDocument/2006/relationships/footer" Target="footer55.xml"/><Relationship Id="rId26" Type="http://schemas.openxmlformats.org/officeDocument/2006/relationships/footer" Target="footer58.xml"/><Relationship Id="rId27" Type="http://schemas.openxmlformats.org/officeDocument/2006/relationships/footer" Target="footer61.xml"/><Relationship Id="rId28" Type="http://schemas.openxmlformats.org/officeDocument/2006/relationships/footer" Target="footer64.xml"/><Relationship Id="rId29" Type="http://schemas.openxmlformats.org/officeDocument/2006/relationships/footer" Target="footer67.xml"/><Relationship Id="rId30" Type="http://schemas.openxmlformats.org/officeDocument/2006/relationships/footer" Target="footer70.xml"/><Relationship Id="rId31" Type="http://schemas.openxmlformats.org/officeDocument/2006/relationships/footer" Target="footer73.xml"/><Relationship Id="rId32" Type="http://schemas.openxmlformats.org/officeDocument/2006/relationships/footer" Target="footer76.xml"/><Relationship Id="rId33" Type="http://schemas.openxmlformats.org/officeDocument/2006/relationships/footer" Target="footer79.xml"/><Relationship Id="rId34" Type="http://schemas.openxmlformats.org/officeDocument/2006/relationships/footer" Target="footer82.xml"/><Relationship Id="rId35" Type="http://schemas.openxmlformats.org/officeDocument/2006/relationships/footer" Target="footer85.xml"/><Relationship Id="rId36" Type="http://schemas.openxmlformats.org/officeDocument/2006/relationships/footer" Target="footer88.xml"/><Relationship Id="rId37" Type="http://schemas.openxmlformats.org/officeDocument/2006/relationships/footer" Target="footer91.xml"/><Relationship Id="rId38" Type="http://schemas.openxmlformats.org/officeDocument/2006/relationships/footer" Target="footer94.xml"/><Relationship Id="rId39" Type="http://schemas.openxmlformats.org/officeDocument/2006/relationships/footer" Target="footer97.xml"/><Relationship Id="rId40" Type="http://schemas.openxmlformats.org/officeDocument/2006/relationships/footer" Target="footer100.xml"/><Relationship Id="rId41" Type="http://schemas.openxmlformats.org/officeDocument/2006/relationships/footer" Target="footer103.xml"/><Relationship Id="rId42" Type="http://schemas.openxmlformats.org/officeDocument/2006/relationships/footer" Target="footer106.xml"/><Relationship Id="rId43" Type="http://schemas.openxmlformats.org/officeDocument/2006/relationships/footer" Target="footer109.xml"/><Relationship Id="rId44" Type="http://schemas.openxmlformats.org/officeDocument/2006/relationships/footer" Target="footer112.xml"/><Relationship Id="rId45" Type="http://schemas.openxmlformats.org/officeDocument/2006/relationships/footer" Target="footer115.xml"/><Relationship Id="rId46" Type="http://schemas.openxmlformats.org/officeDocument/2006/relationships/footer" Target="footer118.xml"/><Relationship Id="rId47" Type="http://schemas.openxmlformats.org/officeDocument/2006/relationships/footer" Target="footer121.xml"/><Relationship Id="rId48" Type="http://schemas.openxmlformats.org/officeDocument/2006/relationships/footer" Target="footer124.xml"/><Relationship Id="rId49" Type="http://schemas.openxmlformats.org/officeDocument/2006/relationships/footer" Target="footer127.xml"/><Relationship Id="rId50" Type="http://schemas.openxmlformats.org/officeDocument/2006/relationships/footer" Target="footer130.xml"/><Relationship Id="rId51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ghaemiyeh.com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ghaemiyeh.com</dc:creator>
  <dc:title>عدم تحریف القرآن</dc:title>
  <dc:description/>
  <dc:subject/>
  <cp:keywords/>
  <cp:category/>
  <cp:lastModifiedBy/>
  <dcterms:created xsi:type="dcterms:W3CDTF">2026-08-16T17:57:58+03:30</dcterms:created>
  <dcterms:modified xsi:type="dcterms:W3CDTF">2026-08-16T17:57:58+03:30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