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الرجعه او العوده الی الحیات الدنیا بعد الموت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4319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94321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94323_373438147">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2594325_373438147">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594327_373438147">
            <w:r>
              <w:rPr>
                <w:webHidden/>
                <w:rStyle w:val="IndexLink"/>
                <w:rtl w:val="true"/>
              </w:rPr>
              <w:t>الفصل الأول</w:t>
            </w:r>
            <w:r>
              <w:rPr>
                <w:rStyle w:val="IndexLink"/>
                <w:rtl w:val="true"/>
              </w:rPr>
              <w:t xml:space="preserve">: </w:t>
            </w:r>
            <w:r>
              <w:rPr>
                <w:rStyle w:val="IndexLink"/>
                <w:rtl w:val="true"/>
              </w:rPr>
              <w:t>تعريف الرجعة</w:t>
            </w:r>
            <w:r>
              <w:rPr>
                <w:rStyle w:val="IndexLink"/>
                <w:rtl w:val="true"/>
              </w:rPr>
              <w:tab/>
            </w:r>
            <w:r>
              <w:rPr>
                <w:rStyle w:val="IndexLink"/>
              </w:rPr>
              <w:t>17</w:t>
            </w:r>
          </w:hyperlink>
        </w:p>
        <w:p>
          <w:pPr>
            <w:pStyle w:val="Contents3"/>
            <w:tabs>
              <w:tab w:val="clear" w:pos="8459"/>
              <w:tab w:val="right" w:pos="9026" w:leader="dot"/>
            </w:tabs>
            <w:rPr/>
          </w:pPr>
          <w:hyperlink w:anchor="__RefHeading___Toc2594329_373438147">
            <w:r>
              <w:rPr>
                <w:webHidden/>
                <w:rStyle w:val="IndexLink"/>
                <w:rtl w:val="true"/>
              </w:rPr>
              <w:t>الرجعة في اللغة</w:t>
            </w:r>
            <w:r>
              <w:rPr>
                <w:rStyle w:val="IndexLink"/>
                <w:rtl w:val="true"/>
              </w:rPr>
              <w:t>:</w:t>
              <w:tab/>
            </w:r>
            <w:r>
              <w:rPr>
                <w:rStyle w:val="IndexLink"/>
              </w:rPr>
              <w:t>17</w:t>
            </w:r>
          </w:hyperlink>
        </w:p>
        <w:p>
          <w:pPr>
            <w:pStyle w:val="Contents3"/>
            <w:tabs>
              <w:tab w:val="clear" w:pos="8459"/>
              <w:tab w:val="right" w:pos="9026" w:leader="dot"/>
            </w:tabs>
            <w:rPr/>
          </w:pPr>
          <w:hyperlink w:anchor="__RefHeading___Toc2594331_373438147">
            <w:r>
              <w:rPr>
                <w:webHidden/>
                <w:rStyle w:val="IndexLink"/>
                <w:rtl w:val="true"/>
              </w:rPr>
              <w:t>الرجعة عند الشيعة الإمامية</w:t>
            </w:r>
            <w:r>
              <w:rPr>
                <w:rStyle w:val="IndexLink"/>
                <w:rtl w:val="true"/>
              </w:rPr>
              <w:t>:</w:t>
              <w:tab/>
            </w:r>
            <w:r>
              <w:rPr>
                <w:rStyle w:val="IndexLink"/>
              </w:rPr>
              <w:t>18</w:t>
            </w:r>
          </w:hyperlink>
        </w:p>
        <w:p>
          <w:pPr>
            <w:pStyle w:val="Contents2"/>
            <w:tabs>
              <w:tab w:val="clear" w:pos="8743"/>
              <w:tab w:val="right" w:pos="9026" w:leader="dot"/>
            </w:tabs>
            <w:rPr/>
          </w:pPr>
          <w:hyperlink w:anchor="__RefHeading___Toc2594333_373438147">
            <w:r>
              <w:rPr>
                <w:webHidden/>
                <w:rStyle w:val="IndexLink"/>
                <w:rtl w:val="true"/>
              </w:rPr>
              <w:t>الفصل الثاني</w:t>
            </w:r>
            <w:r>
              <w:rPr>
                <w:rStyle w:val="IndexLink"/>
                <w:rtl w:val="true"/>
              </w:rPr>
              <w:t xml:space="preserve">: </w:t>
            </w:r>
            <w:r>
              <w:rPr>
                <w:rStyle w:val="IndexLink"/>
                <w:rtl w:val="true"/>
              </w:rPr>
              <w:t>إمكان الرجعة وأدلتها</w:t>
            </w:r>
            <w:r>
              <w:rPr>
                <w:rStyle w:val="IndexLink"/>
                <w:rtl w:val="true"/>
              </w:rPr>
              <w:tab/>
            </w:r>
            <w:r>
              <w:rPr>
                <w:rStyle w:val="IndexLink"/>
              </w:rPr>
              <w:t>19</w:t>
            </w:r>
          </w:hyperlink>
        </w:p>
        <w:p>
          <w:pPr>
            <w:pStyle w:val="Contents3"/>
            <w:tabs>
              <w:tab w:val="clear" w:pos="8459"/>
              <w:tab w:val="right" w:pos="9026" w:leader="dot"/>
            </w:tabs>
            <w:rPr/>
          </w:pPr>
          <w:hyperlink w:anchor="__RefHeading___Toc2594335_373438147">
            <w:r>
              <w:rPr>
                <w:webHidden/>
                <w:rStyle w:val="IndexLink"/>
                <w:rtl w:val="true"/>
              </w:rPr>
              <w:t>إمكان الرجعة</w:t>
            </w:r>
            <w:r>
              <w:rPr>
                <w:rStyle w:val="IndexLink"/>
                <w:rtl w:val="true"/>
              </w:rPr>
              <w:t>:</w:t>
              <w:tab/>
            </w:r>
            <w:r>
              <w:rPr>
                <w:rStyle w:val="IndexLink"/>
              </w:rPr>
              <w:t>19</w:t>
            </w:r>
          </w:hyperlink>
        </w:p>
        <w:p>
          <w:pPr>
            <w:pStyle w:val="Contents3"/>
            <w:tabs>
              <w:tab w:val="clear" w:pos="8459"/>
              <w:tab w:val="right" w:pos="9026" w:leader="dot"/>
            </w:tabs>
            <w:rPr/>
          </w:pPr>
          <w:hyperlink w:anchor="__RefHeading___Toc2594337_373438147">
            <w:r>
              <w:rPr>
                <w:webHidden/>
                <w:rStyle w:val="IndexLink"/>
                <w:rtl w:val="true"/>
              </w:rPr>
              <w:t>أدلة الرجعة</w:t>
            </w:r>
            <w:r>
              <w:rPr>
                <w:rStyle w:val="IndexLink"/>
                <w:rtl w:val="true"/>
              </w:rPr>
              <w:t>:</w:t>
              <w:tab/>
            </w:r>
            <w:r>
              <w:rPr>
                <w:rStyle w:val="IndexLink"/>
              </w:rPr>
              <w:t>21</w:t>
            </w:r>
          </w:hyperlink>
        </w:p>
        <w:p>
          <w:pPr>
            <w:pStyle w:val="Contents3"/>
            <w:tabs>
              <w:tab w:val="clear" w:pos="8459"/>
              <w:tab w:val="right" w:pos="9026" w:leader="dot"/>
            </w:tabs>
            <w:rPr/>
          </w:pPr>
          <w:hyperlink w:anchor="__RefHeading___Toc2594339_373438147">
            <w:r>
              <w:rPr>
                <w:webHidden/>
                <w:rStyle w:val="IndexLink"/>
                <w:rtl w:val="true"/>
              </w:rPr>
              <w:t>الرجعة في الأمم السابقة</w:t>
            </w:r>
            <w:r>
              <w:rPr>
                <w:rStyle w:val="IndexLink"/>
                <w:rtl w:val="true"/>
              </w:rPr>
              <w:t>:</w:t>
              <w:tab/>
            </w:r>
            <w:r>
              <w:rPr>
                <w:rStyle w:val="IndexLink"/>
              </w:rPr>
              <w:t>23</w:t>
            </w:r>
          </w:hyperlink>
        </w:p>
        <w:p>
          <w:pPr>
            <w:pStyle w:val="Contents3"/>
            <w:tabs>
              <w:tab w:val="clear" w:pos="8459"/>
              <w:tab w:val="right" w:pos="9026" w:leader="dot"/>
            </w:tabs>
            <w:rPr/>
          </w:pPr>
          <w:hyperlink w:anchor="__RefHeading___Toc2594341_373438147">
            <w:r>
              <w:rPr>
                <w:webHidden/>
                <w:rStyle w:val="IndexLink"/>
                <w:rtl w:val="true"/>
              </w:rPr>
              <w:t>إحياء قوم من بني إسرائيل</w:t>
            </w:r>
            <w:r>
              <w:rPr>
                <w:rStyle w:val="IndexLink"/>
                <w:rtl w:val="true"/>
              </w:rPr>
              <w:t>:</w:t>
              <w:tab/>
            </w:r>
            <w:r>
              <w:rPr>
                <w:rStyle w:val="IndexLink"/>
              </w:rPr>
              <w:t>23</w:t>
            </w:r>
          </w:hyperlink>
        </w:p>
        <w:p>
          <w:pPr>
            <w:pStyle w:val="Contents3"/>
            <w:tabs>
              <w:tab w:val="clear" w:pos="8459"/>
              <w:tab w:val="right" w:pos="9026" w:leader="dot"/>
            </w:tabs>
            <w:rPr/>
          </w:pPr>
          <w:hyperlink w:anchor="__RefHeading___Toc2594343_373438147">
            <w:r>
              <w:rPr>
                <w:webHidden/>
                <w:rStyle w:val="IndexLink"/>
                <w:rtl w:val="true"/>
              </w:rPr>
              <w:t>إحياء عزير أو أرميا</w:t>
            </w:r>
            <w:r>
              <w:rPr>
                <w:rStyle w:val="IndexLink"/>
                <w:rtl w:val="true"/>
              </w:rPr>
              <w:t>:</w:t>
              <w:tab/>
            </w:r>
            <w:r>
              <w:rPr>
                <w:rStyle w:val="IndexLink"/>
              </w:rPr>
              <w:t>24</w:t>
            </w:r>
          </w:hyperlink>
        </w:p>
        <w:p>
          <w:pPr>
            <w:pStyle w:val="Contents3"/>
            <w:tabs>
              <w:tab w:val="clear" w:pos="8459"/>
              <w:tab w:val="right" w:pos="9026" w:leader="dot"/>
            </w:tabs>
            <w:rPr/>
          </w:pPr>
          <w:hyperlink w:anchor="__RefHeading___Toc2594345_373438147">
            <w:r>
              <w:rPr>
                <w:webHidden/>
                <w:rStyle w:val="IndexLink"/>
                <w:rtl w:val="true"/>
              </w:rPr>
              <w:t xml:space="preserve">إحياء سبعين رجلا من قوم موسى </w:t>
            </w:r>
            <w:r>
              <w:rPr>
                <w:rStyle w:val="IndexLink"/>
                <w:rtl w:val="true"/>
              </w:rPr>
              <w:t>(</w:t>
            </w:r>
            <w:r>
              <w:rPr>
                <w:rStyle w:val="IndexLink"/>
                <w:rtl w:val="true"/>
              </w:rPr>
              <w:t>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2594347_373438147">
            <w:r>
              <w:rPr>
                <w:webHidden/>
                <w:rStyle w:val="IndexLink"/>
                <w:rtl w:val="true"/>
              </w:rPr>
              <w:t xml:space="preserve">المسيح </w:t>
            </w:r>
            <w:r>
              <w:rPr>
                <w:rStyle w:val="IndexLink"/>
                <w:rtl w:val="true"/>
              </w:rPr>
              <w:t>(</w:t>
            </w:r>
            <w:r>
              <w:rPr>
                <w:rStyle w:val="IndexLink"/>
                <w:rtl w:val="true"/>
              </w:rPr>
              <w:t>عليه السلام</w:t>
            </w:r>
            <w:r>
              <w:rPr>
                <w:rStyle w:val="IndexLink"/>
                <w:rtl w:val="true"/>
              </w:rPr>
              <w:t xml:space="preserve">) </w:t>
            </w:r>
            <w:r>
              <w:rPr>
                <w:rStyle w:val="IndexLink"/>
                <w:rtl w:val="true"/>
              </w:rPr>
              <w:t>يحيي الموتى</w:t>
            </w:r>
            <w:r>
              <w:rPr>
                <w:rStyle w:val="IndexLink"/>
                <w:rtl w:val="true"/>
              </w:rPr>
              <w:t>:</w:t>
              <w:tab/>
            </w:r>
            <w:r>
              <w:rPr>
                <w:rStyle w:val="IndexLink"/>
              </w:rPr>
              <w:t>26</w:t>
            </w:r>
          </w:hyperlink>
        </w:p>
        <w:p>
          <w:pPr>
            <w:pStyle w:val="Contents3"/>
            <w:tabs>
              <w:tab w:val="clear" w:pos="8459"/>
              <w:tab w:val="right" w:pos="9026" w:leader="dot"/>
            </w:tabs>
            <w:rPr/>
          </w:pPr>
          <w:hyperlink w:anchor="__RefHeading___Toc2594349_373438147">
            <w:r>
              <w:rPr>
                <w:webHidden/>
                <w:rStyle w:val="IndexLink"/>
                <w:rtl w:val="true"/>
              </w:rPr>
              <w:t>إحياء أصحاب الكهف</w:t>
            </w:r>
            <w:r>
              <w:rPr>
                <w:rStyle w:val="IndexLink"/>
                <w:rtl w:val="true"/>
              </w:rPr>
              <w:t>:</w:t>
              <w:tab/>
            </w:r>
            <w:r>
              <w:rPr>
                <w:rStyle w:val="IndexLink"/>
              </w:rPr>
              <w:t>27</w:t>
            </w:r>
          </w:hyperlink>
        </w:p>
        <w:p>
          <w:pPr>
            <w:pStyle w:val="Contents3"/>
            <w:tabs>
              <w:tab w:val="clear" w:pos="8459"/>
              <w:tab w:val="right" w:pos="9026" w:leader="dot"/>
            </w:tabs>
            <w:rPr/>
          </w:pPr>
          <w:hyperlink w:anchor="__RefHeading___Toc2594351_373438147">
            <w:r>
              <w:rPr>
                <w:webHidden/>
                <w:rStyle w:val="IndexLink"/>
                <w:rtl w:val="true"/>
              </w:rPr>
              <w:t>إحياء قتيل بني إسرائيل</w:t>
            </w:r>
            <w:r>
              <w:rPr>
                <w:rStyle w:val="IndexLink"/>
                <w:rtl w:val="true"/>
              </w:rPr>
              <w:t>:</w:t>
              <w:tab/>
            </w:r>
            <w:r>
              <w:rPr>
                <w:rStyle w:val="IndexLink"/>
              </w:rPr>
              <w:t>28</w:t>
            </w:r>
          </w:hyperlink>
        </w:p>
        <w:p>
          <w:pPr>
            <w:pStyle w:val="Contents3"/>
            <w:tabs>
              <w:tab w:val="clear" w:pos="8459"/>
              <w:tab w:val="right" w:pos="9026" w:leader="dot"/>
            </w:tabs>
            <w:rPr/>
          </w:pPr>
          <w:hyperlink w:anchor="__RefHeading___Toc2594353_373438147">
            <w:r>
              <w:rPr>
                <w:webHidden/>
                <w:rStyle w:val="IndexLink"/>
                <w:rtl w:val="true"/>
              </w:rPr>
              <w:t xml:space="preserve">إحياء الطيور لإبراهيم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بإذن الله</w:t>
            </w:r>
            <w:r>
              <w:rPr>
                <w:rStyle w:val="IndexLink"/>
                <w:rtl w:val="true"/>
              </w:rPr>
              <w:t>:</w:t>
              <w:tab/>
            </w:r>
            <w:r>
              <w:rPr>
                <w:rStyle w:val="IndexLink"/>
              </w:rPr>
              <w:t>28</w:t>
            </w:r>
          </w:hyperlink>
        </w:p>
        <w:p>
          <w:pPr>
            <w:pStyle w:val="Contents3"/>
            <w:tabs>
              <w:tab w:val="clear" w:pos="8459"/>
              <w:tab w:val="right" w:pos="9026" w:leader="dot"/>
            </w:tabs>
            <w:rPr/>
          </w:pPr>
          <w:hyperlink w:anchor="__RefHeading___Toc2594355_373438147">
            <w:r>
              <w:rPr>
                <w:webHidden/>
                <w:rStyle w:val="IndexLink"/>
                <w:rtl w:val="true"/>
              </w:rPr>
              <w:t>إحياء ذي القرنين</w:t>
            </w:r>
            <w:r>
              <w:rPr>
                <w:rStyle w:val="IndexLink"/>
                <w:rtl w:val="true"/>
              </w:rPr>
              <w:t>:</w:t>
              <w:tab/>
            </w:r>
            <w:r>
              <w:rPr>
                <w:rStyle w:val="IndexLink"/>
              </w:rPr>
              <w:t>29</w:t>
            </w:r>
          </w:hyperlink>
        </w:p>
        <w:p>
          <w:pPr>
            <w:pStyle w:val="Contents3"/>
            <w:tabs>
              <w:tab w:val="clear" w:pos="8459"/>
              <w:tab w:val="right" w:pos="9026" w:leader="dot"/>
            </w:tabs>
            <w:rPr/>
          </w:pPr>
          <w:hyperlink w:anchor="__RefHeading___Toc2594357_373438147">
            <w:r>
              <w:rPr>
                <w:webHidden/>
                <w:rStyle w:val="IndexLink"/>
                <w:rtl w:val="true"/>
              </w:rPr>
              <w:t xml:space="preserve">إحياء أهل أيوب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2594359_373438147">
            <w:r>
              <w:rPr>
                <w:webHidden/>
                <w:rStyle w:val="IndexLink"/>
                <w:rtl w:val="true"/>
              </w:rPr>
              <w:t>ما هي دابة الأرض؟</w:t>
            </w:r>
            <w:r>
              <w:rPr>
                <w:rStyle w:val="IndexLink"/>
                <w:rtl w:val="true"/>
              </w:rPr>
              <w:tab/>
            </w:r>
            <w:r>
              <w:rPr>
                <w:rStyle w:val="IndexLink"/>
              </w:rPr>
              <w:t>32</w:t>
            </w:r>
          </w:hyperlink>
        </w:p>
        <w:p>
          <w:pPr>
            <w:pStyle w:val="Contents3"/>
            <w:tabs>
              <w:tab w:val="clear" w:pos="8459"/>
              <w:tab w:val="right" w:pos="9026" w:leader="dot"/>
            </w:tabs>
            <w:rPr/>
          </w:pPr>
          <w:hyperlink w:anchor="__RefHeading___Toc2594361_373438147">
            <w:r>
              <w:rPr>
                <w:webHidden/>
                <w:rStyle w:val="IndexLink"/>
                <w:rtl w:val="true"/>
              </w:rPr>
              <w:t xml:space="preserve">استدلال الأئمة </w:t>
            </w:r>
            <w:r>
              <w:rPr>
                <w:rStyle w:val="IndexLink"/>
                <w:rtl w:val="true"/>
              </w:rPr>
              <w:t>(</w:t>
            </w:r>
            <w:r>
              <w:rPr>
                <w:rStyle w:val="IndexLink"/>
                <w:rtl w:val="true"/>
              </w:rPr>
              <w:t>عليهم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2594363_373438147">
            <w:r>
              <w:rPr>
                <w:webHidden/>
                <w:rStyle w:val="IndexLink"/>
                <w:rtl w:val="true"/>
              </w:rPr>
              <w:t>استدلال أعلام الشيعة</w:t>
            </w:r>
            <w:r>
              <w:rPr>
                <w:rStyle w:val="IndexLink"/>
                <w:rtl w:val="true"/>
              </w:rPr>
              <w:t>:</w:t>
              <w:tab/>
            </w:r>
            <w:r>
              <w:rPr>
                <w:rStyle w:val="IndexLink"/>
              </w:rPr>
              <w:t>38</w:t>
            </w:r>
          </w:hyperlink>
        </w:p>
        <w:p>
          <w:pPr>
            <w:pStyle w:val="Contents3"/>
            <w:tabs>
              <w:tab w:val="clear" w:pos="8459"/>
              <w:tab w:val="right" w:pos="9026" w:leader="dot"/>
            </w:tabs>
            <w:rPr/>
          </w:pPr>
          <w:hyperlink w:anchor="__RefHeading___Toc2594365_373438147">
            <w:r>
              <w:rPr>
                <w:webHidden/>
                <w:rStyle w:val="IndexLink"/>
                <w:rtl w:val="true"/>
              </w:rPr>
              <w:t>أقوال المفسرين</w:t>
            </w:r>
            <w:r>
              <w:rPr>
                <w:rStyle w:val="IndexLink"/>
                <w:rtl w:val="true"/>
              </w:rPr>
              <w:t>:</w:t>
              <w:tab/>
            </w:r>
            <w:r>
              <w:rPr>
                <w:rStyle w:val="IndexLink"/>
              </w:rPr>
              <w:t>39</w:t>
            </w:r>
          </w:hyperlink>
        </w:p>
        <w:p>
          <w:pPr>
            <w:pStyle w:val="Contents3"/>
            <w:tabs>
              <w:tab w:val="clear" w:pos="8459"/>
              <w:tab w:val="right" w:pos="9026" w:leader="dot"/>
            </w:tabs>
            <w:rPr/>
          </w:pPr>
          <w:hyperlink w:anchor="__RefHeading___Toc2594367_373438147">
            <w:r>
              <w:rPr>
                <w:webHidden/>
                <w:rStyle w:val="IndexLink"/>
                <w:rtl w:val="true"/>
              </w:rPr>
              <w:t>الأولى</w:t>
            </w:r>
            <w:r>
              <w:rPr>
                <w:rStyle w:val="IndexLink"/>
                <w:rtl w:val="true"/>
              </w:rPr>
              <w:t>:</w:t>
              <w:tab/>
            </w:r>
            <w:r>
              <w:rPr>
                <w:rStyle w:val="IndexLink"/>
              </w:rPr>
              <w:t>40</w:t>
            </w:r>
          </w:hyperlink>
        </w:p>
        <w:p>
          <w:pPr>
            <w:pStyle w:val="Contents3"/>
            <w:tabs>
              <w:tab w:val="clear" w:pos="8459"/>
              <w:tab w:val="right" w:pos="9026" w:leader="dot"/>
            </w:tabs>
            <w:rPr/>
          </w:pPr>
          <w:hyperlink w:anchor="__RefHeading___Toc2594369_373438147">
            <w:r>
              <w:rPr>
                <w:webHidden/>
                <w:rStyle w:val="IndexLink"/>
                <w:rtl w:val="true"/>
              </w:rPr>
              <w:t>الثانية</w:t>
            </w:r>
            <w:r>
              <w:rPr>
                <w:rStyle w:val="IndexLink"/>
                <w:rtl w:val="true"/>
              </w:rPr>
              <w:t>:</w:t>
              <w:tab/>
            </w:r>
            <w:r>
              <w:rPr>
                <w:rStyle w:val="IndexLink"/>
              </w:rPr>
              <w:t>40</w:t>
            </w:r>
          </w:hyperlink>
        </w:p>
        <w:p>
          <w:pPr>
            <w:pStyle w:val="Contents3"/>
            <w:tabs>
              <w:tab w:val="clear" w:pos="8459"/>
              <w:tab w:val="right" w:pos="9026" w:leader="dot"/>
            </w:tabs>
            <w:rPr/>
          </w:pPr>
          <w:hyperlink w:anchor="__RefHeading___Toc2594371_373438147">
            <w:r>
              <w:rPr>
                <w:webHidden/>
                <w:rStyle w:val="IndexLink"/>
                <w:rtl w:val="true"/>
              </w:rPr>
              <w:t>ثانيا</w:t>
            </w:r>
            <w:r>
              <w:rPr>
                <w:rStyle w:val="IndexLink"/>
                <w:rtl w:val="true"/>
              </w:rPr>
              <w:t>:</w:t>
              <w:tab/>
            </w:r>
            <w:r>
              <w:rPr>
                <w:rStyle w:val="IndexLink"/>
              </w:rPr>
              <w:t>42</w:t>
            </w:r>
          </w:hyperlink>
        </w:p>
        <w:p>
          <w:pPr>
            <w:pStyle w:val="Contents3"/>
            <w:tabs>
              <w:tab w:val="clear" w:pos="8459"/>
              <w:tab w:val="right" w:pos="9026" w:leader="dot"/>
            </w:tabs>
            <w:rPr/>
          </w:pPr>
          <w:hyperlink w:anchor="__RefHeading___Toc2594373_373438147">
            <w:r>
              <w:rPr>
                <w:webHidden/>
                <w:rStyle w:val="IndexLink"/>
                <w:rtl w:val="true"/>
              </w:rPr>
              <w:t>ثالثا</w:t>
            </w:r>
            <w:r>
              <w:rPr>
                <w:rStyle w:val="IndexLink"/>
                <w:rtl w:val="true"/>
              </w:rPr>
              <w:t>:</w:t>
              <w:tab/>
            </w:r>
            <w:r>
              <w:rPr>
                <w:rStyle w:val="IndexLink"/>
              </w:rPr>
              <w:t>43</w:t>
            </w:r>
          </w:hyperlink>
        </w:p>
        <w:p>
          <w:pPr>
            <w:pStyle w:val="Contents3"/>
            <w:tabs>
              <w:tab w:val="clear" w:pos="8459"/>
              <w:tab w:val="right" w:pos="9026" w:leader="dot"/>
            </w:tabs>
            <w:rPr/>
          </w:pPr>
          <w:hyperlink w:anchor="__RefHeading___Toc2594375_373438147">
            <w:r>
              <w:rPr>
                <w:webHidden/>
                <w:rStyle w:val="IndexLink"/>
                <w:rtl w:val="true"/>
              </w:rPr>
              <w:t>رابعا</w:t>
            </w:r>
            <w:r>
              <w:rPr>
                <w:rStyle w:val="IndexLink"/>
                <w:rtl w:val="true"/>
              </w:rPr>
              <w:t>:</w:t>
              <w:tab/>
            </w:r>
            <w:r>
              <w:rPr>
                <w:rStyle w:val="IndexLink"/>
              </w:rPr>
              <w:t>44</w:t>
            </w:r>
          </w:hyperlink>
        </w:p>
        <w:p>
          <w:pPr>
            <w:pStyle w:val="Contents3"/>
            <w:tabs>
              <w:tab w:val="clear" w:pos="8459"/>
              <w:tab w:val="right" w:pos="9026" w:leader="dot"/>
            </w:tabs>
            <w:rPr/>
          </w:pPr>
          <w:hyperlink w:anchor="__RefHeading___Toc2594377_373438147">
            <w:r>
              <w:rPr>
                <w:webHidden/>
                <w:rStyle w:val="IndexLink"/>
                <w:rtl w:val="true"/>
              </w:rPr>
              <w:t>خامسا</w:t>
            </w:r>
            <w:r>
              <w:rPr>
                <w:rStyle w:val="IndexLink"/>
                <w:rtl w:val="true"/>
              </w:rPr>
              <w:t>:</w:t>
              <w:tab/>
            </w:r>
            <w:r>
              <w:rPr>
                <w:rStyle w:val="IndexLink"/>
              </w:rPr>
              <w:t>45</w:t>
            </w:r>
          </w:hyperlink>
        </w:p>
        <w:p>
          <w:pPr>
            <w:pStyle w:val="Contents3"/>
            <w:tabs>
              <w:tab w:val="clear" w:pos="8459"/>
              <w:tab w:val="right" w:pos="9026" w:leader="dot"/>
            </w:tabs>
            <w:rPr/>
          </w:pPr>
          <w:hyperlink w:anchor="__RefHeading___Toc2594379_373438147">
            <w:r>
              <w:rPr>
                <w:webHidden/>
                <w:rStyle w:val="IndexLink"/>
                <w:rtl w:val="true"/>
              </w:rPr>
              <w:t>سادسا</w:t>
            </w:r>
            <w:r>
              <w:rPr>
                <w:rStyle w:val="IndexLink"/>
                <w:rtl w:val="true"/>
              </w:rPr>
              <w:t>:</w:t>
              <w:tab/>
            </w:r>
            <w:r>
              <w:rPr>
                <w:rStyle w:val="IndexLink"/>
              </w:rPr>
              <w:t>45</w:t>
            </w:r>
          </w:hyperlink>
        </w:p>
        <w:p>
          <w:pPr>
            <w:pStyle w:val="Contents3"/>
            <w:tabs>
              <w:tab w:val="clear" w:pos="8459"/>
              <w:tab w:val="right" w:pos="9026" w:leader="dot"/>
            </w:tabs>
            <w:rPr/>
          </w:pPr>
          <w:hyperlink w:anchor="__RefHeading___Toc2594381_373438147">
            <w:r>
              <w:rPr>
                <w:webHidden/>
                <w:rStyle w:val="IndexLink"/>
                <w:rtl w:val="true"/>
              </w:rPr>
              <w:t>سابعا</w:t>
            </w:r>
            <w:r>
              <w:rPr>
                <w:rStyle w:val="IndexLink"/>
                <w:rtl w:val="true"/>
              </w:rPr>
              <w:t>:</w:t>
              <w:tab/>
            </w:r>
            <w:r>
              <w:rPr>
                <w:rStyle w:val="IndexLink"/>
              </w:rPr>
              <w:t>47</w:t>
            </w:r>
          </w:hyperlink>
        </w:p>
        <w:p>
          <w:pPr>
            <w:pStyle w:val="Contents3"/>
            <w:tabs>
              <w:tab w:val="clear" w:pos="8459"/>
              <w:tab w:val="right" w:pos="9026" w:leader="dot"/>
            </w:tabs>
            <w:rPr/>
          </w:pPr>
          <w:hyperlink w:anchor="__RefHeading___Toc2594383_373438147">
            <w:r>
              <w:rPr>
                <w:webHidden/>
                <w:rStyle w:val="IndexLink"/>
                <w:rtl w:val="true"/>
              </w:rPr>
              <w:t>ثامنا</w:t>
            </w:r>
            <w:r>
              <w:rPr>
                <w:rStyle w:val="IndexLink"/>
                <w:rtl w:val="true"/>
              </w:rPr>
              <w:t>:</w:t>
              <w:tab/>
            </w:r>
            <w:r>
              <w:rPr>
                <w:rStyle w:val="IndexLink"/>
              </w:rPr>
              <w:t>47</w:t>
            </w:r>
          </w:hyperlink>
        </w:p>
        <w:p>
          <w:pPr>
            <w:pStyle w:val="Contents3"/>
            <w:tabs>
              <w:tab w:val="clear" w:pos="8459"/>
              <w:tab w:val="right" w:pos="9026" w:leader="dot"/>
            </w:tabs>
            <w:rPr/>
          </w:pPr>
          <w:hyperlink w:anchor="__RefHeading___Toc2594385_373438147">
            <w:r>
              <w:rPr>
                <w:webHidden/>
                <w:rStyle w:val="IndexLink"/>
                <w:rtl w:val="true"/>
              </w:rPr>
              <w:t>ثالثا</w:t>
            </w:r>
            <w:r>
              <w:rPr>
                <w:rStyle w:val="IndexLink"/>
                <w:rtl w:val="true"/>
              </w:rPr>
              <w:t xml:space="preserve">: </w:t>
            </w:r>
            <w:r>
              <w:rPr>
                <w:rStyle w:val="IndexLink"/>
                <w:rtl w:val="true"/>
              </w:rPr>
              <w:t>الحديث</w:t>
            </w:r>
            <w:r>
              <w:rPr>
                <w:rStyle w:val="IndexLink"/>
                <w:rtl w:val="true"/>
              </w:rPr>
              <w:t>:</w:t>
              <w:tab/>
            </w:r>
            <w:r>
              <w:rPr>
                <w:rStyle w:val="IndexLink"/>
              </w:rPr>
              <w:t>48</w:t>
            </w:r>
          </w:hyperlink>
        </w:p>
        <w:p>
          <w:pPr>
            <w:pStyle w:val="Contents3"/>
            <w:tabs>
              <w:tab w:val="clear" w:pos="8459"/>
              <w:tab w:val="right" w:pos="9026" w:leader="dot"/>
            </w:tabs>
            <w:rPr/>
          </w:pPr>
          <w:hyperlink w:anchor="__RefHeading___Toc2594387_373438147">
            <w:r>
              <w:rPr>
                <w:webHidden/>
                <w:rStyle w:val="IndexLink"/>
                <w:rtl w:val="true"/>
              </w:rPr>
              <w:t>المصنفون فيها</w:t>
            </w:r>
            <w:r>
              <w:rPr>
                <w:rStyle w:val="IndexLink"/>
                <w:rtl w:val="true"/>
              </w:rPr>
              <w:t>:</w:t>
              <w:tab/>
            </w:r>
            <w:r>
              <w:rPr>
                <w:rStyle w:val="IndexLink"/>
              </w:rPr>
              <w:t>50</w:t>
            </w:r>
          </w:hyperlink>
        </w:p>
        <w:p>
          <w:pPr>
            <w:pStyle w:val="Contents3"/>
            <w:tabs>
              <w:tab w:val="clear" w:pos="8459"/>
              <w:tab w:val="right" w:pos="9026" w:leader="dot"/>
            </w:tabs>
            <w:rPr/>
          </w:pPr>
          <w:hyperlink w:anchor="__RefHeading___Toc2594389_373438147">
            <w:r>
              <w:rPr>
                <w:webHidden/>
                <w:rStyle w:val="IndexLink"/>
                <w:rtl w:val="true"/>
              </w:rPr>
              <w:t>رابعا</w:t>
            </w:r>
            <w:r>
              <w:rPr>
                <w:rStyle w:val="IndexLink"/>
                <w:rtl w:val="true"/>
              </w:rPr>
              <w:t xml:space="preserve">: </w:t>
            </w:r>
            <w:r>
              <w:rPr>
                <w:rStyle w:val="IndexLink"/>
                <w:rtl w:val="true"/>
              </w:rPr>
              <w:t>الاجماع</w:t>
            </w:r>
            <w:r>
              <w:rPr>
                <w:rStyle w:val="IndexLink"/>
                <w:rtl w:val="true"/>
              </w:rPr>
              <w:t>:</w:t>
              <w:tab/>
            </w:r>
            <w:r>
              <w:rPr>
                <w:rStyle w:val="IndexLink"/>
              </w:rPr>
              <w:t>52</w:t>
            </w:r>
          </w:hyperlink>
        </w:p>
        <w:p>
          <w:pPr>
            <w:pStyle w:val="Contents3"/>
            <w:tabs>
              <w:tab w:val="clear" w:pos="8459"/>
              <w:tab w:val="right" w:pos="9026" w:leader="dot"/>
            </w:tabs>
            <w:rPr/>
          </w:pPr>
          <w:hyperlink w:anchor="__RefHeading___Toc2594391_373438147">
            <w:r>
              <w:rPr>
                <w:webHidden/>
                <w:rStyle w:val="IndexLink"/>
                <w:rtl w:val="true"/>
              </w:rPr>
              <w:t>خامسا</w:t>
            </w:r>
            <w:r>
              <w:rPr>
                <w:rStyle w:val="IndexLink"/>
                <w:rtl w:val="true"/>
              </w:rPr>
              <w:t xml:space="preserve">: </w:t>
            </w:r>
            <w:r>
              <w:rPr>
                <w:rStyle w:val="IndexLink"/>
                <w:rtl w:val="true"/>
              </w:rPr>
              <w:t>الضرورة</w:t>
            </w:r>
            <w:r>
              <w:rPr>
                <w:rStyle w:val="IndexLink"/>
                <w:rtl w:val="true"/>
              </w:rPr>
              <w:t>:</w:t>
              <w:tab/>
            </w:r>
            <w:r>
              <w:rPr>
                <w:rStyle w:val="IndexLink"/>
              </w:rPr>
              <w:t>54</w:t>
            </w:r>
          </w:hyperlink>
        </w:p>
        <w:p>
          <w:pPr>
            <w:pStyle w:val="Contents2"/>
            <w:tabs>
              <w:tab w:val="clear" w:pos="8743"/>
              <w:tab w:val="right" w:pos="9026" w:leader="dot"/>
            </w:tabs>
            <w:rPr/>
          </w:pPr>
          <w:hyperlink w:anchor="__RefHeading___Toc2594393_373438147">
            <w:r>
              <w:rPr>
                <w:webHidden/>
                <w:rStyle w:val="IndexLink"/>
                <w:rtl w:val="true"/>
              </w:rPr>
              <w:t>الفصل الثالث</w:t>
            </w:r>
            <w:r>
              <w:rPr>
                <w:rStyle w:val="IndexLink"/>
                <w:rtl w:val="true"/>
              </w:rPr>
              <w:t xml:space="preserve">: </w:t>
            </w:r>
            <w:r>
              <w:rPr>
                <w:rStyle w:val="IndexLink"/>
                <w:rtl w:val="true"/>
              </w:rPr>
              <w:t>أحكام في الرجعة</w:t>
            </w:r>
            <w:r>
              <w:rPr>
                <w:rStyle w:val="IndexLink"/>
                <w:rtl w:val="true"/>
              </w:rPr>
              <w:tab/>
            </w:r>
            <w:r>
              <w:rPr>
                <w:rStyle w:val="IndexLink"/>
              </w:rPr>
              <w:t>57</w:t>
            </w:r>
          </w:hyperlink>
        </w:p>
        <w:p>
          <w:pPr>
            <w:pStyle w:val="Contents3"/>
            <w:tabs>
              <w:tab w:val="clear" w:pos="8459"/>
              <w:tab w:val="right" w:pos="9026" w:leader="dot"/>
            </w:tabs>
            <w:rPr/>
          </w:pPr>
          <w:hyperlink w:anchor="__RefHeading___Toc2594395_373438147">
            <w:r>
              <w:rPr>
                <w:webHidden/>
                <w:rStyle w:val="IndexLink"/>
                <w:rtl w:val="true"/>
              </w:rPr>
              <w:t>الرجعة خاصة</w:t>
            </w:r>
            <w:r>
              <w:rPr>
                <w:rStyle w:val="IndexLink"/>
                <w:rtl w:val="true"/>
              </w:rPr>
              <w:t>:</w:t>
              <w:tab/>
            </w:r>
            <w:r>
              <w:rPr>
                <w:rStyle w:val="IndexLink"/>
              </w:rPr>
              <w:t>57</w:t>
            </w:r>
          </w:hyperlink>
        </w:p>
        <w:p>
          <w:pPr>
            <w:pStyle w:val="Contents3"/>
            <w:tabs>
              <w:tab w:val="clear" w:pos="8459"/>
              <w:tab w:val="right" w:pos="9026" w:leader="dot"/>
            </w:tabs>
            <w:rPr/>
          </w:pPr>
          <w:hyperlink w:anchor="__RefHeading___Toc2594397_373438147">
            <w:r>
              <w:rPr>
                <w:webHidden/>
                <w:rStyle w:val="IndexLink"/>
                <w:rtl w:val="true"/>
              </w:rPr>
              <w:t>من هم الراجعون؟</w:t>
            </w:r>
            <w:r>
              <w:rPr>
                <w:rStyle w:val="IndexLink"/>
                <w:rtl w:val="true"/>
              </w:rPr>
              <w:tab/>
            </w:r>
            <w:r>
              <w:rPr>
                <w:rStyle w:val="IndexLink"/>
              </w:rPr>
              <w:t>57</w:t>
            </w:r>
          </w:hyperlink>
        </w:p>
        <w:p>
          <w:pPr>
            <w:pStyle w:val="Contents3"/>
            <w:tabs>
              <w:tab w:val="clear" w:pos="8459"/>
              <w:tab w:val="right" w:pos="9026" w:leader="dot"/>
            </w:tabs>
            <w:rPr/>
          </w:pPr>
          <w:hyperlink w:anchor="__RefHeading___Toc2594399_373438147">
            <w:r>
              <w:rPr>
                <w:webHidden/>
                <w:rStyle w:val="IndexLink"/>
                <w:rtl w:val="true"/>
              </w:rPr>
              <w:t>هل ثمة رجعة بعد عصر الظهور؟</w:t>
            </w:r>
            <w:r>
              <w:rPr>
                <w:rStyle w:val="IndexLink"/>
                <w:rtl w:val="true"/>
              </w:rPr>
              <w:tab/>
            </w:r>
            <w:r>
              <w:rPr>
                <w:rStyle w:val="IndexLink"/>
              </w:rPr>
              <w:t>59</w:t>
            </w:r>
          </w:hyperlink>
        </w:p>
        <w:p>
          <w:pPr>
            <w:pStyle w:val="Contents3"/>
            <w:tabs>
              <w:tab w:val="clear" w:pos="8459"/>
              <w:tab w:val="right" w:pos="9026" w:leader="dot"/>
            </w:tabs>
            <w:rPr/>
          </w:pPr>
          <w:hyperlink w:anchor="__RefHeading___Toc2594401_373438147">
            <w:r>
              <w:rPr>
                <w:webHidden/>
                <w:rStyle w:val="IndexLink"/>
                <w:rtl w:val="true"/>
              </w:rPr>
              <w:t>حكم الرجعة</w:t>
            </w:r>
            <w:r>
              <w:rPr>
                <w:rStyle w:val="IndexLink"/>
                <w:rtl w:val="true"/>
              </w:rPr>
              <w:t>:</w:t>
              <w:tab/>
            </w:r>
            <w:r>
              <w:rPr>
                <w:rStyle w:val="IndexLink"/>
              </w:rPr>
              <w:t>60</w:t>
            </w:r>
          </w:hyperlink>
        </w:p>
        <w:p>
          <w:pPr>
            <w:pStyle w:val="Contents3"/>
            <w:tabs>
              <w:tab w:val="clear" w:pos="8459"/>
              <w:tab w:val="right" w:pos="9026" w:leader="dot"/>
            </w:tabs>
            <w:rPr/>
          </w:pPr>
          <w:hyperlink w:anchor="__RefHeading___Toc2594403_373438147">
            <w:r>
              <w:rPr>
                <w:webHidden/>
                <w:rStyle w:val="IndexLink"/>
                <w:rtl w:val="true"/>
              </w:rPr>
              <w:t>الاختلاف في معنى الرجعة</w:t>
            </w:r>
            <w:r>
              <w:rPr>
                <w:rStyle w:val="IndexLink"/>
                <w:rtl w:val="true"/>
              </w:rPr>
              <w:t>:</w:t>
              <w:tab/>
            </w:r>
            <w:r>
              <w:rPr>
                <w:rStyle w:val="IndexLink"/>
              </w:rPr>
              <w:t>61</w:t>
            </w:r>
          </w:hyperlink>
        </w:p>
        <w:p>
          <w:pPr>
            <w:pStyle w:val="Contents3"/>
            <w:tabs>
              <w:tab w:val="clear" w:pos="8459"/>
              <w:tab w:val="right" w:pos="9026" w:leader="dot"/>
            </w:tabs>
            <w:rPr/>
          </w:pPr>
          <w:hyperlink w:anchor="__RefHeading___Toc2594405_373438147">
            <w:r>
              <w:rPr>
                <w:webHidden/>
                <w:rStyle w:val="IndexLink"/>
                <w:rtl w:val="true"/>
              </w:rPr>
              <w:t>حكم متأولي الرجعة</w:t>
            </w:r>
            <w:r>
              <w:rPr>
                <w:rStyle w:val="IndexLink"/>
                <w:rtl w:val="true"/>
              </w:rPr>
              <w:t>:</w:t>
              <w:tab/>
            </w:r>
            <w:r>
              <w:rPr>
                <w:rStyle w:val="IndexLink"/>
              </w:rPr>
              <w:t>63</w:t>
            </w:r>
          </w:hyperlink>
        </w:p>
        <w:p>
          <w:pPr>
            <w:pStyle w:val="Contents3"/>
            <w:tabs>
              <w:tab w:val="clear" w:pos="8459"/>
              <w:tab w:val="right" w:pos="9026" w:leader="dot"/>
            </w:tabs>
            <w:rPr/>
          </w:pPr>
          <w:hyperlink w:anchor="__RefHeading___Toc2594407_373438147">
            <w:r>
              <w:rPr>
                <w:webHidden/>
                <w:rStyle w:val="IndexLink"/>
                <w:rtl w:val="true"/>
              </w:rPr>
              <w:t>الهدف من الرجعة</w:t>
            </w:r>
            <w:r>
              <w:rPr>
                <w:rStyle w:val="IndexLink"/>
                <w:rtl w:val="true"/>
              </w:rPr>
              <w:t>:</w:t>
              <w:tab/>
            </w:r>
            <w:r>
              <w:rPr>
                <w:rStyle w:val="IndexLink"/>
              </w:rPr>
              <w:t>63</w:t>
            </w:r>
          </w:hyperlink>
        </w:p>
        <w:p>
          <w:pPr>
            <w:pStyle w:val="Contents2"/>
            <w:tabs>
              <w:tab w:val="clear" w:pos="8743"/>
              <w:tab w:val="right" w:pos="9026" w:leader="dot"/>
            </w:tabs>
            <w:rPr/>
          </w:pPr>
          <w:hyperlink w:anchor="__RefHeading___Toc2594409_373438147">
            <w:r>
              <w:rPr>
                <w:webHidden/>
                <w:rStyle w:val="IndexLink"/>
                <w:rtl w:val="true"/>
              </w:rPr>
              <w:t>الفصل الرابع</w:t>
            </w:r>
            <w:r>
              <w:rPr>
                <w:rStyle w:val="IndexLink"/>
                <w:rtl w:val="true"/>
              </w:rPr>
              <w:t xml:space="preserve">: </w:t>
            </w:r>
            <w:r>
              <w:rPr>
                <w:rStyle w:val="IndexLink"/>
                <w:rtl w:val="true"/>
              </w:rPr>
              <w:t>الرجعة عند العامة</w:t>
            </w:r>
            <w:r>
              <w:rPr>
                <w:rStyle w:val="IndexLink"/>
                <w:rtl w:val="true"/>
              </w:rPr>
              <w:tab/>
            </w:r>
            <w:r>
              <w:rPr>
                <w:rStyle w:val="IndexLink"/>
              </w:rPr>
              <w:t>68</w:t>
            </w:r>
          </w:hyperlink>
        </w:p>
        <w:p>
          <w:pPr>
            <w:pStyle w:val="Contents3"/>
            <w:tabs>
              <w:tab w:val="clear" w:pos="8459"/>
              <w:tab w:val="right" w:pos="9026" w:leader="dot"/>
            </w:tabs>
            <w:rPr/>
          </w:pPr>
          <w:hyperlink w:anchor="__RefHeading___Toc2594411_373438147">
            <w:r>
              <w:rPr>
                <w:webHidden/>
                <w:rStyle w:val="IndexLink"/>
                <w:rtl w:val="true"/>
              </w:rPr>
              <w:t>إحياء الموتى</w:t>
            </w:r>
            <w:r>
              <w:rPr>
                <w:rStyle w:val="IndexLink"/>
                <w:rtl w:val="true"/>
              </w:rPr>
              <w:t>:</w:t>
              <w:tab/>
            </w:r>
            <w:r>
              <w:rPr>
                <w:rStyle w:val="IndexLink"/>
              </w:rPr>
              <w:t>68</w:t>
            </w:r>
          </w:hyperlink>
        </w:p>
        <w:p>
          <w:pPr>
            <w:pStyle w:val="Contents3"/>
            <w:tabs>
              <w:tab w:val="clear" w:pos="8459"/>
              <w:tab w:val="right" w:pos="9026" w:leader="dot"/>
            </w:tabs>
            <w:rPr/>
          </w:pPr>
          <w:hyperlink w:anchor="__RefHeading___Toc2594413_373438147">
            <w:r>
              <w:rPr>
                <w:webHidden/>
                <w:rStyle w:val="IndexLink"/>
                <w:rtl w:val="true"/>
              </w:rPr>
              <w:t>السيوطي والصبان</w:t>
            </w:r>
            <w:r>
              <w:rPr>
                <w:rStyle w:val="IndexLink"/>
                <w:rtl w:val="true"/>
              </w:rPr>
              <w:t>:</w:t>
              <w:tab/>
            </w:r>
            <w:r>
              <w:rPr>
                <w:rStyle w:val="IndexLink"/>
              </w:rPr>
              <w:t>71</w:t>
            </w:r>
          </w:hyperlink>
        </w:p>
        <w:p>
          <w:pPr>
            <w:pStyle w:val="Contents3"/>
            <w:tabs>
              <w:tab w:val="clear" w:pos="8459"/>
              <w:tab w:val="right" w:pos="9026" w:leader="dot"/>
            </w:tabs>
            <w:rPr/>
          </w:pPr>
          <w:hyperlink w:anchor="__RefHeading___Toc2594415_373438147">
            <w:r>
              <w:rPr>
                <w:webHidden/>
                <w:rStyle w:val="IndexLink"/>
                <w:rtl w:val="true"/>
              </w:rPr>
              <w:t>أشراط الساعة</w:t>
            </w:r>
            <w:r>
              <w:rPr>
                <w:rStyle w:val="IndexLink"/>
                <w:rtl w:val="true"/>
              </w:rPr>
              <w:t>:</w:t>
              <w:tab/>
            </w:r>
            <w:r>
              <w:rPr>
                <w:rStyle w:val="IndexLink"/>
              </w:rPr>
              <w:t>71</w:t>
            </w:r>
          </w:hyperlink>
        </w:p>
        <w:p>
          <w:pPr>
            <w:pStyle w:val="Contents3"/>
            <w:tabs>
              <w:tab w:val="clear" w:pos="8459"/>
              <w:tab w:val="right" w:pos="9026" w:leader="dot"/>
            </w:tabs>
            <w:rPr/>
          </w:pPr>
          <w:hyperlink w:anchor="__RefHeading___Toc2594417_373438147">
            <w:r>
              <w:rPr>
                <w:webHidden/>
                <w:rStyle w:val="IndexLink"/>
                <w:rtl w:val="true"/>
              </w:rPr>
              <w:t>موقف العامة من الرجعة</w:t>
            </w:r>
            <w:r>
              <w:rPr>
                <w:rStyle w:val="IndexLink"/>
                <w:rtl w:val="true"/>
              </w:rPr>
              <w:t>:</w:t>
              <w:tab/>
            </w:r>
            <w:r>
              <w:rPr>
                <w:rStyle w:val="IndexLink"/>
              </w:rPr>
              <w:t>73</w:t>
            </w:r>
          </w:hyperlink>
        </w:p>
        <w:p>
          <w:pPr>
            <w:pStyle w:val="Contents2"/>
            <w:tabs>
              <w:tab w:val="clear" w:pos="8743"/>
              <w:tab w:val="right" w:pos="9026" w:leader="dot"/>
            </w:tabs>
            <w:rPr/>
          </w:pPr>
          <w:hyperlink w:anchor="__RefHeading___Toc2594419_373438147">
            <w:r>
              <w:rPr>
                <w:webHidden/>
                <w:rStyle w:val="IndexLink"/>
                <w:rtl w:val="true"/>
              </w:rPr>
              <w:t>الفصل الخامس</w:t>
            </w:r>
            <w:r>
              <w:rPr>
                <w:rStyle w:val="IndexLink"/>
                <w:rtl w:val="true"/>
              </w:rPr>
              <w:t xml:space="preserve">: </w:t>
            </w:r>
            <w:r>
              <w:rPr>
                <w:rStyle w:val="IndexLink"/>
                <w:rtl w:val="true"/>
              </w:rPr>
              <w:t>مناظرات واحتجاجات</w:t>
            </w:r>
            <w:r>
              <w:rPr>
                <w:rStyle w:val="IndexLink"/>
                <w:rtl w:val="true"/>
              </w:rPr>
              <w:tab/>
            </w:r>
            <w:r>
              <w:rPr>
                <w:rStyle w:val="IndexLink"/>
              </w:rPr>
              <w:t>82</w:t>
            </w:r>
          </w:hyperlink>
        </w:p>
        <w:p>
          <w:pPr>
            <w:pStyle w:val="Contents3"/>
            <w:tabs>
              <w:tab w:val="clear" w:pos="8459"/>
              <w:tab w:val="right" w:pos="9026" w:leader="dot"/>
            </w:tabs>
            <w:rPr/>
          </w:pPr>
          <w:hyperlink w:anchor="__RefHeading___Toc2594421_37343814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2594423_373438147">
            <w:r>
              <w:rPr>
                <w:webHidden/>
                <w:rStyle w:val="IndexLink"/>
              </w:rPr>
              <w:t>1</w:t>
            </w:r>
            <w:r>
              <w:rPr>
                <w:rStyle w:val="IndexLink"/>
                <w:rtl w:val="true"/>
              </w:rPr>
              <w:t xml:space="preserve"> - </w:t>
            </w:r>
            <w:r>
              <w:rPr>
                <w:rStyle w:val="IndexLink"/>
                <w:rtl w:val="true"/>
              </w:rPr>
              <w:t xml:space="preserve">احتجاج أمير المؤمنين علي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594425_373438147">
            <w:r>
              <w:rPr>
                <w:webHidden/>
                <w:rStyle w:val="IndexLink"/>
              </w:rPr>
              <w:t>2</w:t>
            </w:r>
            <w:r>
              <w:rPr>
                <w:rStyle w:val="IndexLink"/>
                <w:rtl w:val="true"/>
              </w:rPr>
              <w:t xml:space="preserve"> - </w:t>
            </w:r>
            <w:r>
              <w:rPr>
                <w:rStyle w:val="IndexLink"/>
                <w:rtl w:val="true"/>
              </w:rPr>
              <w:t>احتجاج الشيخ أبي محمد الفضل بن شاذان</w:t>
            </w:r>
            <w:r>
              <w:rPr>
                <w:rStyle w:val="IndexLink"/>
                <w:rtl w:val="true"/>
              </w:rPr>
              <w:t>:</w:t>
              <w:tab/>
            </w:r>
            <w:r>
              <w:rPr>
                <w:rStyle w:val="IndexLink"/>
              </w:rPr>
              <w:t>85</w:t>
            </w:r>
          </w:hyperlink>
        </w:p>
        <w:p>
          <w:pPr>
            <w:pStyle w:val="Contents3"/>
            <w:tabs>
              <w:tab w:val="clear" w:pos="8459"/>
              <w:tab w:val="right" w:pos="9026" w:leader="dot"/>
            </w:tabs>
            <w:rPr/>
          </w:pPr>
          <w:hyperlink w:anchor="__RefHeading___Toc2594427_373438147">
            <w:r>
              <w:rPr>
                <w:webHidden/>
                <w:rStyle w:val="IndexLink"/>
                <w:rtl w:val="true"/>
              </w:rPr>
              <w:t xml:space="preserve">قال في ذكر الرجعة من كتاب </w:t>
            </w:r>
            <w:r>
              <w:rPr>
                <w:rStyle w:val="IndexLink"/>
                <w:rtl w:val="true"/>
              </w:rPr>
              <w:t>(</w:t>
            </w:r>
            <w:r>
              <w:rPr>
                <w:rStyle w:val="IndexLink"/>
                <w:rtl w:val="true"/>
              </w:rPr>
              <w:t>الايضاح</w:t>
            </w:r>
            <w:r>
              <w:rPr>
                <w:rStyle w:val="IndexLink"/>
                <w:rtl w:val="true"/>
              </w:rPr>
              <w:t>):</w:t>
              <w:tab/>
            </w:r>
            <w:r>
              <w:rPr>
                <w:rStyle w:val="IndexLink"/>
              </w:rPr>
              <w:t>85</w:t>
            </w:r>
          </w:hyperlink>
        </w:p>
        <w:p>
          <w:pPr>
            <w:pStyle w:val="Contents3"/>
            <w:tabs>
              <w:tab w:val="clear" w:pos="8459"/>
              <w:tab w:val="right" w:pos="9026" w:leader="dot"/>
            </w:tabs>
            <w:rPr/>
          </w:pPr>
          <w:hyperlink w:anchor="__RefHeading___Toc2594429_373438147">
            <w:r>
              <w:rPr>
                <w:webHidden/>
                <w:rStyle w:val="IndexLink"/>
              </w:rPr>
              <w:t>3</w:t>
            </w:r>
            <w:r>
              <w:rPr>
                <w:rStyle w:val="IndexLink"/>
                <w:rtl w:val="true"/>
              </w:rPr>
              <w:t xml:space="preserve"> - </w:t>
            </w:r>
            <w:r>
              <w:rPr>
                <w:rStyle w:val="IndexLink"/>
                <w:rtl w:val="true"/>
              </w:rPr>
              <w:t xml:space="preserve">احتجاج السيد الحميري </w:t>
            </w:r>
            <w:r>
              <w:rPr>
                <w:rStyle w:val="IndexLink"/>
                <w:rtl w:val="true"/>
              </w:rPr>
              <w:t>(</w:t>
            </w:r>
            <w:r>
              <w:rPr>
                <w:rStyle w:val="IndexLink"/>
                <w:rtl w:val="true"/>
              </w:rPr>
              <w:t>قدس سره</w:t>
            </w:r>
            <w:r>
              <w:rPr>
                <w:rStyle w:val="IndexLink"/>
                <w:rtl w:val="true"/>
              </w:rPr>
              <w:t>):</w:t>
              <w:tab/>
            </w:r>
            <w:r>
              <w:rPr>
                <w:rStyle w:val="IndexLink"/>
              </w:rPr>
              <w:t>89</w:t>
            </w:r>
          </w:hyperlink>
        </w:p>
        <w:p>
          <w:pPr>
            <w:pStyle w:val="Contents3"/>
            <w:tabs>
              <w:tab w:val="clear" w:pos="8459"/>
              <w:tab w:val="right" w:pos="9026" w:leader="dot"/>
            </w:tabs>
            <w:rPr/>
          </w:pPr>
          <w:hyperlink w:anchor="__RefHeading___Toc2594431_373438147">
            <w:r>
              <w:rPr>
                <w:webHidden/>
                <w:rStyle w:val="IndexLink"/>
              </w:rPr>
              <w:t>4</w:t>
            </w:r>
            <w:r>
              <w:rPr>
                <w:rStyle w:val="IndexLink"/>
                <w:rtl w:val="true"/>
              </w:rPr>
              <w:t xml:space="preserve"> - </w:t>
            </w:r>
            <w:r>
              <w:rPr>
                <w:rStyle w:val="IndexLink"/>
                <w:rtl w:val="true"/>
              </w:rPr>
              <w:t xml:space="preserve">احتجاج الشيخ المفيد </w:t>
            </w:r>
            <w:r>
              <w:rPr>
                <w:rStyle w:val="IndexLink"/>
                <w:rtl w:val="true"/>
              </w:rPr>
              <w:t>(</w:t>
            </w:r>
            <w:r>
              <w:rPr>
                <w:rStyle w:val="IndexLink"/>
                <w:rtl w:val="true"/>
              </w:rPr>
              <w:t>قدس سره</w:t>
            </w:r>
            <w:r>
              <w:rPr>
                <w:rStyle w:val="IndexLink"/>
                <w:rtl w:val="true"/>
              </w:rPr>
              <w:t>):</w:t>
              <w:tab/>
            </w:r>
            <w:r>
              <w:rPr>
                <w:rStyle w:val="IndexLink"/>
              </w:rPr>
              <w:t>91</w:t>
            </w:r>
          </w:hyperlink>
        </w:p>
        <w:p>
          <w:pPr>
            <w:pStyle w:val="Contents3"/>
            <w:tabs>
              <w:tab w:val="clear" w:pos="8459"/>
              <w:tab w:val="right" w:pos="9026" w:leader="dot"/>
            </w:tabs>
            <w:rPr/>
          </w:pPr>
          <w:hyperlink w:anchor="__RefHeading___Toc2594433_373438147">
            <w:r>
              <w:rPr>
                <w:webHidden/>
                <w:rStyle w:val="IndexLink"/>
              </w:rPr>
              <w:t>5</w:t>
            </w:r>
            <w:r>
              <w:rPr>
                <w:rStyle w:val="IndexLink"/>
                <w:rtl w:val="true"/>
              </w:rPr>
              <w:t xml:space="preserve"> - </w:t>
            </w:r>
            <w:r>
              <w:rPr>
                <w:rStyle w:val="IndexLink"/>
                <w:rtl w:val="true"/>
              </w:rPr>
              <w:t>احتجاج السيد محسن الأمين العاملي</w:t>
            </w:r>
            <w:r>
              <w:rPr>
                <w:rStyle w:val="IndexLink"/>
                <w:rtl w:val="true"/>
              </w:rPr>
              <w:t>:</w:t>
              <w:tab/>
            </w:r>
            <w:r>
              <w:rPr>
                <w:rStyle w:val="IndexLink"/>
              </w:rPr>
              <w:t>96</w:t>
            </w:r>
          </w:hyperlink>
        </w:p>
        <w:p>
          <w:pPr>
            <w:pStyle w:val="Contents2"/>
            <w:tabs>
              <w:tab w:val="clear" w:pos="8743"/>
              <w:tab w:val="right" w:pos="9026" w:leader="dot"/>
            </w:tabs>
            <w:rPr/>
          </w:pPr>
          <w:hyperlink w:anchor="__RefHeading___Toc2594435_373438147">
            <w:r>
              <w:rPr>
                <w:webHidden/>
                <w:rStyle w:val="IndexLink"/>
                <w:rtl w:val="true"/>
              </w:rPr>
              <w:t>الفصل السادس</w:t>
            </w:r>
            <w:r>
              <w:rPr>
                <w:rStyle w:val="IndexLink"/>
                <w:rtl w:val="true"/>
              </w:rPr>
              <w:t xml:space="preserve">: </w:t>
            </w:r>
            <w:r>
              <w:rPr>
                <w:rStyle w:val="IndexLink"/>
                <w:rtl w:val="true"/>
              </w:rPr>
              <w:t>شبهات وردود</w:t>
            </w:r>
            <w:r>
              <w:rPr>
                <w:rStyle w:val="IndexLink"/>
                <w:rtl w:val="true"/>
              </w:rPr>
              <w:tab/>
            </w:r>
            <w:r>
              <w:rPr>
                <w:rStyle w:val="IndexLink"/>
              </w:rPr>
              <w:t>98</w:t>
            </w:r>
          </w:hyperlink>
        </w:p>
        <w:p>
          <w:pPr>
            <w:pStyle w:val="Contents3"/>
            <w:tabs>
              <w:tab w:val="clear" w:pos="8459"/>
              <w:tab w:val="right" w:pos="9026" w:leader="dot"/>
            </w:tabs>
            <w:rPr/>
          </w:pPr>
          <w:hyperlink w:anchor="__RefHeading___Toc2594437_373438147">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2594439_373438147">
            <w:r>
              <w:rPr>
                <w:webHidden/>
                <w:rStyle w:val="IndexLink"/>
                <w:rtl w:val="true"/>
              </w:rPr>
              <w:t>الشبهة الأولى</w:t>
            </w:r>
            <w:r>
              <w:rPr>
                <w:rStyle w:val="IndexLink"/>
                <w:rtl w:val="true"/>
              </w:rPr>
              <w:t xml:space="preserve">: </w:t>
            </w:r>
            <w:r>
              <w:rPr>
                <w:rStyle w:val="IndexLink"/>
                <w:rtl w:val="true"/>
              </w:rPr>
              <w:t>الرجعة تنافي التكليف</w:t>
            </w:r>
            <w:r>
              <w:rPr>
                <w:rStyle w:val="IndexLink"/>
                <w:rtl w:val="true"/>
              </w:rPr>
              <w:t>.</w:t>
              <w:tab/>
            </w:r>
            <w:r>
              <w:rPr>
                <w:rStyle w:val="IndexLink"/>
              </w:rPr>
              <w:t>98</w:t>
            </w:r>
          </w:hyperlink>
        </w:p>
        <w:p>
          <w:pPr>
            <w:pStyle w:val="Contents3"/>
            <w:tabs>
              <w:tab w:val="clear" w:pos="8459"/>
              <w:tab w:val="right" w:pos="9026" w:leader="dot"/>
            </w:tabs>
            <w:rPr/>
          </w:pPr>
          <w:hyperlink w:anchor="__RefHeading___Toc2594441_373438147">
            <w:r>
              <w:rPr>
                <w:webHidden/>
                <w:rStyle w:val="IndexLink"/>
                <w:rtl w:val="true"/>
              </w:rPr>
              <w:t>توبة الكفار</w:t>
            </w:r>
            <w:r>
              <w:rPr>
                <w:rStyle w:val="IndexLink"/>
                <w:rtl w:val="true"/>
              </w:rPr>
              <w:t>:</w:t>
              <w:tab/>
            </w:r>
            <w:r>
              <w:rPr>
                <w:rStyle w:val="IndexLink"/>
              </w:rPr>
              <w:t>100</w:t>
            </w:r>
          </w:hyperlink>
        </w:p>
        <w:p>
          <w:pPr>
            <w:pStyle w:val="Contents3"/>
            <w:tabs>
              <w:tab w:val="clear" w:pos="8459"/>
              <w:tab w:val="right" w:pos="9026" w:leader="dot"/>
            </w:tabs>
            <w:rPr/>
          </w:pPr>
          <w:hyperlink w:anchor="__RefHeading___Toc2594443_373438147">
            <w:r>
              <w:rPr>
                <w:webHidden/>
                <w:rStyle w:val="IndexLink"/>
                <w:rtl w:val="true"/>
              </w:rPr>
              <w:t>أحدهما</w:t>
            </w:r>
            <w:r>
              <w:rPr>
                <w:rStyle w:val="IndexLink"/>
                <w:rtl w:val="true"/>
              </w:rPr>
              <w:t>:</w:t>
              <w:tab/>
            </w:r>
            <w:r>
              <w:rPr>
                <w:rStyle w:val="IndexLink"/>
              </w:rPr>
              <w:t>100</w:t>
            </w:r>
          </w:hyperlink>
        </w:p>
        <w:p>
          <w:pPr>
            <w:pStyle w:val="Contents3"/>
            <w:tabs>
              <w:tab w:val="clear" w:pos="8459"/>
              <w:tab w:val="right" w:pos="9026" w:leader="dot"/>
            </w:tabs>
            <w:rPr/>
          </w:pPr>
          <w:hyperlink w:anchor="__RefHeading___Toc2594445_373438147">
            <w:r>
              <w:rPr>
                <w:webHidden/>
                <w:rStyle w:val="IndexLink"/>
                <w:rtl w:val="true"/>
              </w:rPr>
              <w:t>الشبهة الثانية</w:t>
            </w:r>
            <w:r>
              <w:rPr>
                <w:rStyle w:val="IndexLink"/>
                <w:rtl w:val="true"/>
              </w:rPr>
              <w:t>:</w:t>
              <w:tab/>
            </w:r>
            <w:r>
              <w:rPr>
                <w:rStyle w:val="IndexLink"/>
              </w:rPr>
              <w:t>101</w:t>
            </w:r>
          </w:hyperlink>
        </w:p>
        <w:p>
          <w:pPr>
            <w:pStyle w:val="Contents3"/>
            <w:tabs>
              <w:tab w:val="clear" w:pos="8459"/>
              <w:tab w:val="right" w:pos="9026" w:leader="dot"/>
            </w:tabs>
            <w:rPr/>
          </w:pPr>
          <w:hyperlink w:anchor="__RefHeading___Toc2594447_373438147">
            <w:r>
              <w:rPr>
                <w:webHidden/>
                <w:rStyle w:val="IndexLink"/>
                <w:rtl w:val="true"/>
              </w:rPr>
              <w:t>الشبهة الثالثة</w:t>
            </w:r>
            <w:r>
              <w:rPr>
                <w:rStyle w:val="IndexLink"/>
                <w:rtl w:val="true"/>
              </w:rPr>
              <w:t>:</w:t>
              <w:tab/>
            </w:r>
            <w:r>
              <w:rPr>
                <w:rStyle w:val="IndexLink"/>
              </w:rPr>
              <w:t>101</w:t>
            </w:r>
          </w:hyperlink>
        </w:p>
        <w:p>
          <w:pPr>
            <w:pStyle w:val="Contents3"/>
            <w:tabs>
              <w:tab w:val="clear" w:pos="8459"/>
              <w:tab w:val="right" w:pos="9026" w:leader="dot"/>
            </w:tabs>
            <w:rPr/>
          </w:pPr>
          <w:hyperlink w:anchor="__RefHeading___Toc2594449_373438147">
            <w:r>
              <w:rPr>
                <w:webHidden/>
                <w:rStyle w:val="IndexLink"/>
                <w:rtl w:val="true"/>
              </w:rPr>
              <w:t>الشبهة الرابعة</w:t>
            </w:r>
            <w:r>
              <w:rPr>
                <w:rStyle w:val="IndexLink"/>
                <w:rtl w:val="true"/>
              </w:rPr>
              <w:t xml:space="preserve">: </w:t>
            </w:r>
            <w:r>
              <w:rPr>
                <w:rStyle w:val="IndexLink"/>
                <w:rtl w:val="true"/>
              </w:rPr>
              <w:t>الرجعة تفضي إلى القول بالتناسخ</w:t>
            </w:r>
            <w:r>
              <w:rPr>
                <w:rStyle w:val="IndexLink"/>
                <w:rtl w:val="true"/>
              </w:rPr>
              <w:t>.</w:t>
              <w:tab/>
            </w:r>
            <w:r>
              <w:rPr>
                <w:rStyle w:val="IndexLink"/>
              </w:rPr>
              <w:t>102</w:t>
            </w:r>
          </w:hyperlink>
        </w:p>
        <w:p>
          <w:pPr>
            <w:pStyle w:val="Contents3"/>
            <w:tabs>
              <w:tab w:val="clear" w:pos="8459"/>
              <w:tab w:val="right" w:pos="9026" w:leader="dot"/>
            </w:tabs>
            <w:rPr/>
          </w:pPr>
          <w:hyperlink w:anchor="__RefHeading___Toc2594451_373438147">
            <w:r>
              <w:rPr>
                <w:webHidden/>
                <w:rStyle w:val="IndexLink"/>
                <w:rtl w:val="true"/>
              </w:rPr>
              <w:t>الشبهة الخامسة</w:t>
            </w:r>
            <w:r>
              <w:rPr>
                <w:rStyle w:val="IndexLink"/>
                <w:rtl w:val="true"/>
              </w:rPr>
              <w:t xml:space="preserve">: </w:t>
            </w:r>
            <w:r>
              <w:rPr>
                <w:rStyle w:val="IndexLink"/>
                <w:rtl w:val="true"/>
              </w:rPr>
              <w:t>ظهور اليهودية في التشيع بالقول بالرجعة</w:t>
            </w:r>
            <w:r>
              <w:rPr>
                <w:rStyle w:val="IndexLink"/>
                <w:rtl w:val="true"/>
              </w:rPr>
              <w:t>.</w:t>
              <w:tab/>
            </w:r>
            <w:r>
              <w:rPr>
                <w:rStyle w:val="IndexLink"/>
              </w:rPr>
              <w:t>104</w:t>
            </w:r>
          </w:hyperlink>
        </w:p>
        <w:p>
          <w:pPr>
            <w:pStyle w:val="Contents3"/>
            <w:tabs>
              <w:tab w:val="clear" w:pos="8459"/>
              <w:tab w:val="right" w:pos="9026" w:leader="dot"/>
            </w:tabs>
            <w:rPr/>
          </w:pPr>
          <w:hyperlink w:anchor="__RefHeading___Toc2594453_373438147">
            <w:r>
              <w:rPr>
                <w:webHidden/>
                <w:rStyle w:val="IndexLink"/>
                <w:rtl w:val="true"/>
              </w:rPr>
              <w:t>الجواب من عدة وجوه</w:t>
            </w:r>
            <w:r>
              <w:rPr>
                <w:rStyle w:val="IndexLink"/>
                <w:rtl w:val="true"/>
              </w:rPr>
              <w:t>:</w:t>
              <w:tab/>
            </w:r>
            <w:r>
              <w:rPr>
                <w:rStyle w:val="IndexLink"/>
              </w:rPr>
              <w:t>106</w:t>
            </w:r>
          </w:hyperlink>
        </w:p>
        <w:p>
          <w:pPr>
            <w:pStyle w:val="Contents3"/>
            <w:tabs>
              <w:tab w:val="clear" w:pos="8459"/>
              <w:tab w:val="right" w:pos="9026" w:leader="dot"/>
            </w:tabs>
            <w:rPr/>
          </w:pPr>
          <w:hyperlink w:anchor="__RefHeading___Toc2594455_373438147">
            <w:r>
              <w:rPr>
                <w:webHidden/>
                <w:rStyle w:val="IndexLink"/>
                <w:rtl w:val="true"/>
              </w:rPr>
              <w:t>الشبهة السابعة</w:t>
            </w:r>
            <w:r>
              <w:rPr>
                <w:rStyle w:val="IndexLink"/>
                <w:rtl w:val="true"/>
              </w:rPr>
              <w:t xml:space="preserve">: </w:t>
            </w:r>
            <w:r>
              <w:rPr>
                <w:rStyle w:val="IndexLink"/>
                <w:rtl w:val="true"/>
              </w:rPr>
              <w:t>أحاديث الرجعة موضوعة</w:t>
            </w:r>
            <w:r>
              <w:rPr>
                <w:rStyle w:val="IndexLink"/>
                <w:rtl w:val="true"/>
              </w:rPr>
              <w:t>.</w:t>
              <w:tab/>
            </w:r>
            <w:r>
              <w:rPr>
                <w:rStyle w:val="IndexLink"/>
              </w:rPr>
              <w:t>106</w:t>
            </w:r>
          </w:hyperlink>
        </w:p>
        <w:p>
          <w:pPr>
            <w:pStyle w:val="Contents3"/>
            <w:tabs>
              <w:tab w:val="clear" w:pos="8459"/>
              <w:tab w:val="right" w:pos="9026" w:leader="dot"/>
            </w:tabs>
            <w:rPr/>
          </w:pPr>
          <w:hyperlink w:anchor="__RefHeading___Toc2594457_373438147">
            <w:r>
              <w:rPr>
                <w:webHidden/>
                <w:rStyle w:val="IndexLink"/>
                <w:rtl w:val="true"/>
              </w:rPr>
              <w:t>الشبهة الثامنة</w:t>
            </w:r>
            <w:r>
              <w:rPr>
                <w:rStyle w:val="IndexLink"/>
                <w:rtl w:val="true"/>
              </w:rPr>
              <w:t xml:space="preserve">: </w:t>
            </w:r>
            <w:r>
              <w:rPr>
                <w:rStyle w:val="IndexLink"/>
                <w:rtl w:val="true"/>
              </w:rPr>
              <w:t>الرجعة محدودة في زمان النبوة</w:t>
            </w:r>
            <w:r>
              <w:rPr>
                <w:rStyle w:val="IndexLink"/>
                <w:rtl w:val="true"/>
              </w:rPr>
              <w:t>.</w:t>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_9118"/>
      <w:bookmarkStart w:id="1" w:name="pg1185_9118"/>
      <w:bookmarkEnd w:id="1"/>
    </w:p>
    <w:p>
      <w:pPr>
        <w:pStyle w:val="Heading2"/>
        <w:numPr>
          <w:ilvl w:val="1"/>
          <w:numId w:val="1"/>
        </w:numPr>
        <w:rPr/>
      </w:pPr>
      <w:bookmarkStart w:id="2" w:name="pg1185_9118"/>
      <w:bookmarkStart w:id="3" w:name="__RefHeading___Toc2594319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المعارف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 أو العودة إلى الحياة الدنيا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4321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ISBN 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أو العودة إلى الحياة الدنيا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730021</w:t>
      </w:r>
      <w:r>
        <w:rPr>
          <w:rFonts w:ascii="Amiri" w:hAnsi="Amiri" w:eastAsia="Amiri" w:cs="Amiri"/>
          <w:color w:val="111111"/>
          <w:sz w:val="28"/>
          <w:sz w:val="28"/>
          <w:szCs w:val="28"/>
          <w:rtl w:val="true"/>
          <w:lang w:bidi="ar-SA"/>
        </w:rPr>
        <w:t>، 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730020</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5_9122"/>
      <w:bookmarkStart w:id="8" w:name="pg1185_9122"/>
      <w:bookmarkEnd w:id="8"/>
    </w:p>
    <w:p>
      <w:pPr>
        <w:pStyle w:val="BookText"/>
        <w:rPr/>
      </w:pPr>
      <w:bookmarkStart w:id="9" w:name="pg1185_9122"/>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594323_373438147"/>
      <w:bookmarkStart w:id="11" w:name="_Toc3"/>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وأفضل الصلاة وأتم التسليم على الحبيب المصطفى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ريب فيه أن صحة الأحكام والعقائد تتوقف على ورودها في مصادر التشريع الإسلامي، سيما ما يتعلق منها بأنباء الغيب وحوادث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والرجعة التي تعد واحدة من أمور الغيب وأشراط الساعة، استدل الإمامية على صحة الاعتقاد بها بالأحاديث الصحيحة المتواترة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المصادر المعتبرة، فضلا عن إجماع الطائفة المحقة على ثبوتها حتى أصبحت من ضروريات المذهب عند جميع الأعلام المعروفين والمصنفين المشهورين، وهذان الدليلان من أهم ما استدل به الإمامية على صحة الاعتقاد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استدلوا على إمكانها بالآيات القرآنية الدالة على رجوع أقوام من الأمم السابقة إلى الحياة الدنيا رغم خروجهم من عالم الأحياء إلى عالم الموتى، كالذين خرجوا من ديارهم حذر الموت وهم ألوف، والذي مر على قرية وهي خاوية على عروشها، والذين أخذتهم الصاعقة، وأصحاب الكهف، وذي القرنين وغيرهم، أو الدالة على وقوعها في المستقبل إما نصا صريحا كقوله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 على الحشر الخاص قبل يوم القيامة، أو بمعونة الأحاديث المعتمدة في تفسيرها كقوله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يتجلى لنا الهدف من هذا الأمر الخارق الذي أخبر عنه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عرفنا أن العدل الإلهي واسع سعة الرحمة الإلهية ومطلق لا يحده زمان ولا مكان وأنه أصيل على أحداث الماضي </w:t>
      </w:r>
    </w:p>
    <w:p>
      <w:pPr>
        <w:pStyle w:val="BookText"/>
        <w:rPr/>
      </w:pPr>
      <w:r>
        <w:rPr>
          <w:rFonts w:ascii="Amiri" w:hAnsi="Amiri" w:eastAsia="Amiri" w:cs="Amiri"/>
          <w:color w:val="111111"/>
          <w:sz w:val="28"/>
          <w:sz w:val="28"/>
          <w:szCs w:val="28"/>
          <w:rtl w:val="true"/>
          <w:lang w:bidi="ar-SA"/>
        </w:rPr>
        <w:t xml:space="preserve">والحاضر والمستقبل، والرجعة نموذج رائع لتطبيق العدالة الإلهية، ذلك لأنها تعني أن الله تعالى يعيد قوما من الأموات ممن محض الإيمان محضا أو محض الكفر محضا، فيديل المحقين من المبطلين عند قيام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الفتح الذي أخبر عنه تعالى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يتحقق الوعد الإلهي بالنصر للأنبياء والمؤمنين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اتخذت الرجعة وسيلة للطعن والتشنيع على مذهب الإمامية حتى عدها بعض المخالفين من المستنكرات التي يستقبح الاعتقاد بها، مع أن الدليل على إمكانها وارد في الكتاب الكريم بصريح العبارة وبما لا يقبل التأويل أو الحمل، ومع أنها من أشراط الساعة كنزول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الدجال وخروج السفياني وأمثالها من القضايا الشائعة عند المسلمين ولا يترتب على اعتقادهم بها أدنى إنكار لأي حكم ضروري من أحكام الإسلام، وفوق ذلك أن الرجعة دليل على القدرة البالغة لله تعالى كالبعث والنشور، وهي من الأمور الخارقة للعادة التي تصلح أن تكون معجزة كبرى لنبينا وآل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توضيح مباني هذا الاعتقاد وإزالة اللبس الذي يعتري أذهان البعض حوله، قام مركزنا بإصدار هذه الدراسة التي تحتوي على ستة فصول تلم بأطراف الموضوع تعريفا وأدلة وأحكاما باعتماد ما ورد في الكتاب العزيز والأحاديث المستفيضة عن النبي الأكرم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نسأل الله تعالى أن ينفع بها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ولي التوفيق مركز الرسالة </w:t>
      </w:r>
      <w:bookmarkStart w:id="12" w:name="pg1185_9124"/>
    </w:p>
    <w:p>
      <w:pPr>
        <w:pStyle w:val="Heading2"/>
        <w:numPr>
          <w:ilvl w:val="1"/>
          <w:numId w:val="1"/>
        </w:numPr>
        <w:rPr/>
      </w:pPr>
      <w:bookmarkStart w:id="13" w:name="__RefHeading___Toc2594325_373438147"/>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الحمد لله رب العالمين، وأفضل الصلاة وأتم التسليم على الحبيب المصطفى الأمين وآله الهداة الميامين وصحبهم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أنباء الغيب وحوادث المستقبل وما سيقع من الفتن والملاحم وعلامات الظهور وأشراط الساعة وغيرها تعد من المسائل التي أولاها المحدثون أهمية خاصة، ذلك لأن الكتاب الكريم والسنة المباركة يدلان على أن الموت ليس هو النتيجة النهائية لرحلة الروح والبدن في هذا الكون، بل هو نافذة تطل على حياة جديدة وعوالم مختلفة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الانسان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xml:space="preserve">)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سعد بن عبد الله الأشعري بالإسناد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إذا استيأست أمتي من المهدي، فيأتيها مثل قرن الشمس، يستبشر به أهل السماء وأهل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بعد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بعد الموت هدى وإيمانا 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رسول الله، أي العمرين أطول؟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بالضعف</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إنا خلقنا وإياكم للبقاء لا للفناء، لكنكم من دار إلى دار تنقلون، فتزودوا لما أنتم صائرون إليه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اعتقادنا بعودة بعض الناس إلى الحياة بعد الموت لم يكن اعتباطيا، وإنما كان تبعا للآثار الصحيحة المتواترة التي حفلت بها كتب أصحابنا، واحتلت مساحة واسعة من أحاديث النبي وعترته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ندين بعصمتهم من الكذب، وعلى هذا إجماعهم، وإجماعهم حجة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الكتاب الكريم على الحشر الخاص قبل يوم القيامة، وهو عودة بعض الأموات إلى الحياة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xml:space="preserve">) * </w:t>
      </w:r>
      <w:r>
        <w:rPr>
          <w:rStyle w:val="FootnoteAnchor"/>
          <w:rtl w:val="true"/>
        </w:rPr>
        <w:footnoteReference w:id="6"/>
      </w:r>
      <w:r>
        <w:rPr>
          <w:rFonts w:ascii="Amiri" w:hAnsi="Amiri" w:eastAsia="Amiri" w:cs="Amiri"/>
          <w:color w:val="111111"/>
          <w:sz w:val="28"/>
          <w:sz w:val="28"/>
          <w:szCs w:val="28"/>
          <w:rtl w:val="true"/>
          <w:lang w:bidi="ar-SA"/>
        </w:rPr>
        <w:t>كما دل على الحشر العام بعد نفخة النشور في نفس السورة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ينفخ في الصور ففزع من في السماوات ومن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 أتوه داخرين</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ويستفاد من مجموع الآيتين أن يوم الحشر الخاص هو غير يوم النفخ والنشور الذي يحشر فيه الناس جميعا، وبما أنه ليس ثمة حشر بعد يوم القيامة بدليل الكتاب والسنة، فلا بد أن يكون الحشر الخاص واقعا قبل يوم القيامة، فهو إذن من العلامات الواقعة بين يدي الساعة، كظهور الدجال وخروج السفياني ونزول عيسى من السماء وطلوع الشمس من مغربها وغيرها من الأشراط المدلولة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الكتاب الكريم على رجعة بعض الناس في الأمم السابقة إلى الحياة بعد الموت في عدة آيات صريحة لا تقبل التأويل، منها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8"/>
      </w:r>
      <w:r>
        <w:rPr>
          <w:rFonts w:ascii="Amiri" w:hAnsi="Amiri" w:eastAsia="Amiri" w:cs="Amiri"/>
          <w:color w:val="111111"/>
          <w:sz w:val="28"/>
          <w:sz w:val="28"/>
          <w:szCs w:val="28"/>
          <w:rtl w:val="true"/>
          <w:lang w:bidi="ar-SA"/>
        </w:rPr>
        <w:t xml:space="preserve">وهو يدل على إمكان الرجعة في هذه الأمة أيضا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كان قبلكم شبرا بشبر وذراعا بذراع، حتى لو أن أحدهم دخل جحر ضب لدخلتم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الاعتقاد بالرجعة هو أن الله تعالى يعيد في آخر الزمان طائفة من الأموات إلى الدنيا ممن محضوا الإيمان محضا أو محضوا الكفر محضا، فينتصر لأهل الحق من أهل الباطل، وعلى هذا إجماع الشيعة الإمامية الاثني عشرية، وقد علم دخول المعصوم في هذا الاجماع بورود الأحاديث المتواترة عن النبي 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اعتقادهم بصحة الرجعة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الاعتقاد بالرجعة على ما جاء في الروايات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ضروريات المذهب الشيعي، وقد بحث العلماء عن حكم من أنكر شيئا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المذهب أو سائر من نطق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المتعلقة بهذا الشأن، الأمر الذي لسنا الآن بصدد التحقيق عنه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والاعتقاد بالرجعة من مظاهر الإيمان بالقدرة الإلهية، فقد روي أن ابن الكواء الخارجي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تشكن يا بن الكواء في قدرة الله عز وجل</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أبو الصباح الإمام الباقر عن الرجعة،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القدرة، ولا ينكرها إلا القدرية، تلك القدرة فلا تنكرها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وبمثل ذلك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القصير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يعتقد بأن الله تعالى هو الذي برأ الخلق من العدم إلى حيز الوجود كيف يشك ويتردد في أنه يعجزه إعادتهم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 على الابتداء فهو على الإعادة أقدر،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هي الرجعة التي كثرت التهويلات والتشنيعات على المعتقدين بها حتى عدوها أسطورة وقولا بالتناسخ، وأن معتقدها خارج عن الإسلام والدين، وأنها من مفتريات عبد الله بن سبأ، وما إلى ذلك من التشدق على مدرسة الإسلام الأصيل، إننا لا نعطي الحق لمن لا يؤمن برجعة بعض الأموات إلى الحياة الدنيا بعد الموت لعدم ثبوته عنده، بل عليه أن يبحث ويسأل أهل الذكر وليس من حقه أن يشنع على من يقول بذلك لتواتر الأحاديث وثبوت النصوص عنده، إذ لا حجة للجاهل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ويحق لنا في هذا المقام أن نسأل المنكرين لأنباء الغيب وما يقع في المستقبل، ما الدليل على زعمكم أنه لا يوجد ثمة عودة إلى الحياة بعد الموت؟ وما الحجة التي تعزز ما تذهبون إليه؟ هل تخلل أحد منكم في آفاق المستقبل، وسبر أغوارها، ووقف على حقيقة الأمر ثم عاد وأخبر أنه لم يجد شيئا مما أخبر به القرآن الكريم والعترة النبوية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هذا البحث سنحاول تسليط الضوء على تعريف الرجعة وفقا لما ورد عن أئمة الإمامية وعلمائهم، ونسوق الأدلة التي احتجوا بها لإثبات صحة الاعتقاد بها من الآيات القرآنية والأحاديث الشريفة والاجماع وغيرها من القرائن المختلفة، ونبين أيضا الهدف منها وحكم منكريها، وجملة من احتجاجات العلماء وردودهم على الاشكالات المطروحة حول هذا الموضوع وغيرها إن شاء الله تعالى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ولله الأمر من قبل ومن بعد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85_9130"/>
      <w:bookmarkStart w:id="16" w:name="pg1185_9130"/>
      <w:bookmarkEnd w:id="16"/>
    </w:p>
    <w:p>
      <w:pPr>
        <w:pStyle w:val="Heading2"/>
        <w:numPr>
          <w:ilvl w:val="1"/>
          <w:numId w:val="1"/>
        </w:numPr>
        <w:rPr/>
      </w:pPr>
      <w:bookmarkStart w:id="17" w:name="pg1185_9130"/>
      <w:bookmarkStart w:id="18" w:name="__RefHeading___Toc2594327_373438147"/>
      <w:bookmarkStart w:id="19" w:name="_Toc5"/>
      <w:bookmarkEnd w:id="17"/>
      <w:bookmarkEnd w:id="18"/>
      <w:r>
        <w:rPr>
          <w:rtl w:val="true"/>
        </w:rPr>
        <w:t>الفصل الأول</w:t>
      </w:r>
      <w:r>
        <w:rPr>
          <w:rtl w:val="true"/>
        </w:rPr>
        <w:t xml:space="preserve">: </w:t>
      </w:r>
      <w:r>
        <w:rPr>
          <w:rtl w:val="true"/>
        </w:rPr>
        <w:t>تعريف الرجعة</w:t>
      </w:r>
      <w:bookmarkEnd w:id="19"/>
    </w:p>
    <w:p>
      <w:pPr>
        <w:pStyle w:val="Heading3"/>
        <w:numPr>
          <w:ilvl w:val="2"/>
          <w:numId w:val="1"/>
        </w:numPr>
        <w:rPr/>
      </w:pPr>
      <w:bookmarkStart w:id="20" w:name="__RefHeading___Toc2594329_373438147"/>
      <w:bookmarkStart w:id="21" w:name="_Toc6"/>
      <w:bookmarkEnd w:id="20"/>
      <w:r>
        <w:rPr>
          <w:rtl w:val="true"/>
        </w:rPr>
        <w:t>الرجعة في اللغة</w:t>
      </w:r>
      <w:r>
        <w:rPr>
          <w:rtl w:val="true"/>
        </w:rPr>
        <w:t>:</w:t>
      </w:r>
      <w:bookmarkEnd w:id="21"/>
    </w:p>
    <w:p>
      <w:pPr>
        <w:pStyle w:val="BookText"/>
        <w:rPr/>
      </w:pPr>
      <w:r>
        <w:rPr>
          <w:rFonts w:ascii="Amiri" w:hAnsi="Amiri" w:eastAsia="Amiri" w:cs="Amiri"/>
          <w:color w:val="111111"/>
          <w:sz w:val="28"/>
          <w:sz w:val="28"/>
          <w:szCs w:val="28"/>
          <w:rtl w:val="true"/>
          <w:lang w:bidi="ar-SA"/>
        </w:rPr>
        <w:t>العودة إلى الحياة الدنيا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والفيروزآبادي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يؤمن بالرجعة، أي بالرجوع إلى الدنيا بعد الموت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ويطلق على الرجعة الكرة أيضا، وهو من الألفاظ المرادفة لها،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وكر بنفسه، يتعدى ولا يتعدى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لصاحب الكرات ودولة الدول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صاحب الكرة والرجعة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2" w:name="pg1185_9131"/>
    </w:p>
    <w:p>
      <w:pPr>
        <w:pStyle w:val="Heading3"/>
        <w:numPr>
          <w:ilvl w:val="2"/>
          <w:numId w:val="1"/>
        </w:numPr>
        <w:rPr/>
      </w:pPr>
      <w:bookmarkStart w:id="23" w:name="__RefHeading___Toc2594331_373438147"/>
      <w:bookmarkStart w:id="24" w:name="_Toc7"/>
      <w:bookmarkEnd w:id="22"/>
      <w:bookmarkEnd w:id="23"/>
      <w:r>
        <w:rPr>
          <w:rtl w:val="true"/>
        </w:rPr>
        <w:t>الرجعة عند الشيعة الإمامية</w:t>
      </w:r>
      <w:r>
        <w:rPr>
          <w:rtl w:val="true"/>
        </w:rPr>
        <w:t>:</w:t>
      </w:r>
      <w:bookmarkEnd w:id="24"/>
    </w:p>
    <w:p>
      <w:pPr>
        <w:pStyle w:val="BookText"/>
        <w:rPr/>
      </w:pPr>
      <w:r>
        <w:rPr>
          <w:rFonts w:ascii="Amiri" w:hAnsi="Amiri" w:eastAsia="Amiri" w:cs="Amiri"/>
          <w:color w:val="111111"/>
          <w:sz w:val="28"/>
          <w:sz w:val="28"/>
          <w:szCs w:val="28"/>
          <w:rtl w:val="true"/>
          <w:lang w:bidi="ar-SA"/>
        </w:rPr>
        <w:t xml:space="preserve">إن الذي تذهب إليه الإمامية أخذا بما جاء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نفس المعنى المحقق في اللغة، وهو أن الله تعالى يعيد قوما من الأموات إلى الدنيا قبل يوم القيامة في صورهم التي كانوا عليها، فيعز فريقا ويذل فريقا آخر، ويديل المحقين من المبطلين، والمظلومين منهم من الظالمين، وذلك عند قيام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وعدلا بعد أن ملئت جورا وظلما، ولذلك تعد الرجعة مظهرا يتجلى فيه مقتضى العدل الإلهي بعقاب المجرمين على نفس الأرض التي ملأوها ظلما وعدوانا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يرجع إلا من علت درجته في الإيمان، أو من بلغ الغاية من الفساد، ثم يصيرون بعد ذلك إلى الموت، ومن بعده إلى النشور، وما يستحقونه من الثواب أو العقاب، كما حكى الله تعالى في قرآنه الكريم تمني هؤلاء المرتجعين الذين لم يصلحوا بالارتجاع، فنالوا مقت الله، أن يخرجوا ثالثا لعلهم يصلحون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 </w:t>
      </w:r>
      <w:r>
        <w:rPr>
          <w:rStyle w:val="FootnoteAnchor"/>
          <w:rtl w:val="true"/>
        </w:rPr>
        <w:footnoteReference w:id="18"/>
      </w:r>
      <w:r>
        <w:rPr>
          <w:rFonts w:ascii="Amiri" w:hAnsi="Amiri" w:eastAsia="Amiri" w:cs="Amiri"/>
          <w:color w:val="111111"/>
          <w:sz w:val="28"/>
          <w:sz w:val="28"/>
          <w:szCs w:val="28"/>
          <w:rtl w:val="true"/>
          <w:lang w:bidi="ar-SA"/>
        </w:rPr>
        <w:t xml:space="preserve">ولكن أنى لهم ذلك وهم في عذاب مقيم؟ </w:t>
      </w:r>
      <w:bookmarkStart w:id="25" w:name="pg1185_9132"/>
    </w:p>
    <w:p>
      <w:pPr>
        <w:pStyle w:val="Heading2"/>
        <w:numPr>
          <w:ilvl w:val="1"/>
          <w:numId w:val="1"/>
        </w:numPr>
        <w:rPr/>
      </w:pPr>
      <w:bookmarkStart w:id="26" w:name="__RefHeading___Toc2594333_373438147"/>
      <w:bookmarkStart w:id="27" w:name="_Toc8"/>
      <w:bookmarkEnd w:id="25"/>
      <w:bookmarkEnd w:id="26"/>
      <w:r>
        <w:rPr>
          <w:rtl w:val="true"/>
        </w:rPr>
        <w:t>الفصل الثاني</w:t>
      </w:r>
      <w:r>
        <w:rPr>
          <w:rtl w:val="true"/>
        </w:rPr>
        <w:t xml:space="preserve">: </w:t>
      </w:r>
      <w:r>
        <w:rPr>
          <w:rtl w:val="true"/>
        </w:rPr>
        <w:t>إمكان الرجعة وأدلتها</w:t>
      </w:r>
      <w:bookmarkEnd w:id="27"/>
    </w:p>
    <w:p>
      <w:pPr>
        <w:pStyle w:val="Heading3"/>
        <w:numPr>
          <w:ilvl w:val="2"/>
          <w:numId w:val="1"/>
        </w:numPr>
        <w:rPr/>
      </w:pPr>
      <w:bookmarkStart w:id="28" w:name="__RefHeading___Toc2594335_373438147"/>
      <w:bookmarkStart w:id="29" w:name="_Toc9"/>
      <w:bookmarkEnd w:id="28"/>
      <w:r>
        <w:rPr>
          <w:rtl w:val="true"/>
        </w:rPr>
        <w:t>إمكان الرجعة</w:t>
      </w:r>
      <w:r>
        <w:rPr>
          <w:rtl w:val="true"/>
        </w:rPr>
        <w:t>:</w:t>
      </w:r>
      <w:bookmarkEnd w:id="29"/>
    </w:p>
    <w:p>
      <w:pPr>
        <w:pStyle w:val="BookText"/>
        <w:rPr/>
      </w:pPr>
      <w:r>
        <w:rPr>
          <w:rFonts w:ascii="Amiri" w:hAnsi="Amiri" w:eastAsia="Amiri" w:cs="Amiri"/>
          <w:color w:val="111111"/>
          <w:sz w:val="28"/>
          <w:sz w:val="28"/>
          <w:szCs w:val="28"/>
          <w:rtl w:val="true"/>
          <w:lang w:bidi="ar-SA"/>
        </w:rPr>
        <w:t>إن الرجعة من نوع البعث والمعاد الجسماني، غير أنها بعث موقوت في الدنيا ومحدود كما وكيفا، ويحدث قبل يوم القيامة، بينما يبعث الناس جميعا يوم القيامة ليلاقوا حسابهم ويبدأوا حياتهم الخالدة، وأهوال يوم القيامة أعجب وأغرب وأمرها أعظم من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الرجعة والمعاد ظاهرتان متماثلتان من حيث النوع، فالدليل على إمكان المعاد يمكن أن يقام دليلا على إمكان الرجعة، والاعتراف بإمكان بعث الحياة من جديد يوم القيامة يترتب عليه الاعتراف بإمكان الرجعة في حياتنا الدنيوية، ولا ريب أن جميع المسلمين يعتبرون الإيمان بالمعاد من أصول عقيدتهم، إذن فجميعهم يذعنون بإمكانية الرجعة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الذي يقوله الإمامية في الرجعة لا خلاف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 وأنه مقدور لله تعالى، وإنما الخلاف بينهم في أنه يوجد لا محالة أوليس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يخالف في صحة رجعة الأموات إلا خارج عن أقوال أهل التوحيد، لأن الله تعالى قادر على إيجاد الجواهر بعد إعدامها، وإذا كان عليها قادرا، جاز أن يوجدها متى شاء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إمكان الرجعة أمرا مسلما به عند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الإحياء بعد الإماتة والإرجاع إلى الدنيا من الأمور المقدورة له عز وجل مما لا ينتطح فيه كبشان، إلا أن الكلام في وقوعه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فلماذا الشك والاستغراب لوقوع الرجعة؟ ولماذا التشنيع والنبز بمن يعتقد بها لورود الأخبار الصحيحة المتواترة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بوقوعها؟ يقول الشيخ محمد رضا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سبب لاستغراب الرجعة إلا أنها أمر غير معهود لنا فيما ألفناه في حياتنا الدنيا، ولا نعرف من أسبابها أو موانعها ما يقر بها إلى اعترافنا أو يبعدها، وخيال الانسان لا يسهل عليه أن يتقبل تصديق ما لم يألفه، وذلك كمن يستغرب البعث فيقول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يحييها الذي أنشأها أول مرة وهو بكل خلق عليم</w:t>
      </w:r>
      <w:r>
        <w:rPr>
          <w:rFonts w:eastAsia="Amiri" w:cs="Amiri" w:ascii="Amiri" w:hAnsi="Amiri"/>
          <w:color w:val="111111"/>
          <w:sz w:val="28"/>
          <w:szCs w:val="28"/>
          <w:rtl w:val="true"/>
          <w:lang w:bidi="ar-SA"/>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مثل ذلك، مما لا دليل عقلي لنا على نفيه أو إثباته، أو نتخيل عدم وجود الدليل، يلزمنا الرضوخ إلى النصوص الدينية التي هي من مصدر الوحي الإلهي، وقد ورد في القرآن الكريم ما يثبت وقوع الرجعة إلى الدنيا لبعض الأموات، كمعجزة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إحياء الموتى </w:t>
      </w:r>
      <w:bookmarkStart w:id="30" w:name="pg1185_9134"/>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الأكمه والأبرص وأحيي الموتى بإذن الله</w:t>
      </w:r>
      <w:r>
        <w:rPr>
          <w:rFonts w:eastAsia="Amiri" w:cs="Amiri" w:ascii="Amiri" w:hAnsi="Amiri"/>
          <w:color w:val="111111"/>
          <w:sz w:val="28"/>
          <w:szCs w:val="28"/>
          <w:rtl w:val="true"/>
          <w:lang w:bidi="ar-SA"/>
        </w:rPr>
        <w:t xml:space="preserve">) * </w:t>
      </w:r>
      <w:r>
        <w:rPr>
          <w:rStyle w:val="FootnoteAnchor"/>
          <w:rtl w:val="true"/>
        </w:rPr>
        <w:footnoteReference w:id="22"/>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 فأماته الله مائة عام ثم بعثه</w:t>
      </w:r>
      <w:r>
        <w:rPr>
          <w:rFonts w:eastAsia="Amiri" w:cs="Amiri" w:ascii="Amiri" w:hAnsi="Amiri"/>
          <w:color w:val="111111"/>
          <w:sz w:val="28"/>
          <w:szCs w:val="28"/>
          <w:rtl w:val="true"/>
          <w:lang w:bidi="ar-SA"/>
        </w:rPr>
        <w:t xml:space="preserve">)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ذلك أن نفوس الظالمين تأبى إقامة العدل وإحقاق الحق لما اقترفته أيديهم الآثمة من الظلم والجور والمنكرات، والرجعة تنطوي على أمر يحقق العدالة الإلهية في أرض الواقع بانتصاف الظالم من المظلوم وإدالة أهل الحق من أهل الباطل، ولهذه العلة أبت نفوس المكابرين من أهل الجاهلية الاعتقاد بالمعاد والنشور رغم أنهم عاينوا المعجزات وضربت لهم الأمثال الواضحة وأقيمت لهم الدلائل البينة والبراهين الساطعة، لأن قبول هذا الاعتقاد يعني الانصياع للحق والعدل بالوقوف أمام المحكمة الإلهية الكبرى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594337_373438147"/>
      <w:bookmarkStart w:id="32" w:name="_Toc10"/>
      <w:bookmarkEnd w:id="31"/>
      <w:r>
        <w:rPr>
          <w:rtl w:val="true"/>
        </w:rPr>
        <w:t>أدلة الرجعة</w:t>
      </w:r>
      <w:r>
        <w:rPr>
          <w:rtl w:val="true"/>
        </w:rPr>
        <w:t>:</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الحر العاملي في الباب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دليلا على صحة الاعتقاد بالرجعة، وأهم ما استدل به الإمامية على ذلك هو الأحاديث الكثيرة المتواترة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الكتب المعتمدة، وإجماع الطائفة المحقة على ثبوت الرجعة حتى أصبحت من ضروريات مذهب الإمامية عند جميع العلماء المعروفين والمصنفين المشهورين، كما استدلوا أيضا </w:t>
      </w:r>
    </w:p>
    <w:p>
      <w:pPr>
        <w:pStyle w:val="BookText"/>
        <w:rPr/>
      </w:pPr>
      <w:r>
        <w:rPr>
          <w:rFonts w:ascii="Amiri" w:hAnsi="Amiri" w:eastAsia="Amiri" w:cs="Amiri"/>
          <w:color w:val="111111"/>
          <w:sz w:val="28"/>
          <w:sz w:val="28"/>
          <w:szCs w:val="28"/>
          <w:rtl w:val="true"/>
          <w:lang w:bidi="ar-SA"/>
        </w:rPr>
        <w:t>بالآيات القرآنية الدالة على وقوع الرجعة في الأمم السابقة، أو الدالة على وقوعها في المستقبل إما نصا صريحا أو بمعونة الأحاديث المعتمدة الواردة في تفسيرها، وفيما يلي نسوق خمسة أدلة نبدأها بالأدلة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حدثنا القرآن الكريم بصريح العبارة وبما لا يقبل التأويل أو الحمل عن رجوع أقوام من الأمم السابقة إلى الحياة الدنيا رغم ما عرف وثبت من موتهم وخروجهم من الحياة إلى عالم الموتى، فإذا جاز حدوثها في الأزمنة الغابرة، فلم لا يجوز حدوثها مستقبلا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xml:space="preserve">)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بالإسناد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في الرجعة؟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الحق، قد كانت في الأمم السالفة ونطق بها القرآن،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هذه الأمة كل ما كان في الأمم السالفة حذو النعل بالنعل والقذة بالقذة،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المهدي من ولدي 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خلفه،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وسيعود غريبا،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ثم يكون 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الحق إلى أهله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نقرأ ونتأمل الآيات الدالة على إحياء الموتى وحدوث </w:t>
      </w:r>
      <w:bookmarkStart w:id="33" w:name="pg1185_9136"/>
    </w:p>
    <w:p>
      <w:pPr>
        <w:pStyle w:val="Heading3"/>
        <w:numPr>
          <w:ilvl w:val="2"/>
          <w:numId w:val="1"/>
        </w:numPr>
        <w:rPr/>
      </w:pPr>
      <w:bookmarkStart w:id="34" w:name="__RefHeading___Toc2594339_373438147"/>
      <w:bookmarkStart w:id="35" w:name="_Toc11"/>
      <w:bookmarkEnd w:id="33"/>
      <w:bookmarkEnd w:id="34"/>
      <w:r>
        <w:rPr>
          <w:rtl w:val="true"/>
        </w:rPr>
        <w:t>الرجعة في الأمم السابقة</w:t>
      </w:r>
      <w:r>
        <w:rPr>
          <w:rtl w:val="true"/>
        </w:rPr>
        <w:t>:</w:t>
      </w:r>
      <w:bookmarkEnd w:id="35"/>
    </w:p>
    <w:p>
      <w:pPr>
        <w:pStyle w:val="Heading3"/>
        <w:numPr>
          <w:ilvl w:val="2"/>
          <w:numId w:val="1"/>
        </w:numPr>
        <w:rPr/>
      </w:pPr>
      <w:bookmarkStart w:id="36" w:name="__RefHeading___Toc2594341_373438147"/>
      <w:bookmarkStart w:id="37" w:name="_Toc12"/>
      <w:bookmarkEnd w:id="36"/>
      <w:r>
        <w:rPr>
          <w:rtl w:val="true"/>
        </w:rPr>
        <w:t>إحياء قوم من بني إسرائيل</w:t>
      </w:r>
      <w:r>
        <w:rPr>
          <w:rtl w:val="true"/>
        </w:rPr>
        <w:t>:</w:t>
      </w:r>
      <w:bookmarkEnd w:id="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إن الله لذو فضل على الناس ولكن أكثر الناس لا يشكرون</w:t>
      </w:r>
      <w:r>
        <w:rPr>
          <w:rFonts w:eastAsia="Amiri" w:cs="Amiri" w:ascii="Amiri" w:hAnsi="Amiri"/>
          <w:color w:val="111111"/>
          <w:sz w:val="28"/>
          <w:szCs w:val="28"/>
          <w:rtl w:val="true"/>
          <w:lang w:bidi="ar-SA"/>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الروايات الواردة في تفسير هذه الآية المباركة تدل على أن هؤلاء ماتوا مدة طويلة، ثم أحياهم الله تعالى، فرجعوا إلى الدنيا، وعاشوا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سبعين ألف بيت، وكان يقع فيهم الطاعون كل سنة، فيخرج الأغنياء لقوتهم، ويبقى الفقراء لضعفهم، فيقل الطاعون في الذين يخرجون، ويكثر في الذين يقيمون، فيقول الذين 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خرجنا لما أصابنا الطاعون، ويقول الذين خرجوا، لو أقمنا لأصابنا كما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على أن يخرجوا جميعا من ديارهم إذا كان وقت الطاعون، فخرجوا بأجمعهم، فنزلوا على شط البحر، فلما وضعوا رحالهم ناداهم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فماتوا جميعا، فكنستهم المارة عن الطريق، فبقوا بذلك ما شاء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بهم نبي من أنبياء بني إسرائيل يقال له أرميا </w:t>
      </w:r>
      <w:r>
        <w:rPr>
          <w:rStyle w:val="FootnoteAnchor"/>
          <w:rtl w:val="true"/>
        </w:rPr>
        <w:footnoteReference w:id="2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w:t>
      </w:r>
      <w:bookmarkStart w:id="38" w:name="pg1185_9137"/>
    </w:p>
    <w:p>
      <w:pPr>
        <w:pStyle w:val="BookText"/>
        <w:rPr/>
      </w:pPr>
      <w:bookmarkEnd w:id="38"/>
      <w:r>
        <w:rPr>
          <w:rFonts w:ascii="Amiri" w:hAnsi="Amiri" w:eastAsia="Amiri" w:cs="Amiri"/>
          <w:color w:val="111111"/>
          <w:sz w:val="28"/>
          <w:sz w:val="28"/>
          <w:szCs w:val="28"/>
          <w:rtl w:val="true"/>
          <w:lang w:bidi="ar-SA"/>
        </w:rPr>
        <w:t>يا رب لأحييتهم، فيعمروا بلادك، ويلدوا عبادك، ويعبدوك مع من يعبدك،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أحييهم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فأحياهم الله تعالى وبعثهم معه، فهؤلاء ماتوا، ورجعوا إلى الدنيا، ثم ماتوا بآجالهم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رجعة إلى الحياة الدنيا بعد الموت، وقد سأل حمران بن أعين الإمام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هؤلاء،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أحياهم حتى نظر الناس إليهم، ثم أماتهم من يومهم، أو ردهم إلى الدنيا حتى سكنوا الدور، وأكلوا الطعام، ونكحوا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ردهم الله حتى سكنوا الدور، وأكلوا الطعام، ونكحوا النساء، ولبثوا بذلك ما شاء الله، ثم ماتوا بآجالهم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594343_373438147"/>
      <w:bookmarkStart w:id="40" w:name="_Toc13"/>
      <w:bookmarkEnd w:id="39"/>
      <w:r>
        <w:rPr>
          <w:rtl w:val="true"/>
        </w:rPr>
        <w:t>إحياء عزير أو أرميا</w:t>
      </w:r>
      <w:r>
        <w:rPr>
          <w:rtl w:val="true"/>
        </w:rPr>
        <w:t>:</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شئ قدير</w:t>
      </w:r>
      <w:r>
        <w:rPr>
          <w:rFonts w:eastAsia="Amiri" w:cs="Amiri" w:ascii="Amiri" w:hAnsi="Amiri"/>
          <w:color w:val="111111"/>
          <w:sz w:val="28"/>
          <w:szCs w:val="28"/>
          <w:rtl w:val="true"/>
          <w:lang w:bidi="ar-SA"/>
        </w:rPr>
        <w:t xml:space="preserve">)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1" w:name="pg1185_9138"/>
    </w:p>
    <w:p>
      <w:pPr>
        <w:pStyle w:val="BookText"/>
        <w:rPr/>
      </w:pPr>
      <w:bookmarkEnd w:id="41"/>
      <w:r>
        <w:rPr>
          <w:rFonts w:ascii="Amiri" w:hAnsi="Amiri" w:eastAsia="Amiri" w:cs="Amiri"/>
          <w:color w:val="111111"/>
          <w:sz w:val="28"/>
          <w:sz w:val="28"/>
          <w:szCs w:val="28"/>
          <w:rtl w:val="true"/>
          <w:lang w:bidi="ar-SA"/>
        </w:rPr>
        <w:t>لقد اختلفت الروايات والتفاسير في تحديد هذا الذي مر على قرية، لكنها متفقة على أنه مات مائة سنة ورجع إلى الدنيا وبقي فيها، ثم مات بأجله، فهذه رجعة إلى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على قرية هو عزير، 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أرميا، وهو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العياشي بالإسناد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أهل العلم أن ابن الكواء الخارجي قال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ولد أكبر من أبيه من أهل الدنيا؟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أولئك ولد عزير، حيث مر على قرية خربة، وقد جاء من ضيعة له، تحته حمار، ومعه شنة فيها تين، وكوز فيه عصير، فمر على قرية خربة،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أنى يحيي هذه الله بعد موتها فأماته الله مائة 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فتوالد ولده وتناسلوا، ثم بعث الله إليه فأحياه في المولد الذي أماته فيه، فأولئك ولده أكبر من أبيهم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594345_373438147"/>
      <w:bookmarkStart w:id="43" w:name="_Toc14"/>
      <w:bookmarkEnd w:id="42"/>
      <w:r>
        <w:rPr>
          <w:rtl w:val="true"/>
        </w:rPr>
        <w:t xml:space="preserve">إحياء سبعين رجلا من قوم موسى </w:t>
      </w:r>
      <w:r>
        <w:rPr>
          <w:rtl w:val="true"/>
        </w:rPr>
        <w:t>(</w:t>
      </w:r>
      <w:r>
        <w:rPr>
          <w:rtl w:val="true"/>
        </w:rPr>
        <w:t>عليه السلام</w:t>
      </w:r>
      <w:r>
        <w:rPr>
          <w:rtl w:val="true"/>
        </w:rPr>
        <w:t>):</w:t>
      </w:r>
      <w:bookmarkEnd w:id="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الآيتان تتحدثان عن قصة المختارين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لميقات </w:t>
      </w:r>
      <w:bookmarkStart w:id="44" w:name="pg1185_9139"/>
    </w:p>
    <w:p>
      <w:pPr>
        <w:pStyle w:val="BookText"/>
        <w:rPr/>
      </w:pPr>
      <w:bookmarkEnd w:id="44"/>
      <w:r>
        <w:rPr>
          <w:rFonts w:ascii="Amiri" w:hAnsi="Amiri" w:eastAsia="Amiri" w:cs="Amiri"/>
          <w:color w:val="111111"/>
          <w:sz w:val="28"/>
          <w:sz w:val="28"/>
          <w:szCs w:val="28"/>
          <w:rtl w:val="true"/>
          <w:lang w:bidi="ar-SA"/>
        </w:rPr>
        <w:t>ربه، وذلك أنهم لما سمعوا كلام الله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نصدق به حتى نرى الله جهرة، فأخذتهم الصاعقة بظلمهم فماتوا،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ما أقول لبني إسرائيل إذا رجعت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فأحياهم الله له، فرجعوا إلى الدنيا، فأكلوا وشربوا، ونكحوا النساء، وولد لهم الأولاد، ثم ماتوا بآجالهم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رجعة أخرى إلى الحياة الدنيا بعد الموت لسبعين رجلا من بني إسرائيل،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w:t>
      </w:r>
      <w:r>
        <w:rPr>
          <w:rFonts w:eastAsia="Amiri" w:cs="Amiri" w:ascii="Amiri" w:hAnsi="Amiri"/>
          <w:color w:val="111111"/>
          <w:sz w:val="28"/>
          <w:szCs w:val="28"/>
          <w:rtl w:val="true"/>
          <w:lang w:bidi="ar-SA"/>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594347_373438147"/>
      <w:bookmarkStart w:id="46" w:name="_Toc15"/>
      <w:bookmarkEnd w:id="45"/>
      <w:r>
        <w:rPr>
          <w:rtl w:val="true"/>
        </w:rPr>
        <w:t xml:space="preserve">المسيح </w:t>
      </w:r>
      <w:r>
        <w:rPr>
          <w:rtl w:val="true"/>
        </w:rPr>
        <w:t>(</w:t>
      </w:r>
      <w:r>
        <w:rPr>
          <w:rtl w:val="true"/>
        </w:rPr>
        <w:t>عليه السلام</w:t>
      </w:r>
      <w:r>
        <w:rPr>
          <w:rtl w:val="true"/>
        </w:rPr>
        <w:t xml:space="preserve">) </w:t>
      </w:r>
      <w:r>
        <w:rPr>
          <w:rtl w:val="true"/>
        </w:rPr>
        <w:t>يحيي الموتى</w:t>
      </w:r>
      <w:r>
        <w:rPr>
          <w:rtl w:val="true"/>
        </w:rPr>
        <w:t>:</w:t>
      </w:r>
      <w:bookmarkEnd w:id="46"/>
    </w:p>
    <w:p>
      <w:pPr>
        <w:pStyle w:val="BookText"/>
        <w:rPr/>
      </w:pPr>
      <w:r>
        <w:rPr>
          <w:rFonts w:ascii="Amiri" w:hAnsi="Amiri" w:eastAsia="Amiri" w:cs="Amiri"/>
          <w:color w:val="111111"/>
          <w:sz w:val="28"/>
          <w:sz w:val="28"/>
          <w:szCs w:val="28"/>
          <w:rtl w:val="true"/>
          <w:lang w:bidi="ar-SA"/>
        </w:rPr>
        <w:t xml:space="preserve">ذكر في القرآن الكريم في غير مورد إحياء المسيح للموتى، قال تعالى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 xml:space="preserve">) * </w:t>
      </w:r>
      <w:r>
        <w:rPr>
          <w:rStyle w:val="FootnoteAnchor"/>
          <w:rtl w:val="true"/>
        </w:rPr>
        <w:footnoteReference w:id="37"/>
      </w:r>
      <w:r>
        <w:rPr>
          <w:rFonts w:ascii="Amiri" w:hAnsi="Amiri" w:eastAsia="Amiri" w:cs="Amiri"/>
          <w:color w:val="111111"/>
          <w:sz w:val="28"/>
          <w:sz w:val="28"/>
          <w:szCs w:val="28"/>
          <w:rtl w:val="true"/>
          <w:lang w:bidi="ar-SA"/>
        </w:rPr>
        <w:t>، وقال تعالى حاكيا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وأحيي الموتى بإذن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بعض الموتى الذين أحياهم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قد رجعوا إلى الدنيا وبقوا فيها ثم ماتوا بآجالهم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47" w:name="pg1185_9140"/>
    </w:p>
    <w:p>
      <w:pPr>
        <w:pStyle w:val="Heading3"/>
        <w:numPr>
          <w:ilvl w:val="2"/>
          <w:numId w:val="1"/>
        </w:numPr>
        <w:rPr/>
      </w:pPr>
      <w:bookmarkStart w:id="48" w:name="__RefHeading___Toc2594349_373438147"/>
      <w:bookmarkStart w:id="49" w:name="_Toc16"/>
      <w:bookmarkEnd w:id="47"/>
      <w:bookmarkEnd w:id="48"/>
      <w:r>
        <w:rPr>
          <w:rtl w:val="true"/>
        </w:rPr>
        <w:t>إحياء أصحاب الكهف</w:t>
      </w:r>
      <w:r>
        <w:rPr>
          <w:rtl w:val="true"/>
        </w:rPr>
        <w:t>:</w:t>
      </w:r>
      <w:bookmarkEnd w:id="49"/>
    </w:p>
    <w:p>
      <w:pPr>
        <w:pStyle w:val="BookText"/>
        <w:rPr/>
      </w:pPr>
      <w:r>
        <w:rPr>
          <w:rFonts w:ascii="Amiri" w:hAnsi="Amiri" w:eastAsia="Amiri" w:cs="Amiri"/>
          <w:color w:val="111111"/>
          <w:sz w:val="28"/>
          <w:sz w:val="28"/>
          <w:szCs w:val="28"/>
          <w:rtl w:val="true"/>
          <w:lang w:bidi="ar-SA"/>
        </w:rPr>
        <w:t xml:space="preserve">هؤلاء كانوا فتية آمنوا بالله تعالى، وكانوا يكتمون إيمانهم خوفا من ملكهم الذي كان يعبد الأصنام ويدعو إليها ويقتل من يخالفه، ثم اتفق أنهم اجتمعوا وأظهروا أمرهم لبعضهم، ولجأوا إلى الكهف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 xml:space="preserve">) * </w:t>
      </w:r>
      <w:r>
        <w:rPr>
          <w:rStyle w:val="FootnoteAnchor"/>
          <w:rtl w:val="true"/>
        </w:rPr>
        <w:footnoteReference w:id="39"/>
      </w:r>
      <w:r>
        <w:rPr>
          <w:rFonts w:ascii="Amiri" w:hAnsi="Amiri" w:eastAsia="Amiri" w:cs="Amiri"/>
          <w:color w:val="111111"/>
          <w:sz w:val="28"/>
          <w:sz w:val="28"/>
          <w:szCs w:val="28"/>
          <w:rtl w:val="true"/>
          <w:lang w:bidi="ar-SA"/>
        </w:rPr>
        <w:t>ثم بعثهم الله فرجعوا إلى الدنيا ليتساءلوا بينهم وقصتهم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وتحسبهم أيقاظا وهم رقود</w:t>
      </w:r>
      <w:r>
        <w:rPr>
          <w:rFonts w:eastAsia="Amiri" w:cs="Amiri" w:ascii="Amiri" w:hAnsi="Amiri"/>
          <w:color w:val="111111"/>
          <w:sz w:val="28"/>
          <w:szCs w:val="28"/>
          <w:rtl w:val="true"/>
          <w:lang w:bidi="ar-SA"/>
        </w:rPr>
        <w:t xml:space="preserve">) * </w:t>
      </w:r>
      <w:r>
        <w:rPr>
          <w:rStyle w:val="FootnoteAnchor"/>
          <w:rtl w:val="true"/>
        </w:rPr>
        <w:footnoteReference w:id="40"/>
      </w:r>
      <w:r>
        <w:rPr>
          <w:rFonts w:ascii="Amiri" w:hAnsi="Amiri" w:eastAsia="Amiri" w:cs="Amiri"/>
          <w:color w:val="111111"/>
          <w:sz w:val="28"/>
          <w:sz w:val="28"/>
          <w:szCs w:val="28"/>
          <w:rtl w:val="true"/>
          <w:lang w:bidi="ar-SA"/>
        </w:rPr>
        <w:t>وليسوا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رقود يعني موتى،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 xml:space="preserve">) * </w:t>
      </w:r>
      <w:r>
        <w:rPr>
          <w:rStyle w:val="FootnoteAnchor"/>
          <w:rtl w:val="true"/>
        </w:rPr>
        <w:footnoteReference w:id="41"/>
      </w:r>
      <w:r>
        <w:rPr>
          <w:rFonts w:ascii="Amiri" w:hAnsi="Amiri" w:eastAsia="Amiri" w:cs="Amiri"/>
          <w:color w:val="111111"/>
          <w:sz w:val="28"/>
          <w:sz w:val="28"/>
          <w:szCs w:val="28"/>
          <w:rtl w:val="true"/>
          <w:lang w:bidi="ar-SA"/>
        </w:rPr>
        <w:t xml:space="preserve">، ومثل هذا كثير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يوسف بن يحيى 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في تفسيره في قصة أصحاب الكهف،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وأخذوا مضاجعهم، فصاروا إلى رقدتهم إلى آخر الزمان عند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يسلم عليهم فيحييهم الله عز وجل</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وهو يدل على رجعتهم في آخر الزمان</w:t>
      </w:r>
      <w:r>
        <w:rPr>
          <w:rFonts w:eastAsia="Amiri" w:cs="Amiri" w:ascii="Amiri" w:hAnsi="Amiri"/>
          <w:color w:val="111111"/>
          <w:sz w:val="28"/>
          <w:szCs w:val="28"/>
          <w:rtl w:val="true"/>
          <w:lang w:bidi="ar-SA"/>
        </w:rPr>
        <w:t xml:space="preserve">. </w:t>
      </w:r>
      <w:bookmarkStart w:id="50" w:name="pg1185_9141"/>
    </w:p>
    <w:p>
      <w:pPr>
        <w:pStyle w:val="Heading3"/>
        <w:numPr>
          <w:ilvl w:val="2"/>
          <w:numId w:val="1"/>
        </w:numPr>
        <w:rPr/>
      </w:pPr>
      <w:bookmarkStart w:id="51" w:name="__RefHeading___Toc2594351_373438147"/>
      <w:bookmarkStart w:id="52" w:name="_Toc17"/>
      <w:bookmarkEnd w:id="50"/>
      <w:bookmarkEnd w:id="51"/>
      <w:r>
        <w:rPr>
          <w:rtl w:val="true"/>
        </w:rPr>
        <w:t>إحياء قتيل بني إسرائيل</w:t>
      </w:r>
      <w:r>
        <w:rPr>
          <w:rtl w:val="true"/>
        </w:rPr>
        <w:t>:</w:t>
      </w:r>
      <w:bookmarkEnd w:id="52"/>
    </w:p>
    <w:p>
      <w:pPr>
        <w:pStyle w:val="BookText"/>
        <w:rPr/>
      </w:pPr>
      <w:r>
        <w:rPr>
          <w:rFonts w:ascii="Amiri" w:hAnsi="Amiri" w:eastAsia="Amiri" w:cs="Amiri"/>
          <w:color w:val="111111"/>
          <w:sz w:val="28"/>
          <w:sz w:val="28"/>
          <w:szCs w:val="28"/>
          <w:rtl w:val="true"/>
          <w:lang w:bidi="ar-SA"/>
        </w:rPr>
        <w:t xml:space="preserve">روى المفسرون أن رجلا من بني إسرائيل قتل قريبا له غنيا ليرثه وأخفى قتله له، فرغب اليهود في معرفة قاتله، فأمرهم الله تعالى أن يذبحوا بقرة ويضربوا بعض القتيل ببعض البقرة، ليحيا ويخبر عن قاتله، وبعد جدال ونزاع قاموا بذبح البقرة، ثم ضربوا بعض القتيل بها، فقام حيا وأوداجه تشخب دما وأخبر عن قاتله،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r>
        <w:rPr>
          <w:rFonts w:eastAsia="Amiri" w:cs="Amiri" w:ascii="Amiri" w:hAnsi="Amiri"/>
          <w:color w:val="111111"/>
          <w:sz w:val="28"/>
          <w:szCs w:val="28"/>
          <w:rtl w:val="true"/>
          <w:lang w:bidi="ar-SA"/>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594353_373438147"/>
      <w:bookmarkStart w:id="54" w:name="_Toc18"/>
      <w:bookmarkEnd w:id="53"/>
      <w:r>
        <w:rPr>
          <w:rtl w:val="true"/>
        </w:rPr>
        <w:t xml:space="preserve">إحياء الطيور لإبراهيم </w:t>
      </w:r>
      <w:r>
        <w:rPr>
          <w:rtl w:val="true"/>
        </w:rPr>
        <w:t>(</w:t>
      </w:r>
      <w:r>
        <w:rPr>
          <w:rtl w:val="true"/>
        </w:rPr>
        <w:t>عليه السلام</w:t>
      </w:r>
      <w:r>
        <w:rPr>
          <w:rtl w:val="true"/>
        </w:rPr>
        <w:t xml:space="preserve">) </w:t>
      </w:r>
      <w:r>
        <w:rPr>
          <w:rtl w:val="true"/>
        </w:rPr>
        <w:t>بإذن الله</w:t>
      </w:r>
      <w:r>
        <w:rPr>
          <w:rtl w:val="true"/>
        </w:rPr>
        <w:t>:</w:t>
      </w:r>
      <w:bookmarkEnd w:id="54"/>
    </w:p>
    <w:p>
      <w:pPr>
        <w:pStyle w:val="BookText"/>
        <w:rPr/>
      </w:pPr>
      <w:r>
        <w:rPr>
          <w:rFonts w:ascii="Amiri" w:hAnsi="Amiri" w:eastAsia="Amiri" w:cs="Amiri"/>
          <w:color w:val="111111"/>
          <w:sz w:val="28"/>
          <w:sz w:val="28"/>
          <w:szCs w:val="28"/>
          <w:rtl w:val="true"/>
          <w:lang w:bidi="ar-SA"/>
        </w:rPr>
        <w:t xml:space="preserve">ذكر المفسرون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جيفة تمزقها السباع، فيأكل منها سباع البر وسباع البحر، فسأل الله سبحانه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قد علمت أنك تجمعها في بطون السباع والطير ودواب البحر، فأرني كيف تحييها لأعاين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أدعهن يأتينك سعيا واعلم أن الله عزيز حكيم</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طيورا مختلفة الأجناس،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الطاووس والديك والحمام والغراب، فقطعها وخلط ريشها بدمها، ثم فرقها على عشرة جبال، ثم أخذ بمناقيرها ودعاها باسمه سبحانه فأتته سعيا، فكانت تجتمع ويأتلف </w:t>
      </w:r>
      <w:bookmarkStart w:id="55" w:name="pg1185_9142"/>
    </w:p>
    <w:p>
      <w:pPr>
        <w:pStyle w:val="BookText"/>
        <w:rPr/>
      </w:pPr>
      <w:bookmarkEnd w:id="55"/>
      <w:r>
        <w:rPr>
          <w:rFonts w:ascii="Amiri" w:hAnsi="Amiri" w:eastAsia="Amiri" w:cs="Amiri"/>
          <w:color w:val="111111"/>
          <w:sz w:val="28"/>
          <w:sz w:val="28"/>
          <w:szCs w:val="28"/>
          <w:rtl w:val="true"/>
          <w:lang w:bidi="ar-SA"/>
        </w:rPr>
        <w:t xml:space="preserve">لحم كل واحد وعظمه إلى رأسه، حتى قامت أحياء بين يديه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594355_373438147"/>
      <w:bookmarkStart w:id="57" w:name="_Toc19"/>
      <w:bookmarkEnd w:id="56"/>
      <w:r>
        <w:rPr>
          <w:rtl w:val="true"/>
        </w:rPr>
        <w:t>إحياء ذي القرنين</w:t>
      </w:r>
      <w:r>
        <w:rPr>
          <w:rtl w:val="true"/>
        </w:rPr>
        <w:t>:</w:t>
      </w:r>
      <w:bookmarkEnd w:id="57"/>
    </w:p>
    <w:p>
      <w:pPr>
        <w:pStyle w:val="BookText"/>
        <w:rPr/>
      </w:pPr>
      <w:r>
        <w:rPr>
          <w:rFonts w:ascii="Amiri" w:hAnsi="Amiri" w:eastAsia="Amiri" w:cs="Amiri"/>
          <w:color w:val="111111"/>
          <w:sz w:val="28"/>
          <w:sz w:val="28"/>
          <w:szCs w:val="28"/>
          <w:rtl w:val="true"/>
          <w:lang w:bidi="ar-SA"/>
        </w:rPr>
        <w:t>اختلف في ذي القرنين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مبعوث فتح الله على يديه الأرض، عن مجاهد وعبد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ملكا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بالإسناد عن أبي الطفيل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عبدا صالحا أحب الله فأحبه وناصح الله فناصحه، قد أمر قومه بتقوى الله، فضربوه على قرنه فمات، فأحياه الله، فدعا قومه إلى الله، فضربوه على قرنه الآخر فمات، فسمي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وفيكم مثله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بن إبراهيم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القرنين بعثه الله إلى قومه، فضربوه على قرنه الأيمن، فأماته الله خمسمائة عام ثم بعثه إليهم بعد ذلك، فضربوه على قرنه الأيسر، فأماته الله خمسمائة عام ثم بعثه إليهم بعد ذلك، فملكه مشارق الأرض ومغاربها من حيث تطلع الشمس إلى حيث تغرب</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594357_373438147"/>
      <w:bookmarkStart w:id="59" w:name="_Toc20"/>
      <w:bookmarkEnd w:id="58"/>
      <w:r>
        <w:rPr>
          <w:rtl w:val="true"/>
        </w:rPr>
        <w:t xml:space="preserve">إحياء أهل أيوب </w:t>
      </w:r>
      <w:r>
        <w:rPr>
          <w:rtl w:val="true"/>
        </w:rPr>
        <w:t>(</w:t>
      </w:r>
      <w:r>
        <w:rPr>
          <w:rtl w:val="true"/>
        </w:rPr>
        <w:t>عليه السلام</w:t>
      </w:r>
      <w:r>
        <w:rPr>
          <w:rtl w:val="true"/>
        </w:rPr>
        <w:t>):</w:t>
      </w:r>
      <w:bookmarkEnd w:id="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وابن مسعود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الله سبحانه عليه أهله ومواشيه وأعطاه مثلها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الحسن </w:t>
      </w:r>
    </w:p>
    <w:p>
      <w:pPr>
        <w:pStyle w:val="BookText"/>
        <w:rPr/>
      </w:pPr>
      <w:r>
        <w:rPr>
          <w:rFonts w:ascii="Amiri" w:hAnsi="Amiri" w:eastAsia="Amiri" w:cs="Amiri"/>
          <w:color w:val="111111"/>
          <w:sz w:val="28"/>
          <w:sz w:val="28"/>
          <w:szCs w:val="28"/>
          <w:rtl w:val="true"/>
          <w:lang w:bidi="ar-SA"/>
        </w:rPr>
        <w:t xml:space="preserve">وقتادة وكعب، وهو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والآية من سورة 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الحالات جميعا تشير إلى الرجوع للحياة بعد الموت في الأمم السابقة، وقد وقعت في أدوار وأمكنة مختلفة، ولأغراض مختلفة، ولأشخاص تجد فيهم الأنبياء والأوصياء والرعية، وهي دليل لا ينازع فيه على نفي استحالة عودة الأموات إلى الحياة الدنيا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من حقنا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المانع من حدوث ذلك في المستقبل لغرض لعله أسمى من جميع الأغراض التي حدثت لأجلها الرجعات السابقة؟ ألا وهو تحقيق مواعيد النبوات وأهداف الرسالات في نشر مبادئ العدالة وتطبيق موازين الحق على أرض دنستها يد الجناة والظلمة، وأشبعتها ظلما وجورا حتى عادت لا تطاق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 </w:t>
      </w:r>
      <w:r>
        <w:rPr>
          <w:rStyle w:val="FootnoteAnchor"/>
          <w:rtl w:val="true"/>
        </w:rPr>
        <w:footnoteReference w:id="51"/>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حتى يأتي الله بأمره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ويعزز الدليل على حدوث الرجعة في المستقبل كما حدثت في الأمم الغابرة ما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الذين من قبلكم شبرا بشبر وذراعا بذراع حتى لو سلكوا جحر ضب لسلكتموه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والنصارى؟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وقوعها قبل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جاءوا قال أكذبتم بآياتي ولم تحيطوا بها علما أماذا كنتم تعملون</w:t>
      </w:r>
      <w:r>
        <w:rPr>
          <w:rFonts w:eastAsia="Amiri" w:cs="Amiri" w:ascii="Amiri" w:hAnsi="Amiri"/>
          <w:color w:val="111111"/>
          <w:sz w:val="28"/>
          <w:szCs w:val="28"/>
          <w:rtl w:val="true"/>
          <w:lang w:bidi="ar-SA"/>
        </w:rPr>
        <w:t xml:space="preserve">) * </w:t>
      </w:r>
      <w:r>
        <w:rPr>
          <w:rStyle w:val="FootnoteAnchor"/>
          <w:rtl w:val="true"/>
        </w:rPr>
        <w:footnoteReference w:id="53"/>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ينفخ في الصور ففزع من في السماوات ومن في الأرض إلا من شاء الله وكل أتوه داخرين</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أمعن النظر في سياق الآيات المباركة وما قيل حولها من تفسير، يلاحظ أن هناك ثلاثة أحداث مهمة تدل عليها، وهي بمجموعها تدل على علامات تقع بين يدي الساعة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دابة من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أخرجنا لهم دابة من الأرض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الحشر الخاص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نفخة النشور ثم القيامة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أتوه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وسوف نتحدث عما في تلك الآيات من دلالة واضحة على الاعتقاد بالرجعة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الأولى تتعلق بالوقائع التي تحدث قبل يوم القيامة باتفاق المفسرين، ويدل عليه أيضا ما أخرجه ابن مردويه عن أبي هريرة،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 يدي الساعة الدجال والدابة ويأجوج </w:t>
      </w:r>
      <w:bookmarkStart w:id="60" w:name="pg1185_9145"/>
    </w:p>
    <w:p>
      <w:pPr>
        <w:pStyle w:val="BookText"/>
        <w:rPr/>
      </w:pPr>
      <w:bookmarkEnd w:id="60"/>
      <w:r>
        <w:rPr>
          <w:rFonts w:ascii="IRNazanin" w:hAnsi="IRNazanin" w:eastAsia="IRNazanin"/>
          <w:color w:val="111111"/>
          <w:sz w:val="28"/>
          <w:sz w:val="28"/>
          <w:szCs w:val="28"/>
          <w:rtl w:val="true"/>
          <w:lang w:bidi="fa-IR"/>
        </w:rPr>
        <w:t>ومأجوج والدخان وطلوع الشمس من مغربها</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البغوي عن طريق مسلم،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الآيات خروجا طلوع الشمس من مغربها، وخروج الدابة ضحى</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594359_373438147"/>
      <w:bookmarkStart w:id="62" w:name="_Toc21"/>
      <w:bookmarkEnd w:id="61"/>
      <w:r>
        <w:rPr>
          <w:rtl w:val="true"/>
        </w:rPr>
        <w:t>ما هي دابة الأرض؟</w:t>
      </w:r>
      <w:bookmarkEnd w:id="62"/>
    </w:p>
    <w:p>
      <w:pPr>
        <w:pStyle w:val="BookText"/>
        <w:rPr/>
      </w:pPr>
      <w:r>
        <w:rPr>
          <w:rFonts w:ascii="Amiri" w:hAnsi="Amiri" w:eastAsia="Amiri" w:cs="Amiri"/>
          <w:color w:val="111111"/>
          <w:sz w:val="28"/>
          <w:sz w:val="28"/>
          <w:szCs w:val="28"/>
          <w:rtl w:val="true"/>
          <w:lang w:bidi="ar-SA"/>
        </w:rPr>
        <w:t>الدابة تطلق في اللغة على كل ما يدب ويتحرك على وجه الأرض من الانسان والحيوان وغيره،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xml:space="preserve">) * </w:t>
      </w:r>
      <w:r>
        <w:rPr>
          <w:rStyle w:val="FootnoteAnchor"/>
          <w:rtl w:val="true"/>
        </w:rPr>
        <w:footnoteReference w:id="5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يؤاخذ الله الناس بظلمهم ما ترك عليها من دابة</w:t>
      </w:r>
      <w:r>
        <w:rPr>
          <w:rFonts w:eastAsia="Amiri" w:cs="Amiri" w:ascii="Amiri" w:hAnsi="Amiri"/>
          <w:color w:val="111111"/>
          <w:sz w:val="28"/>
          <w:szCs w:val="28"/>
          <w:rtl w:val="true"/>
          <w:lang w:bidi="ar-SA"/>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وخصصت في بعض آي القرآن بالإنسان، كقوله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 </w:t>
      </w:r>
      <w:r>
        <w:rPr>
          <w:rStyle w:val="FootnoteAnchor"/>
          <w:rtl w:val="true"/>
        </w:rPr>
        <w:footnoteReference w:id="59"/>
      </w:r>
      <w:r>
        <w:rPr>
          <w:rFonts w:ascii="Amiri" w:hAnsi="Amiri" w:eastAsia="Amiri" w:cs="Amiri"/>
          <w:color w:val="111111"/>
          <w:sz w:val="28"/>
          <w:sz w:val="28"/>
          <w:szCs w:val="28"/>
          <w:rtl w:val="true"/>
          <w:lang w:bidi="ar-SA"/>
        </w:rPr>
        <w:t>، وفي بعض آخر بغير الانسان، كقوله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والدواب وكثير من الناس</w:t>
      </w:r>
      <w:r>
        <w:rPr>
          <w:rFonts w:eastAsia="Amiri" w:cs="Amiri" w:ascii="Amiri" w:hAnsi="Amiri"/>
          <w:color w:val="111111"/>
          <w:sz w:val="28"/>
          <w:szCs w:val="28"/>
          <w:rtl w:val="true"/>
          <w:lang w:bidi="ar-SA"/>
        </w:rPr>
        <w:t xml:space="preserve">) * </w:t>
      </w:r>
      <w:r>
        <w:rPr>
          <w:rStyle w:val="FootnoteAnchor"/>
          <w:rtl w:val="true"/>
        </w:rPr>
        <w:footnoteReference w:id="6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والدواب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الدابة التي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دابة من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بشكل </w:t>
      </w:r>
    </w:p>
    <w:p>
      <w:pPr>
        <w:pStyle w:val="BookText"/>
        <w:rPr/>
      </w:pPr>
      <w:r>
        <w:rPr>
          <w:rFonts w:ascii="Amiri" w:hAnsi="Amiri" w:eastAsia="Amiri" w:cs="Amiri"/>
          <w:color w:val="111111"/>
          <w:sz w:val="28"/>
          <w:sz w:val="28"/>
          <w:szCs w:val="28"/>
          <w:rtl w:val="true"/>
          <w:lang w:bidi="ar-SA"/>
        </w:rPr>
        <w:t>مجمل، والوصف القرآني الوحيد المذكور لها بأنها تكلم الناس، أما سائر أحوالها وخصوصياتها وكيفية ومكان خروجها، فإنها مبهمة في ظهر الغيب ولا يفصح عنها إلا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الواردة بشأن تفسير هذه الآية كثيرة، ولا دلالة من الكتاب الكريم على شئ منها، فإن صح الخبر فيها عن الرسول الأكرم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وإلا لم يلتفت إليها، ويمكن تلخيص مضمون هذه الروايات في نقطتين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طائفة منها تدل على أن هذه الدابة كائن حي غير معروف ومن غير جنس الانسان، ولها شكل مخيف، فهي ذات وبر وريش ومؤلفة من كل لون، ولها أربع قوائم، ولها عنق مشرف يبلغ السحاب، ويراها من بالمشرق كما يراها من بالمغرب، تخرج في آخر الزمان من الصفا ليلة منى،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جبل جياد في أيام التشريق، لا يدركها طالب ولا يفوتها هارب، وتحدث الناس عن الإيمان والكفر، وتسم المؤمن بين عينيه ويكتب بين عينيه مؤمن، وتسم الكافر بين عينيه ويكتب بين عينيه كافر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والطائفة الثانية تدل على أن وجهها كوجه انسان وجسمها كجسم الطير، وأنها تصرخ بأعلى صوتها بلسان عربي مبين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الناس كانوا بآياتنا لا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معها عصا موسى وخاتم سليمان، وتميز بهما بين المؤمنين والكافرين، فتنكت وجه المؤمن بالخاتم فتكون في وجهه نكتة بيضاء فتفشو تلك النكتة حتى يضئ لها وجهه، وتنكت أنف الكافر بالعصا فتكون في وجهه نكتة سوداء فتفشو تلك النكتة حتى يسود لها </w:t>
      </w:r>
    </w:p>
    <w:p>
      <w:pPr>
        <w:pStyle w:val="BookText"/>
        <w:rPr/>
      </w:pPr>
      <w:r>
        <w:rPr>
          <w:rFonts w:ascii="IRNazanin" w:hAnsi="IRNazanin" w:eastAsia="IRNazanin"/>
          <w:color w:val="111111"/>
          <w:sz w:val="28"/>
          <w:sz w:val="28"/>
          <w:szCs w:val="28"/>
          <w:rtl w:val="true"/>
          <w:lang w:bidi="fa-IR"/>
        </w:rPr>
        <w:t xml:space="preserve">وجهه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وروح المعاني، للآلوسي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الرازي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من سورة النمل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ما يدل على 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مصداق لهذه الآية، فقد روي بالإسناد عن سفيان بن عيينة، عن جابر بن يزيد الجعفي،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الكليني بالإسناد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لصاحب الكرات ودولة الدول، وإني لصاحب العصا والميسم، والدابة التي تكلم الناس</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علي بن إبراهيم بالإسناد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لعمار بن ياسر، يا أبا اليقظان، آية في كتاب الله قد أفسدت قلبي وشككتني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هي؟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فأية دابة هذه؟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أجلس ولا آكل ولا أشرب حتى أريكها، فجاء عمار مع الرجل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تمرا وزبدا،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هلم، فجلس عمار، وأقبل يأكل معه، فتعجب الرجل منه، فلما قام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أبا اليقظان، حلفت أنك لا تأكل ولا تشرب </w:t>
      </w:r>
    </w:p>
    <w:p>
      <w:pPr>
        <w:pStyle w:val="BookText"/>
        <w:rPr/>
      </w:pPr>
      <w:r>
        <w:rPr>
          <w:rFonts w:ascii="Amiri" w:hAnsi="Amiri" w:eastAsia="Amiri" w:cs="Amiri"/>
          <w:color w:val="111111"/>
          <w:sz w:val="28"/>
          <w:sz w:val="28"/>
          <w:szCs w:val="28"/>
          <w:rtl w:val="true"/>
          <w:lang w:bidi="ar-SA"/>
        </w:rPr>
        <w:t>ولا تجلس حتى ترينيها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نائم في المسجد، وقد جمع رملا ووضع رأسه عليه، فحركه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أيسمي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إلا له خاصة، وهو الدابة التي ذكرها الله تعالى في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وقع القول عليهم أخرجنا لهم دابة من الأرض</w:t>
      </w:r>
      <w:r>
        <w:rPr>
          <w:rFonts w:eastAsia="Amiri" w:cs="Amiri" w:ascii="Amiri" w:hAnsi="Amiri"/>
          <w:color w:val="111111"/>
          <w:sz w:val="28"/>
          <w:szCs w:val="28"/>
          <w:rtl w:val="true"/>
          <w:lang w:bidi="ar-SA"/>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خبزا وخلا وزيتا،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وقع القول عليهم أخرجنا لهم دابة من الأرض تكلمهم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فما هذه الدابة؟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دابة تأكل خبزا وخلا وزيتا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أبو الفتوح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للأخبار التي جاءتنا عن طريق الأصحاب، فإن دابة الأرض كناية عن المهدي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الأخذ بنظر الاعتبار لهذا الحديث والأحاديث المتقدمة، يمكن </w:t>
      </w:r>
    </w:p>
    <w:p>
      <w:pPr>
        <w:pStyle w:val="BookText"/>
        <w:rPr/>
      </w:pPr>
      <w:r>
        <w:rPr>
          <w:rFonts w:ascii="Amiri" w:hAnsi="Amiri" w:eastAsia="Amiri" w:cs="Amiri"/>
          <w:color w:val="111111"/>
          <w:sz w:val="28"/>
          <w:sz w:val="28"/>
          <w:szCs w:val="28"/>
          <w:rtl w:val="true"/>
          <w:lang w:bidi="ar-SA"/>
        </w:rPr>
        <w:t>أن يستفاد من دابة الأرض مفهوم واسع ينطبق على أي إمام عظيم يرجع في آخر الزمان، ويميز الحق عن الباطل والمؤمن من الكافر، وهو آية من آيات عظمة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الوارد في الروايات المتقدمة بأن معه عصا موسى التي ترمز إلى القوة والاعجاز، وخاتم سليمان الذي يرمز إلى الحكومة الإلهية، قرينة على كون الدابة انسانا مسددا بالقدرة الإلهية العظيمة بحيث يكون آية للناس، إضافة إلى ذلك فإن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يساعد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 الخاص،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بينا أن الآية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تتعلق بالحوادث التي تقع قبل يوم القيامة، وذلك باتفاق المفسرين، وعليه تكون آية الحشر الخاص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مكملة لها ومرتبطة بها من حيث التسلسل الزمني للأحداث فضلا عن سياق الآيات وترتيبها، فقد وقعت آية الحشر الخاص بين علامتين من العلامات التي تقع قبيل الساعة وهي الدابة والنفخة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يدل على أن الحشر الخاص يقع قبل القيامة وأنه من علاماتها، وعبر تعالى عن الحشر العام بعد نفخة النشور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ففزع من في السماوات ومن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أتوه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إذن فهناك حشران حشر يجمع فيه من كل أمة فوجا وهو الرجعة، وحشر يشمل الناس جميعا وهو يوم القيامة، وبما أنه ليس ثمة حشر بعد القيامة إجماعا فيتعين وقوع هذا الحشر بين يدي القيامة</w:t>
      </w:r>
      <w:r>
        <w:rPr>
          <w:rFonts w:eastAsia="Amiri" w:cs="Amiri" w:ascii="Amiri" w:hAnsi="Amiri"/>
          <w:color w:val="111111"/>
          <w:sz w:val="28"/>
          <w:szCs w:val="28"/>
          <w:rtl w:val="true"/>
          <w:lang w:bidi="ar-SA"/>
        </w:rPr>
        <w:t xml:space="preserve">. </w:t>
      </w:r>
      <w:bookmarkStart w:id="63" w:name="pg1185_9150"/>
    </w:p>
    <w:p>
      <w:pPr>
        <w:pStyle w:val="BookText"/>
        <w:rPr/>
      </w:pPr>
      <w:bookmarkEnd w:id="63"/>
      <w:r>
        <w:rPr>
          <w:rFonts w:ascii="Amiri" w:hAnsi="Amiri" w:eastAsia="Amiri" w:cs="Amiri"/>
          <w:color w:val="111111"/>
          <w:sz w:val="28"/>
          <w:sz w:val="28"/>
          <w:szCs w:val="28"/>
          <w:rtl w:val="true"/>
          <w:lang w:bidi="ar-SA"/>
        </w:rPr>
        <w:t xml:space="preserve">وبعبارة أخرى أن ما يدل على منافاة الحشر الخاص ليوم القيامة، هو أن هذه الآية تدل على حشر فوج من كل أمة من أمم البشرية ممن كان يكذب بآيات الله،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تفيد التبعيض، وهذا يعني الاستثناء، وقد دلنا الكتاب الكريم في آيات عديدة على أن حشر القيامة لا يختص بقوم دون آخرين، ولا بجماعة دون أخرى، بل يشمل الجميع دون استثناء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جميعا</w:t>
      </w:r>
      <w:r>
        <w:rPr>
          <w:rFonts w:eastAsia="Amiri" w:cs="Amiri" w:ascii="Amiri" w:hAnsi="Amiri"/>
          <w:color w:val="111111"/>
          <w:sz w:val="28"/>
          <w:szCs w:val="28"/>
          <w:rtl w:val="true"/>
          <w:lang w:bidi="ar-SA"/>
        </w:rPr>
        <w:t xml:space="preserve">) * </w:t>
      </w:r>
      <w:r>
        <w:rPr>
          <w:rStyle w:val="FootnoteAnchor"/>
          <w:rtl w:val="true"/>
        </w:rPr>
        <w:footnoteReference w:id="68"/>
      </w:r>
      <w:r>
        <w:rPr>
          <w:rFonts w:ascii="Amiri" w:hAnsi="Amiri" w:eastAsia="Amiri" w:cs="Amiri"/>
          <w:color w:val="111111"/>
          <w:sz w:val="28"/>
          <w:sz w:val="28"/>
          <w:szCs w:val="28"/>
          <w:rtl w:val="true"/>
          <w:lang w:bidi="ar-SA"/>
        </w:rPr>
        <w:t>، فطالما حصل الاستثناء فإن ذلك لا يتعلق بأحداث يوم القيامة الذي ينهي الحياة برمتها على وجه الأرض، ومن خلال ما تقدم اتضح الكلام عن دلالة الآية الثانية التي ذكرناها كعلامة بين يدي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فالآية تأكيد لحدوث الرجعة التي تعتقد بها الشيعة الإمامية في حق جماعة خاصة ممن محضوا الكفر أو الإيمان، وتعني عودة هذه الجماعة للحياة قبل يوم القيامة، أما خصوصيات هذه العودة وكيفيتها وطبيعتها وما يجري فيها، فلم يتحدث عنها القرآن الكريم، بل جاء تفصيلها في السنة المباركة، فإن صحت الأخبار بها توجب قبولها والاعتقاد بها، وإلا وجب طرحها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594361_373438147"/>
      <w:bookmarkStart w:id="65" w:name="_Toc22"/>
      <w:bookmarkEnd w:id="64"/>
      <w:r>
        <w:rPr>
          <w:rtl w:val="true"/>
        </w:rPr>
        <w:t xml:space="preserve">استدلال الأئمة </w:t>
      </w:r>
      <w:r>
        <w:rPr>
          <w:rtl w:val="true"/>
        </w:rPr>
        <w:t>(</w:t>
      </w:r>
      <w:r>
        <w:rPr>
          <w:rtl w:val="true"/>
        </w:rPr>
        <w:t>عليهم السلام</w:t>
      </w:r>
      <w:r>
        <w:rPr>
          <w:rtl w:val="true"/>
        </w:rPr>
        <w:t>):</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استدل أئمة الهدى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على صحة الاعتقاد بالرجعة، فقد روي 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ينكر أهل العراق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يقرأون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w:t>
      </w:r>
      <w:bookmarkStart w:id="66" w:name="pg1185_9151"/>
    </w:p>
    <w:p>
      <w:pPr>
        <w:pStyle w:val="BookText"/>
        <w:rPr/>
      </w:pPr>
      <w:bookmarkEnd w:id="66"/>
      <w:r>
        <w:rPr>
          <w:rFonts w:ascii="Amiri" w:hAnsi="Amiri" w:eastAsia="Amiri" w:cs="Amiri"/>
          <w:color w:val="111111"/>
          <w:sz w:val="28"/>
          <w:sz w:val="28"/>
          <w:szCs w:val="28"/>
          <w:rtl w:val="true"/>
          <w:lang w:bidi="ar-SA"/>
        </w:rPr>
        <w:t>نحشر من كل أمة فوجا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للأسترآبادي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إبراهيم في تفسيره بالإسناد عن حماد،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يقولون، إن ذلك في الرجعة، أيحشر الله في القيامة من كل أمة فوجا ويدع الباقين؟ إنما آية القيامة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للأسترآبادي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594363_373438147"/>
      <w:bookmarkStart w:id="68" w:name="_Toc23"/>
      <w:bookmarkEnd w:id="67"/>
      <w:r>
        <w:rPr>
          <w:rtl w:val="true"/>
        </w:rPr>
        <w:t>استدلال أعلام الشيعة</w:t>
      </w:r>
      <w:r>
        <w:rPr>
          <w:rtl w:val="true"/>
        </w:rPr>
        <w:t>:</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بها أيضا جملة علماء الشيعة ومفسريهم على صحة عودة الأموات إلى الحياة قبل يوم القيامة،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يحيي قوما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موتهم قبل يوم القيامة، وهذا مذهب يختص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 الله عز وجل في ذكر الحشر الأكبر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72"/>
      </w:r>
      <w:r>
        <w:rPr>
          <w:rFonts w:ascii="Amiri" w:hAnsi="Amiri" w:eastAsia="Amiri" w:cs="Amiri"/>
          <w:color w:val="111111"/>
          <w:sz w:val="28"/>
          <w:sz w:val="28"/>
          <w:szCs w:val="28"/>
          <w:rtl w:val="true"/>
          <w:lang w:bidi="ar-SA"/>
        </w:rPr>
        <w:t>، وقال سبحانه في حشر الرجعة قبل يوم القيامة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 ممن يكذب بآياتنا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 أن الحشر حشران عام وخاص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69" w:name="pg1185_9152"/>
    </w:p>
    <w:p>
      <w:pPr>
        <w:pStyle w:val="BookText"/>
        <w:rPr/>
      </w:pPr>
      <w:bookmarkEnd w:id="69"/>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بهذه الآية على صحة الرجعة من ذهب إلى ذلك من الإمامية،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يوجب التبعيض، فدل ذلك على أن اليوم المشار إليه في الآية يحشر فيه قوم دون قوم، وليس ذلك صفة يوم القيامة الذي يقول فيه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تظاهرت الأخبار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الله تعالى سيعيد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ممن تقدم موتهم من أوليائه وشيعته ليفوزوا بثواب نصرته ومعونته، ويبتهجوا بظهور دولته، ويعيد أيضا قوما من أعدائه لينتقم منهم وينالوا بعض ما يستحقونه من العقاب في الدنيا من القتل على أيدي شيعته والذل والخزي بما يشاهدون من علو كلمته، ولا يشك عاقل أن هذا مقدور لله تعالى غير مستحيل في نفسه، وقد فعل الله ذلك في الأمم الخالية ونطق القرآن بذلك في عدة مواضع مثل قصة عزير وغيره، وقد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أمتي كل ما كان في بني إسرائيل حذو النعل بالنعل والقذة بالقذة حتى لو أن أحدهم دخل جحر ضب لدخلتموه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594365_373438147"/>
      <w:bookmarkStart w:id="71" w:name="_Toc24"/>
      <w:bookmarkEnd w:id="70"/>
      <w:r>
        <w:rPr>
          <w:rtl w:val="true"/>
        </w:rPr>
        <w:t>أقوال المفسرين</w:t>
      </w:r>
      <w:r>
        <w:rPr>
          <w:rtl w:val="true"/>
        </w:rPr>
        <w:t>:</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أغلب المفسرين من غير الإمامية يمرون في تفاسيرهم بهذه الآية مرورا سريعا، ويوجزون القول بكلمات معدودة، ويمكن إجمال حصيلة آرائهم في نقطتين</w:t>
      </w:r>
      <w:r>
        <w:rPr>
          <w:rFonts w:eastAsia="Amiri" w:cs="Amiri" w:ascii="Amiri" w:hAnsi="Amiri"/>
          <w:color w:val="111111"/>
          <w:sz w:val="28"/>
          <w:szCs w:val="28"/>
          <w:rtl w:val="true"/>
          <w:lang w:bidi="ar-SA"/>
        </w:rPr>
        <w:t xml:space="preserve">: </w:t>
      </w:r>
      <w:bookmarkStart w:id="72" w:name="pg1185_9153"/>
    </w:p>
    <w:p>
      <w:pPr>
        <w:pStyle w:val="Heading3"/>
        <w:numPr>
          <w:ilvl w:val="2"/>
          <w:numId w:val="1"/>
        </w:numPr>
        <w:rPr/>
      </w:pPr>
      <w:bookmarkStart w:id="73" w:name="__RefHeading___Toc2594367_373438147"/>
      <w:bookmarkStart w:id="74" w:name="_Toc25"/>
      <w:bookmarkEnd w:id="72"/>
      <w:bookmarkEnd w:id="73"/>
      <w:r>
        <w:rPr>
          <w:rtl w:val="true"/>
        </w:rPr>
        <w:t>الأولى</w:t>
      </w:r>
      <w:r>
        <w:rPr>
          <w:rtl w:val="true"/>
        </w:rPr>
        <w:t>:</w:t>
      </w:r>
      <w:bookmarkEnd w:id="74"/>
    </w:p>
    <w:p>
      <w:pPr>
        <w:pStyle w:val="BookText"/>
        <w:rPr/>
      </w:pPr>
      <w:r>
        <w:rPr>
          <w:rFonts w:ascii="Amiri" w:hAnsi="Amiri" w:eastAsia="Amiri" w:cs="Amiri"/>
          <w:color w:val="111111"/>
          <w:sz w:val="28"/>
          <w:sz w:val="28"/>
          <w:szCs w:val="28"/>
          <w:rtl w:val="true"/>
          <w:lang w:bidi="ar-SA"/>
        </w:rPr>
        <w:t xml:space="preserve">إنها إخبار عن يوم القيامة </w:t>
      </w:r>
      <w:r>
        <w:rPr>
          <w:rStyle w:val="FootnoteAnchor"/>
          <w:rtl w:val="true"/>
        </w:rPr>
        <w:footnoteReference w:id="75"/>
      </w:r>
      <w:r>
        <w:rPr>
          <w:rFonts w:ascii="Amiri" w:hAnsi="Amiri" w:eastAsia="Amiri" w:cs="Amiri"/>
          <w:color w:val="111111"/>
          <w:sz w:val="28"/>
          <w:sz w:val="28"/>
          <w:szCs w:val="28"/>
          <w:rtl w:val="true"/>
          <w:lang w:bidi="ar-SA"/>
        </w:rPr>
        <w:t xml:space="preserve">، وبيان إجمالي لحال المكذبين عند قيام الساعة بعد بيان بعض مباديها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594369_373438147"/>
      <w:bookmarkStart w:id="76" w:name="_Toc26"/>
      <w:bookmarkEnd w:id="75"/>
      <w:r>
        <w:rPr>
          <w:rtl w:val="true"/>
        </w:rPr>
        <w:t>الثانية</w:t>
      </w:r>
      <w:r>
        <w:rPr>
          <w:rtl w:val="true"/>
        </w:rPr>
        <w:t>:</w:t>
      </w:r>
      <w:bookmarkEnd w:id="76"/>
    </w:p>
    <w:p>
      <w:pPr>
        <w:pStyle w:val="BookText"/>
        <w:rPr/>
      </w:pPr>
      <w:r>
        <w:rPr>
          <w:rFonts w:ascii="Amiri" w:hAnsi="Amiri" w:eastAsia="Amiri" w:cs="Amiri"/>
          <w:color w:val="111111"/>
          <w:sz w:val="28"/>
          <w:sz w:val="28"/>
          <w:szCs w:val="28"/>
          <w:rtl w:val="true"/>
          <w:lang w:bidi="ar-SA"/>
        </w:rPr>
        <w:t xml:space="preserve">إنها من الأمور الواقعة بعد قيام القيامة </w:t>
      </w:r>
      <w:r>
        <w:rPr>
          <w:rStyle w:val="FootnoteAnchor"/>
          <w:rtl w:val="true"/>
        </w:rPr>
        <w:footnoteReference w:id="77"/>
      </w:r>
      <w:r>
        <w:rPr>
          <w:rFonts w:ascii="Amiri" w:hAnsi="Amiri" w:eastAsia="Amiri" w:cs="Amiri"/>
          <w:color w:val="111111"/>
          <w:sz w:val="28"/>
          <w:sz w:val="28"/>
          <w:szCs w:val="28"/>
          <w:rtl w:val="true"/>
          <w:lang w:bidi="ar-SA"/>
        </w:rPr>
        <w:t xml:space="preserve">، وإن المراد بهذا الحشر هو الحشر للعذاب بعد الحشر الكلي الشامل لجميع الخلق </w:t>
      </w:r>
      <w:r>
        <w:rPr>
          <w:rStyle w:val="FootnoteAnchor"/>
          <w:rtl w:val="true"/>
        </w:rPr>
        <w:footnoteReference w:id="78"/>
      </w:r>
      <w:r>
        <w:rPr>
          <w:rFonts w:ascii="Amiri" w:hAnsi="Amiri" w:eastAsia="Amiri" w:cs="Amiri"/>
          <w:color w:val="111111"/>
          <w:sz w:val="28"/>
          <w:sz w:val="28"/>
          <w:szCs w:val="28"/>
          <w:rtl w:val="true"/>
          <w:lang w:bidi="ar-SA"/>
        </w:rPr>
        <w:t>، أي هو حشر بعد 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يستند إلى أساس علمي، وترتيب الآيات وارتباطها ببعضها ينفيه كما أسلفنا، ولأن تفسير الحشر الأول بيوم القيامة سيوقع التناقض في حق الله تعالى، فكيف يقول تعالى سنحشر من كل أمة فوجا يوم القيامة، وسنحشر الناس جميعا يوم القيامة؟ قال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أن الله يحيي الجملة يوم القيامة، فالفوج إنما يكون في غير القيامة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الحشر إلى العذاب، لزم ذكر هذه الغاية دفعا للابهام، كما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أعداء الله إلى النار فهم يوزعون حتى إذا ما جاؤها</w:t>
      </w:r>
      <w:r>
        <w:rPr>
          <w:rFonts w:eastAsia="Amiri" w:cs="Amiri" w:ascii="Amiri" w:hAnsi="Amiri"/>
          <w:color w:val="111111"/>
          <w:sz w:val="28"/>
          <w:szCs w:val="28"/>
          <w:rtl w:val="true"/>
          <w:lang w:bidi="ar-SA"/>
        </w:rPr>
        <w:t xml:space="preserve">) * </w:t>
      </w:r>
      <w:r>
        <w:rPr>
          <w:rStyle w:val="FootnoteAnchor"/>
          <w:rtl w:val="true"/>
        </w:rPr>
        <w:footnoteReference w:id="80"/>
      </w:r>
      <w:r>
        <w:rPr>
          <w:rFonts w:ascii="Amiri" w:hAnsi="Amiri" w:eastAsia="Amiri" w:cs="Amiri"/>
          <w:color w:val="111111"/>
          <w:sz w:val="28"/>
          <w:sz w:val="28"/>
          <w:szCs w:val="28"/>
          <w:rtl w:val="true"/>
          <w:lang w:bidi="ar-SA"/>
        </w:rPr>
        <w:t xml:space="preserve">، مع أنه لم يذكر فيما بعد هذه الآية إلا العتاب والحكم الفصل دون العذاب، والآية كما ترى مطلقة لم يشر فيها إلى شئ يلوح إلى هذا الحشر الخاص المذكور، ويزيدها إطلاقا قوله </w:t>
      </w:r>
    </w:p>
    <w:p>
      <w:pPr>
        <w:pStyle w:val="BookText"/>
        <w:rPr/>
      </w:pP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جاءوها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جاءوا العذاب أو النار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أيضا وقوع الآية والآيتين بعدها بعد نبأ دابة الأرض، وهي من أشراط الساعة، وقبل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ونفخ في الصور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الآيات الواصفة لوقائع يوم القيامة، ولا معنى لتقديم ذكر واقعة من وقائع يوم القيامة على ذكر شروعه ووقوع عامة ما يقع فيه، فإن الترتيب الوقوعي يقتضي ذكر حشر فوج من كل أمة لو كان من وقائع يوم القيامة بعد ذكر نفخ الصور وإتيانهم إليه داخرين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لهذا الإشكال بعض من حمل الآية على الحشر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تقديم ذكر هذه الواقعة على نفخ الصور ووقوع الواقعة للايذان بأن كلا مما تضمنه هذا وذاك من الأحوال طامة كبرى وداهية دهياء، حقيقة بالتذكير على حيالها، ولو روعي الترتيب الوقوعي لربما توهم أن الكل داهية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وجه مختلق غير مقنع، ولو كان كما ذكر لكان دفع توهم كون الحشر المذكور في الآية في غير يوم القيامة بوضع الآية بعد آية نفخ الصور مع ذكر ما يرتفع به الإبهام المذكور أولى بالرعاية من دفع هذا التوهم الذي توهمه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بان أن الآية ظاهرة في كون هذا الحشر المذكور فيها قبل يوم القيامة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77" w:name="pg1185_9155"/>
    </w:p>
    <w:p>
      <w:pPr>
        <w:pStyle w:val="BookText"/>
        <w:rPr/>
      </w:pPr>
      <w:bookmarkEnd w:id="77"/>
      <w:r>
        <w:rPr>
          <w:rFonts w:ascii="Amiri" w:hAnsi="Amiri" w:eastAsia="Amiri" w:cs="Amiri"/>
          <w:color w:val="111111"/>
          <w:sz w:val="28"/>
          <w:sz w:val="28"/>
          <w:szCs w:val="28"/>
          <w:rtl w:val="true"/>
          <w:lang w:bidi="ar-SA"/>
        </w:rPr>
        <w:t>أما القائلون بالحشر الخاص بعد حشر يوم القيامة فهو رأي غريب لا يستند إلى شئ من القرآن الكريم أو السنة المطهرة الناطقين بوحدة يوم المعاد</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594371_373438147"/>
      <w:bookmarkStart w:id="79" w:name="_Toc27"/>
      <w:bookmarkEnd w:id="78"/>
      <w:r>
        <w:rPr>
          <w:rtl w:val="true"/>
        </w:rPr>
        <w:t>ثانيا</w:t>
      </w:r>
      <w:r>
        <w:rPr>
          <w:rtl w:val="true"/>
        </w:rPr>
        <w:t>:</w:t>
      </w:r>
      <w:bookmarkEnd w:id="7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بالذين آمنوا وعملوا الصالحات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وتضمنت الآية البشارة لهم بالاستخلاف والتمكين في البلاد وارتفاع الخوف عنهم عند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ويكون المراد بقوله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جعل الصالح للخلافة خليفة مثل آدم وداود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ذلك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 </w:t>
      </w:r>
      <w:r>
        <w:rPr>
          <w:rStyle w:val="FootnoteAnchor"/>
          <w:rtl w:val="true"/>
        </w:rPr>
        <w:footnoteReference w:id="8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آتينا آل إبراهيم الكتاب والحكمة وآتيناه ملكا عظيما</w:t>
      </w:r>
      <w:r>
        <w:rPr>
          <w:rFonts w:eastAsia="Amiri" w:cs="Amiri" w:ascii="Amiri" w:hAnsi="Amiri"/>
          <w:color w:val="111111"/>
          <w:sz w:val="28"/>
          <w:szCs w:val="28"/>
          <w:rtl w:val="true"/>
          <w:lang w:bidi="ar-SA"/>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80" w:name="pg1185_9156"/>
    </w:p>
    <w:p>
      <w:pPr>
        <w:pStyle w:val="BookText"/>
        <w:rPr/>
      </w:pPr>
      <w:bookmarkEnd w:id="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إجماع العترة الطاهرة، وإجماعهم حجة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التمكين في الأرض على الاطلاق لم يتفق فيما مضى فهو منتظر، لأن الله عز اسمه لا يخلف وعده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أوضح تصريح في نقل الاجماع على رجعة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ذلك جليا من ضمائر الجمع في الآية </w:t>
      </w:r>
      <w:r>
        <w:rPr>
          <w:rStyle w:val="FootnoteAnchor"/>
          <w:rtl w:val="true"/>
        </w:rPr>
        <w:footnoteReference w:id="88"/>
      </w:r>
      <w:r>
        <w:rPr>
          <w:rFonts w:ascii="Amiri" w:hAnsi="Amiri" w:eastAsia="Amiri" w:cs="Amiri"/>
          <w:color w:val="111111"/>
          <w:sz w:val="28"/>
          <w:sz w:val="28"/>
          <w:szCs w:val="28"/>
          <w:rtl w:val="true"/>
          <w:lang w:bidi="ar-SA"/>
        </w:rPr>
        <w:t xml:space="preserve">، ومن الأفعال المستقبلة الكثيرة، ولفظ الاستخلاف والتمكين والخوف والأمن والعبادة وغير ذلك من التصريحات والتلويحات التي لا تستقيم إلا في الرجعة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594373_373438147"/>
      <w:bookmarkStart w:id="82" w:name="_Toc28"/>
      <w:bookmarkEnd w:id="81"/>
      <w:r>
        <w:rPr>
          <w:rtl w:val="true"/>
        </w:rPr>
        <w:t>ثالثا</w:t>
      </w:r>
      <w:r>
        <w:rPr>
          <w:rtl w:val="true"/>
        </w:rPr>
        <w:t>:</w:t>
      </w:r>
      <w:bookmarkEnd w:id="8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مخبرا عمن يحشر من الظالمين أنه يقول يوم الحشر الأكبر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أمتنا اثنتين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وللعامة في هذه الآية تأويل مردود، وهو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بقوله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أمتنا اثنتين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خلقهم أمواتا بعد الحياة، وهذا باطل لا يجري على لسان العرب، لأن الفعل لا يدخل إلا على ما كان بغير الصفة التي انطوى اللفظ على معناها، ومن خلقه الله مواتا لا يقال إنه أماته، وإنما يدخل ذلك فيمن طرأ عليه </w:t>
      </w:r>
      <w:bookmarkStart w:id="83" w:name="pg1185_9157"/>
    </w:p>
    <w:p>
      <w:pPr>
        <w:pStyle w:val="BookText"/>
        <w:rPr/>
      </w:pPr>
      <w:bookmarkEnd w:id="83"/>
      <w:r>
        <w:rPr>
          <w:rFonts w:ascii="Amiri" w:hAnsi="Amiri" w:eastAsia="Amiri" w:cs="Amiri"/>
          <w:color w:val="111111"/>
          <w:sz w:val="28"/>
          <w:sz w:val="28"/>
          <w:szCs w:val="28"/>
          <w:rtl w:val="true"/>
          <w:lang w:bidi="ar-SA"/>
        </w:rPr>
        <w:t>الموت بعد الحياة، كذلك لا يقال أحيا الله ميتا، إلا أن يكون قبل إحيائه ميتا، وهذا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 بعضهم أن المراد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أمتنا اثنتين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الموتة التي تكون بعد حياتهم في القبور للمسألة، فتكون الأولى قبل الإقبار والثانية بعده، وهذا أيضا باطل من وجه آخر، وهو أن الحياة للمسألة ليست للتكليف فيندم الانسان على ما فاته في حياته، وندم القوم على ما فاتهم في حياتهم المرتين يدل على أنه لم يرد حياة المسألة، لكنه أراد حياة الرجعة التي تكون لتكليفهم والندم على تفريطهم فلا يفعلون ذلك فيندمون يوم العرض على ما فاتهم من ذلك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فالمراد بالموتتين موتة عند انتهاء آجالهم، والموتة الثانية بعد عودتهم إلى الحياة، وتفسير منكري الرجعة بأن الموتة الثانية قبل خلقهم حين كانوا عدما لا يستقيم، لأن الموت لا يكون إلا للحي، ويلزم هذا وجودهم أحياء وهم في العدم، فلا يبقى إلا ما بيناه للخروج من هذا التناقض</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594375_373438147"/>
      <w:bookmarkStart w:id="85" w:name="_Toc29"/>
      <w:bookmarkEnd w:id="84"/>
      <w:r>
        <w:rPr>
          <w:rtl w:val="true"/>
        </w:rPr>
        <w:t>رابعا</w:t>
      </w:r>
      <w:r>
        <w:rPr>
          <w:rtl w:val="true"/>
        </w:rPr>
        <w:t>:</w:t>
      </w:r>
      <w:bookmarkEnd w:id="8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ليبين لهم الذي يختلفون فيه وليعلم الذين كفروا أنهم كانوا كاذبين</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والكليني وعلي بن إبراهيم والعياشي وغيرهم </w:t>
      </w:r>
      <w:bookmarkStart w:id="86" w:name="pg1185_9158"/>
    </w:p>
    <w:p>
      <w:pPr>
        <w:pStyle w:val="BookText"/>
        <w:rPr/>
      </w:pPr>
      <w:bookmarkEnd w:id="86"/>
      <w:r>
        <w:rPr>
          <w:rFonts w:ascii="Amiri" w:hAnsi="Amiri" w:eastAsia="Amiri" w:cs="Amiri"/>
          <w:color w:val="111111"/>
          <w:sz w:val="28"/>
          <w:sz w:val="28"/>
          <w:szCs w:val="28"/>
          <w:rtl w:val="true"/>
          <w:lang w:bidi="ar-SA"/>
        </w:rPr>
        <w:t xml:space="preserve">أنها نزلت في الرجعة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والاعتقادات،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يخفى أنها لا تستقيم في إنكار البعث، لأنهم ما كانوا يقسمون بالله بل كانوا يقسمون باللات والعزى، ولأن التبيين إنما يكون في الدنيا لا في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594377_373438147"/>
      <w:bookmarkStart w:id="88" w:name="_Toc30"/>
      <w:bookmarkEnd w:id="87"/>
      <w:r>
        <w:rPr>
          <w:rtl w:val="true"/>
        </w:rPr>
        <w:t>خامسا</w:t>
      </w:r>
      <w:r>
        <w:rPr>
          <w:rtl w:val="true"/>
        </w:rPr>
        <w:t>:</w:t>
      </w:r>
      <w:bookmarkEnd w:id="8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 xml:space="preserve">) *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تدل على أن بين رجعة الآخرة والموت حياة أخرى، ولا ينكر ذلك لأنه قد جرى مثله في الزمن الأول، قوله في قصة بني إسرائيل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وقوله في قصة عزير أو أرميا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وقوله في قصة إبراهيم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 xml:space="preserve">)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بهذه الآية أنه أثبت الإحياء مرتين، ثم قال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ترجعون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به القيامة قطعا، والعطف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المغايرة، فالإحياء الثاني إما في الرجعة أو نظير لها، وبالجملة ففيها دلالة على وقوع الإحياء قبل القيامة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594379_373438147"/>
      <w:bookmarkStart w:id="90" w:name="_Toc31"/>
      <w:bookmarkEnd w:id="89"/>
      <w:r>
        <w:rPr>
          <w:rtl w:val="true"/>
        </w:rPr>
        <w:t>سادسا</w:t>
      </w:r>
      <w:r>
        <w:rPr>
          <w:rtl w:val="true"/>
        </w:rPr>
        <w:t>:</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ونريد أن نمن على الذين استضعفوا في الأرض </w:t>
      </w:r>
    </w:p>
    <w:p>
      <w:pPr>
        <w:pStyle w:val="BookText"/>
        <w:rPr/>
      </w:pPr>
      <w:r>
        <w:rPr>
          <w:rFonts w:ascii="Amiri" w:hAnsi="Amiri" w:eastAsia="Amiri" w:cs="Amiri"/>
          <w:color w:val="111111"/>
          <w:sz w:val="28"/>
          <w:sz w:val="28"/>
          <w:szCs w:val="28"/>
          <w:rtl w:val="true"/>
          <w:lang w:bidi="ar-SA"/>
        </w:rPr>
        <w:t>ونجعلهم أئمة ونجعلهم الوارثين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 xml:space="preserve">)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الكليني والصدوق بالإسناد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بالذين استضعفوا هم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الآية جارية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علينا الدنيا بعد شماسها عطف الضروس على ولدها، ثم تلا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ونريد أن نمن على الذين استضعفوا</w:t>
      </w:r>
      <w:r>
        <w:rPr>
          <w:rFonts w:eastAsia="Amiri" w:cs="Amiri" w:ascii="Amiri" w:hAnsi="Amiri"/>
          <w:color w:val="111111"/>
          <w:sz w:val="28"/>
          <w:szCs w:val="28"/>
          <w:rtl w:val="true"/>
          <w:lang w:bidi="ar-SA"/>
        </w:rPr>
        <w:t xml:space="preserve">) *) </w:t>
      </w:r>
      <w:r>
        <w:rPr>
          <w:rStyle w:val="FootnoteAnchor"/>
          <w:rtl w:val="true"/>
        </w:rPr>
        <w:footnoteReference w:id="99"/>
      </w:r>
      <w:r>
        <w:rPr>
          <w:rFonts w:ascii="Amiri" w:hAnsi="Amiri" w:eastAsia="Amiri" w:cs="Amiri"/>
          <w:color w:val="111111"/>
          <w:sz w:val="28"/>
          <w:sz w:val="28"/>
          <w:szCs w:val="28"/>
          <w:rtl w:val="true"/>
          <w:lang w:bidi="ar-SA"/>
        </w:rPr>
        <w:t xml:space="preserve">، وفي روايات عديدة أن ذلك يكون إذا رجعوا إلى الدنيا وقتلوا أعداءهم وملكوا الأرض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تدل على أن المن على الجماعة المذكورين وجعلهم أئمة وارثين والتمكين لهم في الأرض وحذر أعدائهم منهم، كله بعد ما استضعفوا في الأرض، وهل يتصور لذلك مصداق إلا الرجعة، وهل يجوز التصدي لتأويلها وصرفها عن ظاهرها ودليلها بغير قرينة، وضمائر الجمع وألفاظه في المواضع الثمانية يتعين حملها على الحقيقة، ولا يجوز صرفها إلى تأويل بعيد ولا قريب، إلا أن يخرج الناظر فيها عن الإنصاف ويكذب الأحاديث الكثيرة المتواترة في تفسير الآية </w:t>
      </w:r>
      <w:bookmarkStart w:id="91" w:name="pg1185_9160"/>
    </w:p>
    <w:p>
      <w:pPr>
        <w:pStyle w:val="BookText"/>
        <w:rPr/>
      </w:pPr>
      <w:bookmarkEnd w:id="91"/>
      <w:r>
        <w:rPr>
          <w:rFonts w:ascii="Amiri" w:hAnsi="Amiri" w:eastAsia="Amiri" w:cs="Amiri"/>
          <w:color w:val="111111"/>
          <w:sz w:val="28"/>
          <w:sz w:val="28"/>
          <w:szCs w:val="28"/>
          <w:rtl w:val="true"/>
          <w:lang w:bidi="ar-SA"/>
        </w:rPr>
        <w:t xml:space="preserve">بالرجعة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594381_373438147"/>
      <w:bookmarkStart w:id="93" w:name="_Toc32"/>
      <w:bookmarkEnd w:id="92"/>
      <w:r>
        <w:rPr>
          <w:rtl w:val="true"/>
        </w:rPr>
        <w:t>سابعا</w:t>
      </w:r>
      <w:r>
        <w:rPr>
          <w:rtl w:val="true"/>
        </w:rPr>
        <w:t>:</w:t>
      </w:r>
      <w:bookmarkEnd w:id="9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بن إبراهيم والطبرسي وغيرهما بالإسناد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قرية أهلك الله أهلها بالعذاب لا يرجعون في الرجعة، وأما في القيامة فيرجعون، ومن محض الإيمان محضا وغيرهم ممن لم يهلكوا بالعذاب، ومحضوا الكفر محضا يرجعون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وهذه الآية أوضح دلالة على الرجعة، لأن أحدا من أهل الإسلام لا ينكر أن الناس كلهم يرجعون إلى القيامة، من هلك ومن لم يهلك، فقوله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الرجعة، فأما إلى القيامة فيرجعون حتى يدخلوا النار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594383_373438147"/>
      <w:bookmarkStart w:id="95" w:name="_Toc33"/>
      <w:bookmarkEnd w:id="94"/>
      <w:r>
        <w:rPr>
          <w:rtl w:val="true"/>
        </w:rPr>
        <w:t>ثامنا</w:t>
      </w:r>
      <w:r>
        <w:rPr>
          <w:rtl w:val="true"/>
        </w:rPr>
        <w:t>:</w:t>
      </w:r>
      <w:bookmarkEnd w:id="9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النصر يكون في الرجعة، ذلك لأن كثيرا من الأنبياء والأوصياء قتلوا وظلموا ولم ينصروا، وأن الله لا يخلف الميعاد</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96" w:name="pg1185_9161"/>
    </w:p>
    <w:p>
      <w:pPr>
        <w:pStyle w:val="BookText"/>
        <w:rPr/>
      </w:pPr>
      <w:bookmarkEnd w:id="96"/>
      <w:r>
        <w:rPr>
          <w:rFonts w:ascii="Amiri" w:hAnsi="Amiri" w:eastAsia="Amiri" w:cs="Amiri"/>
          <w:color w:val="111111"/>
          <w:sz w:val="28"/>
          <w:sz w:val="28"/>
          <w:szCs w:val="28"/>
          <w:rtl w:val="true"/>
          <w:lang w:bidi="ar-SA"/>
        </w:rPr>
        <w:t xml:space="preserve">وسئل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الحاجبية عن هذه الآية،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تأكيد، فقد أوجب تعالى بأنه ينصرهم في الحالين جميعا في الدنيا والآخرة، وهذا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قتل مظلوما فلم ينصره أحد؟ فأجاب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الإمامية أن الله تعالى ينجز الوعد بالنصر للأولياء قبل الآخرة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والكرة التي وعد بها المؤمنين، وهذا لا يمنع من تمام الظلم عليهم حينا مع النصر لهم في العاقبة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594385_373438147"/>
      <w:bookmarkStart w:id="98" w:name="_Toc34"/>
      <w:bookmarkEnd w:id="97"/>
      <w:r>
        <w:rPr>
          <w:rtl w:val="true"/>
        </w:rPr>
        <w:t>ثالثا</w:t>
      </w:r>
      <w:r>
        <w:rPr>
          <w:rtl w:val="true"/>
        </w:rPr>
        <w:t xml:space="preserve">: </w:t>
      </w:r>
      <w:r>
        <w:rPr>
          <w:rtl w:val="true"/>
        </w:rPr>
        <w:t>الحديث</w:t>
      </w:r>
      <w:r>
        <w:rPr>
          <w:rtl w:val="true"/>
        </w:rPr>
        <w:t>:</w:t>
      </w:r>
      <w:bookmarkEnd w:id="98"/>
    </w:p>
    <w:p>
      <w:pPr>
        <w:pStyle w:val="BookText"/>
        <w:rPr/>
      </w:pPr>
      <w:r>
        <w:rPr>
          <w:rFonts w:ascii="Amiri" w:hAnsi="Amiri" w:eastAsia="Amiri" w:cs="Amiri"/>
          <w:color w:val="111111"/>
          <w:sz w:val="28"/>
          <w:sz w:val="28"/>
          <w:szCs w:val="28"/>
          <w:rtl w:val="true"/>
          <w:lang w:bidi="ar-SA"/>
        </w:rPr>
        <w:t xml:space="preserve">مما لا ريب فيه أن صحة الأحكام والعقائد تتوقف على ورود أحاديث شريفة ثابتة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ما يتعلق بالاعتقاد بالأمور الغيبية وحوادث المستقبل،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الضلال، بالإسناد عن هاشم صاحب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إنه شر عليكم أن تقولوا لشئ ما لم تسمعوه منا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والأحاديث في ذلك أكثر من أن تحصى وأوفر من أن تستقصى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الرجعة الروايات الكثيرة المتواترة التي نقلها الثقات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إنها وردت في الأدعية والزيارات المأثورة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لا يسع بحثنا نقلها والتحقيق فيها، فيكفي أن نذكر أن السيد محمد مؤمن الحسيني الأسترآبادي الشهيد بمكة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قد </w:t>
      </w:r>
    </w:p>
    <w:p>
      <w:pPr>
        <w:pStyle w:val="BookText"/>
        <w:rPr/>
      </w:pPr>
      <w:r>
        <w:rPr>
          <w:rFonts w:ascii="Amiri" w:hAnsi="Amiri" w:eastAsia="Amiri" w:cs="Amiri"/>
          <w:color w:val="111111"/>
          <w:sz w:val="28"/>
          <w:sz w:val="28"/>
          <w:szCs w:val="28"/>
          <w:rtl w:val="true"/>
          <w:lang w:bidi="ar-SA"/>
        </w:rPr>
        <w:t xml:space="preserve">جمع في رسالته المختصرة في الرجعة نحو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الكتب المعتمدة وجميعها تنص على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آية وحديث صريح في الرجعة نقلها عن سبعين كتابا قد صنفها عظماء علماء الإمامية </w:t>
      </w:r>
      <w:r>
        <w:rPr>
          <w:rStyle w:val="FootnoteAnchor"/>
          <w:rtl w:val="true"/>
        </w:rPr>
        <w:footnoteReference w:id="10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أحاديث الرجعة ثابتة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لوجودها في الكتب الأربعة وغيرها من الكتب المعتمدة، وكثرة القرائن القطعية الدالة على صحتها وثبوت روايتها، على أنها لا تحتاج إلى شئ من القرائن لكونها قد بلغت حد التواتر، بل تجاوزت ذلك الحد، وكل حديث منها يفيد العلم مع القرائن المشار إليها، فكيف يبقى شك مع اجتماع الجميع؟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العلامة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باب الرجعة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يشك مؤمن بحقية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تواتر عنهم في قريب من مائتي حديث صريح، رواها نيف وأربعون من الثقات العظام والعلماء الأعلام في أزيد من خمسين من مؤلفاتهم، كثقة الإسلام الكليني، والصدوق محمد بن بابويه، والشيخ أبي جعفر الطوسي، والسيد المرتضى، والنجاشي، والكشي، والعياشي، وعلي بن إبراهيم، وسليم الهلالي، والشيخ المفيد، والكراجكي، والنعماني، والصفار، وسعد بن عبد الله، وابن قولويه، والسيد علي بن طاووس، وفرات بن إبراهيم، وأبي الفضل الطبرسي، </w:t>
      </w:r>
      <w:bookmarkStart w:id="99" w:name="pg1185_9163"/>
    </w:p>
    <w:p>
      <w:pPr>
        <w:pStyle w:val="BookText"/>
        <w:rPr/>
      </w:pPr>
      <w:bookmarkEnd w:id="99"/>
      <w:r>
        <w:rPr>
          <w:rFonts w:ascii="Amiri" w:hAnsi="Amiri" w:eastAsia="Amiri" w:cs="Amiri"/>
          <w:color w:val="111111"/>
          <w:sz w:val="28"/>
          <w:sz w:val="28"/>
          <w:szCs w:val="28"/>
          <w:rtl w:val="true"/>
          <w:lang w:bidi="ar-SA"/>
        </w:rPr>
        <w:t>وإبراهيم بن محمد الثقفي، ومحمد بن العباس بن مروان، والبرقي، وابن شهرآشوب، والحسن بن سليمان، والقطب الراوندي، والعلامة الحلي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مثل هذا متواترا، ففي أي شئ يمكن دعوى التواتر مع ما روته كافة الشيعة خلفا عن سلف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594387_373438147"/>
      <w:bookmarkStart w:id="101" w:name="_Toc35"/>
      <w:bookmarkEnd w:id="100"/>
      <w:r>
        <w:rPr>
          <w:rtl w:val="true"/>
        </w:rPr>
        <w:t>المصنفون فيها</w:t>
      </w:r>
      <w:r>
        <w:rPr>
          <w:rtl w:val="true"/>
        </w:rPr>
        <w:t>:</w:t>
      </w:r>
      <w:bookmarkEnd w:id="101"/>
    </w:p>
    <w:p>
      <w:pPr>
        <w:pStyle w:val="BookText"/>
        <w:rPr/>
      </w:pPr>
      <w:r>
        <w:rPr>
          <w:rFonts w:ascii="Amiri" w:hAnsi="Amiri" w:eastAsia="Amiri" w:cs="Amiri"/>
          <w:color w:val="111111"/>
          <w:sz w:val="28"/>
          <w:sz w:val="28"/>
          <w:szCs w:val="28"/>
          <w:rtl w:val="true"/>
          <w:lang w:bidi="ar-SA"/>
        </w:rPr>
        <w:t>ولم يقتصر علماء الإمامية ومصنفوهم على إيراد أحاديث الرجعة ضمن باب الغيبة من مصنفاتهم وحسب، بل أفردوها في تأليف خاص بها، وقد عددنا نحو أربعين كتابا خاصا بهذا الموضوع، نذكر منها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الرجعة للحسن بن علي بن أبي حمزة البطائني، ذكره النجاشي في الرجال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إثبات الرجعة </w:t>
      </w:r>
      <w:r>
        <w:rPr>
          <w:rStyle w:val="FootnoteAnchor"/>
          <w:rtl w:val="true"/>
        </w:rPr>
        <w:footnoteReference w:id="113"/>
      </w:r>
      <w:r>
        <w:rPr>
          <w:rFonts w:ascii="Amiri" w:hAnsi="Amiri" w:eastAsia="Amiri" w:cs="Amiri"/>
          <w:color w:val="111111"/>
          <w:sz w:val="28"/>
          <w:sz w:val="28"/>
          <w:szCs w:val="28"/>
          <w:rtl w:val="true"/>
          <w:lang w:bidi="ar-SA"/>
        </w:rPr>
        <w:t xml:space="preserve">، وكتاب الرجعة وأحاديثها </w:t>
      </w:r>
      <w:r>
        <w:rPr>
          <w:rStyle w:val="FootnoteAnchor"/>
          <w:rtl w:val="true"/>
        </w:rPr>
        <w:footnoteReference w:id="114"/>
      </w:r>
      <w:r>
        <w:rPr>
          <w:rFonts w:ascii="Amiri" w:hAnsi="Amiri" w:eastAsia="Amiri" w:cs="Amiri"/>
          <w:color w:val="111111"/>
          <w:sz w:val="28"/>
          <w:sz w:val="28"/>
          <w:szCs w:val="28"/>
          <w:rtl w:val="true"/>
          <w:lang w:bidi="ar-SA"/>
        </w:rPr>
        <w:t xml:space="preserve">، وكتاب مختصر إثبات الرجعة </w:t>
      </w:r>
      <w:r>
        <w:rPr>
          <w:rStyle w:val="FootnoteAnchor"/>
          <w:rtl w:val="true"/>
        </w:rPr>
        <w:footnoteReference w:id="115"/>
      </w:r>
      <w:r>
        <w:rPr>
          <w:rFonts w:ascii="Amiri" w:hAnsi="Amiri" w:eastAsia="Amiri" w:cs="Amiri"/>
          <w:color w:val="111111"/>
          <w:sz w:val="28"/>
          <w:sz w:val="28"/>
          <w:szCs w:val="28"/>
          <w:rtl w:val="true"/>
          <w:lang w:bidi="ar-SA"/>
        </w:rPr>
        <w:t xml:space="preserve">، جميعها للشيخ أبي محمد الفضل بن شاذان الأزدي النيشابوري،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عن الإمام الجواد والهادي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ثقة </w:t>
      </w:r>
    </w:p>
    <w:p>
      <w:pPr>
        <w:pStyle w:val="BookText"/>
        <w:rPr/>
      </w:pPr>
      <w:r>
        <w:rPr>
          <w:rFonts w:ascii="Amiri" w:hAnsi="Amiri" w:eastAsia="Amiri" w:cs="Amiri"/>
          <w:color w:val="111111"/>
          <w:sz w:val="28"/>
          <w:sz w:val="28"/>
          <w:szCs w:val="28"/>
          <w:rtl w:val="true"/>
          <w:lang w:bidi="ar-SA"/>
        </w:rPr>
        <w:t xml:space="preserve">جليلا فقيها متكلما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الرجعة، لأحمد بن داود بن سعيد الفزاري، أبو يحيى الجرجاني، ذكره النجاشي والشيخ الطوسي في الفهرست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الرجعة، للشيخ الصدوق محمد بن علي بن الحسين بن موسى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الرجعة، للشيخ أبي النضر محمد بن مسعود العياشي صاحب التفسير، ذكره النجاشي والشيخ الطوسي في الفهرست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إثبات الرجعة، 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كتابة الرجعة للشيخ الحسن بن سليمان الحلي، تلميذ الشهيد الأول، وهو صاحب مختصر بصائر الدرجات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أشهر الكتب المطبوعة والمتداولة في عصرنا الحالي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 من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أوسع كتاب في بابه، فقد ضمنه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وأدلة وقرائن أخرى في البرهان على الرجعة، وفرغ منه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02" w:name="pg1185_9165"/>
    </w:p>
    <w:p>
      <w:pPr>
        <w:pStyle w:val="BookText"/>
        <w:rPr/>
      </w:pPr>
      <w:bookmarkEnd w:id="1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والرجعة، للشيخ محمد رضا الطبسي النجفي، مطبوع في النجف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للسيد محمد مؤمن الحسيني الأسترآبادي، الشهيد في مكة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594389_373438147"/>
      <w:bookmarkStart w:id="104" w:name="_Toc36"/>
      <w:bookmarkEnd w:id="103"/>
      <w:r>
        <w:rPr>
          <w:rtl w:val="true"/>
        </w:rPr>
        <w:t>رابعا</w:t>
      </w:r>
      <w:r>
        <w:rPr>
          <w:rtl w:val="true"/>
        </w:rPr>
        <w:t xml:space="preserve">: </w:t>
      </w:r>
      <w:r>
        <w:rPr>
          <w:rtl w:val="true"/>
        </w:rPr>
        <w:t>الاجماع</w:t>
      </w:r>
      <w:r>
        <w:rPr>
          <w:rtl w:val="true"/>
        </w:rPr>
        <w:t>:</w:t>
      </w:r>
      <w:bookmarkEnd w:id="104"/>
    </w:p>
    <w:p>
      <w:pPr>
        <w:pStyle w:val="BookText"/>
        <w:rPr/>
      </w:pPr>
      <w:r>
        <w:rPr>
          <w:rFonts w:ascii="Amiri" w:hAnsi="Amiri" w:eastAsia="Amiri" w:cs="Amiri"/>
          <w:color w:val="111111"/>
          <w:sz w:val="28"/>
          <w:sz w:val="28"/>
          <w:szCs w:val="28"/>
          <w:rtl w:val="true"/>
          <w:lang w:bidi="ar-SA"/>
        </w:rPr>
        <w:t xml:space="preserve">نقل جماعة من علمائنا إجماع الإمامية على اعتقاد صحة الرجعة وإطباقهم على نقل أحاديثها وروايتها، وعلى أنها من اعتقادات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كان من اعتقاداتهم فهو حق، وتأولوا معارضها على شذوذ وندور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الجليل رئيس المحدثين أبو جعفر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الاعتقاد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أنها حق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الإمامية على رجعة كثير من الأموات إلى الدنيا قبل يوم القيامة، وإن كان بينهم في معنى الرجعة اختلاف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الاجماع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موضع من رسائله،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اجتمعت الإمامية على أن الله تعالى </w:t>
      </w:r>
    </w:p>
    <w:p>
      <w:pPr>
        <w:pStyle w:val="BookText"/>
        <w:rPr/>
      </w:pPr>
      <w:r>
        <w:rPr>
          <w:rFonts w:ascii="Amiri" w:hAnsi="Amiri" w:eastAsia="Amiri" w:cs="Amiri"/>
          <w:color w:val="111111"/>
          <w:sz w:val="28"/>
          <w:sz w:val="28"/>
          <w:szCs w:val="28"/>
          <w:rtl w:val="true"/>
          <w:lang w:bidi="ar-SA"/>
        </w:rPr>
        <w:t xml:space="preserve">عند ظهور القائم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قوما من أوليائه لنصرته والابتهاج بدولته، وقوما من أعدائه ليفعل بهم ما يستحق من العذاب، وإجماع هذه الطائفة قد بينا في غير موضع من كتبنا أنه حجة، لأن المعصوم فيهم، فيجب القطع على ثبوت الرجعة مضافا إلى جوازها في القدرة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جواب المسائل التي وردت إليه من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إثبات الرجعة إجماع الإمامية على وقوعها، فإنهم لا يختلفون في ذلك، وإجماعهم قد بينا في مواضع من كتبنا أنه حجة لدخول قول الإمام فيه، وما يشتمل على قول المعصوم من الأقوال لا بد فيه من كونه صوابا </w:t>
      </w:r>
      <w:r>
        <w:rPr>
          <w:rStyle w:val="FootnoteAnchor"/>
          <w:rtl w:val="true"/>
        </w:rPr>
        <w:footnoteReference w:id="126"/>
      </w:r>
      <w:r>
        <w:rPr>
          <w:rFonts w:ascii="Amiri" w:hAnsi="Amiri" w:eastAsia="Amiri" w:cs="Amiri"/>
          <w:color w:val="111111"/>
          <w:sz w:val="28"/>
          <w:sz w:val="28"/>
          <w:szCs w:val="28"/>
          <w:rtl w:val="true"/>
          <w:lang w:bidi="ar-SA"/>
        </w:rPr>
        <w:t xml:space="preserve">ونقل هذا عنه الشيخ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الرجعة لم تثبت بظواهر الأخبار المنقولة فيتطرق إليها التأويل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رجوع الدولة دون رجوع أعيان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المعول في ذلك على إجماع الشيعة الإمامية، وإن كانت الأخبار تعضده وتؤيده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 الشيخ الحسن بن سليمان بن خالد القمي رسالة في الرجعة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مما أجمع عليه علماؤنا بل جميع الإمامية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05" w:name="pg1185_9167"/>
    </w:p>
    <w:p>
      <w:pPr>
        <w:pStyle w:val="BookText"/>
        <w:rPr/>
      </w:pPr>
      <w:bookmarkEnd w:id="105"/>
      <w:r>
        <w:rPr>
          <w:rFonts w:ascii="Amiri" w:hAnsi="Amiri" w:eastAsia="Amiri" w:cs="Amiri"/>
          <w:color w:val="111111"/>
          <w:sz w:val="28"/>
          <w:sz w:val="28"/>
          <w:szCs w:val="28"/>
          <w:rtl w:val="true"/>
          <w:lang w:bidi="ar-SA"/>
        </w:rPr>
        <w:t>ونقل الإجماع على ذلك من علمائنا المتأخرين الشيخ الحر العاملي،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صحة الرجعة إجماع جميع الشيعة الإمامية وإطباق الطائفة الاثني عشرية على اعتقاد صحة الرجعة، فلا يظهر منهم مخالف يعتد به من العلماء السابقين ولا اللاحقين، وقد علم دخول المعصوم في هذا الاجماع بورود الأحاديث المتواترة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اعتقادهم بصحة الرجعة، حتى إنه قد ورد ذلك عن صاحب الزمان محمد ابن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التوقيعات الواردة عنه وغيرها </w:t>
      </w:r>
      <w:r>
        <w:rPr>
          <w:rStyle w:val="FootnoteAnchor"/>
          <w:rtl w:val="true"/>
        </w:rPr>
        <w:footnoteReference w:id="130"/>
      </w:r>
      <w:r>
        <w:rPr>
          <w:rFonts w:ascii="Amiri" w:hAnsi="Amiri" w:eastAsia="Amiri" w:cs="Amiri"/>
          <w:color w:val="111111"/>
          <w:sz w:val="28"/>
          <w:sz w:val="28"/>
          <w:szCs w:val="28"/>
          <w:rtl w:val="true"/>
          <w:lang w:bidi="ar-SA"/>
        </w:rPr>
        <w:t xml:space="preserve">ومما يدل على ثبوت الاجماع اتفاقهم على رواية أحاديث الرجعة حتى إنه لا يكاد يخلو منها كتاب من كتب الشيعة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الشيعة على الرجعة في جميع الأعصار، واشتهرت بينهم كالشمس في رابعة النهار، حتى نظموها في أشعارهم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ولي ثقة بالرجعة الحق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 برجع الطرف مني إلى الطرف</w:t>
      </w:r>
    </w:p>
    <w:p>
      <w:pPr>
        <w:pStyle w:val="BookText"/>
        <w:rPr/>
      </w:pPr>
      <w:r>
        <w:rPr>
          <w:rFonts w:ascii="Amiri" w:hAnsi="Amiri" w:eastAsia="Amiri" w:cs="Amiri"/>
          <w:color w:val="111111"/>
          <w:sz w:val="28"/>
          <w:sz w:val="28"/>
          <w:szCs w:val="28"/>
          <w:rtl w:val="true"/>
          <w:lang w:bidi="ar-SA"/>
        </w:rPr>
        <w:t>واحتجوا بها على المخالفين في جميع أمصارهم، وشنع المخالفون عليهم في ذلك، وأثبتوه في كتبهم وأسفارهم، منهم الرازي والنيسابوري وغيرهما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594391_373438147"/>
      <w:bookmarkStart w:id="107" w:name="_Toc37"/>
      <w:bookmarkEnd w:id="106"/>
      <w:r>
        <w:rPr>
          <w:rtl w:val="true"/>
        </w:rPr>
        <w:t>خامسا</w:t>
      </w:r>
      <w:r>
        <w:rPr>
          <w:rtl w:val="true"/>
        </w:rPr>
        <w:t xml:space="preserve">: </w:t>
      </w:r>
      <w:r>
        <w:rPr>
          <w:rtl w:val="true"/>
        </w:rPr>
        <w:t>الضرورة</w:t>
      </w:r>
      <w:r>
        <w:rPr>
          <w:rtl w:val="true"/>
        </w:rPr>
        <w:t>:</w:t>
      </w:r>
      <w:bookmarkEnd w:id="1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يدل على ذلك، الروايات الكثيرة الواردة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والتي هي نص صريح في ضرورة الاعتقاد بالرجعة،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في كتاب صفات الشيعة بالإسناد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بسبعة أشياء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بالرجعة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بتوحيد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بالرجعة والمتعتين، وآمن بالمعراج، والمسألة في القبر، والحوض، والشفاعة، وخلق الجنة والنار، والصراط والميزان، والبعث والنشور، والجزاء والحساب، فهو مؤمن حقا، وهو من شيعتنا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أن الاعتقاد بالرجعة من ضروريات مذهب الإمامية، ورودها في الأدعية والزيارات المروية عن الأئمة الهداة من عترة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علموها لشيعتهم منها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المصباح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الله وملائكته وأنبياءه ورسله أني بكم مؤمن، وبإيابكم موقن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والمراد بالإياب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الاقبال والمصباح في الدعاء في اليوم الذي ولد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الهمداني وكيل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المعوض من قتله أن الأئمة من نسله، والشفاء في تربته، والفوز معه في أوبته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عائذون بقبره نشهد تربته وننتظر أوبته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زيارات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السيد ابن طاووس فقرات كثيرة تدل على ذلك،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فاجعلني يا رب فيمن يكر في رجعته، ويملك في دولته، ويتمكن في أيامه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ابن طاووس بالإسناد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 القائلين بفضلكم، مقر برجعتكم، لا أنكر لله قدرة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صحة الرجعة الضرورة، فإن ثبوت الرجعة من ضروريات مذهب الإمامية عند جميع العلماء المعروفين والمصنفين المشهورين، بل يعلم العامة أن ذلك من مذهب الشيعة، فلا ترى أحدا يعرف اسمه ويعلم له تصنيف من الإمامية يصرح بإنكار الرجعة ولا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يعلم بالتتبع أن صحة الرجعة أمر محقق معلوم مفروغ منه مقطوع به ضروري عند أكثر علماء الإمامية أو الجميع، حتى لقد صنفت الإمامية كتبا كثيرة في إثبات الرجعة، كما صنفوا في إثبات المتعة وإثبات الإمامة وغير ذلك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أن صحة الرجعة أمر قد صار ضروريا 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من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صرت ما أنا بيوم القيامة أشد يقينا مني بالرجعة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08" w:name="pg1185_9170"/>
    </w:p>
    <w:p>
      <w:pPr>
        <w:pStyle w:val="Heading2"/>
        <w:numPr>
          <w:ilvl w:val="1"/>
          <w:numId w:val="1"/>
        </w:numPr>
        <w:rPr/>
      </w:pPr>
      <w:bookmarkStart w:id="109" w:name="__RefHeading___Toc2594393_373438147"/>
      <w:bookmarkStart w:id="110" w:name="_Toc38"/>
      <w:bookmarkEnd w:id="108"/>
      <w:bookmarkEnd w:id="109"/>
      <w:r>
        <w:rPr>
          <w:rtl w:val="true"/>
        </w:rPr>
        <w:t>الفصل الثالث</w:t>
      </w:r>
      <w:r>
        <w:rPr>
          <w:rtl w:val="true"/>
        </w:rPr>
        <w:t xml:space="preserve">: </w:t>
      </w:r>
      <w:r>
        <w:rPr>
          <w:rtl w:val="true"/>
        </w:rPr>
        <w:t>أحكام في الرجعة</w:t>
      </w:r>
      <w:bookmarkEnd w:id="110"/>
    </w:p>
    <w:p>
      <w:pPr>
        <w:pStyle w:val="Heading3"/>
        <w:numPr>
          <w:ilvl w:val="2"/>
          <w:numId w:val="1"/>
        </w:numPr>
        <w:rPr/>
      </w:pPr>
      <w:bookmarkStart w:id="111" w:name="__RefHeading___Toc2594395_373438147"/>
      <w:bookmarkStart w:id="112" w:name="_Toc39"/>
      <w:bookmarkEnd w:id="111"/>
      <w:r>
        <w:rPr>
          <w:rtl w:val="true"/>
        </w:rPr>
        <w:t>الرجعة خاصة</w:t>
      </w:r>
      <w:r>
        <w:rPr>
          <w:rtl w:val="true"/>
        </w:rPr>
        <w:t>:</w:t>
      </w:r>
      <w:bookmarkEnd w:id="112"/>
    </w:p>
    <w:p>
      <w:pPr>
        <w:pStyle w:val="BookText"/>
        <w:rPr/>
      </w:pPr>
      <w:r>
        <w:rPr>
          <w:rFonts w:ascii="Amiri" w:hAnsi="Amiri" w:eastAsia="Amiri" w:cs="Amiri"/>
          <w:color w:val="111111"/>
          <w:sz w:val="28"/>
          <w:sz w:val="28"/>
          <w:szCs w:val="28"/>
          <w:rtl w:val="true"/>
          <w:lang w:bidi="ar-SA"/>
        </w:rPr>
        <w:t>الرجعة خاصة بدلالة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 </w:t>
      </w:r>
      <w:r>
        <w:rPr>
          <w:rStyle w:val="FootnoteAnchor"/>
          <w:rtl w:val="true"/>
        </w:rPr>
        <w:footnoteReference w:id="14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 </w:t>
      </w:r>
      <w:r>
        <w:rPr>
          <w:rStyle w:val="FootnoteAnchor"/>
          <w:rtl w:val="true"/>
        </w:rPr>
        <w:footnoteReference w:id="142"/>
      </w:r>
      <w:r>
        <w:rPr>
          <w:rFonts w:ascii="Amiri" w:hAnsi="Amiri" w:eastAsia="Amiri" w:cs="Amiri"/>
          <w:color w:val="111111"/>
          <w:sz w:val="28"/>
          <w:sz w:val="28"/>
          <w:szCs w:val="28"/>
          <w:rtl w:val="true"/>
          <w:lang w:bidi="ar-SA"/>
        </w:rPr>
        <w:t xml:space="preserve">وقد تقدم القول فيهما آنفا، ويستفاد من مجموع الأخبار المستفيضة من طرق الإمامية أن الراجعين صنفان من المؤمنين والكافرين، فقد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الرجعة ليست بعامة، وهي خاصة، لا يرجع إلا من محض الإيمان محضا أو محض الشرك محضا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أما سوى هذين الصنفين فلا رجوع لهم إلى يوم المآب</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594397_373438147"/>
      <w:bookmarkStart w:id="114" w:name="_Toc40"/>
      <w:bookmarkEnd w:id="113"/>
      <w:r>
        <w:rPr>
          <w:rtl w:val="true"/>
        </w:rPr>
        <w:t>من هم الراجعون؟</w:t>
      </w:r>
      <w:bookmarkEnd w:id="1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حصيلة مجموع الروايات الواردة في هذا الباب نلاحظ أنها تنص </w:t>
      </w:r>
    </w:p>
    <w:p>
      <w:pPr>
        <w:pStyle w:val="BookText"/>
        <w:rPr/>
      </w:pPr>
      <w:r>
        <w:rPr>
          <w:rFonts w:ascii="Amiri" w:hAnsi="Amiri" w:eastAsia="Amiri" w:cs="Amiri"/>
          <w:color w:val="111111"/>
          <w:sz w:val="28"/>
          <w:sz w:val="28"/>
          <w:szCs w:val="28"/>
          <w:rtl w:val="true"/>
          <w:lang w:bidi="ar-SA"/>
        </w:rPr>
        <w:t xml:space="preserve">على رجعة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وكذلك باقي الأئمة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وتنص كذلك على رجعة عدد من أنصار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ووزرائه، وبعض أصحاب الأئمة وشيعتهم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ورجعة الشهداء والمؤمنين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ومختصر بصائر الدرجات، للحسن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والخرائج والجرائح، للقطب الراوندي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ومن جانب آخر تنص على رجعة الظالمين وأعداء الله ورسوله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زيد النرسي، الأصول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وخصوم الأنبياء والمؤمنين، ومحاربي الحق والمنافقين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وجميع هؤلاء لا يخرجون من الصنفين المذكورين في الحديث المتقدم</w:t>
      </w:r>
      <w:r>
        <w:rPr>
          <w:rFonts w:eastAsia="Amiri" w:cs="Amiri" w:ascii="Amiri" w:hAnsi="Amiri"/>
          <w:color w:val="111111"/>
          <w:sz w:val="28"/>
          <w:szCs w:val="28"/>
          <w:rtl w:val="true"/>
          <w:lang w:bidi="ar-SA"/>
        </w:rPr>
        <w:t>.</w:t>
      </w:r>
      <w:bookmarkStart w:id="115" w:name="pg1185_9172"/>
    </w:p>
    <w:p>
      <w:pPr>
        <w:pStyle w:val="Heading3"/>
        <w:numPr>
          <w:ilvl w:val="2"/>
          <w:numId w:val="1"/>
        </w:numPr>
        <w:rPr/>
      </w:pPr>
      <w:bookmarkStart w:id="116" w:name="__RefHeading___Toc2594399_373438147"/>
      <w:bookmarkStart w:id="117" w:name="_Toc41"/>
      <w:bookmarkEnd w:id="115"/>
      <w:bookmarkEnd w:id="116"/>
      <w:r>
        <w:rPr>
          <w:rtl w:val="true"/>
        </w:rPr>
        <w:t>هل ثمة رجعة بعد عصر الظهور؟</w:t>
      </w:r>
      <w:bookmarkEnd w:id="117"/>
    </w:p>
    <w:p>
      <w:pPr>
        <w:pStyle w:val="BookText"/>
        <w:rPr/>
      </w:pPr>
      <w:r>
        <w:rPr>
          <w:rFonts w:ascii="Amiri" w:hAnsi="Amiri" w:eastAsia="Amiri" w:cs="Amiri"/>
          <w:color w:val="111111"/>
          <w:sz w:val="28"/>
          <w:sz w:val="28"/>
          <w:szCs w:val="28"/>
          <w:rtl w:val="true"/>
          <w:lang w:bidi="ar-SA"/>
        </w:rPr>
        <w:t xml:space="preserve">استفاضت الأخبار من عدة طرق بحديث الرجعة في عصر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الظهور، حيث قال في باب ذكر علامات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الأخبار بذكر 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تكون أمام قيامه وآيات ودلالات، فمنها 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وأموات ينشرون من القبور حتى يرجعوا إلى الدنيا فيتعارفون فيها ويتزاورون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فيعرفون عند ذلك ظهوره بمكة، فيتوجهون نحوه لنصرته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ويوم الكرة، ويوم القيامة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أن هناك كرة بعد عصر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ويستفاد من روايات الرجعة أن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كرات عدة </w:t>
      </w:r>
      <w:r>
        <w:rPr>
          <w:rStyle w:val="FootnoteAnchor"/>
          <w:rtl w:val="true"/>
        </w:rPr>
        <w:footnoteReference w:id="150"/>
      </w:r>
      <w:r>
        <w:rPr>
          <w:rFonts w:ascii="Amiri" w:hAnsi="Amiri" w:eastAsia="Amiri" w:cs="Amiri"/>
          <w:color w:val="111111"/>
          <w:sz w:val="28"/>
          <w:sz w:val="28"/>
          <w:szCs w:val="28"/>
          <w:rtl w:val="true"/>
          <w:lang w:bidi="ar-SA"/>
        </w:rPr>
        <w:t xml:space="preserve">، وأن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 بعد عصر الظهور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السياق يقول 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الإيمان بأصل الرجعة إجمالا، وأن بعض المؤمنين وبعض الكفار يرجعون إلى الدنيا، وإيكال تفاصيلها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رجعة أمير المؤمنين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معنى، وفي باقي الأئمة قريبة من التواتر، وكيفية رجوعهم هل هو </w:t>
      </w:r>
      <w:bookmarkStart w:id="118" w:name="pg1185_9173"/>
    </w:p>
    <w:p>
      <w:pPr>
        <w:pStyle w:val="BookText"/>
        <w:rPr/>
      </w:pPr>
      <w:bookmarkEnd w:id="118"/>
      <w:r>
        <w:rPr>
          <w:rFonts w:ascii="Amiri" w:hAnsi="Amiri" w:eastAsia="Amiri" w:cs="Amiri"/>
          <w:color w:val="111111"/>
          <w:sz w:val="28"/>
          <w:sz w:val="28"/>
          <w:szCs w:val="28"/>
          <w:rtl w:val="true"/>
          <w:lang w:bidi="ar-SA"/>
        </w:rPr>
        <w:t xml:space="preserve">على الترتيب أو غيره، فكل علمه إلى الله سبحانه وإلى أوليائه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594401_373438147"/>
      <w:bookmarkStart w:id="120" w:name="_Toc42"/>
      <w:bookmarkEnd w:id="119"/>
      <w:r>
        <w:rPr>
          <w:rtl w:val="true"/>
        </w:rPr>
        <w:t>حكم الرجعة</w:t>
      </w:r>
      <w:r>
        <w:rPr>
          <w:rtl w:val="true"/>
        </w:rPr>
        <w:t>:</w:t>
      </w:r>
      <w:bookmarkEnd w:id="120"/>
    </w:p>
    <w:p>
      <w:pPr>
        <w:pStyle w:val="BookText"/>
        <w:rPr/>
      </w:pPr>
      <w:r>
        <w:rPr>
          <w:rFonts w:ascii="Amiri" w:hAnsi="Amiri" w:eastAsia="Amiri" w:cs="Amiri"/>
          <w:color w:val="111111"/>
          <w:sz w:val="28"/>
          <w:sz w:val="28"/>
          <w:szCs w:val="28"/>
          <w:rtl w:val="true"/>
          <w:lang w:bidi="ar-SA"/>
        </w:rPr>
        <w:t>هل الرجعة من أصول الدين؟ وهل الإسلام منوط بالاعتقاد بها؟ وما هي الأحكام التي أصدرها علماء الإمامية بشأن متأولي الرجعة؟ هذه الأسئلة سنحاول الإجابة عليها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 وأصول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تعتقد الشيعة الإمامية بالرجعة من بين الفرق الإسلامية طبقا لما ورد وصح من الأحاديث المروية عن أهل بيت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هذا بمعنى أن عقيدة الرجعة تعد واحدة من أصول الدين، ولا هي في مرتبة الاعتقاد بالله وتوحيده أو بدرجة النبوة والمعاد، بل هي من ضروريات المذهب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يترتب على الاعتقاد بالرجعة إنكار لأي حكم ضروري من أحكام الإسلام، وليس ثمة تضاد بين هذا الاعتقاد وبين أصول الإسلام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الاعتقاد بالرجعة لا يخدش في عقيدة التوحيد، ولا في عقيدة النبوة، بل يؤكد صحة العقيدتين، إن الرجعة دليل القدرة البالغة لله تعالى كالبعث والنشور، وهي من الأمور الخارقة للعادة التي تصلح أن تكون معجزة لنبينا محمد وآل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عينا معجزة إحياء الموتى التي كانت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أبلغ هنا لأنها بعد أن يصبح الأموات رميما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w:t>
      </w:r>
      <w:bookmarkStart w:id="121" w:name="pg1185_9174"/>
    </w:p>
    <w:p>
      <w:pPr>
        <w:pStyle w:val="BookText"/>
        <w:rPr/>
      </w:pPr>
      <w:bookmarkEnd w:id="121"/>
      <w:r>
        <w:rPr>
          <w:rFonts w:ascii="Amiri" w:hAnsi="Amiri" w:eastAsia="Amiri" w:cs="Amiri"/>
          <w:color w:val="111111"/>
          <w:sz w:val="28"/>
          <w:sz w:val="28"/>
          <w:szCs w:val="28"/>
          <w:rtl w:val="true"/>
          <w:lang w:bidi="ar-SA"/>
        </w:rPr>
        <w:t>أنشأها أول مرة وهو بكل خلق عليم</w:t>
      </w:r>
      <w:r>
        <w:rPr>
          <w:rFonts w:eastAsia="Amiri" w:cs="Amiri" w:ascii="Amiri" w:hAnsi="Amiri"/>
          <w:color w:val="111111"/>
          <w:sz w:val="28"/>
          <w:szCs w:val="28"/>
          <w:rtl w:val="true"/>
          <w:lang w:bidi="ar-SA"/>
        </w:rPr>
        <w:t xml:space="preserve">)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والرجعة ليست من الأصول التي يجب الاعتقاد بها والنظر فيها، وإنما اعتقادنا بها كان تبعا للآثار الصحيحة الواردة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ندين بعصمتهم من الكذب، وهي من الأمور الغيبية التي أخبروا عنها، ولا يمتنع وقوعها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594403_373438147"/>
      <w:bookmarkStart w:id="123" w:name="_Toc43"/>
      <w:bookmarkEnd w:id="122"/>
      <w:r>
        <w:rPr>
          <w:rtl w:val="true"/>
        </w:rPr>
        <w:t>الاختلاف في معنى الرجعة</w:t>
      </w:r>
      <w:r>
        <w:rPr>
          <w:rtl w:val="true"/>
        </w:rPr>
        <w:t>:</w:t>
      </w:r>
      <w:bookmarkEnd w:id="123"/>
    </w:p>
    <w:p>
      <w:pPr>
        <w:pStyle w:val="BookText"/>
        <w:rPr/>
      </w:pPr>
      <w:r>
        <w:rPr>
          <w:rFonts w:ascii="Amiri" w:hAnsi="Amiri" w:eastAsia="Amiri" w:cs="Amiri"/>
          <w:color w:val="111111"/>
          <w:sz w:val="28"/>
          <w:sz w:val="28"/>
          <w:szCs w:val="28"/>
          <w:rtl w:val="true"/>
          <w:lang w:bidi="ar-SA"/>
        </w:rPr>
        <w:t xml:space="preserve">رغم أن الأخبار قد تضافرت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الرجعة إلى الدنيا بعد الموت، والإمامية بأجمعها على ذلك أخذا بالروايات الصريحة الواردة في هذا الباب، لكن البعض من المتقدمين تأول ما ورد في الرجعة بأن معناها رجوع الدولة والأمر والنهي إلى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رجوع أعيان الأشخاص وإحياء الموتى، وإلى هؤلاء المتأولين يشير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الإمامية على رجعة كثير من الأموات إلى الدنيا قبل يوم القيامة، وإن كان بينهم في معنى الرجعة اختلاف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هذا الاختلاف العلامة الطبرسي في تفسيره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بهذه الآية على صحة الرجعة من ذهب إلى ذلك من الإمامية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هذا الاختلاف الشيخ أبو زهرة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أن فكرة الرجعة على هذا الوضع ليست أمرا متفقا عليه عند إخواننا الاثني عشرية، بل فريق لم يعتقده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متأولون للرجعة من بين الشيعة الإمامية، فهؤلاء ينكرون الرجعة بالمعنى الذي ذهبت إليه أكثر الشيعة الإمامية أخذا بالأخبار والروايات الواردة فيها، ولم يصرح أحد بكفر هؤلاء أو خروجهم من الإسلام، لأنهم لم ينكروا أصل الاعتقاد بالرجعة والروايات المتكاثرة الواردة فيها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المحققين من أعلام الطائفة قد أجابوا هؤلاء عن قولهم بما لا مزيد عليه، قال السيد المرتضى علم الهدى مجيبا على سؤال بهذا الخصوص، وهو من جملة المسائل التي وردت عليه من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تأول الرجعة من أصحابنا على أن معناها رجوع الدولة من دون رجوع الأشخاص وإحياء الأموات، فإن قوما من الشيعة لما عجزوا عن نصرة الرجعة وبيان جوازها وأنها تنافي التكليف </w:t>
      </w:r>
      <w:r>
        <w:rPr>
          <w:rStyle w:val="FootnoteAnchor"/>
          <w:rtl w:val="true"/>
        </w:rPr>
        <w:footnoteReference w:id="158"/>
      </w:r>
      <w:r>
        <w:rPr>
          <w:rFonts w:ascii="Amiri" w:hAnsi="Amiri" w:eastAsia="Amiri" w:cs="Amiri"/>
          <w:color w:val="111111"/>
          <w:sz w:val="28"/>
          <w:sz w:val="28"/>
          <w:szCs w:val="28"/>
          <w:rtl w:val="true"/>
          <w:lang w:bidi="ar-SA"/>
        </w:rPr>
        <w:t xml:space="preserve">عولوا على هذا التأويل للأخبار الواردة بالرجعة، وهو منهم غير صحيح، لأن الرجعة لم تثبت بظواهر الأخبار المنقولة فتتطرق التأويلات عليها، وكيف يثبت ما هو مقطوع على صحته بأخبار الآحاد التي لا توجب العلم، وإنما المعول في إثبات الرجعة على إجماع الإمامية على معناها، بأن الله يحيي أمواتا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أوليائه وأعدائه على ما بيناه، فكيف يتطرق التأويل </w:t>
      </w:r>
      <w:bookmarkStart w:id="124" w:name="pg1185_9176"/>
    </w:p>
    <w:p>
      <w:pPr>
        <w:pStyle w:val="BookText"/>
        <w:rPr/>
      </w:pPr>
      <w:bookmarkEnd w:id="124"/>
      <w:r>
        <w:rPr>
          <w:rFonts w:ascii="Amiri" w:hAnsi="Amiri" w:eastAsia="Amiri" w:cs="Amiri"/>
          <w:color w:val="111111"/>
          <w:sz w:val="28"/>
          <w:sz w:val="28"/>
          <w:szCs w:val="28"/>
          <w:rtl w:val="true"/>
          <w:lang w:bidi="ar-SA"/>
        </w:rPr>
        <w:t xml:space="preserve">على ما هو معلوم، فالمعنى غير محتمل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594405_373438147"/>
      <w:bookmarkStart w:id="126" w:name="_Toc44"/>
      <w:bookmarkEnd w:id="125"/>
      <w:r>
        <w:rPr>
          <w:rtl w:val="true"/>
        </w:rPr>
        <w:t>حكم متأولي الرجعة</w:t>
      </w:r>
      <w:r>
        <w:rPr>
          <w:rtl w:val="true"/>
        </w:rPr>
        <w:t>:</w:t>
      </w:r>
      <w:bookmarkEnd w:id="126"/>
    </w:p>
    <w:p>
      <w:pPr>
        <w:pStyle w:val="BookText"/>
        <w:rPr/>
      </w:pPr>
      <w:r>
        <w:rPr>
          <w:rFonts w:ascii="Amiri" w:hAnsi="Amiri" w:eastAsia="Amiri" w:cs="Amiri"/>
          <w:color w:val="111111"/>
          <w:sz w:val="28"/>
          <w:sz w:val="28"/>
          <w:szCs w:val="28"/>
          <w:rtl w:val="true"/>
          <w:lang w:bidi="ar-SA"/>
        </w:rPr>
        <w:t>على ضوء ما تقدم، تبين لنا أن الرجعة من ضروريات المذهب عند الشيعة الإمامية الاثني عشرية، وإن كان هناك في السابقين منهم قول بتأويل رواياتها، لكن القائل بالتأويل لا ينكرها، لالتفاته إلى أن الانكار مع العلم بالروايات وتواترها تكذيب لأهل العصمة المخبرين بها،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 الاعتقاد بالرجعة حال سائر الأمور الضرورية في المذهب،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كونه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به، لكن الاعتقاد بالتفاصيل والجزئيات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تفاصيل الأحكام المترتبة على إنكار الضروري من المذهب أو الدين، فليرجع فيها إلى الكتب الاعتقادية والفقهية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594407_373438147"/>
      <w:bookmarkStart w:id="128" w:name="_Toc45"/>
      <w:bookmarkEnd w:id="127"/>
      <w:r>
        <w:rPr>
          <w:rtl w:val="true"/>
        </w:rPr>
        <w:t>الهدف من الرجعة</w:t>
      </w:r>
      <w:r>
        <w:rPr>
          <w:rtl w:val="true"/>
        </w:rPr>
        <w:t>:</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أحداث آخر الزمان لا تزال في ظهر الغيب، إلا أننا نستطيع أن نقرأ الحكم عليها أيضا، لأن العدل الإلهي مطلق لا يحده زمان ولا مكان، والحكم بالعدل أصيل على أحداث الماضي والحاضر والمستقبل، ولو لم يبق من الدنيا إلا يوم لطول الله تعالى ذلك اليوم حتى يأتي بالخير المخبوء المتمثل بمهدي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ليجتث مؤسسات الباطل وأجهزة الظلم والجور ويملأ الأرض قسطا وعدلا بعد ما ملئت ظلما </w:t>
      </w:r>
    </w:p>
    <w:p>
      <w:pPr>
        <w:pStyle w:val="BookText"/>
        <w:rPr/>
      </w:pPr>
      <w:r>
        <w:rPr>
          <w:rFonts w:ascii="Amiri" w:hAnsi="Amiri" w:eastAsia="Amiri" w:cs="Amiri"/>
          <w:color w:val="111111"/>
          <w:sz w:val="28"/>
          <w:sz w:val="28"/>
          <w:szCs w:val="28"/>
          <w:rtl w:val="true"/>
          <w:lang w:bidi="ar-SA"/>
        </w:rPr>
        <w:t>وجورا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ويقولون متى هذا الفتح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الصدوق بالإسناد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تظهر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تطبيق العدالة السماوية في الأرض قبل يوم المحشر وقيام الناس للحساب الأكبر يشمل ثلة من الماضين كما يشمل الذين هم في زمان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والماضون هم أولئك الذين حكم عليهم بالعودة إلى الحياة مرة أخرى، ويشكلون لفيفا متميزا من المؤمنين والظالمين، يعودون لينال المجرمون الذين محضوا الكفر محضا جزاء ما اقترفته أيديهم الآثمة من الظلم والفساد ومحاربة أولياء الله وعباده المخلصين، وما يستحقونه من حدود الله تعالى التي عطلوها وأسقطوها من حسابهم، واستبدلوها بالكفر والطغيان، ليذوقوا العذاب في دار الدنيا ولعذاب الآخرة أشد وأخزى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وعودة المؤمنين تعني انتصار أولياء الله الذين محضوا الإيمان محضا بعد أن ذاقوا الويل والعذاب لدهور طويلة من قبل أولئك المتسلطين والمتجبرين، وهذا المعنى يمكن أن نستشعره في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 </w:t>
      </w:r>
      <w:r>
        <w:rPr>
          <w:rStyle w:val="FootnoteAnchor"/>
          <w:rtl w:val="true"/>
        </w:rPr>
        <w:footnoteReference w:id="162"/>
      </w:r>
      <w:r>
        <w:rPr>
          <w:rFonts w:ascii="Amiri" w:hAnsi="Amiri" w:eastAsia="Amiri" w:cs="Amiri"/>
          <w:color w:val="111111"/>
          <w:sz w:val="28"/>
          <w:sz w:val="28"/>
          <w:szCs w:val="28"/>
          <w:rtl w:val="true"/>
          <w:lang w:bidi="ar-SA"/>
        </w:rPr>
        <w:t xml:space="preserve">فهو يعني أن الذين ذاقوا العذاب </w:t>
      </w:r>
    </w:p>
    <w:p>
      <w:pPr>
        <w:pStyle w:val="BookText"/>
        <w:rPr/>
      </w:pPr>
      <w:r>
        <w:rPr>
          <w:rFonts w:ascii="Amiri" w:hAnsi="Amiri" w:eastAsia="Amiri" w:cs="Amiri"/>
          <w:color w:val="111111"/>
          <w:sz w:val="28"/>
          <w:sz w:val="28"/>
          <w:szCs w:val="28"/>
          <w:rtl w:val="true"/>
          <w:lang w:bidi="ar-SA"/>
        </w:rPr>
        <w:t>في هذه الدنيا على كفرهم وطغيانهم لا يرجعون إليها، وإنما يرجعون في القيامة ليذوقوا العذاب في نارها، والعودة إلى الدنيا إنما تختص بغيرهم من الكافرين والظالمين المفسدين في الأرض الذين لم يذوقوا ألم القصاص فيها، ولا يصح أن يكون المراد بالآية أنهم لا يرجعون في القيامة لوضوح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 خلال دراسة الأحاديث الواردة في هذا المجال وأقوال الأعلام تحديد ثلاثة أهداف ينطوي عليها هذا الأمر الخارق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القتال على الدين،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مريضا بمنى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فجاءه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رهط من العراقيين يسألون الأذن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الفسطاط، وقام إليهم ودخل عليهم، فما لبثت أن سمعت ضحك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 فأنكرت ذلك ووجدت في نفسي من ضحكه وأنا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عساك وجدت في نفسك من ضحكي؟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غلبك منه الضحك،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العراقيين سألوني عن أمر كان من مضى من آبائك وسلفك يؤمنون به ويقرون، فغلبني الضحك سرورا أن في الخلق من يؤمن به ويقر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عن الأموات متى يبعثون فيقاتلون الأحياء على الدين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مقاتلة أعداء الله ورسوله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كل العجب بين جمادى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العجب الذي لا تزال تعجب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عجب أعجب من أموات يضربون كل عدو لله ولرسوله ولأهل بيته، وذلك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القصاص والعدل، فقد روي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لترجعن نفوس ذهبت، وليقتصن يوم يقوم </w:t>
      </w:r>
      <w:r>
        <w:rPr>
          <w:rStyle w:val="FootnoteAnchor"/>
          <w:rtl w:val="true"/>
        </w:rPr>
        <w:footnoteReference w:id="165"/>
      </w:r>
      <w:r>
        <w:rPr>
          <w:rFonts w:ascii="Amiri" w:hAnsi="Amiri" w:eastAsia="Amiri" w:cs="Amiri"/>
          <w:color w:val="111111"/>
          <w:sz w:val="28"/>
          <w:sz w:val="28"/>
          <w:szCs w:val="28"/>
          <w:rtl w:val="true"/>
          <w:lang w:bidi="ar-SA"/>
        </w:rPr>
        <w:t>، ومن عذب يقتص بعذابه ومن أغيظ أغاظ بغيظه، ومن قتل اقتص بقتله، ويرد لهم أعداؤهم معهم حتى يأخذوا بثأرهم، ثم يعمرون بعدهم ثلاثين شهرا، ثم يموتون في ليلة واحدة قد أدركوا ثأرهم، وشفوا أنفسهم، ويصير عدوهم إلى أشد النار عذابا، ثم يوقفون بين يدي الجبار عز وجل فيؤخذ لهم بحقوقهم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المجال 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يرد قوما من الأموات إلى الدنيا في صورهم التي كانوا عليها، فيعز منهم فريقا، ويذل فريقا، ويديل المحقين من المبطلين والمظلومين منهم من الظالمين، وذلك عند قيام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الراجعين إلى الدنيا فريقان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من علت درجته في الإيمان، وكثرت أعماله الصالحات وخرج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الدنيا على اجتناب الكبائر الموبقات، فيريه الله عز وجل دولة الحق ويعزه بها، ويعطيه من الدنيا ما كان يتمناه، والآخر من بلغ الغاية في الفساد، وانتهى في خلاف المحقين إلى أقصى الغايات، وكثر ظلمه لأولياء الله، واقترافه السيئات، فينتصر الله تعالى لمن تعدى عليه قبل الممات، ويشفي غيظهم منه بما يحله من النقمات، ثم يصير الفريقان من بعد ذلك إلى الموت، ومن بعده إلى النشور وما يستحقونه من دوام الثواب والعقاب، وقد جاء القرآن بصحة ذلك وتظاهرت به الأخبار، والإمامية بأجمعها عليه إلا شذاذا منهم تأولوا ما ورد فيه على وجه يخالف ما وصفناه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29" w:name="pg1185_9181"/>
    </w:p>
    <w:p>
      <w:pPr>
        <w:pStyle w:val="Heading2"/>
        <w:numPr>
          <w:ilvl w:val="1"/>
          <w:numId w:val="1"/>
        </w:numPr>
        <w:rPr/>
      </w:pPr>
      <w:bookmarkStart w:id="130" w:name="__RefHeading___Toc2594409_373438147"/>
      <w:bookmarkStart w:id="131" w:name="_Toc46"/>
      <w:bookmarkEnd w:id="129"/>
      <w:bookmarkEnd w:id="130"/>
      <w:r>
        <w:rPr>
          <w:rtl w:val="true"/>
        </w:rPr>
        <w:t>الفصل الرابع</w:t>
      </w:r>
      <w:r>
        <w:rPr>
          <w:rtl w:val="true"/>
        </w:rPr>
        <w:t xml:space="preserve">: </w:t>
      </w:r>
      <w:r>
        <w:rPr>
          <w:rtl w:val="true"/>
        </w:rPr>
        <w:t>الرجعة عند العامة</w:t>
      </w:r>
      <w:bookmarkEnd w:id="131"/>
    </w:p>
    <w:p>
      <w:pPr>
        <w:pStyle w:val="Heading3"/>
        <w:numPr>
          <w:ilvl w:val="2"/>
          <w:numId w:val="1"/>
        </w:numPr>
        <w:rPr/>
      </w:pPr>
      <w:bookmarkStart w:id="132" w:name="__RefHeading___Toc2594411_373438147"/>
      <w:bookmarkStart w:id="133" w:name="_Toc47"/>
      <w:bookmarkEnd w:id="132"/>
      <w:r>
        <w:rPr>
          <w:rtl w:val="true"/>
        </w:rPr>
        <w:t>إحياء الموتى</w:t>
      </w:r>
      <w:r>
        <w:rPr>
          <w:rtl w:val="true"/>
        </w:rPr>
        <w:t>:</w:t>
      </w:r>
      <w:bookmarkEnd w:id="133"/>
    </w:p>
    <w:p>
      <w:pPr>
        <w:pStyle w:val="BookText"/>
        <w:rPr/>
      </w:pPr>
      <w:r>
        <w:rPr>
          <w:rFonts w:ascii="Amiri" w:hAnsi="Amiri" w:eastAsia="Amiri" w:cs="Amiri"/>
          <w:color w:val="111111"/>
          <w:sz w:val="28"/>
          <w:sz w:val="28"/>
          <w:szCs w:val="28"/>
          <w:rtl w:val="true"/>
          <w:lang w:bidi="ar-SA"/>
        </w:rPr>
        <w:t xml:space="preserve">ليس للرجعة في كتب العامة أثر يذكر سيما بالمعنى الذي جاء في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على سبيل بيان آراء الشيعة أو التشنيع عليهم، ولكنهم نقلوا روايات في رجوع الأموات إلى الحياة الدنيا </w:t>
      </w:r>
      <w:r>
        <w:rPr>
          <w:rStyle w:val="FootnoteAnchor"/>
          <w:rtl w:val="true"/>
        </w:rPr>
        <w:footnoteReference w:id="168"/>
      </w:r>
      <w:r>
        <w:rPr>
          <w:rFonts w:ascii="Amiri" w:hAnsi="Amiri" w:eastAsia="Amiri" w:cs="Amiri"/>
          <w:color w:val="111111"/>
          <w:sz w:val="28"/>
          <w:sz w:val="28"/>
          <w:szCs w:val="28"/>
          <w:rtl w:val="true"/>
          <w:lang w:bidi="ar-SA"/>
        </w:rPr>
        <w:t>ولم يستنكروها بل عدوها من المعاجز أو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ابن أبي الدنيا أبو بكر عبد الله بن محمد بن عبيد بن سفيان الأموي القرشي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كتابا في ذلك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عاش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هذا الكتاب محققا عن دار الكتب العلمية في بيروت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وأفرد أبو نعيم الأصفهاني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بابا في معجزات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إحياء الموتى </w:t>
      </w:r>
      <w:r>
        <w:rPr>
          <w:rStyle w:val="FootnoteAnchor"/>
          <w:rtl w:val="true"/>
        </w:rPr>
        <w:footnoteReference w:id="170"/>
      </w:r>
      <w:r>
        <w:rPr>
          <w:rFonts w:ascii="Amiri" w:hAnsi="Amiri" w:eastAsia="Amiri" w:cs="Amiri"/>
          <w:color w:val="111111"/>
          <w:sz w:val="28"/>
          <w:sz w:val="28"/>
          <w:szCs w:val="28"/>
          <w:rtl w:val="true"/>
          <w:lang w:bidi="ar-SA"/>
        </w:rPr>
        <w:t xml:space="preserve">، وروى الماوردي والقاضي عياض بعض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إحياء الموتى </w:t>
      </w:r>
      <w:r>
        <w:rPr>
          <w:rStyle w:val="FootnoteAnchor"/>
          <w:rtl w:val="true"/>
        </w:rPr>
        <w:footnoteReference w:id="171"/>
      </w:r>
      <w:r>
        <w:rPr>
          <w:rFonts w:ascii="Amiri" w:hAnsi="Amiri" w:eastAsia="Amiri" w:cs="Amiri"/>
          <w:color w:val="111111"/>
          <w:sz w:val="28"/>
          <w:sz w:val="28"/>
          <w:szCs w:val="28"/>
          <w:rtl w:val="true"/>
          <w:lang w:bidi="ar-SA"/>
        </w:rPr>
        <w:t xml:space="preserve">، وذكر السيوطي كرامات في إحياء الموتى لغير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أن زيد بن حارثة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والروض الأنف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والخصائص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الشفا للخفاجي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والربيع بن خراش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ورجلا من الأنصار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تكلموا بعد الموت، وأن ربعي بن حراش الغطفاني تبسم بعد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أبا القاسم الطلحي إسماعيل بن محمد الحافظ قد ستر سوأته بعد 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وأن شيبان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حماره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وأن أبا المعالي سراج الدين الرفاعي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شاة، وأمات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الماجشون مات وحيي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يفوق حد</w:t>
      </w:r>
    </w:p>
    <w:p>
      <w:pPr>
        <w:pStyle w:val="BookText"/>
        <w:rPr/>
      </w:pPr>
      <w:r>
        <w:rPr>
          <w:rFonts w:ascii="IRNazanin" w:hAnsi="IRNazanin" w:eastAsia="IRNazanin"/>
          <w:color w:val="111111"/>
          <w:sz w:val="28"/>
          <w:sz w:val="28"/>
          <w:szCs w:val="28"/>
          <w:rtl w:val="true"/>
          <w:lang w:bidi="fa-IR"/>
        </w:rPr>
        <w:t>الاحصاء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محيي الدين عبد القادر بن شيخ العيدروسي في النور السافر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كثيرة للشيخ أبي بكر بن عبد الله باعلوي المتوفى سنة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منها أنه لما رجع من الحج دخل زيلع، وكان الحاكم بها يومئذ محمد بن عتيق، فاتفق أنه ماتت أم ولد للحاكم المذكور، وكان مشغوفا بها، فكاد عقله يذهب لموتها،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سيدي لما بلغه عنه من شدة الجزع، ليعزيه ويأمره بالصبر والرضا بالقضاء، وهي مسجاة بين يدي الحاكم بثوب، فعزاه وصبره، فلم يفد فيه ذلك، وأكب على قدم سيدي الشيخ يقبلها،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لم يحيي الله هذه مت أنا أيضا، ولم تبق لي عقيدة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سيدي وجهها، وناداها باسمها فأجابته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ورد الله روحها، وخرج الحاضرون، ولم يخرج سيدي الشيخ حتى أكلت مع سيدها الهريسة، وعاشت مدة طويلة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يروي مثل هذه الروايات مخبتا إليها دون أي غمز فيها، لماذا يستحيل القول بالرجعة، وهل الرجعة إلا رجوع الحياة للميت بعد زهوق نفسه، والأخبار التي ذكرناها ما هي إلا من مصاديقها وتدل على جوهرية إمكانها وجوازها عقلا</w:t>
      </w:r>
      <w:r>
        <w:rPr>
          <w:rFonts w:eastAsia="Amiri" w:cs="Amiri" w:ascii="Amiri" w:hAnsi="Amiri"/>
          <w:color w:val="111111"/>
          <w:sz w:val="28"/>
          <w:szCs w:val="28"/>
          <w:rtl w:val="true"/>
          <w:lang w:bidi="ar-SA"/>
        </w:rPr>
        <w:t xml:space="preserve">. </w:t>
      </w:r>
      <w:bookmarkStart w:id="134" w:name="pg1185_9184"/>
    </w:p>
    <w:p>
      <w:pPr>
        <w:pStyle w:val="Heading3"/>
        <w:numPr>
          <w:ilvl w:val="2"/>
          <w:numId w:val="1"/>
        </w:numPr>
        <w:rPr/>
      </w:pPr>
      <w:bookmarkStart w:id="135" w:name="__RefHeading___Toc2594413_373438147"/>
      <w:bookmarkStart w:id="136" w:name="_Toc48"/>
      <w:bookmarkEnd w:id="134"/>
      <w:bookmarkEnd w:id="135"/>
      <w:r>
        <w:rPr>
          <w:rtl w:val="true"/>
        </w:rPr>
        <w:t>السيوطي والصبان</w:t>
      </w:r>
      <w:r>
        <w:rPr>
          <w:rtl w:val="true"/>
        </w:rPr>
        <w:t>:</w:t>
      </w:r>
      <w:bookmarkEnd w:id="136"/>
    </w:p>
    <w:p>
      <w:pPr>
        <w:pStyle w:val="BookText"/>
        <w:rPr/>
      </w:pPr>
      <w:r>
        <w:rPr>
          <w:rFonts w:ascii="Amiri" w:hAnsi="Amiri" w:eastAsia="Amiri" w:cs="Amiri"/>
          <w:color w:val="111111"/>
          <w:sz w:val="28"/>
          <w:sz w:val="28"/>
          <w:szCs w:val="28"/>
          <w:rtl w:val="true"/>
          <w:lang w:bidi="ar-SA"/>
        </w:rPr>
        <w:t>وفي هذا السياق يقول الأستاذ مروان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الحافظ جلال الدين السيوطي بالرجعة، لكن بمعنى مختلف عن الذي تقول به الإمامية، فقد ادعى إمكانية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اليقظة، وألف رسالة في ذلك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رؤية النبي والملك 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السيوطي رؤيته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بضعا وسبعين مرة كلها في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واعتقاد السيوطي هذا شبيه باعتقاد الشيعة بالرجعة، وقوله برجوع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اليقظة لا يختلف عن قول الشيعة برجوع بعض الأموات إلى الحياة، فلماذا يشنع على الشيعة لاعتقادهم الرجعة، ولا يشنع على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ما زال محل احترام وتقدير من جميع المذاهب، فكل من يطعن بعقيدة الشيعة في الرجعة، فهو طاعن بالسيوطي الملقب بشيخ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تكلم محمد بن علي الصبان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معرفة عيسى الأحكام الإسلامية بعد نزوله،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إذا نزل يجتمع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أن يأخذ عنه ما يحتاج إليه من أحكام شريعته </w:t>
      </w:r>
      <w:r>
        <w:rPr>
          <w:rStyle w:val="FootnoteAnchor"/>
          <w:rtl w:val="true"/>
        </w:rPr>
        <w:footnoteReference w:id="174"/>
      </w:r>
      <w:r>
        <w:rPr>
          <w:rFonts w:ascii="Amiri" w:hAnsi="Amiri" w:eastAsia="Amiri" w:cs="Amiri"/>
          <w:color w:val="111111"/>
          <w:sz w:val="28"/>
          <w:sz w:val="28"/>
          <w:szCs w:val="28"/>
          <w:rtl w:val="true"/>
          <w:lang w:bidi="ar-SA"/>
        </w:rPr>
        <w:t xml:space="preserve">، واعتقاد الاجتماع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رجوعه إلى الدنيا في زمان الظهور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594415_373438147"/>
      <w:bookmarkStart w:id="138" w:name="_Toc49"/>
      <w:bookmarkEnd w:id="137"/>
      <w:r>
        <w:rPr>
          <w:rtl w:val="true"/>
        </w:rPr>
        <w:t>أشراط الساعة</w:t>
      </w:r>
      <w:r>
        <w:rPr>
          <w:rtl w:val="true"/>
        </w:rPr>
        <w:t>:</w:t>
      </w:r>
      <w:bookmarkEnd w:id="13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ونضيف إلى ما تقدم أن من تمعن في أحاديث وأخبار أشراط الساعة </w:t>
      </w:r>
    </w:p>
    <w:p>
      <w:pPr>
        <w:pStyle w:val="BookText"/>
        <w:rPr/>
      </w:pPr>
      <w:r>
        <w:rPr>
          <w:rFonts w:ascii="Amiri" w:hAnsi="Amiri" w:eastAsia="Amiri" w:cs="Amiri"/>
          <w:color w:val="111111"/>
          <w:sz w:val="28"/>
          <w:sz w:val="28"/>
          <w:szCs w:val="28"/>
          <w:rtl w:val="true"/>
          <w:lang w:bidi="ar-SA"/>
        </w:rPr>
        <w:t xml:space="preserve">وعلامات الظهور يجد مزيدا من الأحاديث والأخبار تشير إلى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والممهدين له يقاتلون بني أمية وآل أبي سفيان وبني العباس وغيرهم من الأسر والبيوتات الغابرة </w:t>
      </w:r>
      <w:r>
        <w:rPr>
          <w:rStyle w:val="FootnoteAnchor"/>
          <w:rtl w:val="true"/>
        </w:rPr>
        <w:footnoteReference w:id="175"/>
      </w:r>
      <w:r>
        <w:rPr>
          <w:rFonts w:ascii="Amiri" w:hAnsi="Amiri" w:eastAsia="Amiri" w:cs="Amiri"/>
          <w:color w:val="111111"/>
          <w:sz w:val="28"/>
          <w:sz w:val="28"/>
          <w:szCs w:val="28"/>
          <w:rtl w:val="true"/>
          <w:lang w:bidi="ar-SA"/>
        </w:rPr>
        <w:t>، فلعل ذلك يوحي إلى عودتهم إلى الحياة الدنيا، للاقتصاص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هذا المعنى ما نقله ابن أبي الحديد، وفقا لرأي الشيعة الإمامية، عند شرحه 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 عن ظهور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يغريه الله ببني أمية حتى يجعلهم حطاما ورفاتا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ممن يكون من بني أمية في ذلك الوقت موجودا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أمرهم ما قال من انتقام الرجل منهم، حتى يودوا لو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المتولي لأمرهم عوضا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فيقولون بالرجعة، ويزعمون أنه سيعاد قوم بأعيانهم من بني أمية وغيرهم إذا ظهر إمامهم المنتظر، وأنه يقطع أيدي أقوام وأرجلهم، ويسمل عيون بعضهم، ويصلب قوما آخرين، وينتقم من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والمتأخرين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الرجعة من أحاديث أشراط الساعة عند العامة ما رواه الشيخ يوسف بن يحيى الشافعي عن الثعلبي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يسلم على أهل الكهف، فيحييهم الله عز وجل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39" w:name="pg1185_9186"/>
    </w:p>
    <w:p>
      <w:pPr>
        <w:pStyle w:val="BookText"/>
        <w:rPr/>
      </w:pPr>
      <w:bookmarkEnd w:id="139"/>
      <w:r>
        <w:rPr>
          <w:rFonts w:ascii="Amiri" w:hAnsi="Amiri" w:eastAsia="Amiri" w:cs="Amiri"/>
          <w:color w:val="111111"/>
          <w:sz w:val="28"/>
          <w:sz w:val="28"/>
          <w:szCs w:val="28"/>
          <w:rtl w:val="true"/>
          <w:lang w:bidi="ar-SA"/>
        </w:rPr>
        <w:t xml:space="preserve">ومما يدل على ذلك أيضا ما رواه ابن أبي الحديد في شرحه لخطبة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يظن الظان أن الدنيا معقولة على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طويلة، وقد حذف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كثيرا، ومن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والله، لا ترون الذي تنتظرون حتى لا تدعون الله إلا إشارة بأيديكم وإيماضا بحواجبكم، وحتى لا تملكون من الأرض إلا مواضع أقدامكم، وحتى يكون موضع سلاحكم على ظهوركم، فيومئذ لا ينصرني إلا الله بملائكته، ومن كتب على قلبه الإيمان، والذي نفس علي بيده لا تقوم عصابة تطلب لي أو لغيري حقا، أو تدفع عنا ضيما، إلا صرعتهم البلية، حتى تقوم عصابة شهدت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واضح الدلالة على رجعة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الحياة الدنيا وقتاله الظالمين مع عصابة من الملائكة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594417_373438147"/>
      <w:bookmarkStart w:id="141" w:name="_Toc50"/>
      <w:bookmarkEnd w:id="140"/>
      <w:r>
        <w:rPr>
          <w:rtl w:val="true"/>
        </w:rPr>
        <w:t>موقف العامة من الرجعة</w:t>
      </w:r>
      <w:r>
        <w:rPr>
          <w:rtl w:val="true"/>
        </w:rPr>
        <w:t>:</w:t>
      </w:r>
      <w:bookmarkEnd w:id="141"/>
    </w:p>
    <w:p>
      <w:pPr>
        <w:pStyle w:val="BookText"/>
        <w:rPr/>
      </w:pPr>
      <w:r>
        <w:rPr>
          <w:rFonts w:ascii="Amiri" w:hAnsi="Amiri" w:eastAsia="Amiri" w:cs="Amiri"/>
          <w:color w:val="111111"/>
          <w:sz w:val="28"/>
          <w:sz w:val="28"/>
          <w:szCs w:val="28"/>
          <w:rtl w:val="true"/>
          <w:lang w:bidi="ar-SA"/>
        </w:rPr>
        <w:t>القول بالرجعة يعد عند العامة من المستنكرات التي يستقبح الاعتقاد بها، وكان المؤلفون منهم في رجال الحديث يعدون الاعتقاد بالرجعة من الطعون في الراوي والشناعات عليه التي تستوجب رفض روايته وطرحها، وكان علماء الجرح والتعديل ولا يزالون إذا ذكروا بعض العظماء من رواة الشيعة ومحدثيهم ولم يجدوا مجالا للطعن فيه لوثاقته وورعه وأمانته، نبذوه بأنه يقول بالرجعة، فكأنهم يقولون يعبد صنما أو يجعل لله شريكا، فكان هذا الاعتقاد من أكبر ما تنبز به الشيعة الإمامية ويشنع به عليهم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ولنأخذ مثالا على ذلك جابر بن يزيد الجعفي، فالثابت عند أغلب </w:t>
      </w:r>
    </w:p>
    <w:p>
      <w:pPr>
        <w:pStyle w:val="BookText"/>
        <w:rPr/>
      </w:pPr>
      <w:r>
        <w:rPr>
          <w:rFonts w:ascii="Amiri" w:hAnsi="Amiri" w:eastAsia="Amiri" w:cs="Amiri"/>
          <w:color w:val="111111"/>
          <w:sz w:val="28"/>
          <w:sz w:val="28"/>
          <w:szCs w:val="28"/>
          <w:rtl w:val="true"/>
          <w:lang w:bidi="ar-SA"/>
        </w:rPr>
        <w:t>أهل الجرح والتعديل من العامة أن جابرا كان ثقة صدوقا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ورعا في الحديث، ما رأيت أورع في الحديث منه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إسماعيل 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الجعفي صدوق في الحديث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هؤلاء المجانين الذي يقعون في جابر الجعفي، هل جاءكم عن أحد بشئ لم يقله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شككتم في شئ، فلا تشكوا في أن جابرا ثقة، حدثنا عنه مسعر، وسفيان، وشعبة، وحسن بن صالح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عبد الله 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تكلمت في جابر الجعفي لأتكلمن فيك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معلى بن منصور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وشعبة ينهياني عن جابر الجعفي، وكنت أدخل عليه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عندك؟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وسفيان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جابر أحد الذين أخذ عنهم العلم، فقد وصفه الذهبي بأنه أحد أوعية العلم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الرحمن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عن جابر الجعفي عشرة آلاف مسألة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الجراح بن 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سبعون ألف حديث عن أبي جعفر الباقر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تركوها كلها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سلام بن أبي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الجعفي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خمسين ألف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نحو ذلك عن زهير بن معاوية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فلماذا ترك بعضهم حديث جابر، واتهموه بالكذب في الحديث تارة، وبالرفض أخرى، وضعفوه، ونهوا عن كتابة حديثه </w:t>
      </w:r>
      <w:r>
        <w:rPr>
          <w:rStyle w:val="FootnoteAnchor"/>
          <w:rtl w:val="true"/>
        </w:rPr>
        <w:footnoteReference w:id="190"/>
      </w:r>
      <w:r>
        <w:rPr>
          <w:rFonts w:ascii="Amiri" w:hAnsi="Amiri" w:eastAsia="Amiri" w:cs="Amiri"/>
          <w:color w:val="111111"/>
          <w:sz w:val="28"/>
          <w:sz w:val="28"/>
          <w:szCs w:val="28"/>
          <w:rtl w:val="true"/>
          <w:lang w:bidi="ar-SA"/>
        </w:rPr>
        <w:t>؟ والجواب كما تجده عند أقطابهم لا يعدو أكثر من نقطتين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 الجازم بأولوية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الخلق وكونهم أوصياءه وحملة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عابوا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الأوصياء </w:t>
      </w:r>
      <w:r>
        <w:rPr>
          <w:rStyle w:val="FootnoteAnchor"/>
          <w:rtl w:val="true"/>
        </w:rPr>
        <w:footnoteReference w:id="191"/>
      </w:r>
      <w:r>
        <w:rPr>
          <w:rFonts w:ascii="Amiri" w:hAnsi="Amiri" w:eastAsia="Amiri" w:cs="Amiri"/>
          <w:color w:val="111111"/>
          <w:sz w:val="28"/>
          <w:sz w:val="28"/>
          <w:szCs w:val="28"/>
          <w:rtl w:val="true"/>
          <w:lang w:bidi="ar-SA"/>
        </w:rPr>
        <w:t xml:space="preserve">، يريد بذلك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شهاب أنه سمع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جابرا الجعفي وما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فعلمه مما تعلم، ثم دعا علي الحسن فعلمه مما تعلم، ثم دعا الحسن الحسين فعلمه مما تعلم، ثم دعا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 لذلك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وسمعه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العلم الذي كان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ثم انتقل من علي إلى الحسن، ثم لم يزل حتى بلغ جعفرا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وكأنهم لم يسمعوا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بالرجعة، وعليه إجماعهم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ما قذفوه به أنه كان يؤمن بالرجعة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جابر الجعفي فكان يؤمن بالرجعة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استحل أن أروي عنه، كان يؤمن بالرجعة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قتيبة وابن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يؤمن بالرجعة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العقيلي بالإسناد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يحملون عن جابر قبل أن يظهر ما أظهر، فلما أظهر ما أظهر اتهمه الناس في حديثه، وتركه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بالرجعة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يؤمن بالرجعة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فقد اتضح أن جابرا كان يعتقد بالرجعة، وأن معاصريه من أقطاب الحديث عند العامة كانوا يعلمون عقيدته تلك جيدا، كما هو مفاد التصريحات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جاءه هذا الاعتقاد، وما هو مصدر روايته؟ مما لا ريب فيه أن جابرا الجعفي كان معاصرا لثلاثة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علي بن الحسين زين العابدين، ومحمد بن علي الباقر، وجعفر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خواص الإمامين الباقر </w:t>
      </w:r>
    </w:p>
    <w:p>
      <w:pPr>
        <w:pStyle w:val="BookText"/>
        <w:rPr/>
      </w:pP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وروي أنه خدم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03"/>
      </w:r>
      <w:r>
        <w:rPr>
          <w:rFonts w:ascii="Amiri" w:hAnsi="Amiri" w:eastAsia="Amiri" w:cs="Amiri"/>
          <w:color w:val="111111"/>
          <w:sz w:val="28"/>
          <w:sz w:val="28"/>
          <w:szCs w:val="28"/>
          <w:rtl w:val="true"/>
          <w:lang w:bidi="ar-SA"/>
        </w:rPr>
        <w:t xml:space="preserve">، وبقي ملازما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توفي في أيامه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صدقه وأمانته وجلالته، وأن عنده الكثير من أسرارهم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في الصحيح بالإسناد عن الحسين بن أبي العلاء وزياد بن أبي الحلال،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جابر الجعفي، كان يصدق علينا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إلى أربعة أحدهم جابر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ذريح دع ذكر جابر، فإن السفلة إذا سمعوا بأحاديثه شنعوا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أذاعوا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فالرجل من الثقات الأجلاء، وقد شهد له بذلك أعلام الطائفة، كابن قولويه، وعلي بن إبراهيم، والشيخ المفيد في رسالته العددية، وابن الغضائري على ما حكاه العلامة عنه، وقد مر ما يؤيد جلالته وثقته وكونه من أوعية العلم فيما تقدم بمصادر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ونخلص من كل ما تقدم أن جابرا كان قد أخذ هذه العقيدة من عترة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أمرنا بالتمسك بهم بدليل حديث الثقلين، ولو كانت هذه العقيدة غير ثابتة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لورد ولو حديث واحد يدل على منع جابر من القول بالرجعة، على أنه قد أظهر القول بها في حياة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مات في حياة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وقد كان خلال ذلك متوفرا على خدمتهم والأخذ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فالطعن في جابر لقوله بالرجعة هو طعن في عقائد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ومدرسة الإسلام الأصيل المتمثلة بالإمامين محمد الباقر وابنه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 في أوائل الجزء الأول بإسناده إلى الجراح بن 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سبعون ألف حديث عن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تركوها كلها، ثم ذكر مسلم في صحيحه بإسناده إلى محمد بن عمر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جابر بن يزيد الجعفي فلم أكتب عنه لأنه كان يؤمن بالرجعة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رحمك الله كيف حرموا أنفسهم الانتفاع برواية سبعين ألف حديث عن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أعيان أهل بيته الذين أمرهم بالتمسك بهم، ثم إن أكثر المسلمين أو كلهم قد رووا إحياء الأموات في الدنيا وحديث إحياء الله تعالى الأموات في القبور للمسألة، ورواياتهم عن أصحاب الكهف، وهذا كتابهم يتضمن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w:t>
      </w:r>
    </w:p>
    <w:p>
      <w:pPr>
        <w:pStyle w:val="BookText"/>
        <w:rPr/>
      </w:pPr>
      <w:r>
        <w:rPr>
          <w:rFonts w:ascii="Amiri" w:hAnsi="Amiri" w:eastAsia="Amiri" w:cs="Amiri"/>
          <w:color w:val="111111"/>
          <w:sz w:val="28"/>
          <w:sz w:val="28"/>
          <w:szCs w:val="28"/>
          <w:rtl w:val="true"/>
          <w:lang w:bidi="ar-SA"/>
        </w:rPr>
        <w:t>أحياهم</w:t>
      </w:r>
      <w:r>
        <w:rPr>
          <w:rFonts w:eastAsia="Amiri" w:cs="Amiri" w:ascii="Amiri" w:hAnsi="Amiri"/>
          <w:color w:val="111111"/>
          <w:sz w:val="28"/>
          <w:szCs w:val="28"/>
          <w:rtl w:val="true"/>
          <w:lang w:bidi="ar-SA"/>
        </w:rPr>
        <w:t xml:space="preserve">) * </w:t>
      </w:r>
      <w:r>
        <w:rPr>
          <w:rStyle w:val="FootnoteAnchor"/>
          <w:rtl w:val="true"/>
        </w:rPr>
        <w:footnoteReference w:id="208"/>
      </w:r>
      <w:r>
        <w:rPr>
          <w:rFonts w:ascii="Amiri" w:hAnsi="Amiri" w:eastAsia="Amiri" w:cs="Amiri"/>
          <w:color w:val="111111"/>
          <w:sz w:val="28"/>
          <w:sz w:val="28"/>
          <w:szCs w:val="28"/>
          <w:rtl w:val="true"/>
          <w:lang w:bidi="ar-SA"/>
        </w:rPr>
        <w:t xml:space="preserve">والسبعون الذين أصابتهم الصاعقة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العزير، ومن أحياه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جريج الذي أجمع على صحته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هؤلاء وبين ما رواه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من الرجعة، وأي ذنب كان لجابر في ذلك حتى يسقط حديثه </w:t>
      </w:r>
      <w:r>
        <w:rPr>
          <w:rStyle w:val="FootnoteAnchor"/>
          <w:rtl w:val="true"/>
        </w:rPr>
        <w:footnoteReference w:id="209"/>
      </w:r>
      <w:r>
        <w:rPr>
          <w:rFonts w:ascii="Amiri" w:hAnsi="Amiri" w:eastAsia="Amiri" w:cs="Amiri"/>
          <w:color w:val="111111"/>
          <w:sz w:val="28"/>
          <w:sz w:val="28"/>
          <w:szCs w:val="28"/>
          <w:rtl w:val="true"/>
          <w:lang w:bidi="ar-SA"/>
        </w:rPr>
        <w:t>؟ ولا ريب أن هذا من نوع التهويلات التي تتخذها الطوائف الإسلامية ذريعة لطعن بعضها في بعض والدعاية ضده، ولا نرى في الواقع ما يبرر هذا التهويل ضد أمر لا يحيطون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حماد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الأمور العظام من الرجعة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الذي تسألون عنه لم يجئ أوانه، وقد 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الأخبار المروية في الرجعة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كالأحاديث في الدجال التي رواها مسلم في صحيحه القسم الثاني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ورواها أيضا أبو داود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وكالأحاديث التي 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أعمال الأحياء تعرض على أقاربهم الأموات في كتاب مجمع الزوائد للهيثمي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الأحاديث التي رواها العامة في الدجال وعرض أعمال الأحياء </w:t>
      </w:r>
    </w:p>
    <w:p>
      <w:pPr>
        <w:pStyle w:val="BookText"/>
        <w:rPr/>
      </w:pPr>
      <w:r>
        <w:rPr>
          <w:rFonts w:ascii="Amiri" w:hAnsi="Amiri" w:eastAsia="Amiri" w:cs="Amiri"/>
          <w:color w:val="111111"/>
          <w:sz w:val="28"/>
          <w:sz w:val="28"/>
          <w:szCs w:val="28"/>
          <w:rtl w:val="true"/>
          <w:lang w:bidi="ar-SA"/>
        </w:rPr>
        <w:t xml:space="preserve">على الأموات وما إلى ذلك تماما كالأخبار التي رواها الشيعة في الرجعة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ينبغي الالتفات إلى أن هناك بعض الخرافات التي تمتزج أحيانا في الحديث عن الرجعة فتشوه وجهها في نظر البعض حتى من الشيعة الإمامية، يقول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بعض السادات المعاصرين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التي وعد الله بها المؤمنين والنبي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أشياء غريبة مستبعدة لم يعلم من أين نقلها، ليظهر أنها من الكتب المعتمدة، فكان ذلك سببا لتوقف بعض الشيعة عن قبولها حتى انتهى إلى إنكار أصل الرجعة وحاول إبطال برهانها ودليلها، وربما مال إلى صرفها عن ظاهرها وتأويلها، مع أن الأخبار بها متواترة، والأدلة العقلية والنقلية على إمكانها ووقوعها كثيرة متظاهرة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أن نعول على الأحاديث الصحيحة في هذا الشأن، وأن نتجنب الأحاديث المشكوكة أو المطعون فيها</w:t>
      </w:r>
      <w:r>
        <w:rPr>
          <w:rFonts w:eastAsia="Amiri" w:cs="Amiri" w:ascii="Amiri" w:hAnsi="Amiri"/>
          <w:color w:val="111111"/>
          <w:sz w:val="28"/>
          <w:szCs w:val="28"/>
          <w:rtl w:val="true"/>
          <w:lang w:bidi="ar-SA"/>
        </w:rPr>
        <w:t xml:space="preserve">. </w:t>
      </w:r>
      <w:bookmarkStart w:id="142" w:name="pg1185_9195"/>
    </w:p>
    <w:p>
      <w:pPr>
        <w:pStyle w:val="Heading2"/>
        <w:numPr>
          <w:ilvl w:val="1"/>
          <w:numId w:val="1"/>
        </w:numPr>
        <w:rPr/>
      </w:pPr>
      <w:bookmarkStart w:id="143" w:name="__RefHeading___Toc2594419_373438147"/>
      <w:bookmarkStart w:id="144" w:name="_Toc51"/>
      <w:bookmarkEnd w:id="142"/>
      <w:bookmarkEnd w:id="143"/>
      <w:r>
        <w:rPr>
          <w:rtl w:val="true"/>
        </w:rPr>
        <w:t>الفصل الخامس</w:t>
      </w:r>
      <w:r>
        <w:rPr>
          <w:rtl w:val="true"/>
        </w:rPr>
        <w:t xml:space="preserve">: </w:t>
      </w:r>
      <w:r>
        <w:rPr>
          <w:rtl w:val="true"/>
        </w:rPr>
        <w:t>مناظرات واحتجاجات</w:t>
      </w:r>
      <w:bookmarkEnd w:id="144"/>
    </w:p>
    <w:p>
      <w:pPr>
        <w:pStyle w:val="Heading3"/>
        <w:numPr>
          <w:ilvl w:val="2"/>
          <w:numId w:val="1"/>
        </w:numPr>
        <w:rPr/>
      </w:pPr>
      <w:bookmarkStart w:id="145" w:name="__RefHeading___Toc2594421_373438147"/>
      <w:bookmarkStart w:id="146" w:name="_Toc52"/>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الطائفة عدة مناظرات للدفاع عن عقيدة الرجعة، أجابوا فيها عن شبهات المخالفين للقول بها، أو مصححين بعض الآراء التي تعترض لأصحابهم، أو شارحين لهم بعض المفاهيم المتعلقة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والدفاع عن هذه العقيدة لم يكن وليد الأمس، بل إنه راسخ منذ عصر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وأصحابهم، فقد روي عن نجم ابن أعين أنه كان مجاهدا في الرجعة </w:t>
      </w:r>
      <w:r>
        <w:rPr>
          <w:rStyle w:val="FootnoteAnchor"/>
          <w:rtl w:val="true"/>
        </w:rPr>
        <w:footnoteReference w:id="214"/>
      </w:r>
      <w:r>
        <w:rPr>
          <w:rFonts w:ascii="Amiri" w:hAnsi="Amiri" w:eastAsia="Amiri" w:cs="Amiri"/>
          <w:color w:val="111111"/>
          <w:sz w:val="28"/>
          <w:sz w:val="28"/>
          <w:szCs w:val="28"/>
          <w:rtl w:val="true"/>
          <w:lang w:bidi="ar-SA"/>
        </w:rPr>
        <w:t xml:space="preserve">، وروى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في ترجمة ميسر بن عبد العزيز عن العقيقي،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ممن يجاهد </w:t>
      </w:r>
      <w:r>
        <w:rPr>
          <w:rStyle w:val="FootnoteAnchor"/>
          <w:rtl w:val="true"/>
        </w:rPr>
        <w:footnoteReference w:id="215"/>
      </w:r>
      <w:r>
        <w:rPr>
          <w:rFonts w:ascii="Amiri" w:hAnsi="Amiri" w:eastAsia="Amiri" w:cs="Amiri"/>
          <w:color w:val="111111"/>
          <w:sz w:val="28"/>
          <w:sz w:val="28"/>
          <w:szCs w:val="28"/>
          <w:rtl w:val="true"/>
          <w:lang w:bidi="ar-SA"/>
        </w:rPr>
        <w:t xml:space="preserve">في الرجعة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أنه يرجع بعد موته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ويجاهد معه، والأظهر عندي أن المعنى أنه كان يجادل مع المخالفين، </w:t>
      </w:r>
      <w:bookmarkStart w:id="147" w:name="pg1185_9196"/>
    </w:p>
    <w:p>
      <w:pPr>
        <w:pStyle w:val="BookText"/>
        <w:rPr/>
      </w:pPr>
      <w:bookmarkEnd w:id="147"/>
      <w:r>
        <w:rPr>
          <w:rFonts w:ascii="Amiri" w:hAnsi="Amiri" w:eastAsia="Amiri" w:cs="Amiri"/>
          <w:color w:val="111111"/>
          <w:sz w:val="28"/>
          <w:sz w:val="28"/>
          <w:szCs w:val="28"/>
          <w:rtl w:val="true"/>
          <w:lang w:bidi="ar-SA"/>
        </w:rPr>
        <w:t xml:space="preserve">ويحتج عليهم في حقية الرجعة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594423_373438147"/>
      <w:bookmarkStart w:id="149" w:name="_Toc53"/>
      <w:bookmarkEnd w:id="148"/>
      <w:r>
        <w:rPr/>
        <w:t>1</w:t>
      </w:r>
      <w:r>
        <w:rPr>
          <w:rtl w:val="true"/>
        </w:rPr>
        <w:t xml:space="preserve"> - </w:t>
      </w:r>
      <w:r>
        <w:rPr>
          <w:rtl w:val="true"/>
        </w:rPr>
        <w:t xml:space="preserve">احتجاج أمير المؤمنين علي </w:t>
      </w:r>
      <w:r>
        <w:rPr>
          <w:rtl w:val="true"/>
        </w:rPr>
        <w:t>(</w:t>
      </w:r>
      <w:r>
        <w:rPr>
          <w:rtl w:val="true"/>
        </w:rPr>
        <w:t>عليه السلام</w:t>
      </w:r>
      <w:r>
        <w:rPr>
          <w:rtl w:val="true"/>
        </w:rPr>
        <w:t>):</w:t>
      </w:r>
      <w:bookmarkEnd w:id="149"/>
    </w:p>
    <w:p>
      <w:pPr>
        <w:pStyle w:val="BookText"/>
        <w:rPr/>
      </w:pPr>
      <w:r>
        <w:rPr>
          <w:rFonts w:ascii="Amiri" w:hAnsi="Amiri" w:eastAsia="Amiri" w:cs="Amiri"/>
          <w:color w:val="111111"/>
          <w:sz w:val="28"/>
          <w:sz w:val="28"/>
          <w:szCs w:val="28"/>
          <w:rtl w:val="true"/>
          <w:lang w:bidi="ar-SA"/>
        </w:rPr>
        <w:t>روى الحسن بن سليمان الحلي بالإسناد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الكواء اليشكري 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أبا المعتمر تكلم آنفا بكلام لا يحتمله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أنك حدثته أنك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رأينا أو سمعنا برجل أكبر سنا من أبيه؟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كبر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فهل تؤمن أنت بهذا وتعرفه؟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 يا ابن الكواء، إفقه عني أخبرك عن ذلك، إن عزيرا خرج من أهله وامرأته في شهرها، وله يومئذ خمسون سنة، فلما ابتلاه الله عز وجل بذنبه أماته مائة عام ثم بعثه، فرجع إلى أهله وهو ابن خمسين سنة، فاستقبله ابنه وهو ابن مائة سنة، ورد الله عزيرا في السن الذي 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ما نريد؟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أناسا من أصحابك يزعمون أنهم يردون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بما سمعت ولا تزد في الكلام، فما قلت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بشئ مما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الله عز وجل ابتلى قوما بما كان من ذنوبهم، فأماتهم قبل آجالهم التي سميت لهم ثم ردهم إلى الدنيا ليستوفوا أرزاقهم، ثم أماتهم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على ابن الكواء ولم يهتد له،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تعلم أن الله عز وجل قال في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 </w:t>
      </w:r>
      <w:r>
        <w:rPr>
          <w:rStyle w:val="FootnoteAnchor"/>
          <w:rtl w:val="true"/>
        </w:rPr>
        <w:footnoteReference w:id="218"/>
      </w:r>
      <w:r>
        <w:rPr>
          <w:rFonts w:ascii="Amiri" w:hAnsi="Amiri" w:eastAsia="Amiri" w:cs="Amiri"/>
          <w:color w:val="111111"/>
          <w:sz w:val="28"/>
          <w:sz w:val="28"/>
          <w:szCs w:val="28"/>
          <w:rtl w:val="true"/>
          <w:lang w:bidi="ar-SA"/>
        </w:rPr>
        <w:t xml:space="preserve">فانطلق بهم معه ليشهدوا له إذا رجعوا عند الملأ من بني إسرائيل إن ربي قد كلمني، فلو أنهم سلموا ذلك له، وصدقوا به، لكان خيرا لهم، ولكنهم 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فأخذتكم الصاعقة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أفترى يا ابن الكواء أن هؤلاء قد رجعوا إلى منازلهم بعد ما ماتوا؟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ثم أماتهم مكانهم؟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أوليس قد أخبرك الله في كتابه حيث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وظللنا عليكم الغمام وأنزلنا عليكم المن والسلوى</w:t>
      </w:r>
      <w:r>
        <w:rPr>
          <w:rFonts w:eastAsia="Amiri" w:cs="Amiri" w:ascii="Amiri" w:hAnsi="Amiri"/>
          <w:color w:val="111111"/>
          <w:sz w:val="28"/>
          <w:szCs w:val="28"/>
          <w:rtl w:val="true"/>
          <w:lang w:bidi="ar-SA"/>
        </w:rPr>
        <w:t xml:space="preserve">) * </w:t>
      </w:r>
      <w:r>
        <w:rPr>
          <w:rStyle w:val="FootnoteAnchor"/>
          <w:rtl w:val="true"/>
        </w:rPr>
        <w:footnoteReference w:id="220"/>
      </w:r>
      <w:r>
        <w:rPr>
          <w:rFonts w:ascii="IRNazanin" w:hAnsi="IRNazanin" w:eastAsia="IRNazanin"/>
          <w:color w:val="111111"/>
          <w:sz w:val="28"/>
          <w:sz w:val="28"/>
          <w:szCs w:val="28"/>
          <w:rtl w:val="true"/>
          <w:lang w:bidi="fa-IR"/>
        </w:rPr>
        <w:t xml:space="preserve">فهذا بعد </w:t>
      </w:r>
      <w:bookmarkStart w:id="150" w:name="pg1185_9198"/>
    </w:p>
    <w:p>
      <w:pPr>
        <w:pStyle w:val="BookText"/>
        <w:rPr/>
      </w:pPr>
      <w:bookmarkEnd w:id="150"/>
      <w:r>
        <w:rPr>
          <w:rFonts w:ascii="Amiri" w:hAnsi="Amiri" w:eastAsia="Amiri" w:cs="Amiri"/>
          <w:color w:val="111111"/>
          <w:sz w:val="28"/>
          <w:sz w:val="28"/>
          <w:szCs w:val="28"/>
          <w:rtl w:val="true"/>
          <w:lang w:bidi="ar-SA"/>
        </w:rPr>
        <w:t>الموت إذ بعثهم، وأيضا مثلهم يا بن الكواء الملأ من بني إسرائيل حيث يقول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أيضا في عزير حيث أخبر الله عز وجل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وأخذه بذلك الذنب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عام ثم بعثه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ورده إلى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كم لبثت قال لبثت يوما أو بعض يوم قال بل لبثت مائة عام</w:t>
      </w:r>
      <w:r>
        <w:rPr>
          <w:rFonts w:eastAsia="Amiri" w:cs="Amiri" w:ascii="Amiri" w:hAnsi="Amiri"/>
          <w:color w:val="111111"/>
          <w:sz w:val="28"/>
          <w:szCs w:val="28"/>
          <w:rtl w:val="true"/>
          <w:lang w:bidi="ar-SA"/>
        </w:rPr>
        <w:t xml:space="preserve">) * </w:t>
      </w:r>
      <w:r>
        <w:rPr>
          <w:rStyle w:val="FootnoteAnchor"/>
          <w:rtl w:val="true"/>
        </w:rPr>
        <w:footnoteReference w:id="222"/>
      </w:r>
      <w:r>
        <w:rPr>
          <w:rFonts w:ascii="Amiri" w:hAnsi="Amiri" w:eastAsia="Amiri" w:cs="Amiri"/>
          <w:color w:val="111111"/>
          <w:sz w:val="28"/>
          <w:sz w:val="28"/>
          <w:szCs w:val="28"/>
          <w:rtl w:val="true"/>
          <w:lang w:bidi="ar-SA"/>
        </w:rPr>
        <w:t>فلا تشكن يا ابن الكواء في قدرة الله عز وجل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594425_373438147"/>
      <w:bookmarkStart w:id="152" w:name="_Toc54"/>
      <w:bookmarkEnd w:id="151"/>
      <w:r>
        <w:rPr/>
        <w:t>2</w:t>
      </w:r>
      <w:r>
        <w:rPr>
          <w:rtl w:val="true"/>
        </w:rPr>
        <w:t xml:space="preserve"> - </w:t>
      </w:r>
      <w:r>
        <w:rPr>
          <w:rtl w:val="true"/>
        </w:rPr>
        <w:t>احتجاج الشيخ أبي محمد الفضل بن شاذان</w:t>
      </w:r>
      <w:r>
        <w:rPr>
          <w:rtl w:val="true"/>
        </w:rPr>
        <w:t>:</w:t>
      </w:r>
      <w:bookmarkEnd w:id="1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الشيخ أبي محمد الفضل بن شاذان</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ذكر الشيخ 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على هذه المسألة روايات عديدة في إحياء الموتى مروية بطرق العامة، وقد ذكرنا بعضا منها مراعاة للاختصار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594427_373438147"/>
      <w:bookmarkStart w:id="154" w:name="_Toc55"/>
      <w:bookmarkEnd w:id="153"/>
      <w:r>
        <w:rPr>
          <w:rtl w:val="true"/>
        </w:rPr>
        <w:t xml:space="preserve">قال في ذكر الرجعة من كتاب </w:t>
      </w:r>
      <w:r>
        <w:rPr>
          <w:rtl w:val="true"/>
        </w:rPr>
        <w:t>(</w:t>
      </w:r>
      <w:r>
        <w:rPr>
          <w:rtl w:val="true"/>
        </w:rPr>
        <w:t>الايضاح</w:t>
      </w:r>
      <w:r>
        <w:rPr>
          <w:rtl w:val="true"/>
        </w:rPr>
        <w:t>):</w:t>
      </w:r>
      <w:bookmarkEnd w:id="1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ورأيناكم عبتم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تروونه من وجوه كثيرة </w:t>
      </w:r>
    </w:p>
    <w:p>
      <w:pPr>
        <w:pStyle w:val="BookText"/>
        <w:rPr/>
      </w:pPr>
      <w:r>
        <w:rPr>
          <w:rFonts w:ascii="Amiri" w:hAnsi="Amiri" w:eastAsia="Amiri" w:cs="Amiri"/>
          <w:color w:val="111111"/>
          <w:sz w:val="28"/>
          <w:sz w:val="28"/>
          <w:szCs w:val="28"/>
          <w:rtl w:val="true"/>
          <w:lang w:bidi="ar-SA"/>
        </w:rPr>
        <w:t>عن علمائكم وتؤمنون به وتصدقونه، ونحن مفسرون ذلك لكم من أحاديثكم بما لا يمكنكم دفعه ولا جحوده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رويتم عن إبراهيم بن موسى الفراء، عن ابن المبارك،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يزيد بن النعمان بن بشير إلى حلقة القاسم بن عبد الرحمن بكتاب أبيه النعمان بن بشير إلى أم عبد الله بنت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النعمان بن بشير إلى أم عبد الله بنت أبي هاشم، سلام عليكم، فإني أحمد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كتبت إليك بشأن زيد بن خارجة، وأنه كان من أمره أنه أخذه وجع في كتفه، وهو يومئذ من أصح أهل المدينة حالا في نفسه فمات، فأتاني آت وأنا أسبح بعد الغروب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تكلم بعد وفاته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ورويتم عن إسماعيل بن أبي خالد، عن عبد الملك بن عمير،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أربع إخوة، وكان الربيع أخونا أصومنا في اليوم الحار، وأطولنا صلاة، فخرجت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مات، فاسترجعت، ثم رجعت حتى دخلت عليه فإذا هو مسجى عليه، وإذا أهله عنده، وهم يذكرون الحنوط، فجلست فما أدري أجلوسي كان أسرع أم كشف الثوب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فأخذني ما تقدم وما تأخر من الذعر،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أبعد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لقيت ربي بعدكم فتلقاني بروح وريحان ورب غير غضبان، فكساني ثياب السندس والإستبرق، وإن الأمر أيسر مما في أنفسكم ولا تغتروا،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 أن لا يسبقني حتى أدركه، فاحملوني إلى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شبهت موته إلا بحصاة رمى بها في ماء، ثم ذكرت ذلك لعائشة،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بمثل حديث صاحبكم في هذه الأمة، ولقد صدقكم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عدة روايات عن إحياء الموتى بطرق العامة،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رواياتكم وروايات فقهائكم في الرجعة بعد الموت، وأنتم تنحلون الشيعة ذلك جرأة على الله وقلة رعة وقلة حياء لا تبالون 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ابن أخت يعلى الطنافسي ومحمد بن الحسين بن المختار كلاهما عن محمد بن الفضيل، عن إسماعيل ابن أبي خالد، عن فراس،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أغمي على رجل من جهينة في بدء الإسلام، كان اسمه المفضل، فبينا نحن كذلك عنده وقد حفر له، إذ مر بهم رجل يقال له المفضل، فأفاق الرجل، فكشف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بكم المفضل؟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 بنا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كاد أن يغلط بي، أتاني حين رأيتموني أغمي علي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الهبل، أما ترى حفرتك تنثل، وقد كادت أمك أن تثكل، أرأيت أن حولناها عنك بمحول، وجعلنا في حفرتك المفضل، الذي مشى فاجتذل، إنه لم يؤد ولم يفعل، ثم ملأنا عليه الجندل، أتشكر لربك وتصل، وتدع سبيل من أشرك وأضل؟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عني، فعاش هو، ودفن المفضل مكانه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ترضوا بالرجعة حتى نسبتم ملك الموت إلى الغلط جرأة منكم، ثم لم ترضوا أن تحيوا الموتى من الناس برواياتكم حتى أحييتم البهائم من الحمر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ذلك ما رواه عدة من فقهائكم منهم محمد بن عبيد الطنافسي، عن إسماعيل بن أبي خالد، 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أقبلوا من الدفينة متطوعين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فنفق حمار رجل منهم، فسألوه أن ينطلق معهم ولا يتخلف، فأبى فقام فتوضأ ثم 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قد أقبلت من الدفينة مجاهدا في سبيلك ابتغاء مرضاتك، وإني أسألك أن لا تجعل لأحد علي منة، وأن تبعث لي حماري، ثم قام فضربه برجله، فقام الحمار ينفض أذنيه، فأسرجه وألجمه، ثم ركب حتى لحق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أن الله بعث لي حماري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 حماره بيع بالكناسة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من عجائبكم ورواياتكم، ولسنا ننكر لله قدرة أن يحيي الموتى، ولكنا نعجب أنكم إذا بلغكم عن الشيعة قول عظمتموه وشنعتموه، وأنتم تقولون بأكثر منه، والشيعة لا تروي حديثا واحدا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ميتا رجع إلى الدنيا كما تروون أنتم عن علمائكم، إنما يروون عن آل محمد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أشبه شئ ببني إسرائيل، والله ليكونن فيكم ما كان فيهم حذو النعل بالنعل والقذة بالقذة، حتى لو دخلوا جحر ضب لدخلتموه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أنتم تروونها أيضا، وقد علمتم أن بني إسرائيل قد كان فيهم من عاش بعد الموت، ورجعوا إلى الدنيا، فأكلوا وشربوا ونكحوا النساء، وولد لهم الأولاد، ولا ننكر لله قدرة أن يحيي الموتى، فإن شاء أن يرد من مات من هذه الأمة كما رد بني إسرائيل فعل، وإن شاء لم يفعل</w:t>
      </w:r>
      <w:r>
        <w:rPr>
          <w:rFonts w:eastAsia="Amiri" w:cs="Amiri" w:ascii="Amiri" w:hAnsi="Amiri"/>
          <w:color w:val="111111"/>
          <w:sz w:val="28"/>
          <w:szCs w:val="28"/>
          <w:rtl w:val="true"/>
          <w:lang w:bidi="ar-SA"/>
        </w:rPr>
        <w:t xml:space="preserve">. </w:t>
      </w:r>
      <w:bookmarkStart w:id="155" w:name="pg1185_9202"/>
    </w:p>
    <w:p>
      <w:pPr>
        <w:pStyle w:val="BookText"/>
        <w:rPr/>
      </w:pPr>
      <w:bookmarkEnd w:id="155"/>
      <w:r>
        <w:rPr>
          <w:rFonts w:ascii="Amiri" w:hAnsi="Amiri" w:eastAsia="Amiri" w:cs="Amiri"/>
          <w:color w:val="111111"/>
          <w:sz w:val="28"/>
          <w:sz w:val="28"/>
          <w:szCs w:val="28"/>
          <w:rtl w:val="true"/>
          <w:lang w:bidi="ar-SA"/>
        </w:rPr>
        <w:t xml:space="preserve">فهذا قول الشيعة، وأنتم تروون أن قوما قد رجعوا بعد الموت ثم ماتوا بعد، ثم تنكرون أمرا أنتم تروونه وتقولون به ظلما وبهتانا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594429_373438147"/>
      <w:bookmarkStart w:id="157" w:name="_Toc56"/>
      <w:bookmarkEnd w:id="156"/>
      <w:r>
        <w:rPr/>
        <w:t>3</w:t>
      </w:r>
      <w:r>
        <w:rPr>
          <w:rtl w:val="true"/>
        </w:rPr>
        <w:t xml:space="preserve"> - </w:t>
      </w:r>
      <w:r>
        <w:rPr>
          <w:rtl w:val="true"/>
        </w:rPr>
        <w:t xml:space="preserve">احتجاج السيد الحميري </w:t>
      </w:r>
      <w:r>
        <w:rPr>
          <w:rtl w:val="true"/>
        </w:rPr>
        <w:t>(</w:t>
      </w:r>
      <w:r>
        <w:rPr>
          <w:rtl w:val="true"/>
        </w:rPr>
        <w:t>قدس سره</w:t>
      </w:r>
      <w:r>
        <w:rPr>
          <w:rtl w:val="true"/>
        </w:rPr>
        <w:t>):</w:t>
      </w:r>
      <w:bookmarkEnd w:id="1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ولد في نعمان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ومات ببغداد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عبيد الله الربعي،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مجلس المنصور، وهو بالجسر الأكبر، وسوار القاضي عنده والسيد الحميري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الإله الذي لا شئ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الملك للدنيا وللدين حتى أتى على القصيدة والمنصور مسرور، 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أمير المؤمنين يعطيك بلسانه ما ليس في قلبه، والله إن القوم الذين يدين بحبهم لغيركم، وإنه لينطوي في عداوتكم،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يقول بالرجعة، ويتناول الشيخين بالسب والوقيعة فيهما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بأني أقول بالرجعة، فإن قولي في ذلك على ما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xml:space="preserve">) *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موضع آخر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 </w:t>
      </w:r>
      <w:r>
        <w:rPr>
          <w:rStyle w:val="FootnoteAnchor"/>
          <w:rtl w:val="true"/>
        </w:rPr>
        <w:footnoteReference w:id="228"/>
      </w:r>
      <w:r>
        <w:rPr>
          <w:rFonts w:ascii="Amiri" w:hAnsi="Amiri" w:eastAsia="Amiri" w:cs="Amiri"/>
          <w:color w:val="111111"/>
          <w:sz w:val="28"/>
          <w:sz w:val="28"/>
          <w:szCs w:val="28"/>
          <w:rtl w:val="true"/>
          <w:lang w:bidi="ar-SA"/>
        </w:rPr>
        <w:t>فعلمت أن هاهنا حشرين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عام، والآخر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 </w:t>
      </w:r>
      <w:r>
        <w:rPr>
          <w:rStyle w:val="FootnoteAnchor"/>
          <w:rtl w:val="true"/>
        </w:rPr>
        <w:footnoteReference w:id="229"/>
      </w:r>
      <w:r>
        <w:rPr>
          <w:rFonts w:ascii="Amiri" w:hAnsi="Amiri" w:eastAsia="Amiri" w:cs="Amiri"/>
          <w:color w:val="111111"/>
          <w:sz w:val="28"/>
          <w:sz w:val="28"/>
          <w:szCs w:val="28"/>
          <w:rtl w:val="true"/>
          <w:lang w:bidi="ar-SA"/>
        </w:rPr>
        <w:t>، وقال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 </w:t>
      </w:r>
      <w:r>
        <w:rPr>
          <w:rStyle w:val="FootnoteAnchor"/>
          <w:rtl w:val="true"/>
        </w:rPr>
        <w:footnoteReference w:id="230"/>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 </w:t>
      </w:r>
      <w:r>
        <w:rPr>
          <w:rStyle w:val="FootnoteAnchor"/>
          <w:rtl w:val="true"/>
        </w:rPr>
        <w:footnoteReference w:id="231"/>
      </w:r>
      <w:r>
        <w:rPr>
          <w:rFonts w:ascii="Amiri" w:hAnsi="Amiri" w:eastAsia="Amiri" w:cs="Amiri"/>
          <w:color w:val="111111"/>
          <w:sz w:val="28"/>
          <w:sz w:val="28"/>
          <w:szCs w:val="28"/>
          <w:rtl w:val="true"/>
          <w:lang w:bidi="ar-SA"/>
        </w:rPr>
        <w:t>، فهذا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المتكبرون في صور الذر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يجر في بني إسرائيل شئ إلا ويكون في أمتي مثله حتى المسخ والخسف والقذف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أبعد أن يمسخ الله كثيرا من هذه الأمة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فالرجعة التي أذهب إليها، هي ما نطق به القرآن، وجاءت به السنة، وأني لأعتقد أن الله تعالى يرد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كلبا أو قردا أو خنزيرا أو ذرة، فإنه والله متكبر متجبر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المنصور وأنشأ السيد يقول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جاثيت سوارا أبا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 الحاكم العادل فقال قولا خطأ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الورى الحافي والناعل </w:t>
      </w:r>
      <w:bookmarkStart w:id="158" w:name="pg1185_9204"/>
    </w:p>
    <w:p>
      <w:pPr>
        <w:pStyle w:val="BookText"/>
        <w:rPr/>
      </w:pPr>
      <w:bookmarkEnd w:id="158"/>
      <w:r>
        <w:rPr>
          <w:rFonts w:ascii="Amiri" w:hAnsi="Amiri" w:eastAsia="Amiri" w:cs="Amiri"/>
          <w:color w:val="111111"/>
          <w:sz w:val="28"/>
          <w:sz w:val="28"/>
          <w:szCs w:val="28"/>
          <w:rtl w:val="true"/>
          <w:lang w:bidi="ar-SA"/>
        </w:rPr>
        <w:t>حتى أتى على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البادئ أظلم، يكف عني حتى أكف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بكلام فيه نصفة، كف عنه حتى لا يهجوك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594431_373438147"/>
      <w:bookmarkStart w:id="160" w:name="_Toc57"/>
      <w:bookmarkEnd w:id="159"/>
      <w:r>
        <w:rPr/>
        <w:t>4</w:t>
      </w:r>
      <w:r>
        <w:rPr>
          <w:rtl w:val="true"/>
        </w:rPr>
        <w:t xml:space="preserve"> - </w:t>
      </w:r>
      <w:r>
        <w:rPr>
          <w:rtl w:val="true"/>
        </w:rPr>
        <w:t xml:space="preserve">احتجاج الشيخ المفيد </w:t>
      </w:r>
      <w:r>
        <w:rPr>
          <w:rtl w:val="true"/>
        </w:rPr>
        <w:t>(</w:t>
      </w:r>
      <w:r>
        <w:rPr>
          <w:rtl w:val="true"/>
        </w:rPr>
        <w:t>قدس سره</w:t>
      </w:r>
      <w:r>
        <w:rPr>
          <w:rtl w:val="true"/>
        </w:rPr>
        <w:t>):</w:t>
      </w:r>
      <w:bookmarkEnd w:id="1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روى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المعتزلة شيخا من أصحابنا الإمامية وأنا حاضر في مجلس قد ضم جماعة كثيرة من أهل النظر والمتفقهة،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قولك إن الله يرد الأموات إلى دار الدنيا قبل الآخرة عند قيام القائم ليشفي المؤمنين كما زعمتم من الكافرين، وينتقم لهم منهم كما فعل ببني إسرائيل فيما ذكرتم حتى تتعلقون بقوله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xml:space="preserve">) * </w:t>
      </w:r>
      <w:r>
        <w:rPr>
          <w:rStyle w:val="FootnoteAnchor"/>
          <w:rtl w:val="true"/>
        </w:rPr>
        <w:footnoteReference w:id="234"/>
      </w:r>
      <w:r>
        <w:rPr>
          <w:rFonts w:ascii="Amiri" w:hAnsi="Amiri" w:eastAsia="Amiri" w:cs="Amiri"/>
          <w:color w:val="111111"/>
          <w:sz w:val="28"/>
          <w:sz w:val="28"/>
          <w:szCs w:val="28"/>
          <w:rtl w:val="true"/>
          <w:lang w:bidi="ar-SA"/>
        </w:rPr>
        <w:t xml:space="preserve">فخبرني ما الذي يؤمنك أن يتوب يزيد وشمر وعبد الرحمن بن ملجم ويرجعوا عن كفرهم وضلالهم، ويصيروا في تلك الحال إلى طاعة الإمام، فيجب عليك ولايتهم والقطع بالثواب لهم، وهذا نقض مذهب الشيعة؟ </w:t>
      </w:r>
    </w:p>
    <w:p>
      <w:pPr>
        <w:pStyle w:val="BookText"/>
        <w:rPr/>
      </w:pPr>
      <w:r>
        <w:rPr>
          <w:rFonts w:ascii="Amiri" w:hAnsi="Amiri" w:eastAsia="Amiri" w:cs="Amiri"/>
          <w:color w:val="111111"/>
          <w:sz w:val="28"/>
          <w:sz w:val="28"/>
          <w:szCs w:val="28"/>
          <w:rtl w:val="true"/>
          <w:lang w:bidi="ar-SA"/>
        </w:rPr>
        <w:t>فقال الشيخ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بالرجعة إنما قبلته من طريق التوقيف، وليس للنظر فيه مجال، وأنا لا أجيب عن هذا السؤال لأنه لا نص عندي فيه، وليس يجوز أن أتكلف من غير جهة النص الجواب، فشنع السائل وجماعة المعتزلة عليه بالعجز والانقطاع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هذا السؤال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لا يمنع من وقوع الإيمان ممن ذكره السائل، لأنه يكون إذ ذاك قادرا عليه ومتمكنا منه، لكن السمع الوارد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عليهم بالخلود في النار والتدين بلعنهم والبراءة منهم إلى آخر الزمان، منع من الشك في حالهم، وأوجب القطع على سوء اختيارهم، فجروا في هذا الباب مجرى فرعون وهامان وقارون، ومجرى من قطع الله عز اسمه على خلوده في النار، ودل بالقطع على أنهم لا يختارون أبدا الإيمان، وأنهم ممن قال الله تعالى في جملتهم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أننا نزلنا إليهم الملائكة وكلمهم الموتى وحشرنا عليهم كل شئ قبلا ما كانوا ليؤمنوا إلا أن يشاء الله</w:t>
      </w:r>
      <w:r>
        <w:rPr>
          <w:rFonts w:eastAsia="Amiri" w:cs="Amiri" w:ascii="Amiri" w:hAnsi="Amiri"/>
          <w:color w:val="111111"/>
          <w:sz w:val="28"/>
          <w:szCs w:val="28"/>
          <w:rtl w:val="true"/>
          <w:lang w:bidi="ar-SA"/>
        </w:rPr>
        <w:t xml:space="preserve">) * </w:t>
      </w:r>
      <w:r>
        <w:rPr>
          <w:rStyle w:val="FootnoteAnchor"/>
          <w:rtl w:val="true"/>
        </w:rPr>
        <w:footnoteReference w:id="235"/>
      </w:r>
      <w:r>
        <w:rPr>
          <w:rFonts w:ascii="Amiri" w:hAnsi="Amiri" w:eastAsia="Amiri" w:cs="Amiri"/>
          <w:color w:val="111111"/>
          <w:sz w:val="28"/>
          <w:sz w:val="28"/>
          <w:szCs w:val="28"/>
          <w:rtl w:val="true"/>
          <w:lang w:bidi="ar-SA"/>
        </w:rPr>
        <w:t xml:space="preserve">يريد إلا أن يلجئهم الله، والذين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xml:space="preserve">) *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جل من قائل في تفصيلهم وهو يوجه القول إلى 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عليك لعنتي</w:t>
      </w:r>
    </w:p>
    <w:p>
      <w:pPr>
        <w:pStyle w:val="BookText"/>
        <w:rPr/>
      </w:pPr>
      <w:r>
        <w:rPr>
          <w:rFonts w:ascii="Amiri" w:hAnsi="Amiri" w:eastAsia="Amiri" w:cs="Amiri"/>
          <w:color w:val="111111"/>
          <w:sz w:val="28"/>
          <w:sz w:val="28"/>
          <w:szCs w:val="28"/>
          <w:rtl w:val="true"/>
          <w:lang w:bidi="ar-SA"/>
        </w:rPr>
        <w:t>إلى يوم الدين</w:t>
      </w:r>
      <w:r>
        <w:rPr>
          <w:rFonts w:eastAsia="Amiri" w:cs="Amiri" w:ascii="Amiri" w:hAnsi="Amiri"/>
          <w:color w:val="111111"/>
          <w:sz w:val="28"/>
          <w:szCs w:val="28"/>
          <w:rtl w:val="true"/>
          <w:lang w:bidi="ar-SA"/>
        </w:rPr>
        <w:t xml:space="preserve">) * </w:t>
      </w:r>
      <w:r>
        <w:rPr>
          <w:rStyle w:val="FootnoteAnchor"/>
          <w:rtl w:val="true"/>
        </w:rPr>
        <w:footnoteReference w:id="23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 xml:space="preserve">) * </w:t>
      </w:r>
      <w:r>
        <w:rPr>
          <w:rStyle w:val="FootnoteAnchor"/>
          <w:rtl w:val="true"/>
        </w:rPr>
        <w:footnoteReference w:id="23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 </w:t>
      </w:r>
      <w:r>
        <w:rPr>
          <w:rStyle w:val="FootnoteAnchor"/>
          <w:rtl w:val="true"/>
        </w:rPr>
        <w:footnoteReference w:id="239"/>
      </w:r>
      <w:r>
        <w:rPr>
          <w:rFonts w:ascii="Amiri" w:hAnsi="Amiri" w:eastAsia="Amiri" w:cs="Amiri"/>
          <w:color w:val="111111"/>
          <w:sz w:val="28"/>
          <w:sz w:val="28"/>
          <w:szCs w:val="28"/>
          <w:rtl w:val="true"/>
          <w:lang w:bidi="ar-SA"/>
        </w:rPr>
        <w:t>فقطع عليه بالنار، وأمن من انتقاله إلى ما يوجب له الثواب، وإذا كان الأمر على ما وصفناه بطل ما توهموه على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إذا رد الكافرين في الرجعة لينتقم منهم لم يقبل لهم توبة، وجروا في ذلك مجرى فرعون لما أدركه الغرق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آمنت أنه لا إله إلا الذي آمنت به بنوا إسرائيل وأنا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وقال الله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ألآن وقد عصيت قبل وكنت من المفسدين</w:t>
      </w:r>
      <w:r>
        <w:rPr>
          <w:rFonts w:eastAsia="Amiri" w:cs="Amiri" w:ascii="Amiri" w:hAnsi="Amiri"/>
          <w:color w:val="111111"/>
          <w:sz w:val="28"/>
          <w:szCs w:val="28"/>
          <w:rtl w:val="true"/>
          <w:lang w:bidi="ar-SA"/>
        </w:rPr>
        <w:t xml:space="preserve">) * </w:t>
      </w:r>
      <w:r>
        <w:rPr>
          <w:rStyle w:val="FootnoteAnchor"/>
          <w:rtl w:val="true"/>
        </w:rPr>
        <w:footnoteReference w:id="240"/>
      </w:r>
      <w:r>
        <w:rPr>
          <w:rFonts w:ascii="Amiri" w:hAnsi="Amiri" w:eastAsia="Amiri" w:cs="Amiri"/>
          <w:color w:val="111111"/>
          <w:sz w:val="28"/>
          <w:sz w:val="28"/>
          <w:szCs w:val="28"/>
          <w:rtl w:val="true"/>
          <w:lang w:bidi="ar-SA"/>
        </w:rPr>
        <w:t>فرد الله عليه إيمانه، ولم ينفعه في تلك الحال ندمه وإقلاعه، وكأهل الآخرة الذين لا تقبل لهم توبة ولا ينفعهم ندم، لأنهم كالملجئين إذ ذاك إلى الفعل، ولأن الحكمة تمنع من قبول التوبة أبدا، وتوجب اختصاص بعض الأوقات بقبولها دون بعض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الجواب الصحيح على مذهب أهل الإمامة، وقد جاءت به آثار متظاهرة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 عنهم في 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 </w:t>
      </w:r>
      <w:r>
        <w:rPr>
          <w:rStyle w:val="FootnoteAnchor"/>
          <w:rtl w:val="true"/>
        </w:rPr>
        <w:footnoteReference w:id="241"/>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ظهر لم تقبل توبة المخالف، وهذا يسقط ما اعتمده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الله سبحانه على ما أصلتموه قد أغرى عباده بالعصيان، وأباحهم الهرج والمرج والطغيان، لأنهم إذا كانوا يقدرون على الكفر وأنواع الضلال، وقد يئسوا من قبل التوبة، لم يدعهم داع إلى الكف عما في طباعهم، ولا انزجروا عن فعل قبيح يصلون به إلى النفع العاجل، ومن وصف الله سبحانه بإغراء خلقه بالمعاصي وإباحتهم الذنوب، فقد أعظم الفرية عليه؟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ظننتموه، وذلك أن الدواعي لهم إلى المعاصي ترتفع إذ ذاك، ولا يحصل لهم داع إلى قبيح على وجه من الوجوه ولا سبب من الأسباب، لأنهم يكونون قد علموا بما سلف لهم من العذاب إلى وقت الرجعة على خلاف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ويعلمون في الحال أنهم معذبون على ما سبق لهم من العصيان، وأنهم إن راموا فعل قبيح تزايد عليهم العقاب، ولا يكون لهم عند ذلك طبع يدعوهم إلى ما يتزايد عليهم به العذاب، بل تتوفر لهم دواعي الطباع والخواطر كلها إلى إظهار الطاعة والانتقال عن العصيان، وإن لزمنا هذا السؤال لزم جميع أهل الإسلام مثله في أهل الآخرة وحالهم في إبطال توبتهم، وكون توبتهم غير مقبولة منهم، فمهما أجاب به الموحدون لمن ألزمهم ذلك، فهو جوابنا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سألوا على المذهب الأول والجواب المتقدم فقالوا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يتوهم من القوم الإقامة على العناد والاصرار على الخلاف، وقد عاينوا فيما يزعمون عقاب القبور، وحل بهم عند الرجعة العذاب على ما يعلمون مما زعمتم أنهم مقيمون عليه، وكيف يصح أن تدعوهم الدواعي إلى ذلك، ويخطر لهم في فعله الخواطر، وما أنكرتم أن تكونوا </w:t>
      </w:r>
    </w:p>
    <w:p>
      <w:pPr>
        <w:pStyle w:val="BookText"/>
        <w:rPr/>
      </w:pPr>
      <w:r>
        <w:rPr>
          <w:rFonts w:ascii="Amiri" w:hAnsi="Amiri" w:eastAsia="Amiri" w:cs="Amiri"/>
          <w:color w:val="111111"/>
          <w:sz w:val="28"/>
          <w:sz w:val="28"/>
          <w:szCs w:val="28"/>
          <w:rtl w:val="true"/>
          <w:lang w:bidi="ar-SA"/>
        </w:rPr>
        <w:t>في هذه الدعوى مكابرين؟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على مذهب من أجاب بما حكيناه من أصحابنا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عددتموه لا يمنع من دخول الشبهة عليهم في استحسان الخلاف، لأن القوم يظنون أنهم إنما بعثوا بعد الموت تكرمة لهم وليلوا الدنيا كما كانوا، ويظنون أن ما اعتقدوه في العذاب السالف لهم كان غلطا منهم، وإذا حل بهم العقاب ثانية توهموا قبل مفارقة أرواحهم أجسادهم أن ذلك ليس من طريق الاستحقاق، وأنه من الله تعالى، لكنه كما تكون الدول، وكما حل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ولأصحاب هذا الجواب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ذكرناه في هذا الباب بأعجب من كفر قوم موسى وعبادتهم العجل، وقد شاهدوا منه الآيات، وعاينوا ما حل بفرعون وملئه على الخلاف، ولا هو بأعجب من إقامة أهل الشرك على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عجزهم عن مثل ما أتى به القرآن، ويشهدون معجزاته وآياته عليه وآله السلام، ويجدون مخبرات أخباره على حقائقها من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 xml:space="preserve">) * </w:t>
      </w:r>
      <w:r>
        <w:rPr>
          <w:rStyle w:val="FootnoteAnchor"/>
          <w:rtl w:val="true"/>
        </w:rPr>
        <w:footnoteReference w:id="24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حل بهم من العقاب بسيفه عليه وآله السلام، وهلاك كل من توعده بالهلاك، هذا وفيمن أظهر الإيمان به المنافقون ينضافون في خلافه إلى أهل الشرك والضلال</w:t>
      </w:r>
      <w:r>
        <w:rPr>
          <w:rFonts w:eastAsia="Amiri" w:cs="Amiri" w:ascii="Amiri" w:hAnsi="Amiri"/>
          <w:color w:val="111111"/>
          <w:sz w:val="28"/>
          <w:szCs w:val="28"/>
          <w:rtl w:val="true"/>
          <w:lang w:bidi="ar-SA"/>
        </w:rPr>
        <w:t>.</w:t>
      </w:r>
      <w:bookmarkStart w:id="161" w:name="pg1185_9209"/>
    </w:p>
    <w:p>
      <w:pPr>
        <w:pStyle w:val="BookText"/>
        <w:rPr/>
      </w:pPr>
      <w:bookmarkEnd w:id="161"/>
      <w:r>
        <w:rPr>
          <w:rFonts w:ascii="Amiri" w:hAnsi="Amiri" w:eastAsia="Amiri" w:cs="Amiri"/>
          <w:color w:val="111111"/>
          <w:sz w:val="28"/>
          <w:sz w:val="28"/>
          <w:szCs w:val="28"/>
          <w:rtl w:val="true"/>
          <w:lang w:bidi="ar-SA"/>
        </w:rPr>
        <w:t>على أن هذا السؤال لا يسوغ لأصحاب المعارف من المعتزلة، لأنهم يزعمون أن أكثر المخالفين على الأنبياء كانوا من أهل العناد، وأن جمهور المظهرين للجهل بالله يعرفونه على الحقيقة ويعرفون أنبياءه وصدقهم، ولكنهم في الخلاف على اللجاجة والعناد، فلا يمنع أن يكون الحكم في الرجعة وأهلها على هذا الوصف الذي حكيناه، وقد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 xml:space="preserve">) *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سبحانه أن أهل العقاب لو ردهم الله تعالى إلى الدنيا لعادوا إلى الكفر والعناد مع ما شاهدوا في القبور وفي المحشر من الأهوال وما ذاقوا من أليم العذاب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594433_373438147"/>
      <w:bookmarkStart w:id="163" w:name="_Toc58"/>
      <w:bookmarkEnd w:id="162"/>
      <w:r>
        <w:rPr/>
        <w:t>5</w:t>
      </w:r>
      <w:r>
        <w:rPr>
          <w:rtl w:val="true"/>
        </w:rPr>
        <w:t xml:space="preserve"> - </w:t>
      </w:r>
      <w:r>
        <w:rPr>
          <w:rtl w:val="true"/>
        </w:rPr>
        <w:t>احتجاج السيد محسن الأمين العاملي</w:t>
      </w:r>
      <w:r>
        <w:rPr>
          <w:rtl w:val="true"/>
        </w:rPr>
        <w:t>:</w:t>
      </w:r>
      <w:bookmarkEnd w:id="1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السيد محسن الأمين العاملي</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في معرض ردوده على أحمد أمين في افتراءاته على الشيعة الإمامية التي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 عن بعضها في أواخر حياته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الرجعة، فقد بدأ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محمدا يرجع، ثم تحول إلى القول بأن عليا يرجع، وفكرة الرجعة أخذها ابن سبأ من اليهودية، فعندهم أن النبي إلياس صعد إلى السماء، وسيعود </w:t>
      </w:r>
    </w:p>
    <w:p>
      <w:pPr>
        <w:pStyle w:val="BookText"/>
        <w:rPr/>
      </w:pPr>
      <w:r>
        <w:rPr>
          <w:rFonts w:ascii="Amiri" w:hAnsi="Amiri" w:eastAsia="Amiri" w:cs="Amiri"/>
          <w:color w:val="111111"/>
          <w:sz w:val="28"/>
          <w:sz w:val="28"/>
          <w:szCs w:val="28"/>
          <w:rtl w:val="true"/>
          <w:lang w:bidi="ar-SA"/>
        </w:rPr>
        <w:t xml:space="preserve">فيعيد الدين والقانون، ووجدت الفكرة في النصرانية أيضا في عصورها الأولى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الاحتجاج والإلزام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الرجعة أول من قال بها عمر بن الخطاب، روى ابن سعد في الطبقات بسنده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وصحيفة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لفلانة وفلانة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ليس بميت حتى نفتحها، ولو مات لانتظرناه كما انتظرت بنو إسرائيل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 وابن سعد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ولكنه ذهب إلى ربه كما ذهب موسى بن عمران، فغاب عن قومه أربعين ليلة ثم رجع بعد أن قيل قد مات، والله ليرجعن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فليقطعن أيدي رجال وأرجلهم زعموا أنه قد مات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64" w:name="pg1185_9211"/>
    </w:p>
    <w:p>
      <w:pPr>
        <w:pStyle w:val="Heading2"/>
        <w:numPr>
          <w:ilvl w:val="1"/>
          <w:numId w:val="1"/>
        </w:numPr>
        <w:rPr/>
      </w:pPr>
      <w:bookmarkStart w:id="165" w:name="__RefHeading___Toc2594435_373438147"/>
      <w:bookmarkStart w:id="166" w:name="_Toc59"/>
      <w:bookmarkEnd w:id="164"/>
      <w:bookmarkEnd w:id="165"/>
      <w:r>
        <w:rPr>
          <w:rtl w:val="true"/>
        </w:rPr>
        <w:t>الفصل السادس</w:t>
      </w:r>
      <w:r>
        <w:rPr>
          <w:rtl w:val="true"/>
        </w:rPr>
        <w:t xml:space="preserve">: </w:t>
      </w:r>
      <w:r>
        <w:rPr>
          <w:rtl w:val="true"/>
        </w:rPr>
        <w:t>شبهات وردود</w:t>
      </w:r>
      <w:bookmarkEnd w:id="166"/>
    </w:p>
    <w:p>
      <w:pPr>
        <w:pStyle w:val="Heading3"/>
        <w:numPr>
          <w:ilvl w:val="2"/>
          <w:numId w:val="1"/>
        </w:numPr>
        <w:rPr/>
      </w:pPr>
      <w:bookmarkStart w:id="167" w:name="__RefHeading___Toc2594437_373438147"/>
      <w:bookmarkStart w:id="168" w:name="_Toc6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لا يخفى، أنه لا يكاد يوجد حق يخلو من شبهة تعارضه، ولقد تعرضت عقائد أهل بيت النبوة الحقة لشبهات المعاندين على طول مسيرة التاريخ، وواقع الأحداث ملئ بالشواهد التي يطول بذكرها المقام، وما ذلك إلا من محض التعصب المقيت الذي أولده الأمويون والعباسيون بما كانوا يحقدون على أعدال وقرناء كتاب الله العالمين الصادقين عترة المصطفى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والرجعة التي تعتبر من أسرار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واحدة من تلك العقائد التي أحيطت بالشبهات واتخذت ذريعة ووسيلة للتشنيع على شيعتهم من قبل بعض المخالفين، وفيما يلي أهم الشبهات التي أثارها منكري الرجعة مع جوابها</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594439_373438147"/>
      <w:bookmarkStart w:id="170" w:name="_Toc61"/>
      <w:bookmarkEnd w:id="169"/>
      <w:r>
        <w:rPr>
          <w:rtl w:val="true"/>
        </w:rPr>
        <w:t>الشبهة الأولى</w:t>
      </w:r>
      <w:r>
        <w:rPr>
          <w:rtl w:val="true"/>
        </w:rPr>
        <w:t xml:space="preserve">: </w:t>
      </w:r>
      <w:r>
        <w:rPr>
          <w:rtl w:val="true"/>
        </w:rPr>
        <w:t>الرجعة تنافي التكليف</w:t>
      </w:r>
      <w:r>
        <w:rPr>
          <w:rtl w:val="true"/>
        </w:rPr>
        <w:t>.</w:t>
      </w:r>
      <w:bookmarkEnd w:id="17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بمنافاة الرجعة للتكليف جعل بعض الشيعة يتأولونها على وجه إعادة الدولة لا إعادة أعيان الأشخاص، وبما أن هذا الأمر من الأمور الغيبية، فلا يمكن إصدار الحكم القطعي عليه، لكن عامة أعلام </w:t>
      </w:r>
    </w:p>
    <w:p>
      <w:pPr>
        <w:pStyle w:val="BookText"/>
        <w:rPr/>
      </w:pPr>
      <w:r>
        <w:rPr>
          <w:rFonts w:ascii="Amiri" w:hAnsi="Amiri" w:eastAsia="Amiri" w:cs="Amiri"/>
          <w:color w:val="111111"/>
          <w:sz w:val="28"/>
          <w:sz w:val="28"/>
          <w:szCs w:val="28"/>
          <w:rtl w:val="true"/>
          <w:lang w:bidi="ar-SA"/>
        </w:rPr>
        <w:t>الطائفة يقولون إن الدواعي معها مترددة، أي إنها لا تستلزم التكليف ولا تنافيه، وإن تكليف من يعاد غير باطل، وقد أجابوا على ما يترتب على ذلك من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الرجعة لا تنافي التكليف، وإن الدواعي مترددة معها حتى لا يظن ظان أن تكليف من يعاد باطل، وإن التكليف كما يصح مع ظهور المعجزات والآيات القاهرة، فكذلك مع الرجعة لأنه ليس في جميع ذلك ملجئ إلى فعل الواجب والامتناع من فعل القبيح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هرب من القول بإثبات التكليف على أهل الرجعة لاعتقاده أن التكليف في تلك الحال لا يصح، لأنها على طريق الثواب وإدخال المسرة على المؤمنين بظهور كلمة الحق، فيقول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مصيب، لأنه لا خلاف بين أصحابنا في أن الله تعالى ليعيد من سبقت وفاته من المؤمنين لينصروا الإمام وليشاركوا إخوانهم من ناصريه ومحاربي أعدائه وأنهم أدركوا من نصرته ومعونته ما كان يفوتهم لولاها، ومن أعيد للثواب المحض فمما يجب عليه نصرة الإمام والقتال عنه والدفاع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المتهربون من القول بإثبات التكليف، تأولوا الرجعة على أنها تعني إعادة الدولة والأمر والنهي لا عودة الأشخاص، ذلك لأنهم عجزوا عن نصرة الرجعة، وظنوا أنها تنافي التكليف، يقول الشيخ أبو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لأنه ليس فيها ما يلجئ إلى فعل الواجب </w:t>
      </w:r>
      <w:bookmarkStart w:id="171" w:name="pg1185_9213"/>
    </w:p>
    <w:p>
      <w:pPr>
        <w:pStyle w:val="BookText"/>
        <w:rPr/>
      </w:pPr>
      <w:bookmarkEnd w:id="171"/>
      <w:r>
        <w:rPr>
          <w:rFonts w:ascii="Amiri" w:hAnsi="Amiri" w:eastAsia="Amiri" w:cs="Amiri"/>
          <w:color w:val="111111"/>
          <w:sz w:val="28"/>
          <w:sz w:val="28"/>
          <w:szCs w:val="28"/>
          <w:rtl w:val="true"/>
          <w:lang w:bidi="ar-SA"/>
        </w:rPr>
        <w:t>والامتناع من القبيح، والتكليف يصح معها كما يصح مع ظهور المعجزات الباهرة والآيات القاهرة كفلق البحر وقلب العصا ثعبانا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الرجعة لم تثبت بظواهر الأخبار المنقولة فيتطرق التأويل عليها، وإنما المعول في ذلك على إجماع الشيعة الإمامية، وإن كانت الأخبار تعضده وتؤيده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594441_373438147"/>
      <w:bookmarkStart w:id="173" w:name="_Toc62"/>
      <w:bookmarkEnd w:id="172"/>
      <w:r>
        <w:rPr>
          <w:rtl w:val="true"/>
        </w:rPr>
        <w:t>توبة الكفار</w:t>
      </w:r>
      <w:r>
        <w:rPr>
          <w:rtl w:val="true"/>
        </w:rPr>
        <w:t>:</w:t>
      </w:r>
      <w:bookmarkEnd w:id="173"/>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التكليف ثابتا على أهل الرجعة، فيجوز تكليف الكفار الذين استحقوا العقاب، وأن يختاروا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رجعة الذين محضوا الكفر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 الشياطين أعداء الله عز وجل أنهم إنما ردوا إلى الدنيا لطغيانهم على الله، فيزدادوا عتوا، فينتقم الله منهم بأوليائه المؤمنين، ويجعل لهم الكرة عليهم، فلا يبقى منهم أحد إلا وهو مغموم بالعذاب والنقمة والعقاب، وتصفو الأرض من الطغاة، ويكون الدين لله، والرجعة إنما هي لممحضي الإيمان من أهل الملة وممحضي النفاق منهم دون من سلف من الأمم الخالية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بجوابين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594443_373438147"/>
      <w:bookmarkStart w:id="175" w:name="_Toc63"/>
      <w:bookmarkEnd w:id="174"/>
      <w:r>
        <w:rPr>
          <w:rtl w:val="true"/>
        </w:rPr>
        <w:t>أحدهما</w:t>
      </w:r>
      <w:r>
        <w:rPr>
          <w:rtl w:val="true"/>
        </w:rPr>
        <w:t>:</w:t>
      </w:r>
      <w:bookmarkEnd w:id="1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أعيد من الأعداء للنكال والعقاب لا تكليف عليه، </w:t>
      </w:r>
      <w:bookmarkStart w:id="176" w:name="pg1185_9214"/>
    </w:p>
    <w:p>
      <w:pPr>
        <w:pStyle w:val="BookText"/>
        <w:rPr/>
      </w:pPr>
      <w:bookmarkEnd w:id="176"/>
      <w:r>
        <w:rPr>
          <w:rFonts w:ascii="Amiri" w:hAnsi="Amiri" w:eastAsia="Amiri" w:cs="Amiri"/>
          <w:color w:val="111111"/>
          <w:sz w:val="28"/>
          <w:sz w:val="28"/>
          <w:szCs w:val="28"/>
          <w:rtl w:val="true"/>
          <w:lang w:bidi="ar-SA"/>
        </w:rPr>
        <w:t>وإنما قلنا إن التكليف باق على الأولياء لأجل النصرة والدفاع والمعونة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وإن كان ثابتا عليهم، فيجوز أنهم لا يختارون التوبة، لأنا قد بينا أن الرجعة غير ملجئة إلى قول القبيح وفعل الواجب وإن الدواعي مترددة، ويكون وجه القطع على أنهم لا يختارون ذلك مما علمنا وقطعنا عليه من أنهم مخلدون لا محالة في النار </w:t>
      </w:r>
      <w:r>
        <w:rPr>
          <w:rStyle w:val="FootnoteAnchor"/>
          <w:rtl w:val="true"/>
        </w:rPr>
        <w:footnoteReference w:id="253"/>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المنافقين والمنافقات والكفار نار جهنم</w:t>
      </w:r>
      <w:r>
        <w:rPr>
          <w:rFonts w:eastAsia="Amiri" w:cs="Amiri" w:ascii="Amiri" w:hAnsi="Amiri"/>
          <w:color w:val="111111"/>
          <w:sz w:val="28"/>
          <w:szCs w:val="28"/>
          <w:rtl w:val="true"/>
          <w:lang w:bidi="ar-SA"/>
        </w:rPr>
        <w:t xml:space="preserve">) * </w:t>
      </w:r>
      <w:r>
        <w:rPr>
          <w:rStyle w:val="FootnoteAnchor"/>
          <w:rtl w:val="true"/>
        </w:rPr>
        <w:footnoteReference w:id="254"/>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2594445_373438147"/>
      <w:bookmarkStart w:id="178" w:name="_Toc64"/>
      <w:bookmarkEnd w:id="177"/>
      <w:r>
        <w:rPr>
          <w:rtl w:val="true"/>
        </w:rPr>
        <w:t>الشبهة الثانية</w:t>
      </w:r>
      <w:r>
        <w:rPr>
          <w:rtl w:val="true"/>
        </w:rPr>
        <w:t>:</w:t>
      </w:r>
      <w:bookmarkEnd w:id="178"/>
    </w:p>
    <w:p>
      <w:pPr>
        <w:pStyle w:val="BookText"/>
        <w:rPr/>
      </w:pPr>
      <w:r>
        <w:rPr>
          <w:rFonts w:ascii="Amiri" w:hAnsi="Amiri" w:eastAsia="Amiri" w:cs="Amiri"/>
          <w:color w:val="111111"/>
          <w:sz w:val="28"/>
          <w:sz w:val="28"/>
          <w:szCs w:val="28"/>
          <w:rtl w:val="true"/>
          <w:lang w:bidi="ar-SA"/>
        </w:rPr>
        <w:t>قال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الرجعة مع الإعلام بها، لأن فيها إغراء بالمعاصي من جهة الاتكال على التوبة في الكرة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يقول بالرجعة لا يذهب إلى أن الناس كلهم يرجعون، فيصير إغراء بأن يقع الاتكال على التوبة فيها، بل لا أحد من المكلفين إلا ويجوز أن لا يرجع، وذلك يكفي في باب الزجر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594447_373438147"/>
      <w:bookmarkStart w:id="180" w:name="_Toc65"/>
      <w:bookmarkEnd w:id="179"/>
      <w:r>
        <w:rPr>
          <w:rtl w:val="true"/>
        </w:rPr>
        <w:t>الشبهة الثالثة</w:t>
      </w:r>
      <w:r>
        <w:rPr>
          <w:rtl w:val="true"/>
        </w:rPr>
        <w:t>:</w:t>
      </w:r>
      <w:bookmarkEnd w:id="180"/>
    </w:p>
    <w:p>
      <w:pPr>
        <w:pStyle w:val="BookText"/>
        <w:rPr/>
      </w:pPr>
      <w:r>
        <w:rPr>
          <w:rFonts w:ascii="Amiri" w:hAnsi="Amiri" w:eastAsia="Amiri" w:cs="Amiri"/>
          <w:color w:val="111111"/>
          <w:sz w:val="28"/>
          <w:sz w:val="28"/>
          <w:szCs w:val="28"/>
          <w:rtl w:val="true"/>
          <w:lang w:bidi="ar-SA"/>
        </w:rPr>
        <w:t>كيف يعود كفار الملة بعد الموت إلى طغيانهم، وقد عاينوا عذاب الله تعالى في البرزخ، وتيقنوا بذلك أنهم مبطلون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بأعجب من الكفار الذين يشاهدون في البرزخ ما يحل بهم من العذاب ويعلمونه ضرورة بعد المدافعة لهم </w:t>
      </w:r>
      <w:bookmarkStart w:id="181" w:name="pg1185_9215"/>
    </w:p>
    <w:p>
      <w:pPr>
        <w:pStyle w:val="BookText"/>
        <w:rPr/>
      </w:pPr>
      <w:bookmarkEnd w:id="181"/>
      <w:r>
        <w:rPr>
          <w:rFonts w:ascii="Amiri" w:hAnsi="Amiri" w:eastAsia="Amiri" w:cs="Amiri"/>
          <w:color w:val="111111"/>
          <w:sz w:val="28"/>
          <w:sz w:val="28"/>
          <w:szCs w:val="28"/>
          <w:rtl w:val="true"/>
          <w:lang w:bidi="ar-SA"/>
        </w:rPr>
        <w:t xml:space="preserve">والاحتجاج عليهم بضلالهم في الدنيا، فيقولون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 ولا نكذب بآيات ربنا ونكون من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594449_373438147"/>
      <w:bookmarkStart w:id="183" w:name="_Toc66"/>
      <w:bookmarkEnd w:id="182"/>
      <w:r>
        <w:rPr>
          <w:rtl w:val="true"/>
        </w:rPr>
        <w:t>الشبهة الرابعة</w:t>
      </w:r>
      <w:r>
        <w:rPr>
          <w:rtl w:val="true"/>
        </w:rPr>
        <w:t xml:space="preserve">: </w:t>
      </w:r>
      <w:r>
        <w:rPr>
          <w:rtl w:val="true"/>
        </w:rPr>
        <w:t>الرجعة تفضي إلى القول بالتناسخ</w:t>
      </w:r>
      <w:r>
        <w:rPr>
          <w:rtl w:val="true"/>
        </w:rPr>
        <w:t>.</w:t>
      </w:r>
      <w:bookmarkEnd w:id="183"/>
    </w:p>
    <w:p>
      <w:pPr>
        <w:pStyle w:val="BookText"/>
        <w:rPr/>
      </w:pPr>
      <w:r>
        <w:rPr>
          <w:rFonts w:ascii="Amiri" w:hAnsi="Amiri" w:eastAsia="Amiri" w:cs="Amiri"/>
          <w:color w:val="111111"/>
          <w:sz w:val="28"/>
          <w:sz w:val="28"/>
          <w:szCs w:val="28"/>
          <w:rtl w:val="true"/>
          <w:lang w:bidi="ar-SA"/>
        </w:rPr>
        <w:t>وللجواب على هذه الشبهة لا بد من بيان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تواترت الروايات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التناسخ وامتناعه، واتفقت كلمة الشيعة على ذلك وقد كتبوا في ذلك مقالات ورسائل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المأمون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القائلين بالتناسخ؟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بالتناسخ فهو كافر مكذب بالجنة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بالتناسخ باطل، ومن دان بالتناسخ فهو كافر، لأن في التناسخ إبطال الجنة والنار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يقولون بالتناسخ هم أهل الغلو الذين ينكرون القيامة والآخرة، وقد فرق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قول الشيعة بالرجعة وقول الغلاة بالتناسخ بقوله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الروافض في رجعة الأموات إلى الدنيا قبل القيامة، وهم فرقتان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الأموات يرجعون إلى الدنيا </w:t>
      </w:r>
      <w:r>
        <w:rPr>
          <w:rStyle w:val="FootnoteAnchor"/>
          <w:rtl w:val="true"/>
        </w:rPr>
        <w:footnoteReference w:id="259"/>
      </w:r>
      <w:r>
        <w:rPr>
          <w:rFonts w:ascii="Amiri" w:hAnsi="Amiri" w:eastAsia="Amiri" w:cs="Amiri"/>
          <w:color w:val="111111"/>
          <w:sz w:val="28"/>
          <w:sz w:val="28"/>
          <w:szCs w:val="28"/>
          <w:rtl w:val="true"/>
          <w:lang w:bidi="ar-SA"/>
        </w:rPr>
        <w:t xml:space="preserve">قبل يوم الحساب، وهذا قول الأكثر منهم </w:t>
      </w:r>
      <w:r>
        <w:rPr>
          <w:rStyle w:val="FootnoteAnchor"/>
          <w:rtl w:val="true"/>
        </w:rPr>
        <w:footnoteReference w:id="260"/>
      </w:r>
      <w:r>
        <w:rPr>
          <w:rFonts w:ascii="Amiri" w:hAnsi="Amiri" w:eastAsia="Amiri" w:cs="Amiri"/>
          <w:color w:val="111111"/>
          <w:sz w:val="28"/>
          <w:sz w:val="28"/>
          <w:szCs w:val="28"/>
          <w:rtl w:val="true"/>
          <w:lang w:bidi="ar-SA"/>
        </w:rPr>
        <w:t>، وزعموا أنه لم يكن في بني إسرائيل شئ إلا ويكون في هذه الأمة مثله، وإن الله سبحانه قد أحيا قوما من بني إسرائيل بعد الموت، فكذلك يحيي الأموات في هذه الأمة ويردهم إلى الدنيا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الغلو، ينكرون القيامة والآخرة، ويقولون ليس قيامة ولا آخرة، وإنما هي أرواح تتناسخ في الصور، فمن كان محسنا جوزي بأن ينقل روحه إلى جسد لا يلحقه فيه ضرر ولا ألم، ومن كان مسيئا جوزي بأن ينقل روحه إلى أجساد يلحق الروح في كونه فيها الضرر والألم، وليس شئ غير ذلك، وأن الدنيا لا تزال أبدا هكذا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درس تاريخ 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الأبرار يلمس أنهم يكفرون الغلاة ويبرأون منهم، ولهم في هذا الباب مواقف مشهورة يطول شرحها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ضياء الدين الريس بعد تعداده لفرق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تزاد عليهم فرقة خامسة هي الغلاة، ولكنها في الحقيقة ليست منهم، بل يخرجها غلوها عن دائرة الإسلام نفسه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84" w:name="pg1185_9217"/>
    </w:p>
    <w:p>
      <w:pPr>
        <w:pStyle w:val="BookText"/>
        <w:rPr/>
      </w:pPr>
      <w:bookmarkEnd w:id="18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طعن في الرجعة باعتبار أنها من التناسخ الباطل، فلأنه لم يفرق بين معنى التناسخ وبين المعاد الجسماني، والرجعة من نوع المعاد الجسماني، فإن معنى التناسخ هو انتقال النفس من بدن إلى بدن آخر منفصل عن الأول، وليس كذلك معنى المعاد الجسماني، فإن معناه رجوع نفس البدن الأول بمشخصاته النفسية، فكذلك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الرجعة تناسخا، فإن إحياء الموتى على يد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تناسخا، وإذا كانت الرجعة تناسخا كان البعث والمعاد الجسماني تناسخا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ليس لمتطفل على العلم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الرجعة شبيهة مع فارق كبير إلى الفكرة التناسخية التي جاء بها فيثاغورس</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594451_373438147"/>
      <w:bookmarkStart w:id="186" w:name="_Toc67"/>
      <w:bookmarkEnd w:id="185"/>
      <w:r>
        <w:rPr>
          <w:rtl w:val="true"/>
        </w:rPr>
        <w:t>الشبهة الخامسة</w:t>
      </w:r>
      <w:r>
        <w:rPr>
          <w:rtl w:val="true"/>
        </w:rPr>
        <w:t xml:space="preserve">: </w:t>
      </w:r>
      <w:r>
        <w:rPr>
          <w:rtl w:val="true"/>
        </w:rPr>
        <w:t>ظهور اليهودية في التشيع بالقول بالرجعة</w:t>
      </w:r>
      <w:r>
        <w:rPr>
          <w:rtl w:val="true"/>
        </w:rPr>
        <w:t>.</w:t>
      </w:r>
      <w:bookmarkEnd w:id="186"/>
    </w:p>
    <w:p>
      <w:pPr>
        <w:pStyle w:val="BookText"/>
        <w:rPr/>
      </w:pPr>
      <w:r>
        <w:rPr>
          <w:rFonts w:ascii="Amiri" w:hAnsi="Amiri" w:eastAsia="Amiri" w:cs="Amiri"/>
          <w:color w:val="111111"/>
          <w:sz w:val="28"/>
          <w:sz w:val="28"/>
          <w:szCs w:val="28"/>
          <w:rtl w:val="true"/>
          <w:lang w:bidi="ar-SA"/>
        </w:rPr>
        <w:t xml:space="preserve">يقول أحمد 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فاليهودية ظهرت في التشيع بالقول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أعلام الطائفة بما يفند مدعاه الذي لا يقوله ذو مسكه إذا أراد الإنصاف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أقول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فاليهودية أيضا ظهرت في القرآن بالرجعة، كما تقدم ذكر القرآن لها في الآيات المتقدمة </w:t>
      </w:r>
      <w:r>
        <w:rPr>
          <w:rStyle w:val="FootnoteAnchor"/>
          <w:rtl w:val="true"/>
        </w:rPr>
        <w:footnoteReference w:id="265"/>
      </w:r>
      <w:r>
        <w:rPr>
          <w:rFonts w:ascii="Amiri" w:hAnsi="Amiri" w:eastAsia="Amiri" w:cs="Amiri"/>
          <w:color w:val="111111"/>
          <w:sz w:val="28"/>
          <w:sz w:val="28"/>
          <w:szCs w:val="28"/>
          <w:rtl w:val="true"/>
          <w:lang w:bidi="ar-SA"/>
        </w:rPr>
        <w:t>، ونزيده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أنه لا بد أن تظهر اليهودية والنصرانية في كثير من </w:t>
      </w:r>
    </w:p>
    <w:p>
      <w:pPr>
        <w:pStyle w:val="BookText"/>
        <w:rPr/>
      </w:pPr>
      <w:r>
        <w:rPr>
          <w:rFonts w:ascii="Amiri" w:hAnsi="Amiri" w:eastAsia="Amiri" w:cs="Amiri"/>
          <w:color w:val="111111"/>
          <w:sz w:val="28"/>
          <w:sz w:val="28"/>
          <w:szCs w:val="28"/>
          <w:rtl w:val="true"/>
          <w:lang w:bidi="ar-SA"/>
        </w:rPr>
        <w:t xml:space="preserve">المعتقدات والأحكام الإسلامية، لأن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مصدقا لما بين يديه من الشرائع السماوية، وإن نسخ بعض أحكامها، فظهور اليهودية أو النصرانية في بعض المعتقدات الإسلامية ليس عيبا في الإسلام، على تقدير أن الرجعة من الآراء اليهودية كما يدعيه هذه الكاتب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هل القول بالرجعة أصل من أصول الشيعة وركن من أركان مذهبها حتى يكون نبزا عليها، ويقول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اليهودية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هذا مبلغ علمه عن طائفة، أليس كان الأحرى به السكوت وعدم التعرض لها؟ إذا لم تستطع أمرا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أنها أصل من أصولهم، فهل اتفاقهم مع اليهود بهذا يوجب كون اليهودية ظهرت في التشيع، وهل يصح أن يقال إن اليهودية ظهرت في الإسلام، لأن اليهود يقولون بعبادة إله واحد والمسلمون به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 إلا قول زائف واستنباط سخيف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 </w:t>
      </w:r>
      <w:r>
        <w:rPr>
          <w:rStyle w:val="FootnoteAnchor"/>
          <w:rtl w:val="true"/>
        </w:rPr>
        <w:footnoteReference w:id="268"/>
      </w:r>
      <w:r>
        <w:rPr>
          <w:rFonts w:ascii="Amiri" w:hAnsi="Amiri" w:eastAsia="Amiri" w:cs="Amiri"/>
          <w:color w:val="111111"/>
          <w:sz w:val="28"/>
          <w:sz w:val="28"/>
          <w:szCs w:val="28"/>
          <w:rtl w:val="true"/>
          <w:lang w:bidi="ar-SA"/>
        </w:rPr>
        <w:t xml:space="preserve">نفي الرجوع إلى الدنيا بعد الموت، فكيف يمكن التوفيق بين القول بالرجعة وبين ما يدل عليه ظاهر الآية؟ </w:t>
      </w:r>
      <w:bookmarkStart w:id="187" w:name="pg1185_9219"/>
    </w:p>
    <w:p>
      <w:pPr>
        <w:pStyle w:val="Heading3"/>
        <w:numPr>
          <w:ilvl w:val="2"/>
          <w:numId w:val="1"/>
        </w:numPr>
        <w:rPr/>
      </w:pPr>
      <w:bookmarkStart w:id="188" w:name="__RefHeading___Toc2594453_373438147"/>
      <w:bookmarkStart w:id="189" w:name="_Toc68"/>
      <w:bookmarkEnd w:id="187"/>
      <w:bookmarkEnd w:id="188"/>
      <w:r>
        <w:rPr>
          <w:rtl w:val="true"/>
        </w:rPr>
        <w:t>الجواب من عدة وجوه</w:t>
      </w:r>
      <w:r>
        <w:rPr>
          <w:rtl w:val="true"/>
        </w:rPr>
        <w:t>:</w:t>
      </w:r>
      <w:bookmarkEnd w:id="18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الآية شئ من ألفاظ العموم، فلعل المشار إليهم لا يرجع أحد منهم، لأن الرجعة خاصة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يفهم من الآية أن المذكورين طلبوا الرجعة قبل الموت لا بعده، والذي نقول به ونعتقده هو الرجعة بعد الموت، فالآية لا تنافي صحة الرجعة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الآية هو إرادة الرجعة مع التكليف في دار الدنيا، بل يكاد يكون صريح معناها، ونحن لا نجزم بوقوع التكليف في الرجعة، وأن الدواعي معها مترددة، وأنه أمر منوط بعلم الغيب، ولا يفصح عنه إلا المستقبل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594455_373438147"/>
      <w:bookmarkStart w:id="191" w:name="_Toc69"/>
      <w:bookmarkEnd w:id="190"/>
      <w:r>
        <w:rPr>
          <w:rtl w:val="true"/>
        </w:rPr>
        <w:t>الشبهة السابعة</w:t>
      </w:r>
      <w:r>
        <w:rPr>
          <w:rtl w:val="true"/>
        </w:rPr>
        <w:t xml:space="preserve">: </w:t>
      </w:r>
      <w:r>
        <w:rPr>
          <w:rtl w:val="true"/>
        </w:rPr>
        <w:t>أحاديث الرجعة موضوعة</w:t>
      </w:r>
      <w:r>
        <w:rPr>
          <w:rtl w:val="true"/>
        </w:rPr>
        <w:t>.</w:t>
      </w:r>
      <w:bookmarkEnd w:id="1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لا وجه لها، ذلك لأن الرجعة من الأمور الضرورية فيما جاء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المتواترة، وعلى تقدير صحة هذه الدعوى، فإنه لا يعتبر الاعتقاد بها بهذه الدرجة من الشناعة التي هولها خصوم الشيعة، وكم من معتقدات لباقي طوائف المسلمين لم يثبت فيها نص صحيح، ولكنها لم توجب تكفيرا وخروجا عن الإسلام؟ ولذلك أمثلة كثيرة، منها الاعتقاد بجواز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عصيانه، ومنها الاعتقاد بقدم القرآن، ومنها القول بالوعيد، ومنها الاعتقاد بأن </w:t>
      </w:r>
      <w:bookmarkStart w:id="192" w:name="pg1185_9220"/>
    </w:p>
    <w:p>
      <w:pPr>
        <w:pStyle w:val="BookText"/>
        <w:rPr/>
      </w:pPr>
      <w:bookmarkEnd w:id="192"/>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خليفة من بعده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بينا في الدليل الثالث من الفصل الثاني ثبوت الاعتقاد بالرجعة عند أئمة الهدى من عترة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لتواتر الروايات التي نقلها الثقات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594457_373438147"/>
      <w:bookmarkStart w:id="194" w:name="_Toc70"/>
      <w:bookmarkEnd w:id="193"/>
      <w:r>
        <w:rPr>
          <w:rtl w:val="true"/>
        </w:rPr>
        <w:t>الشبهة الثامنة</w:t>
      </w:r>
      <w:r>
        <w:rPr>
          <w:rtl w:val="true"/>
        </w:rPr>
        <w:t xml:space="preserve">: </w:t>
      </w:r>
      <w:r>
        <w:rPr>
          <w:rtl w:val="true"/>
        </w:rPr>
        <w:t>الرجعة محدودة في زمان النبوة</w:t>
      </w:r>
      <w:r>
        <w:rPr>
          <w:rtl w:val="true"/>
        </w:rPr>
        <w:t>.</w:t>
      </w:r>
      <w:bookmarkEnd w:id="19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الرجعة لا تجوز إلا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معجزا له ودلالة على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باطل، لأن عندنا بل عند أكثر الأمة يجوز إظهار المعجزات على أيدي الأئمة والأولياء، والأدلة على ذلك مذكورة في كتب الأصول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الحمد والمنة أولا وآخرا وآخر دعوانا أن 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أحمد محمد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أركان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الدمشقيات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الشيخ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السيوطي عن السدي عن أبي مالك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حزقيل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مؤتمر الذكرى الألفية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النصايح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قصص الأنبياء، للثعلبي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وقصص الأنبياء، للثعلبي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نحوه الشيخ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الدرر، للبقاعي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أركان الأرض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للبحراني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البعثة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للسيد شرف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الاعتصام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للشيخ ناصر مكارم الشيرازي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أبي الفتوح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نقض الوشيعة، للسيد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للمجلسي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والايقاظ من الهجعة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تحقيق الأستاذ صائب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مؤتمر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البيضاوي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للبروسوي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للطباطبائي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والآيات من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التوالي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الايقاظ من الهجعة، للحر العاملي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للسيد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الاعتصام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للمجلسي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والايقاظ من الهجعة،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الحاجبية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للشيخ آقا بزرك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في مجلة تراثنا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الرابعة بتحقيق السيد باسم الموسوي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التوالي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للشيخ آقا بزرك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بتصحيح السيد هاشم الرسولي المحلاتي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بتحقيق الأستاذ فارس حسون كريم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 الذي أشار إليه وقع في تأويل معنى الرجعة على رجوع الدولة والأمر والنهي دون رجوع أعيان الأشخاص وإحياء الأموات وسيأتي بيانه في الفصل اللاحق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الدمشقيات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ومختلفه،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رواه ابن عياش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أبي سهل النوشجاني، أنه أنشد لأبيه مصعب بن وهب الحرون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للسيد عبد الله شبر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للسيد عبد الله شبر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للقطب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 للمفيد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للسيد عبد الله شبر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من 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للشيخ محمد أبو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الجواب تاما عن هذه المسألة في الفصل السادس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والتأويل المشار إليه هو أن البعض تأول الأخبار الواردة في الرجعة إلى رجوع الدولة في زمان ظهور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رجوع أعيان الأشخاص كما تقدم آنفا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 نصوصها في احتجاج الفضل بن شاذان الفصل الخامس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وركبت السفينة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عقد الدرر، للمقدسي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النصايح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للمقدسي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شهرآشوب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اليقين، لعبد الله شبر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والتشيع، لمحمد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للسيد محمود بن فتح الله الحسيني الكاظمي النجفي معاصر الشيخ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للشيخ آقا بزرك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للعاملي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البحار، وفي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يجاهر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محمد الفضل بن شاذان الأزدي النيسابوري، روى عن أبي جعفر الثاني والهادي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ثقة جليلا، وفقيها ومتكلما، ذكر أنه صنف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وترحم عليه الإمام أبو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وتوفي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محمد بن يزيد الحميري، أبو هاشم، شاعر إمامي متقدم، أكثر شعره في مدح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ثقة جليل القدر، عظيم المنزلة، لقي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أبو عبيدة من أشعر المحدثين، وجعله أبو الفرج ثالث ثلاثة هم أكثر الناس شعرا في الجاهلية والإسلام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أبو عبد الله محمد بن محمد بن النعمان، المعروف بالشيخ المفيد، وابن المعلم، انتهت رئاسة الإمامية في وقته إليه، وفضله أشهر من أن يوصف في الفقه والكلام والرواية والثقة والعلم،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خاشعا متعبدا متألها كثير الصلاة والصوم والصدقات، توفي في بغداد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الكبير السيد محسن بن عبد الكريم الأمين الحسيني العاملي، من أشهر علماء عصره، ولد في شقراء بلبنان نحو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في بيروت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كتاب أعيان الشيعة، والرحيق المختوم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والحصون المنيعة، والمجالس السنية، وغيرها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التي وردت من الري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الفصل الخامس جواب مفصل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المسألة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من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جميع الأموات، بل الرجعة خاصة كما بيناه في الفصل الثالث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في الفصل الثالث أن بعض الإمامية قد تأولوا الرجعة بمعنى يخالف ما عليه ظواهر أحاديثها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لأبي الحسن الأشعري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النظريات السياسية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والإلهيات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والنحل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والتصحيح، موسى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الآيات التي أشار إليها في مقدمة البحث، وهي تدل على وقوع الرجعة في الأمم السابقة، وقد صرح القرآن الكريم بذكرها بما لا يقبل التأويل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وللسيد محسن الأمين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هذه المسألة أورده في مقدمة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الايقاظ من الهجعة،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20891</Words>
  <Characters>91324</Characters>
  <CharactersWithSpaces>111602</CharactersWithSpaces>
  <Paragraphs>1051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2026-08-16T12:41:54Z</dcterms:created>
  <dc:creator>ghaemiyeh.com</dc:creator>
  <dc:description/>
  <dc:language>en-US</dc:language>
  <cp:lastModifiedBy/>
  <dcterms:modified xsi:type="dcterms:W3CDTF">2026-08-16T16:11:58Z</dcterms:modified>
  <cp:revision>1</cp:revision>
  <dc:subject/>
  <dc:title>الرجعه او العوده الی الحیات الدنیا بعد الموت</dc:title>
</cp:coreProperties>
</file>

<file path=docProps/custom.xml><?xml version="1.0" encoding="utf-8"?>
<Properties xmlns="http://schemas.openxmlformats.org/officeDocument/2006/custom-properties" xmlns:vt="http://schemas.openxmlformats.org/officeDocument/2006/docPropsVTypes"/>
</file>