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نظره الشیعه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8381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48383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48385_373438147">
            <w:r>
              <w:rPr>
                <w:webHidden/>
                <w:rStyle w:val="IndexLink"/>
                <w:rtl w:val="true"/>
              </w:rPr>
              <w:t>کلمة الناشر</w:t>
            </w:r>
            <w:r>
              <w:rPr>
                <w:rStyle w:val="IndexLink"/>
                <w:rtl w:val="true"/>
              </w:rPr>
              <w:tab/>
            </w:r>
            <w:r>
              <w:rPr>
                <w:rStyle w:val="IndexLink"/>
              </w:rPr>
              <w:t>6</w:t>
            </w:r>
          </w:hyperlink>
        </w:p>
        <w:p>
          <w:pPr>
            <w:pStyle w:val="Contents2"/>
            <w:tabs>
              <w:tab w:val="clear" w:pos="8743"/>
              <w:tab w:val="right" w:pos="9026" w:leader="dot"/>
            </w:tabs>
            <w:rPr/>
          </w:pPr>
          <w:hyperlink w:anchor="__RefHeading___Toc1248387_37343814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248389_373438147">
            <w:r>
              <w:rPr>
                <w:webHidden/>
                <w:rStyle w:val="IndexLink"/>
              </w:rPr>
              <w:t>1</w:t>
            </w:r>
            <w:r>
              <w:rPr>
                <w:rStyle w:val="IndexLink"/>
                <w:rtl w:val="true"/>
              </w:rPr>
              <w:t>: </w:t>
            </w:r>
            <w:r>
              <w:rPr>
                <w:rStyle w:val="IndexLink"/>
                <w:rtl w:val="true"/>
              </w:rPr>
              <w:t>الشیعة فی الأصول</w:t>
            </w:r>
            <w:r>
              <w:rPr>
                <w:rStyle w:val="IndexLink"/>
                <w:rtl w:val="true"/>
              </w:rPr>
              <w:tab/>
            </w:r>
            <w:r>
              <w:rPr>
                <w:rStyle w:val="IndexLink"/>
              </w:rPr>
              <w:t>9</w:t>
            </w:r>
          </w:hyperlink>
        </w:p>
        <w:p>
          <w:pPr>
            <w:pStyle w:val="Contents2"/>
            <w:tabs>
              <w:tab w:val="clear" w:pos="8743"/>
              <w:tab w:val="right" w:pos="9026" w:leader="dot"/>
            </w:tabs>
            <w:rPr/>
          </w:pPr>
          <w:hyperlink w:anchor="__RefHeading___Toc1248391_373438147">
            <w:r>
              <w:rPr>
                <w:webHidden/>
                <w:rStyle w:val="IndexLink"/>
              </w:rPr>
              <w:t>2</w:t>
            </w:r>
            <w:r>
              <w:rPr>
                <w:rStyle w:val="IndexLink"/>
                <w:rtl w:val="true"/>
              </w:rPr>
              <w:t>: </w:t>
            </w:r>
            <w:r>
              <w:rPr>
                <w:rStyle w:val="IndexLink"/>
                <w:rtl w:val="true"/>
              </w:rPr>
              <w:t>الشیعة فی الفروع</w:t>
            </w:r>
            <w:r>
              <w:rPr>
                <w:rStyle w:val="IndexLink"/>
                <w:rtl w:val="true"/>
              </w:rPr>
              <w:tab/>
            </w:r>
            <w:r>
              <w:rPr>
                <w:rStyle w:val="IndexLink"/>
              </w:rPr>
              <w:t>12</w:t>
            </w:r>
          </w:hyperlink>
        </w:p>
        <w:p>
          <w:pPr>
            <w:pStyle w:val="Contents2"/>
            <w:tabs>
              <w:tab w:val="clear" w:pos="8743"/>
              <w:tab w:val="right" w:pos="9026" w:leader="dot"/>
            </w:tabs>
            <w:rPr/>
          </w:pPr>
          <w:hyperlink w:anchor="__RefHeading___Toc1248393_373438147">
            <w:r>
              <w:rPr>
                <w:webHidden/>
                <w:rStyle w:val="IndexLink"/>
              </w:rPr>
              <w:t>3</w:t>
            </w:r>
            <w:r>
              <w:rPr>
                <w:rStyle w:val="IndexLink"/>
                <w:rtl w:val="true"/>
              </w:rPr>
              <w:t xml:space="preserve">: </w:t>
            </w:r>
            <w:r>
              <w:rPr>
                <w:rStyle w:val="IndexLink"/>
                <w:rtl w:val="true"/>
              </w:rPr>
              <w:t xml:space="preserve">المعصومون </w:t>
            </w:r>
            <w:r>
              <w:rPr>
                <w:rStyle w:val="IndexLink"/>
                <w:rtl w:val="true"/>
              </w:rPr>
              <w:t>(</w:t>
            </w:r>
            <w:r>
              <w:rPr>
                <w:rStyle w:val="IndexLink"/>
                <w:rtl w:val="true"/>
              </w:rPr>
              <w:t>علیهم السلام</w:t>
            </w:r>
            <w:r>
              <w:rPr>
                <w:rStyle w:val="IndexLink"/>
                <w:rtl w:val="true"/>
              </w:rPr>
              <w:t xml:space="preserve">) </w:t>
            </w:r>
            <w:r>
              <w:rPr>
                <w:rStyle w:val="IndexLink"/>
                <w:rtl w:val="true"/>
              </w:rPr>
              <w:t>قدوة للبشریة</w:t>
            </w:r>
            <w:r>
              <w:rPr>
                <w:rStyle w:val="IndexLink"/>
                <w:rtl w:val="true"/>
              </w:rPr>
              <w:tab/>
            </w:r>
            <w:r>
              <w:rPr>
                <w:rStyle w:val="IndexLink"/>
              </w:rPr>
              <w:t>13</w:t>
            </w:r>
          </w:hyperlink>
        </w:p>
        <w:p>
          <w:pPr>
            <w:pStyle w:val="Contents2"/>
            <w:tabs>
              <w:tab w:val="clear" w:pos="8743"/>
              <w:tab w:val="right" w:pos="9026" w:leader="dot"/>
            </w:tabs>
            <w:rPr/>
          </w:pPr>
          <w:hyperlink w:anchor="__RefHeading___Toc1248395_373438147">
            <w:r>
              <w:rPr>
                <w:webHidden/>
                <w:rStyle w:val="IndexLink"/>
              </w:rPr>
              <w:t>4</w:t>
            </w:r>
            <w:r>
              <w:rPr>
                <w:rStyle w:val="IndexLink"/>
                <w:rtl w:val="true"/>
              </w:rPr>
              <w:t xml:space="preserve">: </w:t>
            </w:r>
            <w:r>
              <w:rPr>
                <w:rStyle w:val="IndexLink"/>
                <w:rtl w:val="true"/>
              </w:rPr>
              <w:t xml:space="preserve">الدنیا تسیر وراء الأئمة الطاهرین </w:t>
            </w:r>
            <w:r>
              <w:rPr>
                <w:rStyle w:val="IndexLink"/>
                <w:rtl w:val="true"/>
              </w:rPr>
              <w:t>(</w:t>
            </w:r>
            <w:r>
              <w:rPr>
                <w:rStyle w:val="IndexLink"/>
                <w:rtl w:val="true"/>
              </w:rPr>
              <w:t>علیهم السلام</w:t>
            </w:r>
            <w:r>
              <w:rPr>
                <w:rStyle w:val="IndexLink"/>
                <w:rtl w:val="true"/>
              </w:rPr>
              <w:t>)</w:t>
              <w:tab/>
            </w:r>
            <w:r>
              <w:rPr>
                <w:rStyle w:val="IndexLink"/>
              </w:rPr>
              <w:t>14</w:t>
            </w:r>
          </w:hyperlink>
        </w:p>
        <w:p>
          <w:pPr>
            <w:pStyle w:val="Contents2"/>
            <w:tabs>
              <w:tab w:val="clear" w:pos="8743"/>
              <w:tab w:val="right" w:pos="9026" w:leader="dot"/>
            </w:tabs>
            <w:rPr/>
          </w:pPr>
          <w:hyperlink w:anchor="__RefHeading___Toc1248397_373438147">
            <w:r>
              <w:rPr>
                <w:webHidden/>
                <w:rStyle w:val="IndexLink"/>
              </w:rPr>
              <w:t>5</w:t>
            </w:r>
            <w:r>
              <w:rPr>
                <w:rStyle w:val="IndexLink"/>
                <w:rtl w:val="true"/>
              </w:rPr>
              <w:t xml:space="preserve">: </w:t>
            </w:r>
            <w:r>
              <w:rPr>
                <w:rStyle w:val="IndexLink"/>
                <w:rtl w:val="true"/>
              </w:rPr>
              <w:t>خدمات لمهابط الوحی</w:t>
            </w:r>
            <w:r>
              <w:rPr>
                <w:rStyle w:val="IndexLink"/>
                <w:rtl w:val="true"/>
              </w:rPr>
              <w:tab/>
            </w:r>
            <w:r>
              <w:rPr>
                <w:rStyle w:val="IndexLink"/>
              </w:rPr>
              <w:t>15</w:t>
            </w:r>
          </w:hyperlink>
        </w:p>
        <w:p>
          <w:pPr>
            <w:pStyle w:val="Contents3"/>
            <w:tabs>
              <w:tab w:val="clear" w:pos="8459"/>
              <w:tab w:val="right" w:pos="9026" w:leader="dot"/>
            </w:tabs>
            <w:rPr/>
          </w:pPr>
          <w:hyperlink w:anchor="__RefHeading___Toc1248399_37343814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248401_373438147">
            <w:r>
              <w:rPr>
                <w:webHidden/>
                <w:rStyle w:val="IndexLink"/>
                <w:rtl w:val="true"/>
              </w:rPr>
              <w:t>الخدمات المعنویة</w:t>
            </w:r>
            <w:r>
              <w:rPr>
                <w:rStyle w:val="IndexLink"/>
                <w:rtl w:val="true"/>
              </w:rPr>
              <w:tab/>
            </w:r>
            <w:r>
              <w:rPr>
                <w:rStyle w:val="IndexLink"/>
              </w:rPr>
              <w:t>15</w:t>
            </w:r>
          </w:hyperlink>
        </w:p>
        <w:p>
          <w:pPr>
            <w:pStyle w:val="Contents3"/>
            <w:tabs>
              <w:tab w:val="clear" w:pos="8459"/>
              <w:tab w:val="right" w:pos="9026" w:leader="dot"/>
            </w:tabs>
            <w:rPr/>
          </w:pPr>
          <w:hyperlink w:anchor="__RefHeading___Toc1248403_373438147">
            <w:r>
              <w:rPr>
                <w:webHidden/>
                <w:rStyle w:val="IndexLink"/>
                <w:rtl w:val="true"/>
              </w:rPr>
              <w:t>الخدمات المادیة</w:t>
            </w:r>
            <w:r>
              <w:rPr>
                <w:rStyle w:val="IndexLink"/>
                <w:rtl w:val="true"/>
              </w:rPr>
              <w:tab/>
            </w:r>
            <w:r>
              <w:rPr>
                <w:rStyle w:val="IndexLink"/>
              </w:rPr>
              <w:t>16</w:t>
            </w:r>
          </w:hyperlink>
        </w:p>
        <w:p>
          <w:pPr>
            <w:pStyle w:val="Contents2"/>
            <w:tabs>
              <w:tab w:val="clear" w:pos="8743"/>
              <w:tab w:val="right" w:pos="9026" w:leader="dot"/>
            </w:tabs>
            <w:rPr/>
          </w:pPr>
          <w:hyperlink w:anchor="__RefHeading___Toc1248405_373438147">
            <w:r>
              <w:rPr>
                <w:webHidden/>
                <w:rStyle w:val="IndexLink"/>
                <w:rtl w:val="true"/>
              </w:rPr>
              <w:t>الفهرس</w:t>
            </w:r>
            <w:r>
              <w:rPr>
                <w:rStyle w:val="IndexLink"/>
                <w:rtl w:val="true"/>
              </w:rPr>
              <w:tab/>
            </w:r>
            <w:r>
              <w:rPr>
                <w:rStyle w:val="IndexLink"/>
              </w:rPr>
              <w:t>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0_10102"/>
      <w:bookmarkStart w:id="1" w:name="pg1000_10102"/>
      <w:bookmarkEnd w:id="1"/>
    </w:p>
    <w:p>
      <w:pPr>
        <w:pStyle w:val="Heading2"/>
        <w:numPr>
          <w:ilvl w:val="1"/>
          <w:numId w:val="1"/>
        </w:numPr>
        <w:rPr/>
      </w:pPr>
      <w:bookmarkStart w:id="2" w:name="pg1000_10102"/>
      <w:bookmarkStart w:id="3" w:name="__RefHeading___Toc1248381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الشیعة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شیرازی، محمد</w:t>
      </w:r>
    </w:p>
    <w:p>
      <w:pPr>
        <w:pStyle w:val="BookText"/>
        <w:rPr/>
      </w:pPr>
      <w:r>
        <w:rPr>
          <w:rFonts w:ascii="IRNazanin" w:hAnsi="IRNazanin" w:eastAsia="IRNazanin"/>
          <w:color w:val="111111"/>
          <w:sz w:val="28"/>
          <w:sz w:val="28"/>
          <w:szCs w:val="28"/>
          <w:rtl w:val="true"/>
          <w:lang w:bidi="fa-IR"/>
        </w:rPr>
        <w:t>تاریخ وفاة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 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pStyle w:val="BookText"/>
        <w:rPr/>
      </w:pPr>
      <w:r>
        <w:rPr>
          <w:rFonts w:ascii="IRNazanin" w:hAnsi="IRNazanin" w:eastAsia="IRNazanin"/>
          <w:color w:val="111111"/>
          <w:sz w:val="28"/>
          <w:sz w:val="28"/>
          <w:szCs w:val="28"/>
          <w:rtl w:val="true"/>
          <w:lang w:bidi="fa-IR"/>
        </w:rPr>
        <w:t>صراط الذین أنعمت علیهم</w:t>
      </w:r>
    </w:p>
    <w:p>
      <w:pPr>
        <w:pStyle w:val="BookText"/>
        <w:rPr/>
      </w:pPr>
      <w:r>
        <w:rPr>
          <w:rFonts w:ascii="IRNazanin" w:hAnsi="IRNazanin" w:eastAsia="IRNazanin"/>
          <w:color w:val="111111"/>
          <w:sz w:val="28"/>
          <w:sz w:val="28"/>
          <w:szCs w:val="28"/>
          <w:rtl w:val="true"/>
          <w:lang w:bidi="fa-IR"/>
        </w:rPr>
        <w:t>غیر المغضوب علیهم</w:t>
      </w:r>
    </w:p>
    <w:p>
      <w:pPr>
        <w:pStyle w:val="BookText"/>
        <w:rPr/>
      </w:pPr>
      <w:r>
        <w:rPr>
          <w:rFonts w:ascii="IRNazanin" w:hAnsi="IRNazanin" w:eastAsia="IRNazanin"/>
          <w:color w:val="111111"/>
          <w:sz w:val="28"/>
          <w:sz w:val="28"/>
          <w:szCs w:val="28"/>
          <w:rtl w:val="true"/>
          <w:lang w:bidi="fa-IR"/>
        </w:rPr>
        <w:t>ولا الضالین</w:t>
      </w:r>
    </w:p>
    <w:p>
      <w:pPr>
        <w:pStyle w:val="BookText"/>
        <w:rPr/>
      </w:pPr>
      <w:r>
        <w:rPr>
          <w:rFonts w:ascii="IRNazanin" w:hAnsi="IRNazanin" w:eastAsia="IRNazanin"/>
          <w:color w:val="111111"/>
          <w:sz w:val="28"/>
          <w:sz w:val="28"/>
          <w:szCs w:val="28"/>
          <w:rtl w:val="true"/>
          <w:lang w:bidi="fa-IR"/>
        </w:rPr>
        <w:t>صدق الله العلی العظیم</w:t>
      </w:r>
    </w:p>
    <w:p>
      <w:pPr>
        <w:pStyle w:val="Heading2"/>
        <w:numPr>
          <w:ilvl w:val="1"/>
          <w:numId w:val="1"/>
        </w:numPr>
        <w:rPr/>
      </w:pPr>
      <w:bookmarkStart w:id="5" w:name="__RefHeading___Toc1248383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نظرة الشیعة</w:t>
      </w:r>
    </w:p>
    <w:p>
      <w:pPr>
        <w:pStyle w:val="BookText"/>
        <w:rPr/>
      </w:pPr>
      <w:r>
        <w:rPr>
          <w:rFonts w:ascii="IRNazanin" w:hAnsi="IRNazanin" w:eastAsia="IRNazanin"/>
          <w:color w:val="111111"/>
          <w:sz w:val="28"/>
          <w:sz w:val="28"/>
          <w:szCs w:val="28"/>
          <w:rtl w:val="true"/>
          <w:lang w:bidi="fa-IR"/>
        </w:rPr>
        <w:t>آیة الله العظمی</w:t>
      </w:r>
    </w:p>
    <w:p>
      <w:pPr>
        <w:pStyle w:val="BookText"/>
        <w:rPr/>
      </w:pPr>
      <w:r>
        <w:rPr>
          <w:rFonts w:ascii="IRNazanin" w:hAnsi="IRNazanin" w:eastAsia="IRNazanin"/>
          <w:color w:val="111111"/>
          <w:sz w:val="28"/>
          <w:sz w:val="28"/>
          <w:szCs w:val="28"/>
          <w:rtl w:val="true"/>
          <w:lang w:bidi="fa-IR"/>
        </w:rPr>
        <w:t>الامام السید محمد الحسینی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والنشر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بیروت ـ لبنان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 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pStyle w:val="BookText"/>
        <w:rPr/>
      </w:pPr>
      <w:r>
        <w:rPr>
          <w:rFonts w:ascii="IRNazanin" w:hAnsi="IRNazanin" w:eastAsia="IRNazanin"/>
          <w:color w:val="111111"/>
          <w:sz w:val="28"/>
          <w:sz w:val="28"/>
          <w:szCs w:val="28"/>
          <w:rtl w:val="true"/>
          <w:lang w:bidi="fa-IR"/>
        </w:rPr>
        <w:t>صراط الذین أنعمت علیهم</w:t>
      </w:r>
    </w:p>
    <w:p>
      <w:pPr>
        <w:pStyle w:val="BookText"/>
        <w:rPr/>
      </w:pPr>
      <w:r>
        <w:rPr>
          <w:rFonts w:ascii="IRNazanin" w:hAnsi="IRNazanin" w:eastAsia="IRNazanin"/>
          <w:color w:val="111111"/>
          <w:sz w:val="28"/>
          <w:sz w:val="28"/>
          <w:szCs w:val="28"/>
          <w:rtl w:val="true"/>
          <w:lang w:bidi="fa-IR"/>
        </w:rPr>
        <w:t>غیر المغضوب علیهم</w:t>
      </w:r>
    </w:p>
    <w:p>
      <w:pPr>
        <w:pStyle w:val="BookText"/>
        <w:rPr/>
      </w:pPr>
      <w:r>
        <w:rPr>
          <w:rFonts w:ascii="IRNazanin" w:hAnsi="IRNazanin" w:eastAsia="IRNazanin"/>
          <w:color w:val="111111"/>
          <w:sz w:val="28"/>
          <w:sz w:val="28"/>
          <w:szCs w:val="28"/>
          <w:rtl w:val="true"/>
          <w:lang w:bidi="fa-IR"/>
        </w:rPr>
        <w:t>ولا الضالین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الله العلی العظیم</w:t>
      </w:r>
      <w:bookmarkStart w:id="7" w:name="pg1000_10107"/>
    </w:p>
    <w:p>
      <w:pPr>
        <w:pStyle w:val="Heading2"/>
        <w:numPr>
          <w:ilvl w:val="1"/>
          <w:numId w:val="1"/>
        </w:numPr>
        <w:rPr/>
      </w:pPr>
      <w:bookmarkStart w:id="8" w:name="__RefHeading___Toc1248385_373438147"/>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إن من یرید أن یبلّغ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یستوعبها جیداً، وأن یشعر بالمسؤولیة تجاهها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والمبلّغ الناجح هو الذی یعطی الصورة الحقیقیة للرسالة التی یبلّغها، فعلیه أن یجسّدها فی شخصه کما هو شأن الرسالات السماویة والرسل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کل واحد منهم کان یجسّد رسالته فی شخصه فیکون الرسول هو الصورة الحیّة والمتحرّکة فی الواقع للرسالة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یدل علیه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لنا بغیر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بأعمالکم وأخلاقکم …</w:t>
      </w:r>
    </w:p>
    <w:p>
      <w:pPr>
        <w:pStyle w:val="BookText"/>
        <w:rPr/>
      </w:pPr>
      <w:r>
        <w:rPr>
          <w:rFonts w:ascii="IRNazanin" w:hAnsi="IRNazanin" w:eastAsia="IRNazanin"/>
          <w:color w:val="111111"/>
          <w:sz w:val="28"/>
          <w:sz w:val="28"/>
          <w:szCs w:val="28"/>
          <w:rtl w:val="true"/>
          <w:lang w:bidi="fa-IR"/>
        </w:rPr>
        <w:t xml:space="preserve">ومن هذا المنطلق انبری سماحة المرجع الدینی الأعلی الإمام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الموسوعی فی علمه، والعالمی فی فکره وتطلّعه، والإسلامی فی طرحه … للتعریف بمذهب أهل البیت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بشکل عام حتی تعرف الدنیا نهجهم القویم ورسالتهم السماویة السمحة… وللمسلمین بصورة خاصة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کان سماحته یکتب فی کل عام کرّاسا مبسّطا وسهلا یوزع فی أکبر مؤتمر إسلامی ألا وهو موسم الحج إلی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ثلث قرن، ویعتقد أن لو أجدنا استثمار هذا المؤتمر کما یجب أو ینبغی لحلّت أکثر مشاکل العالم الإسلامی ولعادت الأمة إلی سابق عهدها فی وحدة الکلمة ووحدة الموقف</w:t>
      </w:r>
    </w:p>
    <w:p>
      <w:pPr>
        <w:pStyle w:val="BookText"/>
        <w:rPr/>
      </w:pPr>
      <w:r>
        <w:rPr>
          <w:rFonts w:ascii="IRNazanin" w:hAnsi="IRNazanin" w:eastAsia="IRNazanin"/>
          <w:color w:val="111111"/>
          <w:sz w:val="28"/>
          <w:sz w:val="28"/>
          <w:szCs w:val="28"/>
          <w:rtl w:val="true"/>
          <w:lang w:bidi="fa-IR"/>
        </w:rPr>
        <w:t>علی مستوی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کراساً توزعت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متتالیة تقریباً</w:t>
      </w:r>
      <w:r>
        <w:rPr>
          <w:rStyle w:val="FootnoteAnchor"/>
          <w:rtl w:val="true"/>
        </w:rPr>
        <w:footnoteReference w:id="2"/>
      </w:r>
      <w:r>
        <w:rPr>
          <w:rFonts w:ascii="IRNazanin" w:hAnsi="IRNazanin" w:eastAsia="IRNazanin"/>
          <w:color w:val="111111"/>
          <w:sz w:val="28"/>
          <w:sz w:val="28"/>
          <w:szCs w:val="28"/>
          <w:rtl w:val="true"/>
          <w:lang w:bidi="fa-IR"/>
        </w:rPr>
        <w:t xml:space="preserve">،وکانت تطبع کل واحدة منها ما بین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توزّع جمیعها مجانا وفی موسم الحج، وفیها عناوین للمراسلة لمن یرید التعرّف الأکثر علی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مردود تلک النشرات ـ الکرّاسات ـ إیجابیا جداً، وهذا ما تبیّن من خلال الرسائل والمراسلات التی کانت تعقب موسم الحج استفساراً واستفهاماً عن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وساعدت فی دحض الکثیر من الشبهات التی کانت تنشر حول ذاک المذهب الحق…</w:t>
      </w:r>
    </w:p>
    <w:p>
      <w:pPr>
        <w:pStyle w:val="BookText"/>
        <w:rPr/>
      </w:pPr>
      <w:r>
        <w:rPr>
          <w:rFonts w:ascii="IRNazanin" w:hAnsi="IRNazanin" w:eastAsia="IRNazanin"/>
          <w:color w:val="111111"/>
          <w:sz w:val="28"/>
          <w:sz w:val="28"/>
          <w:szCs w:val="28"/>
          <w:rtl w:val="true"/>
          <w:lang w:bidi="fa-IR"/>
        </w:rPr>
        <w:t xml:space="preserve">ونحن فی 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أن نحیی تلک الکرّاسات ونعید طباعتها تباعا لنفس الغایة التی کتبت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راجین من الله السداد والقبول، وأن یوفّقنا جمیعاً للعمل الصالح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والنشر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 ـ لبنان ص ب</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bookmarkStart w:id="10" w:name="pg1000_10112"/>
    </w:p>
    <w:p>
      <w:pPr>
        <w:pStyle w:val="Heading2"/>
        <w:numPr>
          <w:ilvl w:val="1"/>
          <w:numId w:val="1"/>
        </w:numPr>
        <w:rPr/>
      </w:pPr>
      <w:bookmarkStart w:id="11" w:name="__RefHeading___Toc1248387_373438147"/>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صفوته من بریّته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ثلاثة عشرة سنة ونحن نصدِّر کل سنة بیاناً یعنی بتعریف الشیعة علی من یجهلهم، لتخفیف حدة التوتّر بین الطوائف الإسلامیة، وإیقاف التراشق بالتهم التی تزرع فیما بینهم ولا یجنی ثمارها سوی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الله تعالی جعل موسم الحج مؤتمراً عاماً للمسلمین حتی یتنادوا إلیه من أطراف الدنیا لیشهدوا منافع لهم، وجدنا أنه أفضل مجمع لتوزیع هذا البیان بلغات متنوعة من أجل إعطاء صورة عامة عن نظرة الشیعة فی مختلف المجالات مساهمة منا فی جمع کلمة المسلمین علی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هو المسؤول أن یوفق الجمیع لما فیه خیرهم ورضاه، وهو الموفق والمستعان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الکویت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هـ</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المهدی الحسینی الشیرازی</w:t>
      </w:r>
      <w:bookmarkStart w:id="13" w:name="pg1000_10116"/>
    </w:p>
    <w:p>
      <w:pPr>
        <w:pStyle w:val="Heading2"/>
        <w:numPr>
          <w:ilvl w:val="1"/>
          <w:numId w:val="1"/>
        </w:numPr>
        <w:rPr/>
      </w:pPr>
      <w:bookmarkStart w:id="14" w:name="__RefHeading___Toc1248389_373438147"/>
      <w:bookmarkStart w:id="15" w:name="_Toc5"/>
      <w:bookmarkEnd w:id="13"/>
      <w:bookmarkEnd w:id="14"/>
      <w:r>
        <w:rPr/>
        <w:t>1</w:t>
      </w:r>
      <w:r>
        <w:rPr>
          <w:rtl w:val="true"/>
        </w:rPr>
        <w:t>: </w:t>
      </w:r>
      <w:r>
        <w:rPr>
          <w:rtl w:val="true"/>
        </w:rPr>
        <w:t>الشیعة فی الأصول</w:t>
      </w:r>
      <w:bookmarkEnd w:id="15"/>
    </w:p>
    <w:p>
      <w:pPr>
        <w:pStyle w:val="BookText"/>
        <w:rPr/>
      </w:pPr>
      <w:r>
        <w:rPr>
          <w:rFonts w:ascii="IRNazanin" w:hAnsi="IRNazanin" w:eastAsia="IRNazanin"/>
          <w:color w:val="111111"/>
          <w:sz w:val="28"/>
          <w:sz w:val="28"/>
          <w:szCs w:val="28"/>
          <w:rtl w:val="true"/>
          <w:lang w:bidi="fa-IR"/>
        </w:rPr>
        <w:t>ینقسم المسلمون فی العالم إلی شیعة هم أکثر من مائتی ملیون</w:t>
      </w:r>
      <w:r>
        <w:rPr>
          <w:rStyle w:val="FootnoteAnchor"/>
          <w:rtl w:val="true"/>
        </w:rPr>
        <w:footnoteReference w:id="3"/>
      </w:r>
      <w:r>
        <w:rPr>
          <w:rFonts w:ascii="IRNazanin" w:hAnsi="IRNazanin" w:eastAsia="IRNazanin"/>
          <w:color w:val="111111"/>
          <w:sz w:val="28"/>
          <w:sz w:val="28"/>
          <w:szCs w:val="28"/>
          <w:rtl w:val="true"/>
          <w:lang w:bidi="fa-IR"/>
        </w:rPr>
        <w:t>وسنة هم بقیة المسلمین، ولا فرق بین الطائفتین فی الأصول الثلاثة التی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المسلمین یعتقدون بأن للکون إلهاً واحداً، أزلیاً أبدیاً، عالماً قادراً، حیّاً قیّوماً، لیس له شریک، وله کل الصفات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کل المسلمین یعتقدون بأن الله أرسل إلی البشر أنبیاء هداة مهدیین لإرشادهم إلی الحق وإلی سعادة الدنیا والآخرة، وبأن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خاتم الأنبیاء لا نبی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کل المسلمین یعتقدون أن الإنسان إذا مات یفنی جسده وتبقی روحه، ثم یحیی فی یوم القیامة فمن کان محسناً فی الدنیا کان من أهل الجنة والنعیم، ومن کان مسیئاً فی الدنیا کان من أهل العقاب والجحیم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والشیعة تعتقد أن الله سبحانه وتعالی عادل وأنه لا یظلم أحداً ولا یفعل عبثا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وتری الشیعة أیضاً أن نبی الإسلام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من بعده اثنی عشر خلیفة،</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بعدی اثنا عشر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وهؤلاء الخلفاء سمّاهم الرسول بأسمائهم</w:t>
      </w:r>
      <w:r>
        <w:rPr>
          <w:rStyle w:val="FootnoteAnchor"/>
          <w:rtl w:val="true"/>
        </w:rPr>
        <w:footnoteReference w:id="6"/>
      </w:r>
      <w:r>
        <w:rPr>
          <w:rFonts w:ascii="IRNazanin" w:hAnsi="IRNazanin" w:eastAsia="IRNazanin"/>
          <w:color w:val="111111"/>
          <w:sz w:val="28"/>
          <w:sz w:val="28"/>
          <w:szCs w:val="28"/>
          <w:rtl w:val="true"/>
          <w:lang w:bidi="fa-IR"/>
        </w:rPr>
        <w:t>،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والخلیفة الأخیر من هؤلاء وهو الإمام المهدی حی فی دار الدنیا وغائب عن الأبصار، یظهر فی آخر الزمان لیملأ الأرض عدلاً بعد أن ملئت ظلماً، وتتوحّد العباد والبلاد تحت لوائه فی حکومة إسلامیة واحدة مزدهرة بإذن الله تعالی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والشیعة قد أقاموا الأدلة والبراهین علی هذین الأصلین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العقل والنقل</w:t>
      </w:r>
      <w:r>
        <w:rPr>
          <w:rFonts w:eastAsia="IRNazanin" w:cs="IRNazanin"/>
          <w:color w:val="111111"/>
          <w:sz w:val="28"/>
          <w:szCs w:val="28"/>
          <w:rtl w:val="true"/>
          <w:lang w:bidi="fa-IR"/>
        </w:rPr>
        <w:t>.</w:t>
      </w:r>
      <w:bookmarkStart w:id="16" w:name="pg1000_10124"/>
    </w:p>
    <w:p>
      <w:pPr>
        <w:pStyle w:val="Heading2"/>
        <w:numPr>
          <w:ilvl w:val="1"/>
          <w:numId w:val="1"/>
        </w:numPr>
        <w:rPr/>
      </w:pPr>
      <w:bookmarkStart w:id="17" w:name="__RefHeading___Toc1248391_373438147"/>
      <w:bookmarkStart w:id="18" w:name="_Toc6"/>
      <w:bookmarkEnd w:id="16"/>
      <w:bookmarkEnd w:id="17"/>
      <w:r>
        <w:rPr/>
        <w:t>2</w:t>
      </w:r>
      <w:r>
        <w:rPr>
          <w:rtl w:val="true"/>
        </w:rPr>
        <w:t>: </w:t>
      </w:r>
      <w:r>
        <w:rPr>
          <w:rtl w:val="true"/>
        </w:rPr>
        <w:t>الشیعة فی الفروع</w:t>
      </w:r>
      <w:bookmarkEnd w:id="18"/>
    </w:p>
    <w:p>
      <w:pPr>
        <w:pStyle w:val="BookText"/>
        <w:rPr/>
      </w:pPr>
      <w:r>
        <w:rPr>
          <w:rFonts w:ascii="IRNazanin" w:hAnsi="IRNazanin" w:eastAsia="IRNazanin"/>
          <w:color w:val="111111"/>
          <w:sz w:val="28"/>
          <w:sz w:val="28"/>
          <w:szCs w:val="28"/>
          <w:rtl w:val="true"/>
          <w:lang w:bidi="fa-IR"/>
        </w:rPr>
        <w:t>أما فروع الإسلام أعنی العبادات والمعاملات وسائر القوانین والأحکام، فقد قال المسلمون الشیعة إن مصدرها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الحکیم، وهو هذا الکتاب الذی بین یدی المسلمین لم یزد فیه ولم ینقص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المطهرة الواردة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 إن باب الاجتهاد مفتوح، فمن استنبط ـ بشرائطه ـ من هذه المصادر الأربعة حکماً من الأحکام الشرعیة فله أن یعمل به</w:t>
      </w:r>
      <w:r>
        <w:rPr>
          <w:rFonts w:eastAsia="IRNazanin" w:cs="IRNazanin"/>
          <w:color w:val="111111"/>
          <w:sz w:val="28"/>
          <w:szCs w:val="28"/>
          <w:rtl w:val="true"/>
          <w:lang w:bidi="fa-IR"/>
        </w:rPr>
        <w:t>.</w:t>
      </w:r>
      <w:bookmarkStart w:id="19" w:name="pg1000_10127"/>
    </w:p>
    <w:p>
      <w:pPr>
        <w:pStyle w:val="Heading2"/>
        <w:numPr>
          <w:ilvl w:val="1"/>
          <w:numId w:val="1"/>
        </w:numPr>
        <w:rPr/>
      </w:pPr>
      <w:bookmarkStart w:id="20" w:name="__RefHeading___Toc1248393_373438147"/>
      <w:bookmarkStart w:id="21" w:name="_Toc7"/>
      <w:bookmarkEnd w:id="19"/>
      <w:bookmarkEnd w:id="20"/>
      <w:r>
        <w:rPr/>
        <w:t>3</w:t>
      </w:r>
      <w:r>
        <w:rPr>
          <w:rtl w:val="true"/>
        </w:rPr>
        <w:t xml:space="preserve">: </w:t>
      </w:r>
      <w:r>
        <w:rPr>
          <w:rtl w:val="true"/>
        </w:rPr>
        <w:t xml:space="preserve">المعصومون </w:t>
      </w:r>
      <w:r>
        <w:rPr>
          <w:rtl w:val="true"/>
        </w:rPr>
        <w:t>(</w:t>
      </w:r>
      <w:r>
        <w:rPr>
          <w:rtl w:val="true"/>
        </w:rPr>
        <w:t>علیهم السلام</w:t>
      </w:r>
      <w:r>
        <w:rPr>
          <w:rtl w:val="true"/>
        </w:rPr>
        <w:t xml:space="preserve">) </w:t>
      </w:r>
      <w:r>
        <w:rPr>
          <w:rtl w:val="true"/>
        </w:rPr>
        <w:t>قدوة للبشریة</w:t>
      </w:r>
      <w:bookmarkEnd w:id="21"/>
    </w:p>
    <w:p>
      <w:pPr>
        <w:pStyle w:val="BookText"/>
        <w:rPr/>
      </w:pPr>
      <w:r>
        <w:rPr>
          <w:rFonts w:ascii="IRNazanin" w:hAnsi="IRNazanin" w:eastAsia="IRNazanin"/>
          <w:color w:val="111111"/>
          <w:sz w:val="28"/>
          <w:sz w:val="28"/>
          <w:szCs w:val="28"/>
          <w:rtl w:val="true"/>
          <w:lang w:bidi="fa-IR"/>
        </w:rPr>
        <w:t xml:space="preserve">إن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وبنته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والخلفاء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بإطاعتهم وإتباعهم قد خطّطوا للحیاة السعیدة تخطیطاً کاملاً، فهؤلاء الأطهار دستورٌ کامل للحیاة الفاضلة وقدوة صالحة لکل شؤون الإنسان فی جمیع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والبشر یجد الأسوة فیهم فی مختلف المراحل، سواء فی الشؤون الحکومیة أو الاقتصادیة أو السیاسیة أو التجاریة أو الأخلاقیة أو العسکریة أو الزراعیة أو الصناعیة أو الثقافیة أو القضائیة، الفردیة أو العائلیة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قاموا بمختلف الأدوار الحیویة من حاکم ووزیر وقائد وجندی وثائر ومعلم ومربّ ومعتزل وتاجر وزارع ومکافح وسجین ومشرَّد ومحارب ومسالم وغیر ذلک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الیوم الذی یتبع العالم فیه مناهج هؤلاء السادة تصبح الدنیا جنة نعیم، وقد ادّخر الله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الیوم</w:t>
      </w:r>
      <w:r>
        <w:rPr>
          <w:rFonts w:eastAsia="IRNazanin" w:cs="IRNazanin"/>
          <w:color w:val="111111"/>
          <w:sz w:val="28"/>
          <w:szCs w:val="28"/>
          <w:rtl w:val="true"/>
          <w:lang w:bidi="fa-IR"/>
        </w:rPr>
        <w:t>.</w:t>
      </w:r>
      <w:bookmarkStart w:id="22" w:name="pg1000_10130"/>
    </w:p>
    <w:p>
      <w:pPr>
        <w:pStyle w:val="Heading2"/>
        <w:numPr>
          <w:ilvl w:val="1"/>
          <w:numId w:val="1"/>
        </w:numPr>
        <w:rPr/>
      </w:pPr>
      <w:bookmarkStart w:id="23" w:name="__RefHeading___Toc1248395_373438147"/>
      <w:bookmarkStart w:id="24" w:name="_Toc8"/>
      <w:bookmarkEnd w:id="22"/>
      <w:bookmarkEnd w:id="23"/>
      <w:r>
        <w:rPr/>
        <w:t>4</w:t>
      </w:r>
      <w:r>
        <w:rPr>
          <w:rtl w:val="true"/>
        </w:rPr>
        <w:t xml:space="preserve">: </w:t>
      </w:r>
      <w:r>
        <w:rPr>
          <w:rtl w:val="true"/>
        </w:rPr>
        <w:t xml:space="preserve">الدنیا تسیر وراء الأئمة الطاهرین </w:t>
      </w:r>
      <w:r>
        <w:rPr>
          <w:rtl w:val="true"/>
        </w:rPr>
        <w:t>(</w:t>
      </w:r>
      <w:r>
        <w:rPr>
          <w:rtl w:val="true"/>
        </w:rPr>
        <w:t>علیهم السلام</w:t>
      </w:r>
      <w:r>
        <w:rPr>
          <w:rtl w:val="true"/>
        </w:rPr>
        <w:t>)</w:t>
      </w:r>
      <w:bookmarkEnd w:id="24"/>
    </w:p>
    <w:p>
      <w:pPr>
        <w:pStyle w:val="BookText"/>
        <w:rPr/>
      </w:pPr>
      <w:r>
        <w:rPr>
          <w:rFonts w:ascii="IRNazanin" w:hAnsi="IRNazanin" w:eastAsia="IRNazanin"/>
          <w:color w:val="111111"/>
          <w:sz w:val="28"/>
          <w:sz w:val="28"/>
          <w:szCs w:val="28"/>
          <w:rtl w:val="true"/>
          <w:lang w:bidi="fa-IR"/>
        </w:rPr>
        <w:t xml:space="preserve">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خدموا الإسلام أکبر خدمة، وإلا لعصفت بالإسلام نفس العواصف التی عصفت بالأدیان السابقة وحرّفتها عن مجاریها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الشیعة فی طول التاریخ الإسلامی فتحوا فتوحات هائلة وأدخلوا الناس فی دین الله أفواجاً، ووقفوا أمام التیارات التی لولا الشیعة لاکتسحت الإسلام والمسلمین، وکل ذلک مذکور فی التواریخ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ونظرة واحدة إلی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تکفی لإلقاء الضوء علی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والحضارة الإنسانیة رهینة خدمات الشیعة فی کل أبعادها وقد أدرک علماء الدنیا والدین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وضعوا الشیعة فی موضعهم اللائق بهم، ومن أولئک العلماء أکبر علماء مصر الشیخ محمود شلتوت فی فتواه الشهیرة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نص فتوی الشیخ شلتوت رئیس جامعة الأزهر بجواز التعبد بالمذهب الشیعی فی أصل الکتاب</w:t>
      </w:r>
      <w:bookmarkStart w:id="25" w:name="pg1000_10133"/>
    </w:p>
    <w:p>
      <w:pPr>
        <w:pStyle w:val="Heading2"/>
        <w:numPr>
          <w:ilvl w:val="1"/>
          <w:numId w:val="1"/>
        </w:numPr>
        <w:rPr/>
      </w:pPr>
      <w:bookmarkStart w:id="26" w:name="__RefHeading___Toc1248397_373438147"/>
      <w:bookmarkStart w:id="27" w:name="_Toc9"/>
      <w:bookmarkEnd w:id="25"/>
      <w:bookmarkEnd w:id="26"/>
      <w:r>
        <w:rPr/>
        <w:t>5</w:t>
      </w:r>
      <w:r>
        <w:rPr>
          <w:rtl w:val="true"/>
        </w:rPr>
        <w:t xml:space="preserve">: </w:t>
      </w:r>
      <w:r>
        <w:rPr>
          <w:rtl w:val="true"/>
        </w:rPr>
        <w:t>خدمات لمهابط الوحی</w:t>
      </w:r>
      <w:bookmarkEnd w:id="27"/>
    </w:p>
    <w:p>
      <w:pPr>
        <w:pStyle w:val="Heading3"/>
        <w:numPr>
          <w:ilvl w:val="2"/>
          <w:numId w:val="1"/>
        </w:numPr>
        <w:rPr/>
      </w:pPr>
      <w:bookmarkStart w:id="28" w:name="__RefHeading___Toc1248399_373438147"/>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یلزم علی کافة المسلمین أن یخدموا مهابط الوحی والتنزیل خدمات تلیق بها، وهی تنقسم إلی الخدمات المعنویة والمادیة وهی</w:t>
      </w:r>
      <w:r>
        <w:rPr>
          <w:rFonts w:eastAsia="IRNazanin" w:cs="IRNazanin"/>
          <w:color w:val="111111"/>
          <w:sz w:val="28"/>
          <w:szCs w:val="28"/>
          <w:rtl w:val="true"/>
          <w:lang w:bidi="fa-IR"/>
        </w:rPr>
        <w:t>:</w:t>
      </w:r>
    </w:p>
    <w:p>
      <w:pPr>
        <w:pStyle w:val="Heading3"/>
        <w:numPr>
          <w:ilvl w:val="2"/>
          <w:numId w:val="1"/>
        </w:numPr>
        <w:rPr/>
      </w:pPr>
      <w:bookmarkStart w:id="30" w:name="__RefHeading___Toc1248401_373438147"/>
      <w:bookmarkStart w:id="31" w:name="_Toc11"/>
      <w:bookmarkEnd w:id="30"/>
      <w:r>
        <w:rPr>
          <w:rtl w:val="true"/>
        </w:rPr>
        <w:t>الخدمات المعنویة</w:t>
      </w:r>
      <w:bookmarkEnd w:id="3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الحریات لکافة المسلمین لیؤدوا الشعائر حسب اجتهاداتهم الإسلامیة، والتی منها السماح لإقامة الجماعة فی الحرمین الشریفین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القباب الفخمة علی أضرحة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الأقربین وصحابته الأخیار والذین اتبعوهم بإحسان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سفینة من نور أو ما أشبه فوق الکعبة المشرفة بمسافة عالیة جداً تشعّ إلی أکبر دائرة ممکنة لیری أهل البلدان مکان الکعبة فی اللیل من أبعد المسافات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أبواب البلاد طول السنة لکل من یرید الحج أو العمرة أو الزیارة، والسماح لکل من یرید السکن فی تلک البلاد سواء العاکف فیه والباد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ملایین الکتب والخرائط والنشرات والصور والأشرطة بمختلف اللغات لتعریف العالم بالإسلام ودعوتهم إلیه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المؤتمرات الدائمة لکافة المسلمین والسماح لهم لإبداء آرائهم لاتخاذ القرارات حول شؤونهم الدینیة والدنیویة</w:t>
      </w:r>
      <w:r>
        <w:rPr>
          <w:rFonts w:eastAsia="IRNazanin" w:cs="IRNazanin"/>
          <w:color w:val="111111"/>
          <w:sz w:val="28"/>
          <w:szCs w:val="28"/>
          <w:rtl w:val="true"/>
          <w:lang w:bidi="fa-IR"/>
        </w:rPr>
        <w:t>..</w:t>
      </w:r>
      <w:bookmarkStart w:id="32" w:name="pg1000_10136"/>
    </w:p>
    <w:p>
      <w:pPr>
        <w:pStyle w:val="Heading3"/>
        <w:numPr>
          <w:ilvl w:val="2"/>
          <w:numId w:val="1"/>
        </w:numPr>
        <w:rPr/>
      </w:pPr>
      <w:bookmarkStart w:id="33" w:name="__RefHeading___Toc1248403_373438147"/>
      <w:bookmarkStart w:id="34" w:name="_Toc12"/>
      <w:bookmarkEnd w:id="32"/>
      <w:bookmarkEnd w:id="33"/>
      <w:r>
        <w:rPr>
          <w:rtl w:val="true"/>
        </w:rPr>
        <w:t>الخدمات المادیة</w:t>
      </w:r>
      <w:bookmarkEnd w:id="34"/>
    </w:p>
    <w:p>
      <w:pPr>
        <w:pStyle w:val="BookText"/>
        <w:rPr/>
      </w:pPr>
      <w:r>
        <w:rPr>
          <w:rFonts w:ascii="IRNazanin" w:hAnsi="IRNazanin" w:eastAsia="IRNazanin"/>
          <w:color w:val="111111"/>
          <w:sz w:val="28"/>
          <w:sz w:val="28"/>
          <w:szCs w:val="28"/>
          <w:rtl w:val="true"/>
          <w:lang w:bidi="fa-IR"/>
        </w:rPr>
        <w:t>وإلی الخدمات المادیة، التی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طبقات حول الکعبة المشرفة والمسعی والجمرات لتسهیل الطواف والسعی والرمی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البنایات فی عرفات والمشعر ومنی لسکن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السیر تنظیماً دقیقاً وتوفیر کافة وسائل الراحة للحجاج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تعلیب لحوم الأضاحی والاستفادة من سائر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والمسؤول من الله سبحانه أن یوفق الجمیع لما فیه رضاه وهو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هـ</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bookmarkStart w:id="35" w:name="pg1000_10139"/>
    </w:p>
    <w:p>
      <w:pPr>
        <w:pStyle w:val="Heading2"/>
        <w:numPr>
          <w:ilvl w:val="1"/>
          <w:numId w:val="1"/>
        </w:numPr>
        <w:rPr/>
      </w:pPr>
      <w:bookmarkStart w:id="36" w:name="__RefHeading___Toc1248405_373438147"/>
      <w:bookmarkStart w:id="37" w:name="_Toc13"/>
      <w:bookmarkEnd w:id="35"/>
      <w:bookmarkEnd w:id="36"/>
      <w:r>
        <w:rPr>
          <w:rtl w:val="true"/>
        </w:rPr>
        <w:t>الفهرس</w:t>
      </w:r>
      <w:bookmarkEnd w:id="37"/>
    </w:p>
    <w:p>
      <w:pPr>
        <w:pStyle w:val="BookText"/>
        <w:rPr/>
      </w:pPr>
      <w:r>
        <w:rPr>
          <w:rFonts w:ascii="IRNazanin" w:hAnsi="IRNazanin" w:eastAsia="IRNazanin"/>
          <w:color w:val="111111"/>
          <w:sz w:val="28"/>
          <w:sz w:val="28"/>
          <w:szCs w:val="28"/>
          <w:rtl w:val="true"/>
          <w:lang w:bidi="fa-IR"/>
        </w:rPr>
        <w:t>کلمة 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فی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فی الفروع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المعصومون ع قدوة للبشریة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تسیر وراء الأئمة الطاهرین 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لمهابط الوحی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الخدمات المعنویة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الخدمات المادیة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منذ حج عام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هـ حتی الحج من عام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هـ</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والیوم أکثر من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ملیون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19884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19887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19892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19901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19914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19925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19944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مسند أحمد، مسند الشامیین الحدیث </w:t>
      </w:r>
      <w:r>
        <w:rPr>
          <w:rFonts w:eastAsia="IRNazanin" w:cs="IRNazanin"/>
          <w:b w:val="false"/>
          <w:bCs w:val="false"/>
          <w:i w:val="false"/>
          <w:iCs w:val="false"/>
          <w:color w:val="333333"/>
          <w:sz w:val="20"/>
          <w:szCs w:val="20"/>
        </w:rPr>
        <w:t>16271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بغیر إمام مات میتة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أبونعیم فی حلیة الأولیاء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بغیر إمام فقد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ینابیع المودة للقندوزی الحنفی،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والسبعون فی بیان الأئمة الاثنی عشر بأسمائهم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محسن الأمین العاملی، وتبحث عن حیاة علماء ورجال الشیعة، وتقع فی أکثر من عشرین مجلداً کبیراً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آغا بزرک الطهرانی، وتبحث تألیفات الشیعة، وتقع فی أکثر من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2.jpeg"/><Relationship Id="rId21" Type="http://schemas.openxmlformats.org/officeDocument/2006/relationships/image" Target="media/image2.jpeg"/><Relationship Id="rId22" Type="http://schemas.openxmlformats.org/officeDocument/2006/relationships/footer" Target="footer15.xml"/><Relationship Id="rId23" Type="http://schemas.openxmlformats.org/officeDocument/2006/relationships/footnotes" Target="footnote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Pages>
  <Words>1697</Words>
  <Characters>8229</Characters>
  <CharactersWithSpaces>9776</CharactersWithSpaces>
  <Paragraphs>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2026-08-16T11:10:40Z</dcterms:created>
  <dc:creator>ghaemiyeh.com</dc:creator>
  <dc:description/>
  <dc:language>en-US</dc:language>
  <cp:lastModifiedBy/>
  <dcterms:modified xsi:type="dcterms:W3CDTF">2026-08-16T14:40:41Z</dcterms:modified>
  <cp:revision>1</cp:revision>
  <dc:subject/>
  <dc:title>نظره الشیعه</dc:title>
</cp:coreProperties>
</file>

<file path=docProps/custom.xml><?xml version="1.0" encoding="utf-8"?>
<Properties xmlns="http://schemas.openxmlformats.org/officeDocument/2006/custom-properties" xmlns:vt="http://schemas.openxmlformats.org/officeDocument/2006/docPropsVTypes"/>
</file>