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document.xml" ContentType="application/vnd.openxmlformats-officedocument.wordprocessingml.document.main+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هل یجوز الجمع بین الصلاتین؟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1767_2116733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231769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231771_211673320">
            <w:r>
              <w:rPr>
                <w:webHidden/>
                <w:rStyle w:val="IndexLink"/>
                <w:rtl w:val="true"/>
              </w:rPr>
              <w:t>الجمع بين الصلاتين</w:t>
            </w:r>
            <w:r>
              <w:rPr>
                <w:rStyle w:val="IndexLink"/>
                <w:rtl w:val="true"/>
              </w:rPr>
              <w:tab/>
            </w:r>
            <w:r>
              <w:rPr>
                <w:rStyle w:val="IndexLink"/>
              </w:rPr>
              <w:t>8</w:t>
            </w:r>
          </w:hyperlink>
        </w:p>
        <w:p>
          <w:pPr>
            <w:pStyle w:val="Contents2"/>
            <w:tabs>
              <w:tab w:val="clear" w:pos="8743"/>
              <w:tab w:val="right" w:pos="9026" w:leader="dot"/>
            </w:tabs>
            <w:rPr/>
          </w:pPr>
          <w:hyperlink w:anchor="__RefHeading___Toc6231773_211673320">
            <w:r>
              <w:rPr>
                <w:webHidden/>
                <w:rStyle w:val="IndexLink"/>
                <w:rtl w:val="true"/>
              </w:rPr>
              <w:t xml:space="preserve">الدليل الأول </w:t>
            </w:r>
            <w:r>
              <w:rPr>
                <w:rStyle w:val="IndexLink"/>
                <w:rtl w:val="true"/>
              </w:rPr>
              <w:t xml:space="preserve">: </w:t>
            </w:r>
            <w:r>
              <w:rPr>
                <w:rStyle w:val="IndexLink"/>
                <w:rtl w:val="true"/>
              </w:rPr>
              <w:t>النصّ القرآني</w:t>
            </w:r>
            <w:r>
              <w:rPr>
                <w:rStyle w:val="IndexLink"/>
                <w:rtl w:val="true"/>
              </w:rPr>
              <w:tab/>
            </w:r>
            <w:r>
              <w:rPr>
                <w:rStyle w:val="IndexLink"/>
              </w:rPr>
              <w:t>9</w:t>
            </w:r>
          </w:hyperlink>
        </w:p>
        <w:p>
          <w:pPr>
            <w:pStyle w:val="Contents2"/>
            <w:tabs>
              <w:tab w:val="clear" w:pos="8743"/>
              <w:tab w:val="right" w:pos="9026" w:leader="dot"/>
            </w:tabs>
            <w:rPr/>
          </w:pPr>
          <w:hyperlink w:anchor="__RefHeading___Toc6231775_211673320">
            <w:r>
              <w:rPr>
                <w:webHidden/>
                <w:rStyle w:val="IndexLink"/>
                <w:rtl w:val="true"/>
              </w:rPr>
              <w:t xml:space="preserve">الدليل الثاني </w:t>
            </w:r>
            <w:r>
              <w:rPr>
                <w:rStyle w:val="IndexLink"/>
                <w:rtl w:val="true"/>
              </w:rPr>
              <w:t xml:space="preserve">: </w:t>
            </w:r>
            <w:r>
              <w:rPr>
                <w:rStyle w:val="IndexLink"/>
                <w:rtl w:val="true"/>
              </w:rPr>
              <w:t>النصّ النبوي</w:t>
            </w:r>
            <w:r>
              <w:rPr>
                <w:rStyle w:val="IndexLink"/>
                <w:rtl w:val="true"/>
              </w:rPr>
              <w:tab/>
            </w:r>
            <w:r>
              <w:rPr>
                <w:rStyle w:val="IndexLink"/>
              </w:rPr>
              <w:t>10</w:t>
            </w:r>
          </w:hyperlink>
        </w:p>
        <w:p>
          <w:pPr>
            <w:pStyle w:val="Contents2"/>
            <w:tabs>
              <w:tab w:val="clear" w:pos="8743"/>
              <w:tab w:val="right" w:pos="9026" w:leader="dot"/>
            </w:tabs>
            <w:rPr/>
          </w:pPr>
          <w:hyperlink w:anchor="__RefHeading___Toc6231777_211673320">
            <w:r>
              <w:rPr>
                <w:webHidden/>
                <w:rStyle w:val="IndexLink"/>
                <w:rtl w:val="true"/>
              </w:rPr>
              <w:t>الدلیل الثالث</w:t>
            </w:r>
            <w:r>
              <w:rPr>
                <w:rStyle w:val="IndexLink"/>
                <w:rtl w:val="true"/>
              </w:rPr>
              <w:t>:</w:t>
            </w:r>
            <w:r>
              <w:rPr>
                <w:rStyle w:val="IndexLink"/>
                <w:rtl w:val="true"/>
              </w:rPr>
              <w:t>وقت فضیله</w:t>
            </w:r>
            <w:r>
              <w:rPr>
                <w:rStyle w:val="IndexLink"/>
                <w:rtl w:val="true"/>
              </w:rPr>
              <w:tab/>
            </w:r>
            <w:r>
              <w:rPr>
                <w:rStyle w:val="IndexLink"/>
              </w:rPr>
              <w:t>15</w:t>
            </w:r>
          </w:hyperlink>
        </w:p>
        <w:p>
          <w:pPr>
            <w:pStyle w:val="Contents2"/>
            <w:tabs>
              <w:tab w:val="clear" w:pos="8743"/>
              <w:tab w:val="right" w:pos="9026" w:leader="dot"/>
            </w:tabs>
            <w:rPr/>
          </w:pPr>
          <w:hyperlink w:anchor="__RefHeading___Toc6231779_211673320">
            <w:r>
              <w:rPr>
                <w:webHidden/>
                <w:rStyle w:val="IndexLink"/>
                <w:rtl w:val="true"/>
              </w:rPr>
              <w:t>الوقت الخاص والوقت المشترک</w:t>
            </w:r>
            <w:r>
              <w:rPr>
                <w:rStyle w:val="IndexLink"/>
                <w:rtl w:val="true"/>
              </w:rPr>
              <w:tab/>
            </w:r>
            <w:r>
              <w:rPr>
                <w:rStyle w:val="IndexLink"/>
              </w:rPr>
              <w:t>16</w:t>
            </w:r>
          </w:hyperlink>
        </w:p>
        <w:p>
          <w:pPr>
            <w:pStyle w:val="Contents2"/>
            <w:tabs>
              <w:tab w:val="clear" w:pos="8743"/>
              <w:tab w:val="right" w:pos="9026" w:leader="dot"/>
            </w:tabs>
            <w:rPr/>
          </w:pPr>
          <w:hyperlink w:anchor="__RefHeading___Toc6231781_211673320">
            <w:r>
              <w:rPr>
                <w:webHidden/>
                <w:rStyle w:val="IndexLink"/>
                <w:rtl w:val="true"/>
              </w:rPr>
              <w:t xml:space="preserve">الدليل الرابع </w:t>
            </w:r>
            <w:r>
              <w:rPr>
                <w:rStyle w:val="IndexLink"/>
                <w:rtl w:val="true"/>
              </w:rPr>
              <w:t xml:space="preserve">: </w:t>
            </w:r>
            <w:r>
              <w:rPr>
                <w:rStyle w:val="IndexLink"/>
                <w:rtl w:val="true"/>
              </w:rPr>
              <w:t xml:space="preserve">قول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صلّواكما أُصلّى</w:t>
            </w:r>
            <w:r>
              <w:rPr>
                <w:rStyle w:val="IndexLink"/>
                <w:rtl w:val="true"/>
              </w:rPr>
              <w:tab/>
            </w:r>
            <w:r>
              <w:rPr>
                <w:rStyle w:val="IndexLink"/>
              </w:rPr>
              <w:t>17</w:t>
            </w:r>
          </w:hyperlink>
        </w:p>
        <w:p>
          <w:pPr>
            <w:pStyle w:val="Contents2"/>
            <w:tabs>
              <w:tab w:val="clear" w:pos="8743"/>
              <w:tab w:val="right" w:pos="9026" w:leader="dot"/>
            </w:tabs>
            <w:rPr/>
          </w:pPr>
          <w:hyperlink w:anchor="__RefHeading___Toc6231783_211673320">
            <w:r>
              <w:rPr>
                <w:webHidden/>
                <w:rStyle w:val="IndexLink"/>
                <w:rtl w:val="true"/>
              </w:rPr>
              <w:t>الرازی ورایه الغریب العجیب فی جمع</w:t>
            </w:r>
            <w:r>
              <w:rPr>
                <w:rStyle w:val="IndexLink"/>
                <w:rtl w:val="true"/>
              </w:rPr>
              <w:tab/>
            </w:r>
            <w:r>
              <w:rPr>
                <w:rStyle w:val="IndexLink"/>
              </w:rPr>
              <w:t>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2_8701"/>
      <w:bookmarkStart w:id="1" w:name="pg742_8701"/>
      <w:bookmarkEnd w:id="1"/>
    </w:p>
    <w:p>
      <w:pPr>
        <w:pStyle w:val="Heading2"/>
        <w:numPr>
          <w:ilvl w:val="1"/>
          <w:numId w:val="1"/>
        </w:numPr>
        <w:rPr/>
      </w:pPr>
      <w:bookmarkStart w:id="2" w:name="pg742_8701"/>
      <w:bookmarkStart w:id="3" w:name="__RefHeading___Toc6231767_2116733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يجوز الجمع بين الصلاتين؟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عبدالكريم قزوینی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برگزیده،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برگزیده مقاله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بصورت زیرنویس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 xml:space="preserve">الف 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برگزیده</w:t>
      </w:r>
    </w:p>
    <w:p>
      <w:pPr>
        <w:pStyle w:val="BookText"/>
        <w:rPr/>
      </w:pPr>
      <w:r>
        <w:rPr>
          <w:rFonts w:ascii="Amiri" w:hAnsi="Amiri" w:eastAsia="Amiri" w:cs="Amiri"/>
          <w:color w:val="111111"/>
          <w:sz w:val="28"/>
          <w:sz w:val="28"/>
          <w:szCs w:val="28"/>
          <w:rtl w:val="true"/>
          <w:lang w:bidi="ar-SA"/>
        </w:rPr>
        <w:t>هل يجوز الجمع بين الصلاتين؟</w:t>
      </w:r>
    </w:p>
    <w:p>
      <w:pPr>
        <w:pStyle w:val="BookText"/>
        <w:rPr/>
      </w:pPr>
      <w:r>
        <w:rPr>
          <w:rFonts w:ascii="Amiri" w:hAnsi="Amiri" w:eastAsia="Amiri" w:cs="Amiri"/>
          <w:color w:val="111111"/>
          <w:sz w:val="28"/>
          <w:sz w:val="28"/>
          <w:szCs w:val="28"/>
          <w:rtl w:val="true"/>
          <w:lang w:bidi="ar-SA"/>
        </w:rPr>
        <w:t>عبد الكريم الحسيني القزويني</w:t>
      </w:r>
    </w:p>
    <w:p>
      <w:pPr>
        <w:pStyle w:val="BookText"/>
        <w:rPr/>
      </w:pPr>
      <w:r>
        <w:rPr>
          <w:rFonts w:ascii="IRNazanin" w:hAnsi="IRNazanin" w:eastAsia="IRNazanin"/>
          <w:color w:val="111111"/>
          <w:sz w:val="28"/>
          <w:sz w:val="28"/>
          <w:szCs w:val="28"/>
          <w:rtl w:val="true"/>
          <w:lang w:bidi="fa-IR"/>
        </w:rPr>
        <w:t>تولید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الشابك الدوره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کلیه حقوق چاپ و نشر محفوظ و مخصوص است</w:t>
      </w:r>
    </w:p>
    <w:p>
      <w:pPr>
        <w:pStyle w:val="BookText"/>
        <w:rPr/>
      </w:pPr>
      <w:r>
        <w:rPr>
          <w:rFonts w:ascii="IRNazanin" w:hAnsi="IRNazanin" w:eastAsia="IRNazanin"/>
          <w:color w:val="111111"/>
          <w:sz w:val="28"/>
          <w:sz w:val="28"/>
          <w:szCs w:val="28"/>
          <w:rtl w:val="true"/>
          <w:lang w:bidi="fa-IR"/>
        </w:rPr>
        <w:t xml:space="preserve">سایت مؤلف </w:t>
      </w:r>
      <w:r>
        <w:rPr>
          <w:rFonts w:eastAsia="Times New Roman" w:cs="Times New Roman" w:ascii="Times New Roman" w:hAnsi="Times New Roman"/>
          <w:color w:val="111111"/>
          <w:sz w:val="28"/>
          <w:szCs w:val="28"/>
          <w:lang w:val="en-US" w:bidi="en-US"/>
        </w:rPr>
        <w:t>http://www.qazvini.org</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7745081/7744125</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فصيحي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31769_2116733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لماذا الاختلاف بين المذاهب الإسلامية</w:t>
      </w:r>
    </w:p>
    <w:p>
      <w:pPr>
        <w:pStyle w:val="BookText"/>
        <w:rPr/>
      </w:pPr>
      <w:r>
        <w:rPr>
          <w:rFonts w:ascii="Amiri" w:hAnsi="Amiri" w:eastAsia="Amiri" w:cs="Amiri"/>
          <w:color w:val="111111"/>
          <w:sz w:val="28"/>
          <w:sz w:val="28"/>
          <w:szCs w:val="28"/>
          <w:rtl w:val="true"/>
          <w:lang w:bidi="ar-SA"/>
        </w:rPr>
        <w:t>مع وضوح النص القرآني والنبوى</w:t>
      </w:r>
    </w:p>
    <w:p>
      <w:pPr>
        <w:pStyle w:val="BookText"/>
        <w:rPr/>
      </w:pPr>
      <w:r>
        <w:rPr>
          <w:rFonts w:ascii="Amiri" w:hAnsi="Amiri" w:eastAsia="Amiri" w:cs="Amiri"/>
          <w:color w:val="111111"/>
          <w:sz w:val="28"/>
          <w:sz w:val="28"/>
          <w:szCs w:val="28"/>
          <w:rtl w:val="true"/>
          <w:lang w:bidi="ar-SA"/>
        </w:rPr>
        <w:t>هل يجوز الجمع بين الصلاتين؟</w:t>
      </w:r>
    </w:p>
    <w:p>
      <w:pPr>
        <w:pStyle w:val="BookText"/>
        <w:rPr/>
      </w:pPr>
      <w:r>
        <w:rPr>
          <w:rFonts w:ascii="Amiri" w:hAnsi="Amiri" w:eastAsia="Amiri" w:cs="Amiri"/>
          <w:color w:val="111111"/>
          <w:sz w:val="28"/>
          <w:sz w:val="28"/>
          <w:szCs w:val="28"/>
          <w:rtl w:val="true"/>
          <w:lang w:bidi="ar-SA"/>
        </w:rPr>
        <w:t>عبدالكريم الحسيني القزويني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www.Qazvini.org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سيدنا محمّد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آله الطيبين الطاهرين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2_8709"/>
      <w:bookmarkStart w:id="8" w:name="pg742_8709"/>
      <w:bookmarkEnd w:id="8"/>
    </w:p>
    <w:p>
      <w:pPr>
        <w:pStyle w:val="Heading2"/>
        <w:numPr>
          <w:ilvl w:val="1"/>
          <w:numId w:val="1"/>
        </w:numPr>
        <w:rPr/>
      </w:pPr>
      <w:bookmarkStart w:id="9" w:name="pg742_8709"/>
      <w:bookmarkStart w:id="10" w:name="__RefHeading___Toc6231771_211673320"/>
      <w:bookmarkStart w:id="11" w:name="_Toc3"/>
      <w:bookmarkEnd w:id="9"/>
      <w:bookmarkEnd w:id="10"/>
      <w:r>
        <w:rPr>
          <w:rtl w:val="true"/>
        </w:rPr>
        <w:t>الجمع بين الصلاتين</w:t>
      </w:r>
      <w:bookmarkEnd w:id="11"/>
    </w:p>
    <w:p>
      <w:pPr>
        <w:pStyle w:val="BookText"/>
        <w:rPr/>
      </w:pPr>
      <w:r>
        <w:rPr>
          <w:rFonts w:ascii="Amiri" w:hAnsi="Amiri" w:eastAsia="Amiri" w:cs="Amiri"/>
          <w:color w:val="111111"/>
          <w:sz w:val="28"/>
          <w:sz w:val="28"/>
          <w:szCs w:val="28"/>
          <w:rtl w:val="true"/>
          <w:lang w:bidi="ar-SA"/>
        </w:rPr>
        <w:t>بعد أن وفّقنا الله لأداء العمرة المفردة وبينما كنت جالس في الحرم النبوي الشريف وإذا برجل قصير القامة واللباس ولكنّه طويل اللحية واللسان ينبري إليّ بحدّة</w:t>
      </w:r>
    </w:p>
    <w:p>
      <w:pPr>
        <w:pStyle w:val="BookText"/>
        <w:rPr/>
      </w:pPr>
      <w:r>
        <w:rPr>
          <w:rFonts w:ascii="Amiri" w:hAnsi="Amiri" w:eastAsia="Amiri" w:cs="Amiri"/>
          <w:color w:val="111111"/>
          <w:sz w:val="28"/>
          <w:sz w:val="28"/>
          <w:szCs w:val="28"/>
          <w:rtl w:val="true"/>
          <w:lang w:bidi="ar-SA"/>
        </w:rPr>
        <w:t xml:space="preserve">وعنف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معاشر الشيعة ما صلّيتم صلاة العصر ولا صلاة العشاء قط لأنّكم تصلّونهما قبل وقتهما وذلك بجمعكم بين الصلاتين الظهر والعصر والمغرب والعشاء وهو حرام لا يجوز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على ذلك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فأجبته فوراً لا تستعجل في الفتوى لأنّ العجلة من الشيطان وكلامك هذا مخالف للقرآن والسنّة وسأُثبت </w:t>
      </w:r>
      <w:bookmarkStart w:id="12" w:name="pg742_8711"/>
    </w:p>
    <w:p>
      <w:pPr>
        <w:pStyle w:val="BookText"/>
        <w:rPr/>
      </w:pPr>
      <w:bookmarkEnd w:id="12"/>
      <w:r>
        <w:rPr>
          <w:rFonts w:ascii="Amiri" w:hAnsi="Amiri" w:eastAsia="Amiri" w:cs="Amiri"/>
          <w:color w:val="111111"/>
          <w:sz w:val="28"/>
          <w:sz w:val="28"/>
          <w:szCs w:val="28"/>
          <w:rtl w:val="true"/>
          <w:lang w:bidi="ar-SA"/>
        </w:rPr>
        <w:t>لك ذلك إن أردت وأعرت فكرك للحقّ والواقع أو تأتيني أنت بدليل من القرآن والسنّة بعكس ما أقول فاستغرب الرجل من قولي هذا وقال هات ما عندك من الكتاب</w:t>
      </w:r>
    </w:p>
    <w:p>
      <w:pPr>
        <w:pStyle w:val="BookText"/>
        <w:rPr/>
      </w:pPr>
      <w:r>
        <w:rPr>
          <w:rFonts w:ascii="Amiri" w:hAnsi="Amiri" w:eastAsia="Amiri" w:cs="Amiri"/>
          <w:color w:val="111111"/>
          <w:sz w:val="28"/>
          <w:sz w:val="28"/>
          <w:szCs w:val="28"/>
          <w:rtl w:val="true"/>
          <w:lang w:bidi="ar-SA"/>
        </w:rPr>
        <w:t xml:space="preserve">والسنّة </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6231773_211673320"/>
      <w:bookmarkStart w:id="14" w:name="_Toc4"/>
      <w:bookmarkEnd w:id="13"/>
      <w:r>
        <w:rPr>
          <w:rtl w:val="true"/>
        </w:rPr>
        <w:t xml:space="preserve">الدليل الأول </w:t>
      </w:r>
      <w:r>
        <w:rPr>
          <w:rtl w:val="true"/>
        </w:rPr>
        <w:t xml:space="preserve">: </w:t>
      </w:r>
      <w:r>
        <w:rPr>
          <w:rtl w:val="true"/>
        </w:rPr>
        <w:t>النصّ القرآني</w:t>
      </w:r>
      <w:bookmarkEnd w:id="14"/>
    </w:p>
    <w:p>
      <w:pPr>
        <w:pStyle w:val="BookText"/>
        <w:rPr/>
      </w:pPr>
      <w:r>
        <w:rPr>
          <w:rFonts w:ascii="Amiri" w:hAnsi="Amiri" w:eastAsia="Amiri" w:cs="Amiri"/>
          <w:color w:val="111111"/>
          <w:sz w:val="28"/>
          <w:sz w:val="28"/>
          <w:szCs w:val="28"/>
          <w:rtl w:val="true"/>
          <w:lang w:bidi="ar-SA"/>
        </w:rPr>
        <w:t xml:space="preserve">الظاهرة القرآنية بآياتها تدلّ على أنّ الوقت العبادي للصلاة محدود ومبيّن في هذه الآية القرآنية الشريفة بثلاثة مواقيت وهي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لِدُلُوكِ الشَّمْسِ إِلَى غَسَقِ اللَّيْلِ وَقُرْآنَ الْفَجْرِ إِنَّ قُرْآنَ الْفَجْرِ كَانَ</w:t>
      </w:r>
    </w:p>
    <w:p>
      <w:pPr>
        <w:pStyle w:val="BookText"/>
        <w:rPr/>
      </w:pPr>
      <w:r>
        <w:rPr>
          <w:rFonts w:ascii="Amiri" w:hAnsi="Amiri" w:eastAsia="Amiri" w:cs="Amiri"/>
          <w:color w:val="111111"/>
          <w:sz w:val="28"/>
          <w:sz w:val="28"/>
          <w:szCs w:val="28"/>
          <w:rtl w:val="true"/>
          <w:lang w:bidi="ar-SA"/>
        </w:rPr>
        <w:t xml:space="preserve">مَشْهُوداً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يستفاد من هذه الآية الأوقات الثلاثة وهي كما يلي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الوقت لدلوك الشمس وهو وقت مشترك وخاصّ بصلاة الظهر والعصر </w:t>
      </w:r>
      <w:r>
        <w:rPr>
          <w:rFonts w:eastAsia="Amiri" w:cs="Amiri" w:ascii="Amiri" w:hAnsi="Amiri"/>
          <w:color w:val="111111"/>
          <w:sz w:val="28"/>
          <w:szCs w:val="28"/>
          <w:rtl w:val="true"/>
          <w:lang w:bidi="ar-SA"/>
        </w:rPr>
        <w:t xml:space="preserve">. </w:t>
      </w:r>
      <w:bookmarkStart w:id="15" w:name="pg742_8713"/>
    </w:p>
    <w:p>
      <w:pPr>
        <w:pStyle w:val="BookText"/>
        <w:rPr/>
      </w:pPr>
      <w:bookmarkEnd w:id="1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الوقت إلى غسق الليل وهو وقت مخصوص بصلاة المغرب والعشاء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وقرآن الفجر أنّ قرآن الفجر كان مشهوداً وهو عبارة عن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 هذه الآية واضح وبيّن في تعيين الوقت وهو محدود في هذه الأوقات الثلاثة وهو حكم عام ومستفادة من هذه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بينَّ ثلاثة أوقات لفرائض خمس</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6231775_211673320"/>
      <w:bookmarkStart w:id="17" w:name="_Toc5"/>
      <w:bookmarkEnd w:id="16"/>
      <w:r>
        <w:rPr>
          <w:rtl w:val="true"/>
        </w:rPr>
        <w:t xml:space="preserve">الدليل الثاني </w:t>
      </w:r>
      <w:r>
        <w:rPr>
          <w:rtl w:val="true"/>
        </w:rPr>
        <w:t xml:space="preserve">: </w:t>
      </w:r>
      <w:r>
        <w:rPr>
          <w:rtl w:val="true"/>
        </w:rPr>
        <w:t>النصّ النبوي</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النصوص الواردة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ودالّة دلالة واضحة على جواز الجمع بين الظهرين والعشائين سواء كان الجمع تقديمي كما هو في حالة الجمع بين الظهرين أي تقديم صلاة العصر إلى ما بعد صلاة الظهر مباشرة أو الجمع التأخيري كما هو في حالة تأخير صلاة الظهر إلى وقت العصر والجمع بينهما ، وهذا الجمع بكلى قسميه التقديم والتأخير هو المستفاد من الرواية الواردة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صحاح أهل السنّة وإليك بعضها كما يلي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جاء في صحيح مسلم للنووي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الجمع في الصلاتين الأحاديث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مالك عن الزبير عن سعيد بن جبير عن ابن عبّاس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جميعاً والمغرب</w:t>
      </w:r>
    </w:p>
    <w:p>
      <w:pPr>
        <w:pStyle w:val="BookText"/>
        <w:rPr/>
      </w:pPr>
      <w:r>
        <w:rPr>
          <w:rFonts w:ascii="Amiri" w:hAnsi="Amiri" w:eastAsia="Amiri" w:cs="Amiri"/>
          <w:color w:val="111111"/>
          <w:sz w:val="28"/>
          <w:sz w:val="28"/>
          <w:szCs w:val="28"/>
          <w:rtl w:val="true"/>
          <w:lang w:bidi="ar-SA"/>
        </w:rPr>
        <w:t xml:space="preserve">والعشاء جميعاً في غير خوف ولا سفر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 أحمد بن يونس وعون بن سلام جميعاً عن زهير ، قال 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أبو الزبير عن سعيد بن جبير عن ابن عبّاس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جمعاً بالمدينة في</w:t>
      </w:r>
    </w:p>
    <w:p>
      <w:pPr>
        <w:pStyle w:val="BookText"/>
        <w:rPr/>
      </w:pPr>
      <w:r>
        <w:rPr>
          <w:rFonts w:ascii="IRNazanin" w:hAnsi="IRNazanin" w:eastAsia="IRNazanin"/>
          <w:color w:val="111111"/>
          <w:sz w:val="28"/>
          <w:sz w:val="28"/>
          <w:szCs w:val="28"/>
          <w:rtl w:val="true"/>
          <w:lang w:bidi="fa-IR"/>
        </w:rPr>
        <w:t xml:space="preserve">غیر خوف ولا سفر قال أبو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سعيداً لِمَ فعل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كما سألتني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لا يحرج أحداً من أُمّته </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الربيع الزهراني ، حدثنا حماد بن زيد عن عمرو بن دينار، عن جابر بن زيد عن ابن عبّاس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بالمدينة سبعاً وثمانياً الظهر والعصر والمغرب والعشاء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البخاري في صحيحه باب العشاء والعتمة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البخاري بإرسال عن ابن عمير وأبي أيوب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والعشاء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عن جابر بن زيد ، عن ابن عبّاس،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سبعاً جميعاً وثمانياً جميعاً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الترمذي عن سعيد بن جبير ، عن ابن عبّاس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الظهر والعصر وبين المغرب</w:t>
      </w:r>
    </w:p>
    <w:p>
      <w:pPr>
        <w:pStyle w:val="BookText"/>
        <w:rPr/>
      </w:pPr>
      <w:r>
        <w:rPr>
          <w:rFonts w:ascii="Amiri" w:hAnsi="Amiri" w:eastAsia="Amiri" w:cs="Amiri"/>
          <w:color w:val="111111"/>
          <w:sz w:val="28"/>
          <w:sz w:val="28"/>
          <w:szCs w:val="28"/>
          <w:rtl w:val="true"/>
          <w:lang w:bidi="ar-SA"/>
        </w:rPr>
        <w:t xml:space="preserve">والعشاء بالمدينة من غير خوف ولا مطر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بذلك ؟ قال أراد لا يحرج أُمته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النسائي في سننه عن سعيد بن جبير عن ابن عبّاس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بالمدينة يجمع بين الصلاتين</w:t>
      </w:r>
    </w:p>
    <w:p>
      <w:pPr>
        <w:pStyle w:val="BookText"/>
        <w:rPr/>
      </w:pPr>
      <w:r>
        <w:rPr>
          <w:rFonts w:ascii="Amiri" w:hAnsi="Amiri" w:eastAsia="Amiri" w:cs="Amiri"/>
          <w:color w:val="111111"/>
          <w:sz w:val="28"/>
          <w:sz w:val="28"/>
          <w:szCs w:val="28"/>
          <w:rtl w:val="true"/>
          <w:lang w:bidi="ar-SA"/>
        </w:rPr>
        <w:t xml:space="preserve">بين الظهر والعصر والمغرب والعشاء من غير خوف ولا مطر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على أُمّته حرج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النسائي أيضاً عن جابر بن زيد عن ابن عبّاس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صلّى بالبصرة الأولى والعصر ليس بينهما شيء والمغرب والعشاء ليس بينهما شيء فعل ذلك من دون شغل وزعم ابن عبّاس أنّه صلّى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الأولى والعصر ثمان سجدات ليس بينهما شيء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عبدالرزّاق عن عمرو بن شعیب ، عن عبدالله بن عمر قال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مقيماً غير مسافر بين الظهر والعصر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لابن عمر لم ترى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لا تحرج أُمّته إن جمع الرجل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البزار في مسنده عن أبي هريرة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الصلاتين في المدينة من غير</w:t>
      </w:r>
    </w:p>
    <w:p>
      <w:pPr>
        <w:pStyle w:val="BookText"/>
        <w:rPr/>
      </w:pP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الطبراني بسنده عن عبدالله بن مسعود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بالمدينة بين الظهر والعصر والمغرب والعشاء فقيل له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ذلك لئلّا تحرج أُمّتي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الفضيلة وهو الوقت المستحبّ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وقت مستحبّ خاصّ ويسمّى وقت فضيلة صلاة الظهر وهو بعد زوال الشمس وزيادة الظل إلى مثله ووقت فضيلة صلاة العصر إلى زيادة الظل بمثليه وهذا هو وقت الذي يستحبّ للمؤمن أن يؤدّي فيه صلاته للروايات الدالّة على استحباب هذا الوقت وأمّا ما يفعله بعض المسلمين من تأخير صلاة العصر والعشاء إلى </w:t>
      </w:r>
      <w:bookmarkStart w:id="18" w:name="pg742_8723"/>
    </w:p>
    <w:p>
      <w:pPr>
        <w:pStyle w:val="BookText"/>
        <w:rPr/>
      </w:pPr>
      <w:bookmarkEnd w:id="18"/>
      <w:r>
        <w:rPr>
          <w:rFonts w:ascii="Amiri" w:hAnsi="Amiri" w:eastAsia="Amiri" w:cs="Amiri"/>
          <w:color w:val="111111"/>
          <w:sz w:val="28"/>
          <w:sz w:val="28"/>
          <w:szCs w:val="28"/>
          <w:rtl w:val="true"/>
          <w:lang w:bidi="ar-SA"/>
        </w:rPr>
        <w:t xml:space="preserve">الوقت المعهود عندهم وإن كان جائزاً، لكنّه ليس بوقت الفضيلة التي هي زيادة الظل بمثليه بالنسبة إلى صلاة العصر والالتزام بالمواقيت بشكلها المعهود عند بعض المذاهب الإسلامية مما يوجب العسر والحرج وهو بخلاف ما جاء في سنن الترمذي حيث روي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سعيد 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الظهر والعصر والمغرب والعشاء بالمدينة من غير خوف ولا مطر ، قال فقيل ، لابن عبّاس ما أراد بذلك؟ قال أراد أن لا يحرج أُمّته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الوقت ينقسم إلى ما يلي </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6231777_211673320"/>
      <w:bookmarkStart w:id="20" w:name="_Toc6"/>
      <w:bookmarkEnd w:id="19"/>
      <w:r>
        <w:rPr>
          <w:rtl w:val="true"/>
        </w:rPr>
        <w:t>الدلیل الثالث</w:t>
      </w:r>
      <w:r>
        <w:rPr>
          <w:rtl w:val="true"/>
        </w:rPr>
        <w:t>:</w:t>
      </w:r>
      <w:r>
        <w:rPr>
          <w:rtl w:val="true"/>
        </w:rPr>
        <w:t>وقت فضیله</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خاصّ بصلاة الظهر وهو من بعد زوال الشمس بمقدار أداء أربع ركع لصلاة الظهر ووقت خاصّ بصلاة العصر وهو قبل غروب الشمس بمقدار أداء أربع ركع لصلاة العصر </w:t>
      </w:r>
      <w:r>
        <w:rPr>
          <w:rFonts w:eastAsia="Amiri" w:cs="Amiri" w:ascii="Amiri" w:hAnsi="Amiri"/>
          <w:color w:val="111111"/>
          <w:sz w:val="28"/>
          <w:szCs w:val="28"/>
          <w:rtl w:val="true"/>
          <w:lang w:bidi="ar-SA"/>
        </w:rPr>
        <w:t xml:space="preserve">. </w:t>
      </w:r>
      <w:bookmarkStart w:id="21" w:name="pg742_8724"/>
    </w:p>
    <w:p>
      <w:pPr>
        <w:pStyle w:val="Heading2"/>
        <w:numPr>
          <w:ilvl w:val="1"/>
          <w:numId w:val="1"/>
        </w:numPr>
        <w:rPr/>
      </w:pPr>
      <w:bookmarkStart w:id="22" w:name="__RefHeading___Toc6231779_211673320"/>
      <w:bookmarkStart w:id="23" w:name="_Toc7"/>
      <w:bookmarkEnd w:id="21"/>
      <w:bookmarkEnd w:id="22"/>
      <w:r>
        <w:rPr>
          <w:rtl w:val="true"/>
        </w:rPr>
        <w:t>الوقت الخاص والوقت المشترک</w:t>
      </w:r>
      <w:bookmarkEnd w:id="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الوقت المشترك بين الظهر والعصر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حلّ وقت الزوال وصلّى الإنسان أربع ركعات لصلاة الظهر فإنّه يأتي الوقت المشترك بين الظهرين وإذا حلّ وقت صلاة المغرب وبعد أداء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ركعات للمغرب</w:t>
      </w:r>
    </w:p>
    <w:p>
      <w:pPr>
        <w:pStyle w:val="BookText"/>
        <w:rPr/>
      </w:pPr>
      <w:r>
        <w:rPr>
          <w:rFonts w:ascii="Amiri" w:hAnsi="Amiri" w:eastAsia="Amiri" w:cs="Amiri"/>
          <w:color w:val="111111"/>
          <w:sz w:val="28"/>
          <w:sz w:val="28"/>
          <w:szCs w:val="28"/>
          <w:rtl w:val="true"/>
          <w:lang w:bidi="ar-SA"/>
        </w:rPr>
        <w:t>جاء الوقت المشترك بين المغرب والعشاء ومن هنا نستفيد جواز الجمع فإذا قدّمت صلاة العصر بعد أداء صلاة الظهر وكذا صلاة العشاء قدّمتها بعد صلاة المغرب ويسمّى هذا الجمع جمع تقديم وكذا يجوز تأخير صلاة الظهر إلى ما قبل صلاة العصر بثمان ركعات ويسمّى هذا الجمع جمع تأخير وهو المستفاد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وأَقِمْ الصَّلَاةَ لِدُلُوكِ الشَّمْسِ إِلَى غَسَقِ اللَّيْلِ وَقُرْآنَ الْفَجْرِ إِنَّ قُرْآنَ الْفَجْرِ كَانَ مَشْهُوداً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فالوقت الخاص كما بيّنا هو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سحبناه جاء بعده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الوقت المشترك </w:t>
      </w:r>
      <w:bookmarkStart w:id="24" w:name="pg742_8726"/>
    </w:p>
    <w:p>
      <w:pPr>
        <w:pStyle w:val="Heading2"/>
        <w:numPr>
          <w:ilvl w:val="1"/>
          <w:numId w:val="1"/>
        </w:numPr>
        <w:rPr/>
      </w:pPr>
      <w:bookmarkStart w:id="25" w:name="__RefHeading___Toc6231781_211673320"/>
      <w:bookmarkStart w:id="26" w:name="_Toc8"/>
      <w:bookmarkEnd w:id="24"/>
      <w:bookmarkEnd w:id="25"/>
      <w:r>
        <w:rPr>
          <w:rtl w:val="true"/>
        </w:rPr>
        <w:t xml:space="preserve">الدليل الرابع </w:t>
      </w:r>
      <w:r>
        <w:rPr>
          <w:rtl w:val="true"/>
        </w:rPr>
        <w:t xml:space="preserve">: </w:t>
      </w:r>
      <w:r>
        <w:rPr>
          <w:rtl w:val="true"/>
        </w:rPr>
        <w:t xml:space="preserve">قول النبي </w:t>
      </w:r>
      <w:r>
        <w:rPr>
          <w:rtl w:val="true"/>
        </w:rPr>
        <w:t>(</w:t>
      </w:r>
      <w:r>
        <w:rPr>
          <w:rtl w:val="true"/>
        </w:rPr>
        <w:t>صلی الله علیه وآله وسلم</w:t>
      </w:r>
      <w:r>
        <w:rPr>
          <w:rtl w:val="true"/>
        </w:rPr>
        <w:t xml:space="preserve">) </w:t>
      </w:r>
      <w:r>
        <w:rPr>
          <w:rtl w:val="true"/>
        </w:rPr>
        <w:t>صلّواكما أُصلّى</w:t>
      </w:r>
      <w:bookmarkEnd w:id="26"/>
    </w:p>
    <w:p>
      <w:pPr>
        <w:pStyle w:val="BookText"/>
        <w:rPr/>
      </w:pPr>
      <w:r>
        <w:rPr>
          <w:rFonts w:ascii="IRNazanin" w:hAnsi="IRNazanin" w:eastAsia="IRNazanin"/>
          <w:color w:val="111111"/>
          <w:sz w:val="28"/>
          <w:sz w:val="28"/>
          <w:szCs w:val="28"/>
          <w:rtl w:val="true"/>
          <w:lang w:bidi="fa-IR"/>
        </w:rPr>
        <w:t xml:space="preserve">السنّة النبوية الشريفة تتحقّق في أقوال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وأعماله وتقريره فكلّ ما قاله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فعله وما أمضاه وأقرّه يعتبر من السنة النبوية الشريفة وهنا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كما أصلّى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نفهمه من فعل النبي وأقواله وامضائه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الصلاتين وفرّق بينهما فبناءً على ذلك الجمع جائز لانّ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ذلك فى أكثر من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عنه تدلّ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في صلاته وهذه الروايات هي من كتب صحاح أهل السنّة وبرواية كبار الصحابة من أمثال عبدالله بن عبّاس وعبدالله بن عمر وعبد الله بن مسعود وأبي هريرة وجابر بن عبدالله الأنصاري ومع أنّ أكثر فقهاء المذاهب يعترفون بصحة سند هذه الروايات ولكنّهم يحاولون أن يأوّلوا ويحرّفوا الرواية عن معناها الحقيقي مثل رواية البخاري عن ابن عبّاس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بالمدينة سبعاً وثمانياً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w:t>
      </w:r>
    </w:p>
    <w:p>
      <w:pPr>
        <w:pStyle w:val="BookText"/>
        <w:rPr/>
      </w:pPr>
      <w:r>
        <w:rPr>
          <w:rFonts w:ascii="Amiri" w:hAnsi="Amiri" w:eastAsia="Amiri" w:cs="Amiri"/>
          <w:color w:val="111111"/>
          <w:sz w:val="28"/>
          <w:sz w:val="28"/>
          <w:szCs w:val="28"/>
          <w:rtl w:val="true"/>
          <w:lang w:bidi="ar-SA"/>
        </w:rPr>
        <w:t>والعصر والمغرب والعشاء فقال أيوب لعلّه فى ليلة مطيرة ؟</w:t>
      </w:r>
    </w:p>
    <w:p>
      <w:pPr>
        <w:pStyle w:val="BookText"/>
        <w:rPr/>
      </w:pPr>
      <w:r>
        <w:rPr>
          <w:rFonts w:ascii="IRNazanin" w:hAnsi="IRNazanin" w:eastAsia="IRNazanin"/>
          <w:color w:val="111111"/>
          <w:sz w:val="28"/>
          <w:sz w:val="28"/>
          <w:szCs w:val="28"/>
          <w:rtl w:val="true"/>
          <w:lang w:bidi="fa-IR"/>
        </w:rPr>
        <w:t xml:space="preserve">قال عسى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نرى بوضوح أنّ أيّوب يحاول تحويرها عن مظانها الأساسي وهو جواز الجمع ولكنّه يأوّل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في ليلة مطيرة ؟ بينما هذه الرواية وغيرها من الروايات الكثيرة تصرّح بوضوح جواز الجمع وجناب أيّوب يريد تحريفها وإبعادها عن جواز الجمع بقوله لعلّه في ليلة مطيرة ؟ بينما الجمع بين الصلاتين جائز يقيناً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ذلك كما صرّحت الروايات الكثيرة بذلك والتى قد ذكرناها ، ولكن اختصاص هذا الحكم بالسفر والمرض مشكوك فيه لأنّ الراوي يعلل ذلك من عنده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في سفر ومطر وبرد فقال عسى كما في رواية البخاري عن أيّوب ، ونحن نأخذ بالقول الصريح الواضح من رسول الله وهو الحكم المتيقّن الصحيح ونترك قول الراوي المشكوك بتأويله والإنسان المسلم عليه أن يأخذ </w:t>
      </w:r>
    </w:p>
    <w:p>
      <w:pPr>
        <w:pStyle w:val="BookText"/>
        <w:rPr/>
      </w:pPr>
      <w:r>
        <w:rPr>
          <w:rFonts w:ascii="Amiri" w:hAnsi="Amiri" w:eastAsia="Amiri" w:cs="Amiri"/>
          <w:color w:val="111111"/>
          <w:sz w:val="28"/>
          <w:sz w:val="28"/>
          <w:szCs w:val="28"/>
          <w:rtl w:val="true"/>
          <w:lang w:bidi="ar-SA"/>
        </w:rPr>
        <w:t xml:space="preserve">بالمتيقّن ويترك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المرض التأويلي ابتلي به كثير من فقهاء أهل السنّة حيث إنّهم تركوا اليقين وأخذوا بالشّك والمظنّة وهو مخالف لصريح الآية القرآنية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فمثلاً الرازي وهو أحد كبار علماء أهل السنّة يقرّ بدلالة هذه الأحاديث والآية الكريمة على جواز الجمع وإليك نصّ قوله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فسّرنا الغسق بظهور أوّل الظلمة كان الغسق عبارة عن أوّل المغرب وعلى هذا التقرير يكون المذكور في الآية ثلاثة أوقات وقت الزوال ووقت أوّل المغرب ووقت الفجر وهذا يقتضي أن يكون الزوال وقتاً للظهر والعصر فيكون هذا الوقت مشتركاً بين هاتين الصلاتين وأن يكون أوّل المغرب وقتاً للمغرب والعشاء فيكون هذا الوقت مشتركاً أيضاً بين هاتين الصلاتين فهذا يقتضي جواز الجمع بين الظهر </w:t>
      </w:r>
    </w:p>
    <w:p>
      <w:pPr>
        <w:pStyle w:val="BookText"/>
        <w:rPr/>
      </w:pPr>
      <w:r>
        <w:rPr>
          <w:rFonts w:ascii="Amiri" w:hAnsi="Amiri" w:eastAsia="Amiri" w:cs="Amiri"/>
          <w:color w:val="111111"/>
          <w:sz w:val="28"/>
          <w:sz w:val="28"/>
          <w:szCs w:val="28"/>
          <w:rtl w:val="true"/>
          <w:lang w:bidi="ar-SA"/>
        </w:rPr>
        <w:t>والعصر وبين المغرب والعشاء مطلقاً إلّا أنّه دلّ الدليل على أنّ الجمع في الحضر من غير عذر لا يجوز فوجب أن يكون الجمع جائزاً بعذر السفر وعذر المطر وغيره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والغريب من هذا المفسّر الفقيه كيف أنه يستظهر من آية أقم الصلاة لدلوك الشمس إلى غسق الليل جواز الجمع مطلقاً بين الظهرين والعشائين إلّا أنّ فجأة يغيّر رأيه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دلّ الدليل على الجمع في الحضر لا يجوز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نتساءل من الرازي أي دليل هذا يستند بعد وضوح قوله تعالى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فلماذا هذا التحريم في الحضر ومن أين جاء به وهذا الكتاب والسنّة يصرّحان بجواز الجمع في السفر والحضر وقد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فاجتهاده هذا باطل لأنّه اجتهاد مغاير للكتاب والسنّة </w:t>
      </w:r>
      <w:r>
        <w:rPr>
          <w:rFonts w:eastAsia="IRNazanin" w:cs="IRNazanin"/>
          <w:color w:val="111111"/>
          <w:sz w:val="28"/>
          <w:szCs w:val="28"/>
          <w:rtl w:val="true"/>
          <w:lang w:bidi="fa-IR"/>
        </w:rPr>
        <w:t xml:space="preserve">. </w:t>
      </w:r>
      <w:bookmarkStart w:id="27" w:name="pg742_8734"/>
    </w:p>
    <w:p>
      <w:pPr>
        <w:pStyle w:val="Heading2"/>
        <w:numPr>
          <w:ilvl w:val="1"/>
          <w:numId w:val="1"/>
        </w:numPr>
        <w:rPr/>
      </w:pPr>
      <w:bookmarkStart w:id="28" w:name="__RefHeading___Toc6231783_211673320"/>
      <w:bookmarkStart w:id="29" w:name="_Toc9"/>
      <w:bookmarkEnd w:id="27"/>
      <w:bookmarkEnd w:id="28"/>
      <w:r>
        <w:rPr>
          <w:rtl w:val="true"/>
        </w:rPr>
        <w:t>الرازی ورایه الغریب العجیب فی جمع</w:t>
      </w:r>
      <w:bookmarkEnd w:id="29"/>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ascii="Amiri" w:hAnsi="Amiri" w:eastAsia="Amiri" w:cs="Amiri"/>
          <w:color w:val="111111"/>
          <w:sz w:val="28"/>
          <w:sz w:val="28"/>
          <w:szCs w:val="28"/>
          <w:rtl w:val="true"/>
          <w:lang w:bidi="ar-SA"/>
        </w:rPr>
        <w:t>سنن الترمذي</w:t>
      </w:r>
    </w:p>
    <w:p>
      <w:pPr>
        <w:pStyle w:val="BookText"/>
        <w:rPr/>
      </w:pPr>
      <w:r>
        <w:rPr>
          <w:rFonts w:ascii="Amiri" w:hAnsi="Amiri" w:eastAsia="Amiri" w:cs="Amiri"/>
          <w:color w:val="111111"/>
          <w:sz w:val="28"/>
          <w:sz w:val="28"/>
          <w:szCs w:val="28"/>
          <w:rtl w:val="true"/>
          <w:lang w:bidi="ar-SA"/>
        </w:rPr>
        <w:t>سنن النسائي</w:t>
      </w:r>
    </w:p>
    <w:p>
      <w:pPr>
        <w:pStyle w:val="BookText"/>
        <w:rPr/>
      </w:pPr>
      <w:r>
        <w:rPr>
          <w:rFonts w:ascii="IRNazanin" w:hAnsi="IRNazanin" w:eastAsia="IRNazanin"/>
          <w:color w:val="111111"/>
          <w:sz w:val="28"/>
          <w:sz w:val="28"/>
          <w:szCs w:val="28"/>
          <w:rtl w:val="true"/>
          <w:lang w:bidi="fa-IR"/>
        </w:rPr>
        <w:t>المصنف لعبد الرزاق</w:t>
      </w:r>
    </w:p>
    <w:p>
      <w:pPr>
        <w:pStyle w:val="BookText"/>
        <w:rPr/>
      </w:pPr>
      <w:r>
        <w:rPr>
          <w:rFonts w:ascii="IRNazanin" w:hAnsi="IRNazanin" w:eastAsia="IRNazanin"/>
          <w:color w:val="111111"/>
          <w:sz w:val="28"/>
          <w:sz w:val="28"/>
          <w:szCs w:val="28"/>
          <w:rtl w:val="true"/>
          <w:lang w:bidi="fa-IR"/>
        </w:rPr>
        <w:t>مسند البزار</w:t>
      </w:r>
    </w:p>
    <w:p>
      <w:pPr>
        <w:pStyle w:val="BookText"/>
        <w:rPr/>
      </w:pPr>
      <w:r>
        <w:rPr>
          <w:rFonts w:ascii="Amiri" w:hAnsi="Amiri" w:eastAsia="Amiri" w:cs="Amiri"/>
          <w:color w:val="111111"/>
          <w:sz w:val="28"/>
          <w:sz w:val="28"/>
          <w:szCs w:val="28"/>
          <w:rtl w:val="true"/>
          <w:lang w:bidi="ar-SA"/>
        </w:rPr>
        <w:t>المعجم الكبير للطبراني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الرازي </w:t>
      </w:r>
    </w:p>
    <w:p>
      <w:pPr>
        <w:pStyle w:val="BookText"/>
        <w:rPr/>
      </w:pPr>
      <w:r>
        <w:rPr>
          <w:rFonts w:ascii="Amiri" w:hAnsi="Amiri" w:eastAsia="Amiri" w:cs="Amiri"/>
          <w:color w:val="111111"/>
          <w:sz w:val="28"/>
          <w:sz w:val="28"/>
          <w:szCs w:val="28"/>
          <w:rtl w:val="true"/>
          <w:lang w:bidi="ar-SA"/>
        </w:rPr>
        <w:t>محتويات الكتاب</w:t>
      </w:r>
    </w:p>
    <w:p>
      <w:pPr>
        <w:pStyle w:val="BookText"/>
        <w:rPr/>
      </w:pPr>
      <w:r>
        <w:rPr>
          <w:rFonts w:ascii="Amiri" w:hAnsi="Amiri" w:eastAsia="Amiri" w:cs="Amiri"/>
          <w:color w:val="111111"/>
          <w:sz w:val="28"/>
          <w:sz w:val="28"/>
          <w:szCs w:val="28"/>
          <w:rtl w:val="true"/>
          <w:lang w:bidi="ar-SA"/>
        </w:rPr>
        <w:t xml:space="preserve">الجمع بين الصلاتين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القرآنى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الوقت الخاص والوقت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تروني أصلي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الرازي ورأيه الغريب العجيب في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المؤلف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الوثائق الرسمية لثورة الامام الحسين 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بحث ودراسة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ومواقفه البطولية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ومدرسته الحربية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علم الأخلاق النظري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الشركة في الفقه الإسلامي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الأسئلة والأجوبة الإسلامية صدر منها حتى الآن سبعة أعداد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بدر الكبرى حرب تحريرية إسلامية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النبوة و الامامة والخلافة في الأسلام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واجباتها وأحكامها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المسافر في الشريعة الإسلامية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مفاهيمنا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الشعائر الحسينية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المدارس الأخلاقية قديماً وحديثاً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هو النبع الصافي في الإسلام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التشريع الاسلامي وتطور الزمن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أوهام احمد الكاتب وأساطيره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خرافات عثمان خميس وأوهامه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مناظرات في مكة المكرمة والمدينة المنورة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هو المذهب الرسمي للاسلام بالنص القرآني والنبوي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النصائح الوافية لاتباع الوهابية والسلفية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فكرة الإمام المهدي عجل الله تعالی فرجه فريضة إسلامية بالنصّ القرآني والنبوي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الاختلاف بين المذاهب الإسلامية مع وضوح النص القرآني والنبوي </w:t>
      </w:r>
    </w:p>
    <w:p>
      <w:pPr>
        <w:pStyle w:val="BookText"/>
        <w:rPr/>
      </w:pPr>
      <w:r>
        <w:rPr>
          <w:rFonts w:ascii="Amiri" w:hAnsi="Amiri" w:eastAsia="Amiri" w:cs="Amiri"/>
          <w:color w:val="111111"/>
          <w:sz w:val="28"/>
          <w:sz w:val="28"/>
          <w:szCs w:val="28"/>
          <w:rtl w:val="true"/>
          <w:lang w:bidi="ar-SA"/>
        </w:rPr>
        <w:t>يوزع هذا الكتاب مجاناً وثوابه</w:t>
      </w:r>
    </w:p>
    <w:p>
      <w:pPr>
        <w:pStyle w:val="BookText"/>
        <w:rPr/>
      </w:pPr>
      <w:r>
        <w:rPr>
          <w:rFonts w:ascii="IRNazanin" w:hAnsi="IRNazanin" w:eastAsia="IRNazanin"/>
          <w:color w:val="111111"/>
          <w:sz w:val="28"/>
          <w:sz w:val="28"/>
          <w:szCs w:val="28"/>
          <w:rtl w:val="true"/>
          <w:lang w:bidi="fa-IR"/>
        </w:rPr>
        <w:t>إلى روح المرحوم الحاج شعبان</w:t>
      </w:r>
    </w:p>
    <w:p>
      <w:pPr>
        <w:pStyle w:val="BookText"/>
        <w:rPr/>
      </w:pPr>
      <w:r>
        <w:rPr>
          <w:rFonts w:ascii="IRNazanin" w:hAnsi="IRNazanin" w:eastAsia="IRNazanin"/>
          <w:color w:val="111111"/>
          <w:sz w:val="28"/>
          <w:sz w:val="28"/>
          <w:szCs w:val="28"/>
          <w:rtl w:val="true"/>
          <w:lang w:bidi="fa-IR"/>
        </w:rPr>
        <w:t>وروح المرحومه زوجته</w:t>
      </w:r>
    </w:p>
    <w:p>
      <w:pPr>
        <w:pStyle w:val="BookText"/>
        <w:rPr/>
      </w:pPr>
      <w:r>
        <w:rPr>
          <w:rFonts w:ascii="IRNazanin" w:hAnsi="IRNazanin" w:eastAsia="IRNazanin"/>
          <w:color w:val="111111"/>
          <w:sz w:val="28"/>
          <w:sz w:val="28"/>
          <w:szCs w:val="28"/>
          <w:rtl w:val="true"/>
          <w:lang w:bidi="fa-IR"/>
        </w:rPr>
        <w:t>وروح نجلهما المرحوم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طالب ورحم الله من قرأ الفاتحة لهم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الجمع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الجمع بين الصلاتين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الوقت الذي يجمع فيه المقيم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الجمع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تأخير الظهر إلى العصر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2.jpeg"/><Relationship Id="rId29" Type="http://schemas.openxmlformats.org/officeDocument/2006/relationships/image" Target="media/image2.jpeg"/><Relationship Id="rId30" Type="http://schemas.openxmlformats.org/officeDocument/2006/relationships/footer" Target="footer23.xml"/><Relationship Id="rId31" Type="http://schemas.openxmlformats.org/officeDocument/2006/relationships/footnotes" Target="footnotes.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Pages>
  <Words>2326</Words>
  <Characters>9619</Characters>
  <CharactersWithSpaces>11797</CharactersWithSpaces>
  <Paragraphs>201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2026-08-16T08:22:01Z</dcterms:created>
  <dc:creator>ghaemiyeh.com</dc:creator>
  <dc:description/>
  <dc:language>en-US</dc:language>
  <cp:lastModifiedBy/>
  <dcterms:modified xsi:type="dcterms:W3CDTF">2026-08-16T11:52:02Z</dcterms:modified>
  <cp:revision>1</cp:revision>
  <dc:subject/>
  <dc:title>هل یجوز الجمع بین الصلاتین؟</dc:title>
</cp:coreProperties>
</file>

<file path=docProps/custom.xml><?xml version="1.0" encoding="utf-8"?>
<Properties xmlns="http://schemas.openxmlformats.org/officeDocument/2006/custom-properties" xmlns:vt="http://schemas.openxmlformats.org/officeDocument/2006/docPropsVTypes"/>
</file>