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الاحتفال بذکری الانبیاء 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3288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53290_211673320">
            <w:r>
              <w:rPr>
                <w:webHidden/>
                <w:rStyle w:val="IndexLink"/>
                <w:rtl w:val="true"/>
              </w:rPr>
              <w:t>الوحدة حول مائدة الكتاب والسنّة</w:t>
            </w:r>
            <w:r>
              <w:rPr>
                <w:rStyle w:val="IndexLink"/>
                <w:rtl w:val="true"/>
              </w:rPr>
              <w:tab/>
            </w:r>
            <w:r>
              <w:rPr>
                <w:rStyle w:val="IndexLink"/>
              </w:rPr>
              <w:t>4</w:t>
            </w:r>
          </w:hyperlink>
        </w:p>
        <w:p>
          <w:pPr>
            <w:pStyle w:val="Contents2"/>
            <w:tabs>
              <w:tab w:val="clear" w:pos="8743"/>
              <w:tab w:val="right" w:pos="9026" w:leader="dot"/>
            </w:tabs>
            <w:rPr/>
          </w:pPr>
          <w:hyperlink w:anchor="__RefHeading___Toc2253292_211673320">
            <w:r>
              <w:rPr>
                <w:webHidden/>
                <w:rStyle w:val="IndexLink"/>
                <w:rtl w:val="true"/>
              </w:rPr>
              <w:t>الخلاف حول الاحتفال بذكرى الأنبياء وعباد اللَّه الصالحين‌</w:t>
            </w:r>
            <w:r>
              <w:rPr>
                <w:rStyle w:val="IndexLink"/>
                <w:rtl w:val="true"/>
              </w:rPr>
              <w:tab/>
            </w:r>
            <w:r>
              <w:rPr>
                <w:rStyle w:val="IndexLink"/>
              </w:rPr>
              <w:t>8</w:t>
            </w:r>
          </w:hyperlink>
        </w:p>
        <w:p>
          <w:pPr>
            <w:pStyle w:val="Contents3"/>
            <w:tabs>
              <w:tab w:val="clear" w:pos="8459"/>
              <w:tab w:val="right" w:pos="9026" w:leader="dot"/>
            </w:tabs>
            <w:rPr/>
          </w:pPr>
          <w:hyperlink w:anchor="__RefHeading___Toc2253294_211673320">
            <w:r>
              <w:rPr>
                <w:webHidden/>
                <w:rStyle w:val="IndexLink"/>
                <w:rtl w:val="true"/>
              </w:rPr>
              <w:t>أدلّة القائلين باستحباب الاحتفال‌</w:t>
            </w:r>
            <w:r>
              <w:rPr>
                <w:rStyle w:val="IndexLink"/>
                <w:rtl w:val="true"/>
              </w:rPr>
              <w:tab/>
            </w:r>
            <w:r>
              <w:rPr>
                <w:rStyle w:val="IndexLink"/>
              </w:rPr>
              <w:t>8</w:t>
            </w:r>
          </w:hyperlink>
        </w:p>
        <w:p>
          <w:pPr>
            <w:pStyle w:val="Contents3"/>
            <w:tabs>
              <w:tab w:val="clear" w:pos="8459"/>
              <w:tab w:val="right" w:pos="9026" w:leader="dot"/>
            </w:tabs>
            <w:rPr/>
          </w:pPr>
          <w:hyperlink w:anchor="__RefHeading___Toc2253296_211673320">
            <w:r>
              <w:rPr>
                <w:webHidden/>
                <w:rStyle w:val="IndexLink"/>
                <w:rtl w:val="true"/>
              </w:rPr>
              <w:t>انتشار البركة من آدم عليه السلام والاحتفال بذكره‌</w:t>
            </w:r>
            <w:r>
              <w:rPr>
                <w:rStyle w:val="IndexLink"/>
                <w:rtl w:val="true"/>
              </w:rPr>
              <w:tab/>
            </w:r>
            <w:r>
              <w:rPr>
                <w:rStyle w:val="IndexLink"/>
              </w:rPr>
              <w:t>11</w:t>
            </w:r>
          </w:hyperlink>
        </w:p>
        <w:p>
          <w:pPr>
            <w:pStyle w:val="Contents3"/>
            <w:tabs>
              <w:tab w:val="clear" w:pos="8459"/>
              <w:tab w:val="right" w:pos="9026" w:leader="dot"/>
            </w:tabs>
            <w:rPr/>
          </w:pPr>
          <w:hyperlink w:anchor="__RefHeading___Toc2253298_211673320">
            <w:r>
              <w:rPr>
                <w:webHidden/>
                <w:rStyle w:val="IndexLink"/>
                <w:rtl w:val="true"/>
              </w:rPr>
              <w:t>انتشار الشؤم إلى المكان من المكين‌</w:t>
            </w:r>
            <w:r>
              <w:rPr>
                <w:rStyle w:val="IndexLink"/>
                <w:rtl w:val="true"/>
              </w:rPr>
              <w:tab/>
            </w:r>
            <w:r>
              <w:rPr>
                <w:rStyle w:val="IndexLink"/>
              </w:rPr>
              <w:t>12</w:t>
            </w:r>
          </w:hyperlink>
        </w:p>
        <w:p>
          <w:pPr>
            <w:pStyle w:val="Contents3"/>
            <w:tabs>
              <w:tab w:val="clear" w:pos="8459"/>
              <w:tab w:val="right" w:pos="9026" w:leader="dot"/>
            </w:tabs>
            <w:rPr/>
          </w:pPr>
          <w:hyperlink w:anchor="__RefHeading___Toc2253300_211673320">
            <w:r>
              <w:rPr>
                <w:webHidden/>
                <w:rStyle w:val="IndexLink"/>
                <w:rtl w:val="true"/>
              </w:rPr>
              <w:t>منشأ الشؤم والبركة في المكان‌</w:t>
            </w:r>
            <w:r>
              <w:rPr>
                <w:rStyle w:val="IndexLink"/>
                <w:rtl w:val="true"/>
              </w:rPr>
              <w:tab/>
            </w:r>
            <w:r>
              <w:rPr>
                <w:rStyle w:val="IndexLink"/>
              </w:rPr>
              <w:t>14</w:t>
            </w:r>
          </w:hyperlink>
        </w:p>
        <w:p>
          <w:pPr>
            <w:pStyle w:val="Contents3"/>
            <w:tabs>
              <w:tab w:val="clear" w:pos="8459"/>
              <w:tab w:val="right" w:pos="9026" w:leader="dot"/>
            </w:tabs>
            <w:rPr/>
          </w:pPr>
          <w:hyperlink w:anchor="__RefHeading___Toc2253302_211673320">
            <w:r>
              <w:rPr>
                <w:webHidden/>
                <w:rStyle w:val="IndexLink"/>
                <w:rtl w:val="true"/>
              </w:rPr>
              <w:t>بركة يوم الجمعة</w:t>
            </w:r>
            <w:r>
              <w:rPr>
                <w:rStyle w:val="IndexLink"/>
                <w:rtl w:val="true"/>
              </w:rPr>
              <w:tab/>
            </w:r>
            <w:r>
              <w:rPr>
                <w:rStyle w:val="IndexLink"/>
              </w:rPr>
              <w:t>14</w:t>
            </w:r>
          </w:hyperlink>
        </w:p>
        <w:p>
          <w:pPr>
            <w:pStyle w:val="Contents3"/>
            <w:tabs>
              <w:tab w:val="clear" w:pos="8459"/>
              <w:tab w:val="right" w:pos="9026" w:leader="dot"/>
            </w:tabs>
            <w:rPr/>
          </w:pPr>
          <w:hyperlink w:anchor="__RefHeading___Toc2253304_211673320">
            <w:r>
              <w:rPr>
                <w:webHidden/>
                <w:rStyle w:val="IndexLink"/>
                <w:rtl w:val="true"/>
              </w:rPr>
              <w:t>البركة في شهر رمضان‌</w:t>
            </w:r>
            <w:r>
              <w:rPr>
                <w:rStyle w:val="IndexLink"/>
                <w:rtl w:val="true"/>
              </w:rPr>
              <w:tab/>
            </w:r>
            <w:r>
              <w:rPr>
                <w:rStyle w:val="IndexLink"/>
              </w:rPr>
              <w:t>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9_1032"/>
      <w:bookmarkStart w:id="1" w:name="pg249_1032"/>
      <w:bookmarkEnd w:id="1"/>
    </w:p>
    <w:p>
      <w:pPr>
        <w:pStyle w:val="Heading2"/>
        <w:numPr>
          <w:ilvl w:val="1"/>
          <w:numId w:val="1"/>
        </w:numPr>
        <w:rPr/>
      </w:pPr>
      <w:bookmarkStart w:id="2" w:name="pg249_1032"/>
      <w:bookmarkStart w:id="3" w:name="__RefHeading___Toc2253288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سیدمرتضی،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الاحتفال بذکری‌الانبیاء و عبادالله‌الصالحین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مرتضی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مائده‌الکتاب و‌السنه؛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۳۰۹۶۸۳۹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53290_211673320"/>
      <w:bookmarkStart w:id="6" w:name="_Toc2"/>
      <w:bookmarkEnd w:id="5"/>
      <w:r>
        <w:rPr>
          <w:rtl w:val="true"/>
        </w:rPr>
        <w:t>الوحدة حول مائدة الكتاب والسنّة</w:t>
      </w:r>
      <w:bookmarkEnd w:id="6"/>
    </w:p>
    <w:p>
      <w:pPr>
        <w:pStyle w:val="BookText"/>
        <w:rPr/>
      </w:pPr>
      <w:r>
        <w:rPr>
          <w:rFonts w:ascii="Amiri" w:hAnsi="Amiri" w:eastAsia="Amiri" w:cs="Amiri"/>
          <w:color w:val="111111"/>
          <w:sz w:val="28"/>
          <w:sz w:val="28"/>
          <w:szCs w:val="28"/>
          <w:rtl w:val="true"/>
          <w:lang w:bidi="ar-SA"/>
        </w:rPr>
        <w:t xml:space="preserve">الوحدة حول مائدة 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والصَّلاة على محمّد وآله الطاهرين، والسلام على أصحابه البررة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تنازعنا معاشر المسلمين على مسائل الخلاف في الداخل ففرّق أعداء الإسلام من الخارج كلمتنا من حيث لا نشعر، وضعفنا عن الدفاع عن بلادنا، وسيطر الأعداء علينا، وقد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رَسُولَهُ وَ لا تَنازَعُوا فَتَفْشَلُوا وَ تَذْهَبَ رِيحُكُمْ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لنا اليوم وفي كلّ يوم أن نرجع إلى الكتاب والسنّة في ما اختلفنا فيه ونوحّد كلمتنا حولهما،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السلسلة من البحوث نرجع إلى الكتاب والسنّة ونستنبط منها ما ينير لنا السبيل في مسائل الخلاف، فتكون بإذنه تعالى وسيلة لتوحيد كلمتنا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راجين من العلماء أن يشاركونا في هذا المجال، ويبعثوا إلينا بوجهات نظرهم على عنوان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bookmarkStart w:id="7" w:name="pg249_1043"/>
    </w:p>
    <w:p>
      <w:pPr>
        <w:pStyle w:val="Heading2"/>
        <w:numPr>
          <w:ilvl w:val="1"/>
          <w:numId w:val="1"/>
        </w:numPr>
        <w:rPr/>
      </w:pPr>
      <w:bookmarkStart w:id="8" w:name="__RefHeading___Toc2253292_211673320"/>
      <w:bookmarkStart w:id="9" w:name="_Toc3"/>
      <w:bookmarkEnd w:id="7"/>
      <w:bookmarkEnd w:id="8"/>
      <w:r>
        <w:rPr>
          <w:rtl w:val="true"/>
        </w:rPr>
        <w:t>الخلاف حول الاحتفال بذكرى الأنبياء وعباد اللَّه الصالحين‌</w:t>
      </w:r>
      <w:bookmarkEnd w:id="9"/>
    </w:p>
    <w:p>
      <w:pPr>
        <w:pStyle w:val="Heading3"/>
        <w:numPr>
          <w:ilvl w:val="2"/>
          <w:numId w:val="1"/>
        </w:numPr>
        <w:rPr/>
      </w:pPr>
      <w:bookmarkStart w:id="10" w:name="__RefHeading___Toc2253294_211673320"/>
      <w:bookmarkStart w:id="11" w:name="_Toc4"/>
      <w:bookmarkEnd w:id="10"/>
      <w:r>
        <w:rPr>
          <w:rtl w:val="true"/>
        </w:rPr>
        <w:t>أدلّة القائلين باستحباب الاحتفال‌</w:t>
      </w:r>
      <w:bookmarkEnd w:id="11"/>
    </w:p>
    <w:p>
      <w:pPr>
        <w:pStyle w:val="BookText"/>
        <w:rPr/>
      </w:pPr>
      <w:r>
        <w:rPr>
          <w:rFonts w:ascii="Amiri" w:hAnsi="Amiri" w:eastAsia="Amiri" w:cs="Amiri"/>
          <w:color w:val="111111"/>
          <w:sz w:val="28"/>
          <w:sz w:val="28"/>
          <w:szCs w:val="28"/>
          <w:rtl w:val="true"/>
          <w:lang w:bidi="ar-SA"/>
        </w:rPr>
        <w:t>أدلّة القائلين باستحباب الاحتفال</w:t>
      </w:r>
    </w:p>
    <w:p>
      <w:pPr>
        <w:pStyle w:val="BookText"/>
        <w:rPr/>
      </w:pPr>
      <w:r>
        <w:rPr>
          <w:rFonts w:ascii="Amiri" w:hAnsi="Amiri" w:eastAsia="Amiri" w:cs="Amiri"/>
          <w:color w:val="111111"/>
          <w:sz w:val="28"/>
          <w:sz w:val="28"/>
          <w:szCs w:val="28"/>
          <w:rtl w:val="true"/>
          <w:lang w:bidi="ar-SA"/>
        </w:rPr>
        <w:t>يستدلّ من يرى استحباب الاحتفال بذكرهم بأنّ جلّ مناسك الحج احتفال بذكرى الأنبياء والأولياء كما سنذكر أمثلة منها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اتَّخِذُوا مِنْ مَقامِ إِبْراهِيمَ مُصَلًّى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البخاري </w:t>
      </w:r>
      <w:r>
        <w:rPr>
          <w:rStyle w:val="FootnoteAnchor"/>
          <w:rtl w:val="true"/>
        </w:rPr>
        <w:footnoteReference w:id="2"/>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إبراهيم وإسماعيل عليهما السلام لما كانا يبنيان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w:t>
      </w:r>
    </w:p>
    <w:p>
      <w:pPr>
        <w:pStyle w:val="BookText"/>
        <w:rPr/>
      </w:pPr>
      <w:r>
        <w:rPr>
          <w:rFonts w:ascii="Amiri" w:hAnsi="Amiri" w:eastAsia="Amiri" w:cs="Amiri"/>
          <w:color w:val="111111"/>
          <w:sz w:val="28"/>
          <w:sz w:val="28"/>
          <w:szCs w:val="28"/>
          <w:rtl w:val="true"/>
          <w:lang w:bidi="ar-SA"/>
        </w:rPr>
        <w:t>إسماعيل يأتي بالحجارة وإبراهيم يبني، حتى إذا ارتفع البناء جاء بهذا الحجر فوضعه له، فقام عليه وهو يبني وإسماعيل يناوله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ارتفع البناء وضعف الشيخ على نقل الحجارة، فقام على حجر المقام، فجعل يناوله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أمر الناس كما هو واضح أن يتبرّكوا بموطئ قدمي إبراهيم عليه السلام في بيته الحرام ويتّخذوا منه مصلى، إحياءً لذكرى إبراهيم وتخليداً، وليس فيه شي‌ء من أمر الشرك باللَّه جلّ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البخاري ما ملخصه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هاجر لما تركها إبراهيم عليه السلام مع إبنها إسماعيل بمكة ونفد ماؤها وعطشت و عطش إبنها وجعل يتلوى، فانطلقت</w:t>
      </w:r>
      <w:bookmarkStart w:id="12" w:name="pg249_1047"/>
    </w:p>
    <w:p>
      <w:pPr>
        <w:pStyle w:val="BookText"/>
        <w:rPr/>
      </w:pPr>
      <w:bookmarkEnd w:id="12"/>
      <w:r>
        <w:rPr>
          <w:rFonts w:ascii="Amiri" w:hAnsi="Amiri" w:eastAsia="Amiri" w:cs="Amiri"/>
          <w:color w:val="111111"/>
          <w:sz w:val="28"/>
          <w:sz w:val="28"/>
          <w:szCs w:val="28"/>
          <w:rtl w:val="true"/>
          <w:lang w:bidi="ar-SA"/>
        </w:rPr>
        <w:t>إلى جبل صفا كراهية أن تنظر إليه، فقامت عليه تنظر هل ترى أحداً، فلم ترَ أحداً، فهبطت من الصفا حتى إذا بلغت الوادي سعت سعي الإنسان المجهود حتى جاوزت الوادي، ثمّ أتت المروة فقامت عليها ونظرت هل ترى أحداً، فلم ترَ أحداً، فعلت ذلك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فذلك سعي الناس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اللَّه السعي بين الصفا والمروة من مناسك الحجّ، إحياءً لذكرى سعي هاجر بينهما واحتفالًا بعملها، واستحباب الهرولة في محلّ الوادي الذي سعت فيه هاجر سعي الإنسان المجهود إحياءً لذكرى هرولتها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أحمد والطيالسي في مسنديهما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الاحتفال بذكرى الانبياء،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ذهب بابراهيم إلى جمرة العقبة فعرض له الشيطان فرماه بسبع حصيات فساخ، ثمّ أتى الجمرة الوسطى فعرض له الشيطان فرماه بسبع حصيات فساخ، ثمّ أتى الجمرة القصوى فعرض له الشيطان فرماه بسبع حصيات فساخ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جعل اللَّه إحياء ذكرى رمي إبراهيم الشيطان والاحتفال بذكره من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 في قصة إبراهيم وإسماعيل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حَلِيمٍ فَلَمَّا بَلَغَ مَعَهُ السَّعْيَ قالَ يا بُنَيَّ إِنِّي أَرى فِي الْمَنامِ أَنِّي أَذْبَحُكَ فَانْظُرْ ما ذا تَرى قالَ يا أَبَتِ افْعَلْ ما تُؤْمَرُ سَتَجِدُنِي إِنْ شاءَ اللَّهُ مِنَ الصَّابِرِينَ فَلَمَّا أَسْلَما وَ تَلَّهُ لِلْجَبِينِ وَ نادَيْناهُ أَنْ يا إِبْراهِيمُ قَدْ صَدَّقْتَ الرُّؤْيا إِنَّا كَذلِكَ</w:t>
      </w:r>
    </w:p>
    <w:p>
      <w:pPr>
        <w:pStyle w:val="BookText"/>
        <w:rPr/>
      </w:pPr>
      <w:r>
        <w:rPr>
          <w:rFonts w:ascii="Amiri" w:hAnsi="Amiri" w:eastAsia="Amiri" w:cs="Amiri"/>
          <w:color w:val="111111"/>
          <w:sz w:val="28"/>
          <w:sz w:val="28"/>
          <w:szCs w:val="28"/>
          <w:rtl w:val="true"/>
          <w:lang w:bidi="ar-SA"/>
        </w:rPr>
        <w:t>الاحتفال بذكرى الانبياء،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نَجْزِي الْمُحْسِنِينَ إِنَّ هذا لَهُوَ الْبَلاءُ الْمُبِينُ وَ فَدَيْناهُ بِذِبْحٍ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جعل اللَّه احياء ذكر فداء إبراهيم إبنه إسماعيل وإرسال اللَّه الكبش فديةً له والاحتفال بها من مناسك الحج، وأمر الحجاج بالفدية في منى اقتداء بإبراهيم واحتفالًا بذكر موقفه من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مقام إبراهيم انتشرت البركة من قدمي إبراهيم عليه السلام إلى موطئ قدميه، وأمر اللَّه باتّخاذه مسجداً في بيته الحرام، وجعله اللَّه إحياءً لذكره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يأتي نذكر انتشار البركة من آدم عليه السلام أبي البشر</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253296_211673320"/>
      <w:bookmarkStart w:id="14" w:name="_Toc5"/>
      <w:bookmarkEnd w:id="13"/>
      <w:r>
        <w:rPr>
          <w:rtl w:val="true"/>
        </w:rPr>
        <w:t>انتشار البركة من آدم عليه السلام والاحتفال بذكره‌</w:t>
      </w:r>
      <w:bookmarkEnd w:id="14"/>
    </w:p>
    <w:p>
      <w:pPr>
        <w:pStyle w:val="BookText"/>
        <w:rPr/>
      </w:pPr>
      <w:r>
        <w:rPr>
          <w:rFonts w:ascii="Amiri" w:hAnsi="Amiri" w:eastAsia="Amiri" w:cs="Amiri"/>
          <w:color w:val="111111"/>
          <w:sz w:val="28"/>
          <w:sz w:val="28"/>
          <w:szCs w:val="28"/>
          <w:rtl w:val="true"/>
          <w:lang w:bidi="ar-SA"/>
        </w:rPr>
        <w:t>انتشار البركة من آدم عليه السلام والاحتفال بذكره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الأخبار أنّ اللَّه جلّ اسمه تاب على آدم عصر التاسع من ذي الحجة بعرفات، ثمّ أفاض به جبرئيل عند المغيب إلى المشعر الحرام، وبات فيه ليلة العاشر يدعو اللَّه</w:t>
      </w:r>
      <w:bookmarkStart w:id="15" w:name="pg249_1053"/>
    </w:p>
    <w:p>
      <w:pPr>
        <w:pStyle w:val="BookText"/>
        <w:rPr/>
      </w:pPr>
      <w:bookmarkEnd w:id="15"/>
      <w:r>
        <w:rPr>
          <w:rFonts w:ascii="Amiri" w:hAnsi="Amiri" w:eastAsia="Amiri" w:cs="Amiri"/>
          <w:color w:val="111111"/>
          <w:sz w:val="28"/>
          <w:sz w:val="28"/>
          <w:szCs w:val="28"/>
          <w:rtl w:val="true"/>
          <w:lang w:bidi="ar-SA"/>
        </w:rPr>
        <w:t>ويشكره على قبول توبته، ثمّ أفاض منه صباحاً إلى منى، وحلق فيه رأسه يوم العاشر إمارة لقبول توبته وعتقه من الذنوب، فجعل اللَّه ذلك اليوم عيداً له ولذريّته، وجعل كلّ ما فعله آدم أبد الدهر من مناسك الحج لذريته يقبل توبتهم عصر التاسع بعرفات ويذكرون اللَّه ليلًا بالمشعر الحرام ويحلقون رؤوسهم يوم العاشر بمنى، ثمّ أضيف إلى هذه المناسك ما فعله بعد ذلك إبراهيم وإسماعيل وهاجر، وتمّ بها مناسك الحج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فإنّ أعمال الحج كلّها تبرك بتلك الأزمنة والأمكنة التي حلّ بها عباد اللَّه الصالحون أولئك، وكلها احتفال بذكرهم أبد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يأتي نضرب مثالًا لانتشار الشؤم إلى المكان من المكين</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253298_211673320"/>
      <w:bookmarkStart w:id="17" w:name="_Toc6"/>
      <w:bookmarkEnd w:id="16"/>
      <w:r>
        <w:rPr>
          <w:rtl w:val="true"/>
        </w:rPr>
        <w:t>انتشار الشؤم إلى المكان من المكين‌</w:t>
      </w:r>
      <w:bookmarkEnd w:id="17"/>
    </w:p>
    <w:p>
      <w:pPr>
        <w:pStyle w:val="BookText"/>
        <w:rPr/>
      </w:pPr>
      <w:r>
        <w:rPr>
          <w:rFonts w:ascii="Amiri" w:hAnsi="Amiri" w:eastAsia="Amiri" w:cs="Amiri"/>
          <w:color w:val="111111"/>
          <w:sz w:val="28"/>
          <w:sz w:val="28"/>
          <w:szCs w:val="28"/>
          <w:rtl w:val="true"/>
          <w:lang w:bidi="ar-SA"/>
        </w:rPr>
        <w:t>انتشار الشؤم إلى المكان من المكين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مسلم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تبوك نزل بالناس الحجر عند بيوت ثمود، فاستسقى الناس من الآبار التي كان</w:t>
      </w:r>
    </w:p>
    <w:p>
      <w:pPr>
        <w:pStyle w:val="BookText"/>
        <w:rPr/>
      </w:pPr>
      <w:r>
        <w:rPr>
          <w:rFonts w:ascii="Amiri" w:hAnsi="Amiri" w:eastAsia="Amiri" w:cs="Amiri"/>
          <w:color w:val="111111"/>
          <w:sz w:val="28"/>
          <w:sz w:val="28"/>
          <w:szCs w:val="28"/>
          <w:rtl w:val="true"/>
          <w:lang w:bidi="ar-SA"/>
        </w:rPr>
        <w:t xml:space="preserve">يشرب منها ثمود، فعجنوا منها ونصبوا القدور باللحم، فأمرهم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فاهرقوا القدور وعلفوا العجين الابل، ثمّ ارتحل بهم حتى نزل بهم على البئر التي كانت تشرب منها الناقة، ونهاهم أن يدخلوا على القوم الذين عذبوا،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أخشى أن يصيبكم مثل ما أصابهم فلا تدخلوا عليهم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وفي لفظ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تدخلوا مساكن الذين ظلموا أنفسهم الّا أن تكونوا باكين، حذرا أن يصيبكم مثل ما أصابهم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زجر وأسرع حتى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قنع رأسه وأسرع السير حتى أجاز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بمسند أحمد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وتقنع بردائه وهو على الرحل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18" w:name="pg249_1057"/>
    </w:p>
    <w:p>
      <w:pPr>
        <w:pStyle w:val="Heading3"/>
        <w:numPr>
          <w:ilvl w:val="2"/>
          <w:numId w:val="1"/>
        </w:numPr>
        <w:rPr/>
      </w:pPr>
      <w:bookmarkStart w:id="19" w:name="__RefHeading___Toc2253300_211673320"/>
      <w:bookmarkStart w:id="20" w:name="_Toc7"/>
      <w:bookmarkEnd w:id="18"/>
      <w:bookmarkEnd w:id="19"/>
      <w:r>
        <w:rPr>
          <w:rtl w:val="true"/>
        </w:rPr>
        <w:t>منشأ الشؤم والبركة في المكان‌</w:t>
      </w:r>
      <w:bookmarkEnd w:id="20"/>
    </w:p>
    <w:p>
      <w:pPr>
        <w:pStyle w:val="BookText"/>
        <w:rPr/>
      </w:pPr>
      <w:r>
        <w:rPr>
          <w:rFonts w:ascii="Amiri" w:hAnsi="Amiri" w:eastAsia="Amiri" w:cs="Amiri"/>
          <w:color w:val="111111"/>
          <w:sz w:val="28"/>
          <w:sz w:val="28"/>
          <w:szCs w:val="28"/>
          <w:rtl w:val="true"/>
          <w:lang w:bidi="ar-SA"/>
        </w:rPr>
        <w:t>منشأ الشؤم والبركة في المكان</w:t>
      </w:r>
    </w:p>
    <w:p>
      <w:pPr>
        <w:pStyle w:val="BookText"/>
        <w:rPr/>
      </w:pPr>
      <w:r>
        <w:rPr>
          <w:rFonts w:ascii="Amiri" w:hAnsi="Amiri" w:eastAsia="Amiri" w:cs="Amiri"/>
          <w:color w:val="111111"/>
          <w:sz w:val="28"/>
          <w:sz w:val="28"/>
          <w:szCs w:val="28"/>
          <w:rtl w:val="true"/>
          <w:lang w:bidi="ar-SA"/>
        </w:rPr>
        <w:t>من أين نشأ شؤم بلاد ثمود وآبار ثمود وانتشر إليها؟ عدا أنّه نشأ من قوم ثمود وانتشر منهم إلى بلادهم وآبارهم وبقي فيها إلى عصر خاتم الأنبياء وإلى ما شاء اللَّه، ومن أين نشأ فضل بئر ناقة صالح؟ عدا ما كان من شرب ناقة صالح منها وانتشر الفضل منها إلى البئر وبقي فيها إلى عصر خاتم الأنبياء وإلى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ناقة صالح وبئرها بأكرم على اللَّه من إسماعيل وبئره زمزم، بل كذلك جعل اللَّه البركة في زمزم من بركة إسماعيل أبد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شأن انتشار البركة مما يفيضه اللَّه على عباده الصالحين في أزمنة خاصّة مثل بركة يوم الجمعة</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253302_211673320"/>
      <w:bookmarkStart w:id="22" w:name="_Toc8"/>
      <w:bookmarkEnd w:id="21"/>
      <w:r>
        <w:rPr>
          <w:rtl w:val="true"/>
        </w:rPr>
        <w:t>بركة يوم الجمعة</w:t>
      </w:r>
      <w:bookmarkEnd w:id="22"/>
    </w:p>
    <w:p>
      <w:pPr>
        <w:pStyle w:val="BookText"/>
        <w:rPr/>
      </w:pPr>
      <w:r>
        <w:rPr>
          <w:rFonts w:ascii="Amiri" w:hAnsi="Amiri" w:eastAsia="Amiri" w:cs="Amiri"/>
          <w:color w:val="111111"/>
          <w:sz w:val="28"/>
          <w:sz w:val="28"/>
          <w:szCs w:val="28"/>
          <w:rtl w:val="true"/>
          <w:lang w:bidi="ar-SA"/>
        </w:rPr>
        <w:t>بركة يوم الجمعة</w:t>
      </w:r>
    </w:p>
    <w:p>
      <w:pPr>
        <w:pStyle w:val="BookText"/>
        <w:rPr/>
      </w:pP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خلق آدم يوم الجمعة وأدخله الجنّة يوم</w:t>
      </w:r>
      <w:bookmarkStart w:id="23" w:name="pg249_1059"/>
    </w:p>
    <w:p>
      <w:pPr>
        <w:pStyle w:val="BookText"/>
        <w:rPr/>
      </w:pPr>
      <w:bookmarkEnd w:id="23"/>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وغيره ممّا أفاضه اللَّه على عباده الصالحين في يوم الجمعة خلد البركة في يوم الجمعة أبد الدهر</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253304_211673320"/>
      <w:bookmarkStart w:id="25" w:name="_Toc9"/>
      <w:bookmarkEnd w:id="24"/>
      <w:r>
        <w:rPr>
          <w:rtl w:val="true"/>
        </w:rPr>
        <w:t>البركة في شهر رمضان‌</w:t>
      </w:r>
      <w:bookmarkEnd w:id="25"/>
    </w:p>
    <w:p>
      <w:pPr>
        <w:pStyle w:val="BookText"/>
        <w:rPr/>
      </w:pPr>
      <w:r>
        <w:rPr>
          <w:rFonts w:ascii="Amiri" w:hAnsi="Amiri" w:eastAsia="Amiri" w:cs="Amiri"/>
          <w:color w:val="111111"/>
          <w:sz w:val="28"/>
          <w:sz w:val="28"/>
          <w:szCs w:val="28"/>
          <w:rtl w:val="true"/>
          <w:lang w:bidi="ar-SA"/>
        </w:rPr>
        <w:t>البركة في شهر رمضان</w:t>
      </w:r>
    </w:p>
    <w:p>
      <w:pPr>
        <w:pStyle w:val="BookText"/>
        <w:rPr/>
      </w:pPr>
      <w:r>
        <w:rPr>
          <w:rFonts w:ascii="Amiri" w:hAnsi="Amiri" w:eastAsia="Amiri" w:cs="Amiri"/>
          <w:color w:val="111111"/>
          <w:sz w:val="28"/>
          <w:sz w:val="28"/>
          <w:szCs w:val="28"/>
          <w:rtl w:val="true"/>
          <w:lang w:bidi="ar-SA"/>
        </w:rPr>
        <w:t>وكذلك الشأن في بركة شهر رمضان، فقد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وَ ما أَدْراكَ ما لَيْلَةُ الْقَدْرِ لَيْلَةُ الْقَدْرِ خَيْرٌ مِنْ أَلْفِ شَهْرٍ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فقد انتشرت البركة من ليلة القدر التي أنزل فيه القرآن على خاتم أنبياء اللَّه إلى جميع أزمنة شهر رمضان، وتخلّدت البركة في ذلك الشهر من تلك الليلة إلى أبد الدهر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انتهائنا من الإشارة إلى رجحان الاحتفال بذكرى أصفياء اللَّه، نؤكّد أنّنا نقصد من الاحتفال بذكر أصفياء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سيرة رسول اللَّه صلى الله عليه و آله الصحيحة غير المنحرفة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ليلة ميلاده، وإطعام الطعام في سبيل اللَّه وإهداء ثوابه لرسول اللَّه صلى الله عليه و آله، مع الاجتناب من القيام بأعمال ابتدعها بعض المتصوّفة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الأنبياء، باب يزفون النسلان في المشي‌ء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الأنبياء، باب يزفون النسلان في المشي،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وراجع معجم البلدان، مادة زمزم، بذكر تاريخ اسماعيل من تاريخ الطبري وابن الأثير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وقريب منه في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ومسند الطيالسي، ح </w:t>
      </w:r>
      <w:r>
        <w:rPr>
          <w:rFonts w:eastAsia="IRNazanin" w:cs="IRNazanin"/>
          <w:b w:val="false"/>
          <w:bCs w:val="false"/>
          <w:i w:val="false"/>
          <w:iCs w:val="false"/>
          <w:color w:val="333333"/>
          <w:sz w:val="20"/>
          <w:szCs w:val="20"/>
        </w:rPr>
        <w:t>2697</w:t>
      </w:r>
      <w:r>
        <w:rPr>
          <w:rFonts w:ascii="IRNazanin" w:hAnsi="IRNazanin" w:eastAsia="IRNazanin"/>
          <w:b w:val="false"/>
          <w:b w:val="false"/>
          <w:bCs w:val="false"/>
          <w:i w:val="false"/>
          <w:i w:val="false"/>
          <w:iCs w:val="false"/>
          <w:color w:val="333333"/>
          <w:sz w:val="20"/>
          <w:sz w:val="20"/>
          <w:szCs w:val="20"/>
          <w:rtl w:val="true"/>
        </w:rPr>
        <w:t>؛ وراجع مادة الكعبة من معجم البلدان وتاريخ ابراهيم واسماعيل من تاريخ الطبري وابن الأثير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مسلم باختصار في صحيحه، كتاب الزهد والرقائق، باب لا تدخلوا مساكن الذين ظلموا أنفسهم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واللفظ لمسند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صحيح البخاري، كتاب المغازي، باب نزول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الجمعة، باب فضل الجمعة،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2.jpeg"/><Relationship Id="rId19" Type="http://schemas.openxmlformats.org/officeDocument/2006/relationships/image" Target="media/image2.jpeg"/><Relationship Id="rId20" Type="http://schemas.openxmlformats.org/officeDocument/2006/relationships/footer" Target="footer13.xml"/><Relationship Id="rId21" Type="http://schemas.openxmlformats.org/officeDocument/2006/relationships/footnotes" Target="footnotes.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Pages>
  <Words>1480</Words>
  <Characters>6604</Characters>
  <CharactersWithSpaces>7972</CharactersWithSpaces>
  <Paragraphs>130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2026-08-16T02:22:42Z</dcterms:created>
  <dc:creator>ghaemiyeh.com</dc:creator>
  <dc:description/>
  <dc:language>en-US</dc:language>
  <cp:lastModifiedBy/>
  <dcterms:modified xsi:type="dcterms:W3CDTF">2026-08-16T05:53:21Z</dcterms:modified>
  <cp:revision>1</cp:revision>
  <dc:subject/>
  <dc:title>الاحتفال بذکری الانبیاء ع</dc:title>
</cp:coreProperties>
</file>

<file path=docProps/custom.xml><?xml version="1.0" encoding="utf-8"?>
<Properties xmlns="http://schemas.openxmlformats.org/officeDocument/2006/custom-properties" xmlns:vt="http://schemas.openxmlformats.org/officeDocument/2006/docPropsVTypes"/>
</file>