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فی رحاب الزیاره الجامعه الکبیره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41142_3381743652">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141144_338174365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141146_3381743652">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10141148_3381743652">
            <w:r>
              <w:rPr>
                <w:webHidden/>
                <w:rStyle w:val="IndexLink"/>
                <w:rtl w:val="true"/>
              </w:rPr>
              <w:t>القسم الأوّل</w:t>
            </w:r>
            <w:r>
              <w:rPr>
                <w:rStyle w:val="IndexLink"/>
                <w:rtl w:val="true"/>
              </w:rPr>
              <w:tab/>
            </w:r>
            <w:r>
              <w:rPr>
                <w:rStyle w:val="IndexLink"/>
              </w:rPr>
              <w:t>14</w:t>
            </w:r>
          </w:hyperlink>
        </w:p>
        <w:p>
          <w:pPr>
            <w:pStyle w:val="Contents3"/>
            <w:tabs>
              <w:tab w:val="clear" w:pos="8459"/>
              <w:tab w:val="right" w:pos="9026" w:leader="dot"/>
            </w:tabs>
            <w:rPr/>
          </w:pPr>
          <w:hyperlink w:anchor="__RefHeading___Toc10141150_3381743652">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0141152_3381743652">
            <w:r>
              <w:rPr>
                <w:webHidden/>
                <w:rStyle w:val="IndexLink"/>
                <w:rtl w:val="true"/>
              </w:rPr>
              <w:t>المدخل</w:t>
            </w:r>
            <w:r>
              <w:rPr>
                <w:rStyle w:val="IndexLink"/>
                <w:rtl w:val="true"/>
              </w:rPr>
              <w:tab/>
            </w:r>
            <w:r>
              <w:rPr>
                <w:rStyle w:val="IndexLink"/>
              </w:rPr>
              <w:t>16</w:t>
            </w:r>
          </w:hyperlink>
        </w:p>
        <w:p>
          <w:pPr>
            <w:pStyle w:val="Contents3"/>
            <w:tabs>
              <w:tab w:val="clear" w:pos="8459"/>
              <w:tab w:val="right" w:pos="9026" w:leader="dot"/>
            </w:tabs>
            <w:rPr/>
          </w:pPr>
          <w:hyperlink w:anchor="__RefHeading___Toc10141154_3381743652">
            <w:r>
              <w:rPr>
                <w:webHidden/>
                <w:rStyle w:val="IndexLink"/>
                <w:rtl w:val="true"/>
              </w:rPr>
              <w:t>الأوّل</w:t>
            </w:r>
            <w:r>
              <w:rPr>
                <w:rStyle w:val="IndexLink"/>
                <w:rtl w:val="true"/>
              </w:rPr>
              <w:t xml:space="preserve">: </w:t>
            </w:r>
            <w:r>
              <w:rPr>
                <w:rStyle w:val="IndexLink"/>
                <w:rtl w:val="true"/>
              </w:rPr>
              <w:t>موسي الراوي لأغلب روايات عمّه النوفلي</w:t>
            </w:r>
            <w:r>
              <w:rPr>
                <w:rStyle w:val="IndexLink"/>
                <w:rtl w:val="true"/>
              </w:rPr>
              <w:tab/>
            </w:r>
            <w:r>
              <w:rPr>
                <w:rStyle w:val="IndexLink"/>
              </w:rPr>
              <w:t>24</w:t>
            </w:r>
          </w:hyperlink>
        </w:p>
        <w:p>
          <w:pPr>
            <w:pStyle w:val="Contents3"/>
            <w:tabs>
              <w:tab w:val="clear" w:pos="8459"/>
              <w:tab w:val="right" w:pos="9026" w:leader="dot"/>
            </w:tabs>
            <w:rPr/>
          </w:pPr>
          <w:hyperlink w:anchor="__RefHeading___Toc10141156_3381743652">
            <w:r>
              <w:rPr>
                <w:webHidden/>
                <w:rStyle w:val="IndexLink"/>
                <w:rtl w:val="true"/>
              </w:rPr>
              <w:t>الثاني</w:t>
            </w:r>
            <w:r>
              <w:rPr>
                <w:rStyle w:val="IndexLink"/>
                <w:rtl w:val="true"/>
              </w:rPr>
              <w:t xml:space="preserve">: </w:t>
            </w:r>
            <w:r>
              <w:rPr>
                <w:rStyle w:val="IndexLink"/>
                <w:rtl w:val="true"/>
              </w:rPr>
              <w:t>روايات النوفلي جلّها في المعارف</w:t>
            </w:r>
            <w:r>
              <w:rPr>
                <w:rStyle w:val="IndexLink"/>
                <w:rtl w:val="true"/>
              </w:rPr>
              <w:tab/>
            </w:r>
            <w:r>
              <w:rPr>
                <w:rStyle w:val="IndexLink"/>
              </w:rPr>
              <w:t>25</w:t>
            </w:r>
          </w:hyperlink>
        </w:p>
        <w:p>
          <w:pPr>
            <w:pStyle w:val="Contents3"/>
            <w:tabs>
              <w:tab w:val="clear" w:pos="8459"/>
              <w:tab w:val="right" w:pos="9026" w:leader="dot"/>
            </w:tabs>
            <w:rPr/>
          </w:pPr>
          <w:hyperlink w:anchor="__RefHeading___Toc10141158_3381743652">
            <w:r>
              <w:rPr>
                <w:webHidden/>
                <w:rStyle w:val="IndexLink"/>
                <w:rtl w:val="true"/>
              </w:rPr>
              <w:t>الثالث</w:t>
            </w:r>
            <w:r>
              <w:rPr>
                <w:rStyle w:val="IndexLink"/>
                <w:rtl w:val="true"/>
              </w:rPr>
              <w:t xml:space="preserve">: </w:t>
            </w:r>
            <w:r>
              <w:rPr>
                <w:rStyle w:val="IndexLink"/>
                <w:rtl w:val="true"/>
              </w:rPr>
              <w:t>اعتماد الأعلام علی رواياته</w:t>
            </w:r>
            <w:r>
              <w:rPr>
                <w:rStyle w:val="IndexLink"/>
                <w:rtl w:val="true"/>
              </w:rPr>
              <w:tab/>
            </w:r>
            <w:r>
              <w:rPr>
                <w:rStyle w:val="IndexLink"/>
              </w:rPr>
              <w:t>25</w:t>
            </w:r>
          </w:hyperlink>
        </w:p>
        <w:p>
          <w:pPr>
            <w:pStyle w:val="Contents3"/>
            <w:tabs>
              <w:tab w:val="clear" w:pos="8459"/>
              <w:tab w:val="right" w:pos="9026" w:leader="dot"/>
            </w:tabs>
            <w:rPr/>
          </w:pPr>
          <w:hyperlink w:anchor="__RefHeading___Toc10141160_3381743652">
            <w:r>
              <w:rPr>
                <w:webHidden/>
                <w:rStyle w:val="IndexLink"/>
                <w:rtl w:val="true"/>
              </w:rPr>
              <w:t>الرابع</w:t>
            </w:r>
            <w:r>
              <w:rPr>
                <w:rStyle w:val="IndexLink"/>
                <w:rtl w:val="true"/>
              </w:rPr>
              <w:t xml:space="preserve">: </w:t>
            </w:r>
            <w:r>
              <w:rPr>
                <w:rStyle w:val="IndexLink"/>
                <w:rtl w:val="true"/>
              </w:rPr>
              <w:t>سؤال للإمام الهادي عليه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10141162_3381743652">
            <w:r>
              <w:rPr>
                <w:webHidden/>
                <w:rStyle w:val="IndexLink"/>
                <w:rtl w:val="true"/>
              </w:rPr>
              <w:t>الخامس</w:t>
            </w:r>
            <w:r>
              <w:rPr>
                <w:rStyle w:val="IndexLink"/>
                <w:rtl w:val="true"/>
              </w:rPr>
              <w:t xml:space="preserve">: </w:t>
            </w:r>
            <w:r>
              <w:rPr>
                <w:rStyle w:val="IndexLink"/>
                <w:rtl w:val="true"/>
              </w:rPr>
              <w:t>بيان الإمام الهادي عليه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10141164_3381743652">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0141166_3381743652">
            <w:r>
              <w:rPr>
                <w:webHidden/>
                <w:rStyle w:val="IndexLink"/>
                <w:rtl w:val="true"/>
              </w:rPr>
              <w:t>مضامين الزيارة الجامعة</w:t>
            </w:r>
            <w:r>
              <w:rPr>
                <w:rStyle w:val="IndexLink"/>
                <w:rtl w:val="true"/>
              </w:rPr>
              <w:tab/>
            </w:r>
            <w:r>
              <w:rPr>
                <w:rStyle w:val="IndexLink"/>
              </w:rPr>
              <w:t>28</w:t>
            </w:r>
          </w:hyperlink>
        </w:p>
        <w:p>
          <w:pPr>
            <w:pStyle w:val="Contents4"/>
            <w:tabs>
              <w:tab w:val="clear" w:pos="8176"/>
              <w:tab w:val="right" w:pos="9026" w:leader="dot"/>
            </w:tabs>
            <w:rPr/>
          </w:pPr>
          <w:hyperlink w:anchor="__RefHeading___Toc10141168_3381743652">
            <w:r>
              <w:rPr>
                <w:webHidden/>
                <w:rStyle w:val="IndexLink"/>
                <w:rtl w:val="true"/>
              </w:rPr>
              <w:t>متون رواياته في المعارف</w:t>
            </w:r>
            <w:r>
              <w:rPr>
                <w:rStyle w:val="IndexLink"/>
                <w:rtl w:val="true"/>
              </w:rPr>
              <w:tab/>
            </w:r>
            <w:r>
              <w:rPr>
                <w:rStyle w:val="IndexLink"/>
              </w:rPr>
              <w:t>29</w:t>
            </w:r>
          </w:hyperlink>
        </w:p>
        <w:p>
          <w:pPr>
            <w:pStyle w:val="Contents3"/>
            <w:tabs>
              <w:tab w:val="clear" w:pos="8459"/>
              <w:tab w:val="right" w:pos="9026" w:leader="dot"/>
            </w:tabs>
            <w:rPr/>
          </w:pPr>
          <w:hyperlink w:anchor="__RefHeading___Toc10141170_3381743652">
            <w:r>
              <w:rPr>
                <w:webHidden/>
                <w:rStyle w:val="IndexLink"/>
                <w:rtl w:val="true"/>
              </w:rPr>
              <w:t>السادس</w:t>
            </w:r>
            <w:r>
              <w:rPr>
                <w:rStyle w:val="IndexLink"/>
                <w:rtl w:val="true"/>
              </w:rPr>
              <w:t xml:space="preserve">: </w:t>
            </w:r>
            <w:r>
              <w:rPr>
                <w:rStyle w:val="IndexLink"/>
                <w:rtl w:val="true"/>
              </w:rPr>
              <w:t>توثيق الأعلام للنخعي و اعتمادهم و استشهادهم بالزيارة</w:t>
            </w:r>
            <w:r>
              <w:rPr>
                <w:rStyle w:val="IndexLink"/>
                <w:rtl w:val="true"/>
              </w:rPr>
              <w:tab/>
            </w:r>
            <w:r>
              <w:rPr>
                <w:rStyle w:val="IndexLink"/>
              </w:rPr>
              <w:t>46</w:t>
            </w:r>
          </w:hyperlink>
        </w:p>
        <w:p>
          <w:pPr>
            <w:pStyle w:val="Contents4"/>
            <w:tabs>
              <w:tab w:val="clear" w:pos="8176"/>
              <w:tab w:val="right" w:pos="9026" w:leader="dot"/>
            </w:tabs>
            <w:rPr/>
          </w:pPr>
          <w:hyperlink w:anchor="__RefHeading___Toc10141172_3381743652">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0141174_3381743652">
            <w:r>
              <w:rPr>
                <w:webHidden/>
                <w:rStyle w:val="IndexLink"/>
                <w:rtl w:val="true"/>
              </w:rPr>
              <w:t>أقوال العلماء في سند و متن الزيارة</w:t>
            </w:r>
            <w:r>
              <w:rPr>
                <w:rStyle w:val="IndexLink"/>
                <w:rtl w:val="true"/>
              </w:rPr>
              <w:tab/>
            </w:r>
            <w:r>
              <w:rPr>
                <w:rStyle w:val="IndexLink"/>
              </w:rPr>
              <w:t>46</w:t>
            </w:r>
          </w:hyperlink>
        </w:p>
        <w:p>
          <w:pPr>
            <w:pStyle w:val="Contents4"/>
            <w:tabs>
              <w:tab w:val="clear" w:pos="8176"/>
              <w:tab w:val="right" w:pos="9026" w:leader="dot"/>
            </w:tabs>
            <w:rPr/>
          </w:pPr>
          <w:hyperlink w:anchor="__RefHeading___Toc10141176_3381743652">
            <w:r>
              <w:rPr>
                <w:webHidden/>
                <w:rStyle w:val="IndexLink"/>
                <w:rtl w:val="true"/>
              </w:rPr>
              <w:t>استشهاد العلماء بالزيارة</w:t>
            </w:r>
            <w:r>
              <w:rPr>
                <w:rStyle w:val="IndexLink"/>
                <w:rtl w:val="true"/>
              </w:rPr>
              <w:tab/>
            </w:r>
            <w:r>
              <w:rPr>
                <w:rStyle w:val="IndexLink"/>
              </w:rPr>
              <w:t>50</w:t>
            </w:r>
          </w:hyperlink>
        </w:p>
        <w:p>
          <w:pPr>
            <w:pStyle w:val="Contents4"/>
            <w:tabs>
              <w:tab w:val="clear" w:pos="8176"/>
              <w:tab w:val="right" w:pos="9026" w:leader="dot"/>
            </w:tabs>
            <w:rPr/>
          </w:pPr>
          <w:hyperlink w:anchor="__RefHeading___Toc10141178_3381743652">
            <w:r>
              <w:rPr>
                <w:webHidden/>
                <w:rStyle w:val="IndexLink"/>
                <w:rtl w:val="true"/>
              </w:rPr>
              <w:t xml:space="preserve">الإمام صاحب الزمان </w:t>
            </w:r>
            <w:r>
              <w:rPr>
                <w:rStyle w:val="IndexLink"/>
                <w:rtl w:val="true"/>
              </w:rPr>
              <w:t>(</w:t>
            </w:r>
            <w:r>
              <w:rPr>
                <w:rStyle w:val="IndexLink"/>
                <w:rtl w:val="true"/>
              </w:rPr>
              <w:t>عجل الله تعالی فرجه الشريف</w:t>
            </w:r>
            <w:r>
              <w:rPr>
                <w:rStyle w:val="IndexLink"/>
                <w:rtl w:val="true"/>
              </w:rPr>
              <w:t xml:space="preserve">) </w:t>
            </w:r>
            <w:r>
              <w:rPr>
                <w:rStyle w:val="IndexLink"/>
                <w:rtl w:val="true"/>
              </w:rPr>
              <w:t>و الزيارة الجامعة</w:t>
            </w:r>
            <w:r>
              <w:rPr>
                <w:rStyle w:val="IndexLink"/>
                <w:rtl w:val="true"/>
              </w:rPr>
              <w:tab/>
            </w:r>
            <w:r>
              <w:rPr>
                <w:rStyle w:val="IndexLink"/>
              </w:rPr>
              <w:t>57</w:t>
            </w:r>
          </w:hyperlink>
        </w:p>
        <w:p>
          <w:pPr>
            <w:pStyle w:val="Contents4"/>
            <w:tabs>
              <w:tab w:val="clear" w:pos="8176"/>
              <w:tab w:val="right" w:pos="9026" w:leader="dot"/>
            </w:tabs>
            <w:rPr/>
          </w:pPr>
          <w:hyperlink w:anchor="__RefHeading___Toc10141180_3381743652">
            <w:r>
              <w:rPr>
                <w:webHidden/>
                <w:rStyle w:val="IndexLink"/>
                <w:rtl w:val="true"/>
              </w:rPr>
              <w:t>الزيارة الجامعة الكاملة</w:t>
            </w:r>
            <w:r>
              <w:rPr>
                <w:rStyle w:val="IndexLink"/>
                <w:rtl w:val="true"/>
              </w:rPr>
              <w:tab/>
            </w:r>
            <w:r>
              <w:rPr>
                <w:rStyle w:val="IndexLink"/>
              </w:rPr>
              <w:t>59</w:t>
            </w:r>
          </w:hyperlink>
        </w:p>
        <w:p>
          <w:pPr>
            <w:pStyle w:val="Contents2"/>
            <w:tabs>
              <w:tab w:val="clear" w:pos="8743"/>
              <w:tab w:val="right" w:pos="9026" w:leader="dot"/>
            </w:tabs>
            <w:rPr/>
          </w:pPr>
          <w:hyperlink w:anchor="__RefHeading___Toc10141182_3381743652">
            <w:r>
              <w:rPr>
                <w:webHidden/>
                <w:rStyle w:val="IndexLink"/>
                <w:rtl w:val="true"/>
              </w:rPr>
              <w:t>القسم الثاني ردّ الشبهات</w:t>
            </w:r>
            <w:r>
              <w:rPr>
                <w:rStyle w:val="IndexLink"/>
                <w:rtl w:val="true"/>
              </w:rPr>
              <w:tab/>
            </w:r>
            <w:r>
              <w:rPr>
                <w:rStyle w:val="IndexLink"/>
              </w:rPr>
              <w:t>60</w:t>
            </w:r>
          </w:hyperlink>
        </w:p>
        <w:p>
          <w:pPr>
            <w:pStyle w:val="Contents3"/>
            <w:tabs>
              <w:tab w:val="clear" w:pos="8459"/>
              <w:tab w:val="right" w:pos="9026" w:leader="dot"/>
            </w:tabs>
            <w:rPr/>
          </w:pPr>
          <w:hyperlink w:anchor="__RefHeading___Toc10141184_3381743652">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10141186_3381743652">
            <w:r>
              <w:rPr>
                <w:webHidden/>
                <w:rStyle w:val="IndexLink"/>
                <w:rtl w:val="true"/>
              </w:rPr>
              <w:t>شبهة و إثارة</w:t>
            </w:r>
            <w:r>
              <w:rPr>
                <w:rStyle w:val="IndexLink"/>
                <w:rtl w:val="true"/>
              </w:rPr>
              <w:tab/>
            </w:r>
            <w:r>
              <w:rPr>
                <w:rStyle w:val="IndexLink"/>
              </w:rPr>
              <w:t>62</w:t>
            </w:r>
          </w:hyperlink>
        </w:p>
        <w:p>
          <w:pPr>
            <w:pStyle w:val="Contents3"/>
            <w:tabs>
              <w:tab w:val="clear" w:pos="8459"/>
              <w:tab w:val="right" w:pos="9026" w:leader="dot"/>
            </w:tabs>
            <w:rPr/>
          </w:pPr>
          <w:hyperlink w:anchor="__RefHeading___Toc10141188_3381743652">
            <w:r>
              <w:rPr>
                <w:webHidden/>
                <w:rStyle w:val="IndexLink"/>
                <w:rtl w:val="true"/>
              </w:rPr>
              <w:t>نظريّة التجسيم و دورها في خلق هذا التساؤل</w:t>
            </w:r>
            <w:r>
              <w:rPr>
                <w:rStyle w:val="IndexLink"/>
                <w:rtl w:val="true"/>
              </w:rPr>
              <w:tab/>
            </w:r>
            <w:r>
              <w:rPr>
                <w:rStyle w:val="IndexLink"/>
              </w:rPr>
              <w:t>64</w:t>
            </w:r>
          </w:hyperlink>
        </w:p>
        <w:p>
          <w:pPr>
            <w:pStyle w:val="Contents3"/>
            <w:tabs>
              <w:tab w:val="clear" w:pos="8459"/>
              <w:tab w:val="right" w:pos="9026" w:leader="dot"/>
            </w:tabs>
            <w:rPr/>
          </w:pPr>
          <w:hyperlink w:anchor="__RefHeading___Toc10141190_3381743652">
            <w:r>
              <w:rPr>
                <w:webHidden/>
                <w:rStyle w:val="IndexLink"/>
                <w:rtl w:val="true"/>
              </w:rPr>
              <w:t>نفي مقالة التجسيم</w:t>
            </w:r>
            <w:r>
              <w:rPr>
                <w:rStyle w:val="IndexLink"/>
                <w:rtl w:val="true"/>
              </w:rPr>
              <w:tab/>
            </w:r>
            <w:r>
              <w:rPr>
                <w:rStyle w:val="IndexLink"/>
              </w:rPr>
              <w:t>67</w:t>
            </w:r>
          </w:hyperlink>
        </w:p>
        <w:p>
          <w:pPr>
            <w:pStyle w:val="Contents3"/>
            <w:tabs>
              <w:tab w:val="clear" w:pos="8459"/>
              <w:tab w:val="right" w:pos="9026" w:leader="dot"/>
            </w:tabs>
            <w:rPr/>
          </w:pPr>
          <w:hyperlink w:anchor="__RefHeading___Toc10141192_3381743652">
            <w:r>
              <w:rPr>
                <w:webHidden/>
                <w:rStyle w:val="IndexLink"/>
                <w:rtl w:val="true"/>
              </w:rPr>
              <w:t>نفي التعطيل و ما قد يجرّ إليه</w:t>
            </w:r>
            <w:r>
              <w:rPr>
                <w:rStyle w:val="IndexLink"/>
                <w:rtl w:val="true"/>
              </w:rPr>
              <w:tab/>
            </w:r>
            <w:r>
              <w:rPr>
                <w:rStyle w:val="IndexLink"/>
              </w:rPr>
              <w:t>70</w:t>
            </w:r>
          </w:hyperlink>
        </w:p>
        <w:p>
          <w:pPr>
            <w:pStyle w:val="Contents3"/>
            <w:tabs>
              <w:tab w:val="clear" w:pos="8459"/>
              <w:tab w:val="right" w:pos="9026" w:leader="dot"/>
            </w:tabs>
            <w:rPr/>
          </w:pPr>
          <w:hyperlink w:anchor="__RefHeading___Toc10141194_3381743652">
            <w:r>
              <w:rPr>
                <w:webHidden/>
                <w:rStyle w:val="IndexLink"/>
                <w:rtl w:val="true"/>
              </w:rPr>
              <w:t>نفي التشبيه و علاقته بمبحث المعاد</w:t>
            </w:r>
            <w:r>
              <w:rPr>
                <w:rStyle w:val="IndexLink"/>
                <w:rtl w:val="true"/>
              </w:rPr>
              <w:tab/>
            </w:r>
            <w:r>
              <w:rPr>
                <w:rStyle w:val="IndexLink"/>
              </w:rPr>
              <w:t>73</w:t>
            </w:r>
          </w:hyperlink>
        </w:p>
        <w:p>
          <w:pPr>
            <w:pStyle w:val="Contents3"/>
            <w:tabs>
              <w:tab w:val="clear" w:pos="8459"/>
              <w:tab w:val="right" w:pos="9026" w:leader="dot"/>
            </w:tabs>
            <w:rPr/>
          </w:pPr>
          <w:hyperlink w:anchor="__RefHeading___Toc10141196_3381743652">
            <w:r>
              <w:rPr>
                <w:webHidden/>
                <w:rStyle w:val="IndexLink"/>
                <w:rtl w:val="true"/>
              </w:rPr>
              <w:t>الفرق بين نظرة مدرسة أهل البيت عليهم السّلام و نظرة بقيّة المدارس لصفات اللّه تعالي</w:t>
            </w:r>
            <w:r>
              <w:rPr>
                <w:rStyle w:val="IndexLink"/>
                <w:rtl w:val="true"/>
              </w:rPr>
              <w:tab/>
            </w:r>
            <w:r>
              <w:rPr>
                <w:rStyle w:val="IndexLink"/>
              </w:rPr>
              <w:t>77</w:t>
            </w:r>
          </w:hyperlink>
        </w:p>
        <w:p>
          <w:pPr>
            <w:pStyle w:val="Contents3"/>
            <w:tabs>
              <w:tab w:val="clear" w:pos="8459"/>
              <w:tab w:val="right" w:pos="9026" w:leader="dot"/>
            </w:tabs>
            <w:rPr/>
          </w:pPr>
          <w:hyperlink w:anchor="__RefHeading___Toc10141198_3381743652">
            <w:r>
              <w:rPr>
                <w:webHidden/>
                <w:rStyle w:val="IndexLink"/>
                <w:rtl w:val="true"/>
              </w:rPr>
              <w:t>حاكميّة اللّه تعالی كما تراها مدرسة أهل البيت عليهم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10141200_3381743652">
            <w:r>
              <w:rPr>
                <w:webHidden/>
                <w:rStyle w:val="IndexLink"/>
                <w:rtl w:val="true"/>
              </w:rPr>
              <w:t>بيان أمير المؤمنين عليه السّلام في وصف الذات الإلهيّة</w:t>
            </w:r>
            <w:r>
              <w:rPr>
                <w:rStyle w:val="IndexLink"/>
                <w:rtl w:val="true"/>
              </w:rPr>
              <w:tab/>
            </w:r>
            <w:r>
              <w:rPr>
                <w:rStyle w:val="IndexLink"/>
              </w:rPr>
              <w:t>83</w:t>
            </w:r>
          </w:hyperlink>
        </w:p>
        <w:p>
          <w:pPr>
            <w:pStyle w:val="Contents3"/>
            <w:tabs>
              <w:tab w:val="clear" w:pos="8459"/>
              <w:tab w:val="right" w:pos="9026" w:leader="dot"/>
            </w:tabs>
            <w:rPr/>
          </w:pPr>
          <w:hyperlink w:anchor="__RefHeading___Toc10141202_3381743652">
            <w:r>
              <w:rPr>
                <w:webHidden/>
                <w:rStyle w:val="IndexLink"/>
                <w:rtl w:val="true"/>
              </w:rPr>
              <w:t>وساطة المخلوقات في أفعال الالوهيّة</w:t>
            </w:r>
            <w:r>
              <w:rPr>
                <w:rStyle w:val="IndexLink"/>
                <w:rtl w:val="true"/>
              </w:rPr>
              <w:tab/>
            </w:r>
            <w:r>
              <w:rPr>
                <w:rStyle w:val="IndexLink"/>
              </w:rPr>
              <w:t>86</w:t>
            </w:r>
          </w:hyperlink>
        </w:p>
        <w:p>
          <w:pPr>
            <w:pStyle w:val="Contents3"/>
            <w:tabs>
              <w:tab w:val="clear" w:pos="8459"/>
              <w:tab w:val="right" w:pos="9026" w:leader="dot"/>
            </w:tabs>
            <w:rPr/>
          </w:pPr>
          <w:hyperlink w:anchor="__RefHeading___Toc10141204_3381743652">
            <w:r>
              <w:rPr>
                <w:webHidden/>
                <w:rStyle w:val="IndexLink"/>
                <w:rtl w:val="true"/>
              </w:rPr>
              <w:t>أقسام الصفات الإلهيّة</w:t>
            </w:r>
            <w:r>
              <w:rPr>
                <w:rStyle w:val="IndexLink"/>
                <w:rtl w:val="true"/>
              </w:rPr>
              <w:tab/>
            </w:r>
            <w:r>
              <w:rPr>
                <w:rStyle w:val="IndexLink"/>
              </w:rPr>
              <w:t>93</w:t>
            </w:r>
          </w:hyperlink>
        </w:p>
        <w:p>
          <w:pPr>
            <w:pStyle w:val="Contents3"/>
            <w:tabs>
              <w:tab w:val="clear" w:pos="8459"/>
              <w:tab w:val="right" w:pos="9026" w:leader="dot"/>
            </w:tabs>
            <w:rPr/>
          </w:pPr>
          <w:hyperlink w:anchor="__RefHeading___Toc10141206_3381743652">
            <w:r>
              <w:rPr>
                <w:webHidden/>
                <w:rStyle w:val="IndexLink"/>
                <w:rtl w:val="true"/>
              </w:rPr>
              <w:t>تجلّي صفات اللّه بتوسّط أفعاله و مخلوقاته الشريفة</w:t>
            </w:r>
            <w:r>
              <w:rPr>
                <w:rStyle w:val="IndexLink"/>
                <w:rtl w:val="true"/>
              </w:rPr>
              <w:tab/>
            </w:r>
            <w:r>
              <w:rPr>
                <w:rStyle w:val="IndexLink"/>
              </w:rPr>
              <w:t>94</w:t>
            </w:r>
          </w:hyperlink>
        </w:p>
        <w:p>
          <w:pPr>
            <w:pStyle w:val="Contents3"/>
            <w:tabs>
              <w:tab w:val="clear" w:pos="8459"/>
              <w:tab w:val="right" w:pos="9026" w:leader="dot"/>
            </w:tabs>
            <w:rPr/>
          </w:pPr>
          <w:hyperlink w:anchor="__RefHeading___Toc10141208_3381743652">
            <w:r>
              <w:rPr>
                <w:webHidden/>
                <w:rStyle w:val="IndexLink"/>
                <w:rtl w:val="true"/>
              </w:rPr>
              <w:t>إياب الخلق و حسابهم في يوم القيامة</w:t>
            </w:r>
            <w:r>
              <w:rPr>
                <w:rStyle w:val="IndexLink"/>
                <w:rtl w:val="true"/>
              </w:rPr>
              <w:tab/>
            </w:r>
            <w:r>
              <w:rPr>
                <w:rStyle w:val="IndexLink"/>
              </w:rPr>
              <w:t>96</w:t>
            </w:r>
          </w:hyperlink>
        </w:p>
        <w:p>
          <w:pPr>
            <w:pStyle w:val="Contents3"/>
            <w:tabs>
              <w:tab w:val="clear" w:pos="8459"/>
              <w:tab w:val="right" w:pos="9026" w:leader="dot"/>
            </w:tabs>
            <w:rPr/>
          </w:pPr>
          <w:hyperlink w:anchor="__RefHeading___Toc10141210_3381743652">
            <w:r>
              <w:rPr>
                <w:webHidden/>
                <w:rStyle w:val="IndexLink"/>
                <w:rtl w:val="true"/>
              </w:rPr>
              <w:t>نظير عبارة الإياب و الحساب في القرآن الكريم</w:t>
            </w:r>
            <w:r>
              <w:rPr>
                <w:rStyle w:val="IndexLink"/>
                <w:rtl w:val="true"/>
              </w:rPr>
              <w:tab/>
            </w:r>
            <w:r>
              <w:rPr>
                <w:rStyle w:val="IndexLink"/>
              </w:rPr>
              <w:t>100</w:t>
            </w:r>
          </w:hyperlink>
        </w:p>
        <w:p>
          <w:pPr>
            <w:pStyle w:val="Contents2"/>
            <w:tabs>
              <w:tab w:val="clear" w:pos="8743"/>
              <w:tab w:val="right" w:pos="9026" w:leader="dot"/>
            </w:tabs>
            <w:rPr/>
          </w:pPr>
          <w:hyperlink w:anchor="__RefHeading___Toc10141212_3381743652">
            <w:r>
              <w:rPr>
                <w:webHidden/>
                <w:rStyle w:val="IndexLink"/>
                <w:rtl w:val="true"/>
              </w:rPr>
              <w:t>المصادر</w:t>
            </w:r>
            <w:r>
              <w:rPr>
                <w:rStyle w:val="IndexLink"/>
                <w:rtl w:val="true"/>
              </w:rPr>
              <w:tab/>
            </w:r>
            <w:r>
              <w:rPr>
                <w:rStyle w:val="IndexLink"/>
              </w:rPr>
              <w:t>102</w:t>
            </w:r>
          </w:hyperlink>
        </w:p>
        <w:p>
          <w:pPr>
            <w:pStyle w:val="Contents2"/>
            <w:tabs>
              <w:tab w:val="clear" w:pos="8743"/>
              <w:tab w:val="right" w:pos="9026" w:leader="dot"/>
            </w:tabs>
            <w:rPr/>
          </w:pPr>
          <w:hyperlink w:anchor="__RefHeading___Toc10141214_3381743652">
            <w:r>
              <w:rPr>
                <w:webHidden/>
                <w:rStyle w:val="IndexLink"/>
                <w:rtl w:val="true"/>
              </w:rPr>
              <w:t>المحتويات</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17_205355"/>
      <w:bookmarkStart w:id="1" w:name="pg20517_205355"/>
      <w:bookmarkEnd w:id="1"/>
    </w:p>
    <w:p>
      <w:pPr>
        <w:pStyle w:val="Heading2"/>
        <w:numPr>
          <w:ilvl w:val="1"/>
          <w:numId w:val="1"/>
        </w:numPr>
        <w:rPr/>
      </w:pPr>
      <w:bookmarkStart w:id="2" w:name="pg20517_205355"/>
      <w:bookmarkStart w:id="3" w:name="__RefHeading___Toc10141142_3381743652"/>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عابديني، حسين،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قراردادي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زيارتنامه جامعه کبيره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رحاب‌الزياره‌الجامعه‌الکبيره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السند ؛ اعداد علي‌جلال الشرخات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باقيات،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6168</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زيارتنامه جامعه کبيره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شرخات، علي‌جلال گردآورنده</w:t>
      </w:r>
    </w:p>
    <w:p>
      <w:pPr>
        <w:pStyle w:val="BookText"/>
        <w:rPr/>
      </w:pPr>
      <w:r>
        <w:rPr>
          <w:rFonts w:ascii="IRNazanin" w:hAnsi="IRNazanin" w:eastAsia="IRNazanin"/>
          <w:color w:val="111111"/>
          <w:sz w:val="28"/>
          <w:sz w:val="28"/>
          <w:szCs w:val="28"/>
          <w:rtl w:val="true"/>
          <w:lang w:bidi="fa-IR"/>
        </w:rPr>
        <w:t>رده بندي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BP271/20422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297/777</w:t>
      </w:r>
    </w:p>
    <w:p>
      <w:pPr>
        <w:pStyle w:val="BookText"/>
        <w:rPr/>
      </w:pPr>
      <w:r>
        <w:rPr>
          <w:rFonts w:ascii="IRNazanin" w:hAnsi="IRNazanin" w:eastAsia="IRNazanin"/>
          <w:color w:val="111111"/>
          <w:sz w:val="28"/>
          <w:sz w:val="28"/>
          <w:szCs w:val="28"/>
          <w:rtl w:val="true"/>
          <w:lang w:bidi="fa-IR"/>
        </w:rPr>
        <w:t>شماره کتابشناسي ملي</w:t>
      </w:r>
      <w:r>
        <w:rPr>
          <w:rFonts w:eastAsia="IRNazanin" w:cs="IRNazanin"/>
          <w:color w:val="111111"/>
          <w:sz w:val="28"/>
          <w:szCs w:val="28"/>
          <w:rtl w:val="true"/>
          <w:lang w:bidi="fa-IR"/>
        </w:rPr>
        <w:t>:</w:t>
      </w:r>
      <w:r>
        <w:rPr>
          <w:rFonts w:eastAsia="IRNazanin" w:cs="IRNazanin"/>
          <w:color w:val="111111"/>
          <w:sz w:val="28"/>
          <w:szCs w:val="28"/>
          <w:lang w:bidi="fa-IR"/>
        </w:rPr>
        <w:t>1230969</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41144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عکس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في رحاب الزياره الجامعه الكبيره</w:t>
      </w:r>
    </w:p>
    <w:p>
      <w:pPr>
        <w:pStyle w:val="BookText"/>
        <w:rPr/>
      </w:pPr>
      <w:r>
        <w:rPr>
          <w:rFonts w:ascii="IRNazanin" w:hAnsi="IRNazanin" w:eastAsia="IRNazanin"/>
          <w:color w:val="111111"/>
          <w:sz w:val="28"/>
          <w:sz w:val="28"/>
          <w:szCs w:val="28"/>
          <w:rtl w:val="true"/>
          <w:lang w:bidi="fa-IR"/>
        </w:rPr>
        <w:t>محمد السند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اعداد علي‌جلال الشرخات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17_205361"/>
      <w:bookmarkStart w:id="8" w:name="pg20517_205361"/>
      <w:bookmarkEnd w:id="8"/>
    </w:p>
    <w:p>
      <w:pPr>
        <w:pStyle w:val="Heading2"/>
        <w:numPr>
          <w:ilvl w:val="1"/>
          <w:numId w:val="1"/>
        </w:numPr>
        <w:rPr/>
      </w:pPr>
      <w:bookmarkStart w:id="9" w:name="pg20517_205361"/>
      <w:bookmarkStart w:id="10" w:name="__RefHeading___Toc10141146_3381743652"/>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العالمين، و أفضل الصلاة و أتمّ التسليم علی خاتم الأنبياء و المرسلين، أبي القاسم محمّد و علی أهل بيته الطيّبين الطاهرين، و اللعن الدائم علی أعدائهم و منكري مقاماتهم و فضائلهم إلی قيام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تعتبر الزيارة الجامعة الكبيرة إحدي أهمّ الزيارات التي رويت لنا عن أئمّة أهل البيت عليهم السّلام، و تمثّل هذه الزيارة العظيمة خلاصة عقائد مذهب أهل البيت عليهم السّلام، و تبرز المقامات الحقّة للأئمّة المعصومين عليهم السّلام، و تبيّن منزلتهم العظيمة عند اللّه عزّ و جلّ، فهم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 مَعْرِفَةِ اللَّهِ، وَ نُورُ اللَّهِ، وَ مَسَاكِنُ بَرَكَةِ اللَّهِ، وَ مَعَادِنُ حِكْمَةِ اللَّهِ، وَ خَزَنَةُ عِلْمِ اللَّهِ، وَ حَفَظَةُ سِرِّ اللَّهِ، وَ حَمَلَةُ كِتَابِ اللَّهِ، وَ وَرَثَةُ رَسُولِ اللَّهِ وَ أَوْصِيَاؤُهُ وَ ذُرِّيَّتُهُ صَلَّى اللَّهُ عَلَيْهِ وَ آلِهِ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العبارات العظيمة الشريفة في الزيارة الجامعة هي فوق كلام سائر المخلوقين، و دون كلام الخالق، لا يدرك كنهها عقل، </w:t>
      </w:r>
    </w:p>
    <w:p>
      <w:pPr>
        <w:pStyle w:val="BookText"/>
        <w:rPr/>
      </w:pPr>
      <w:r>
        <w:rPr>
          <w:rFonts w:ascii="IRNazanin" w:hAnsi="IRNazanin" w:eastAsia="IRNazanin"/>
          <w:color w:val="111111"/>
          <w:sz w:val="28"/>
          <w:sz w:val="28"/>
          <w:szCs w:val="28"/>
          <w:rtl w:val="true"/>
          <w:lang w:bidi="fa-IR"/>
        </w:rPr>
        <w:t>و لا يحسّها قلب، كما نوّه أئمّة أهل البيت عليهم السّلام في الأخبار الصحيحة علی ذلك، فقد</w:t>
      </w:r>
    </w:p>
    <w:p>
      <w:pPr>
        <w:pStyle w:val="BookText"/>
        <w:rPr/>
      </w:pPr>
      <w:r>
        <w:rPr>
          <w:rFonts w:ascii="Amiri" w:hAnsi="Amiri" w:eastAsia="Amiri" w:cs="Amiri"/>
          <w:color w:val="111111"/>
          <w:sz w:val="28"/>
          <w:sz w:val="28"/>
          <w:szCs w:val="28"/>
          <w:rtl w:val="true"/>
          <w:lang w:bidi="ar-SA"/>
        </w:rPr>
        <w:t>قال الإمام أبو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حديثنا صعب مستصعب، لا يؤمن به إلاّ ملك مقرّب، أو نبيّ مرسل، أو عبد امتحن اللّه قلبه للإيمان، فما عرفت قلوبكم فخذوه، و ما أنكرت فردّوه إلينا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أمرنا أئمّتنا عليهم السّلام بعدم ردّ حديث أو رواية أو إنكارها حين لا نستطيع فهمها، بل علينا أن نردّها لأهل الذكر و أولی الأمر و عيبة علم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نري بعض الذين يتحفّظ علی آرائهم الاعتقاديّة، من الذين لم يستطيعوا استيعاب عمق مضامين هذه الزيارة العظيمة، يحاولون ردّها و إنكارها بشتّي الطرق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سندها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مضامينها تخالف ظواهر و مضامين القرآن الكريم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جاء هذا الكتيب ردّا علی هذه التشكيكات، و هو في الأصل عبارة عن مجموعة محاضرات ألقاها سماحة الاستاذ المحقّق آية اللّه </w:t>
      </w:r>
    </w:p>
    <w:p>
      <w:pPr>
        <w:pStyle w:val="BookText"/>
        <w:rPr/>
      </w:pPr>
      <w:r>
        <w:rPr>
          <w:rFonts w:ascii="Amiri" w:hAnsi="Amiri" w:eastAsia="Amiri" w:cs="Amiri"/>
          <w:color w:val="111111"/>
          <w:sz w:val="28"/>
          <w:sz w:val="28"/>
          <w:szCs w:val="28"/>
          <w:rtl w:val="true"/>
          <w:lang w:bidi="ar-SA"/>
        </w:rPr>
        <w:t>الشيخ محمّد سند أدام اللّه عزّه في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تمّ تدوين هذه المحاضرات و تنقيحها و ترتيبها علی قسمين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سند الزيارة، و هو عبارة عن بحث حول توثيق الراوي موسي بن عمران بن يزيد النخعي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متن الزيارة، و هو عبارة عن ردّ الشبهة المطروحة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مضامين الزيارة الجامعة مخالفة للقرآن للكريم، عن طريق إثبات و شرح تطابقها للقرآن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الختام نشكر سماحة الشيخ أحمد العبيدان علی تقويمه لنصّ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 العزيز السيّد حسن الموسوي علی مساعدتي في استقصاء تخريج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من اللّه العليّ الأعلي أن يرزقنا معرفة مقامات الأئمّة الأطهار عليهم السّلام و الحمد للّه أوّلا و آخرا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عليّ جلال الشرخات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517_205365"/>
      <w:bookmarkStart w:id="13" w:name="pg20517_205365"/>
      <w:bookmarkEnd w:id="13"/>
    </w:p>
    <w:p>
      <w:pPr>
        <w:pStyle w:val="Heading2"/>
        <w:numPr>
          <w:ilvl w:val="1"/>
          <w:numId w:val="1"/>
        </w:numPr>
        <w:rPr/>
      </w:pPr>
      <w:bookmarkStart w:id="14" w:name="pg20517_205365"/>
      <w:bookmarkStart w:id="15" w:name="__RefHeading___Toc10141148_3381743652"/>
      <w:bookmarkStart w:id="16" w:name="_Toc4"/>
      <w:bookmarkEnd w:id="14"/>
      <w:bookmarkEnd w:id="15"/>
      <w:r>
        <w:rPr>
          <w:rtl w:val="true"/>
        </w:rPr>
        <w:t>القسم الأوّل</w:t>
      </w:r>
      <w:bookmarkEnd w:id="16"/>
    </w:p>
    <w:p>
      <w:pPr>
        <w:pStyle w:val="Heading3"/>
        <w:numPr>
          <w:ilvl w:val="2"/>
          <w:numId w:val="1"/>
        </w:numPr>
        <w:rPr/>
      </w:pPr>
      <w:bookmarkStart w:id="17" w:name="__RefHeading___Toc10141150_3381743652"/>
      <w:bookmarkStart w:id="18" w:name="_Toc5"/>
      <w:bookmarkEnd w:id="17"/>
      <w:r>
        <w:rPr>
          <w:rtl w:val="true"/>
        </w:rPr>
        <w:t>اشارة</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الراوي موسي بن عمران بن يزيد النخعي</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20517_205367"/>
      <w:bookmarkStart w:id="20" w:name="pg20517_205367"/>
      <w:bookmarkEnd w:id="20"/>
    </w:p>
    <w:p>
      <w:pPr>
        <w:pStyle w:val="BookText"/>
        <w:rPr/>
      </w:pPr>
      <w:bookmarkStart w:id="21" w:name="pg20517_205367"/>
      <w:bookmarkEnd w:id="21"/>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الصلاة و السلام علی محمّد و آله الطاهرين</w:t>
      </w:r>
    </w:p>
    <w:p>
      <w:pPr>
        <w:pStyle w:val="Heading3"/>
        <w:numPr>
          <w:ilvl w:val="2"/>
          <w:numId w:val="1"/>
        </w:numPr>
        <w:rPr/>
      </w:pPr>
      <w:bookmarkStart w:id="22" w:name="__RefHeading___Toc10141152_3381743652"/>
      <w:bookmarkStart w:id="23" w:name="_Toc6"/>
      <w:bookmarkEnd w:id="22"/>
      <w:r>
        <w:rPr>
          <w:rtl w:val="true"/>
        </w:rPr>
        <w:t>المدخل</w:t>
      </w:r>
      <w:bookmarkEnd w:id="23"/>
    </w:p>
    <w:p>
      <w:pPr>
        <w:pStyle w:val="BookText"/>
        <w:rPr/>
      </w:pPr>
      <w:r>
        <w:rPr>
          <w:rFonts w:ascii="IRNazanin" w:hAnsi="IRNazanin" w:eastAsia="IRNazanin"/>
          <w:color w:val="111111"/>
          <w:sz w:val="28"/>
          <w:sz w:val="28"/>
          <w:szCs w:val="28"/>
          <w:rtl w:val="true"/>
          <w:lang w:bidi="fa-IR"/>
        </w:rPr>
        <w:t>ليس بالإمكان اعتبار توثيق الرجال أو تضعيفهم استنادا إلی آراء و فتاوي روّاد علم الرجال اجتهادا، لأنّ ذلك لا يخرج عن التقليد، فلا يمكن أن يدان أحد أو يلزم بما قاله النجاشي أو ابن الغضائري أو غيرهما في توثيق رجل أو تضعيف آخر، لاعتبار هذا من التقليد في التوثيق و في الجرح و 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أراد أحد أن يبني عقيدته و يبني تراثه علی التحقيق و الاجتهاد، فلا يصحّ له أن يقلّد فيه، بل يجب عليه أن يسبر بنفسه و يبحث عن منشأ تضعيف هذا الرجل الذي ضعّف، هل هو صحيح أو ربّما كان تحاملا عليه؟ و عن منشأ التوثيق، أهو صحيح أم أنّ فيه تحيّزا؟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أمر بالغ الخطورة، لأنّنا في هذا الاستنتاج العلمي نقرّر مصير مدي انتفاعنا بالتراث، و نحدّد درجة و كيفيّة الحفاظ علی التراث، </w:t>
      </w:r>
    </w:p>
    <w:p>
      <w:pPr>
        <w:pStyle w:val="BookText"/>
        <w:rPr/>
      </w:pPr>
      <w:r>
        <w:rPr>
          <w:rFonts w:ascii="Amiri" w:hAnsi="Amiri" w:eastAsia="Amiri" w:cs="Amiri"/>
          <w:color w:val="111111"/>
          <w:sz w:val="28"/>
          <w:sz w:val="28"/>
          <w:szCs w:val="28"/>
          <w:rtl w:val="true"/>
          <w:lang w:bidi="ar-SA"/>
        </w:rPr>
        <w:t xml:space="preserve">و هذه الموقعيّة من المسؤوليّة تجاه التراث كيف يحصر صلاحية هذا الموقع و يصادر، و نجعل عليه و صاية منهج معيّن حقيقته التقليد و تحكيم فتاوي رجاليّة و جعلها من الثابتات الأزليّة التي لا يطاولها نقد و لا اعتراض، مع أنّ الجرح و التعديل يقوّض أو يبسط في التراث، و الحديث النبويّ و حديث أهل البيت عليهم السّلام، لا يصحّ أن نلزم بما قاله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التضعيف، أو بما قاله كبار علماء الرجال عندنا، و ليست هذه دعوة لغضّ الطرف و صرف النظر، و بألاّ نعطي أيّ قيمة علميّة لما قالوه، فالأمر ليس استخفافا بأقوال العلماء، بل ما قالوه مجرّد معطيات و مؤشّرات لا بدّ أن ينضمّ إليها مناهج و موادّ اخري يوازن فيما بينها، ثمّ يستنتج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نظير الباحث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الرجال اشتقّ من علم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الباحث و المحقّق التاريخي لا يقف عند أقوال المعاصرين لشخصيّة تاريخيّة، و لا يحسب نظرته و نتيجته النهائيّة و يوقفها عند أقوال المعاصرين لها، فضلا عن غير المعاصرين، لأنّه كم من معاصر قد أخذه تحامل و حسد، و اختلاف في المبني أو في العقيدة، و غير ذلك ممّا يخرجه عن رحي التحقيق و مصداقيّة البحث</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يمكننا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نعتمد علی نتائج مقرّرة سلفا من روّاد علم الرجال، لا سيّما في جانب الجرح، و نعتمدها كامور مسلّمة، </w:t>
      </w:r>
    </w:p>
    <w:p>
      <w:pPr>
        <w:pStyle w:val="BookText"/>
        <w:rPr/>
      </w:pPr>
      <w:r>
        <w:rPr>
          <w:rFonts w:ascii="IRNazanin" w:hAnsi="IRNazanin" w:eastAsia="IRNazanin"/>
          <w:color w:val="111111"/>
          <w:sz w:val="28"/>
          <w:sz w:val="28"/>
          <w:szCs w:val="28"/>
          <w:rtl w:val="true"/>
          <w:lang w:bidi="fa-IR"/>
        </w:rPr>
        <w:t xml:space="preserve">و كأنّها و حيّ منزل، فهذه فتاوي رجاليّة، و من أراد أن يقلّد فيها فعليه باتّباع الفتاوي، مع أنّ هذا ليس منهجا تحقيقيّا أصلا، و أمّا من أراد أن يجتهد و يحقّق فعليه دراسة تلك التضعيفات و تلك الطعون،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واضح للخبير الممارس لعلم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التضعيفات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عند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ناشئة من مبني اعتقادي معيّن، فإذا كان الراوي لا يتّفق معه في مسألة كلاميّة أو اعتقاديّة، فيسارع إلی تكذيبه و طعنه و جرحه، و النيل منه، و الوقيعة فيه بكلّ ما اوتي، و يحصل هذا كثيرا، و قد صرّح بها كثيرون حتّي في علم الدراية و علم الرجال، فكيف يمكننا أن نبني علی جرح معيّن مبنيّ علی عقيدة و علی رؤية معيّنة في مثل هذه الحالة؟</w:t>
      </w:r>
    </w:p>
    <w:p>
      <w:pPr>
        <w:pStyle w:val="BookText"/>
        <w:rPr/>
      </w:pPr>
      <w:r>
        <w:rPr>
          <w:rFonts w:ascii="IRNazanin" w:hAnsi="IRNazanin" w:eastAsia="IRNazanin"/>
          <w:color w:val="111111"/>
          <w:sz w:val="28"/>
          <w:sz w:val="28"/>
          <w:szCs w:val="28"/>
          <w:rtl w:val="true"/>
          <w:lang w:bidi="fa-IR"/>
        </w:rPr>
        <w:t xml:space="preserve">و لقد كان كلّ من الميرداماد و المحقّق الوحيد البهبهاني 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يعتبر من المجدّدين في الحوزات العلميّة في القرن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يجمدان علی نصوص علماء الرجال من أصحابنا من جانب الجرح أو من جانب التعديل، بل كانا يدرسان الجرح و التعديل بإمعان و تدبّر، و يلاحظان منشأ الجرح و التعديل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يتتبّع فتاوي علماء الرجال في الجرح، قد يري العالم الرجاليّ مجتهدا في تمييز المفردات الرجاليّة عن المشتركات، و تمييز طبقة الراوي، و تمييز تلاميذ الراوي، و تمييز شيوخ الراوي و كتبه، </w:t>
      </w:r>
    </w:p>
    <w:p>
      <w:pPr>
        <w:pStyle w:val="BookText"/>
        <w:rPr/>
      </w:pPr>
      <w:r>
        <w:rPr>
          <w:rFonts w:ascii="IRNazanin" w:hAnsi="IRNazanin" w:eastAsia="IRNazanin"/>
          <w:color w:val="111111"/>
          <w:sz w:val="28"/>
          <w:sz w:val="28"/>
          <w:szCs w:val="28"/>
          <w:rtl w:val="true"/>
          <w:lang w:bidi="fa-IR"/>
        </w:rPr>
        <w:t>لكنّه ما إن يصل إلی الجرح و التعديل و حال الراوي حتّي تراه مقلّدا في ذلك، سيّما عند العامّة، و هذا في الواقع تقليد و ليس اجتهادا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الانفتاح علی مناهج البحث الرجالي التي أشرنا إليها في كتابنا الرجالي يحافظ علی التراث بشكل علمي تحقيقي، و ممّا يجب الانتباه إليه، أنّه لا يصحّ أن نعتمد علی تضعيف ابن الغضائري أو غيره، دون الاطّلاع علی منشأ التضعيف، أو أن نعتمد علی قول النجاشي، و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الشكر الجزيل علی خدماته التي أسداها لمذهب أهل البيت عليهم السّلام، و لكنّنا لا يصحّ أن نجعل من مبانيه رحمه اللّه في علم الكلام، و التي لم تكن متوسّعة، و إنّما كانت مقتضبة جدّا معيارا و صائيّا علی تراث أهل البيت عليهم السّلام، و بأيّ ميزان نجعل النجاشي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اوتي من مستوي علمي في علم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يعيّر و يزن لنا؟ و هو نفسه رحمه اللّه 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قلّدوني و سدّوا باب الاجتهاد في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لذلك فإنّنا عندما نقف علی تضعيف رجالي معيّن فلا يعني ذلك الالزام بهذه الفتوي الرجاليّة، بل لا بدّ لنا من دراسة منشأ التضعيف الذي استند إليه في هذه الفتوي، و تقييم صحّته أو بطلانه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ما يقال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في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فإنّه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تقليدا في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التقليد في علم الرجال يعني جعل </w:t>
      </w:r>
    </w:p>
    <w:p>
      <w:pPr>
        <w:pStyle w:val="BookText"/>
        <w:rPr/>
      </w:pPr>
      <w:r>
        <w:rPr>
          <w:rFonts w:ascii="IRNazanin" w:hAnsi="IRNazanin" w:eastAsia="IRNazanin"/>
          <w:color w:val="111111"/>
          <w:sz w:val="28"/>
          <w:sz w:val="28"/>
          <w:szCs w:val="28"/>
          <w:rtl w:val="true"/>
          <w:lang w:bidi="fa-IR"/>
        </w:rPr>
        <w:t>الوصاية علی التراث الديني لثلّة قليلة، و هذا أمر خطير يقتضي سدّ باب الاجتهاد، و سدّ باب التحقيق و التدقيق، و هي ظاهرة موجودة أكثر و أشدّ عند العامّة في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فحذار من التقليد في فتاوي علم الرجال، بل إنّ اللازم هو الاجتهاد في التوثيق و في الجرح و التعديل، و هذا باب شاقّ بالطبع، فالاجتهاد و التحقيق هو شاقّ في نفسه، بخلاف التقليد الذي هو استراحة يقصدها من لا يحبّ التعب و يخلد إلی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يصحّ أن يلزم الطرف الآخر بمجرّد فتوي رجاليّة، فضلا عن كون الرجل مهملا أو غير مطعون فيه أو بلا توثيق، فالحال فيه أدعي للزوم الفحص و الاجتهاد في حاله كما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المعترضين علی الزيارة الجامعة يحتجّون بأنّ سندها غير صحيح، و ذلك لوجود موسي بن عمران النخعي، و هو مجهول أو ضعيف، و هذا الاعتراض غير صحيح</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البداية يجب أن نعرف موسي النخعي الوارد في سند الزيارة، ففي سند الشيخ الصدوق رحمه اللّه في الفقيه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بن عبد اللّه</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 و في العيون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بن عمران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و لم يرد ذكر للأوّل إلاّ في </w:t>
      </w:r>
    </w:p>
    <w:p>
      <w:pPr>
        <w:pStyle w:val="BookText"/>
        <w:rPr/>
      </w:pPr>
      <w:r>
        <w:rPr>
          <w:rFonts w:ascii="Amiri" w:hAnsi="Amiri" w:eastAsia="Amiri" w:cs="Amiri"/>
          <w:color w:val="111111"/>
          <w:sz w:val="28"/>
          <w:sz w:val="28"/>
          <w:szCs w:val="28"/>
          <w:rtl w:val="true"/>
          <w:lang w:bidi="ar-SA"/>
        </w:rPr>
        <w:t>رواية الفقيه هذه فقط، و من رواها عنه تبعا له كالشيخ الطوسي رحمه اللّه في التهذيب</w:t>
      </w:r>
      <w:r>
        <w:rPr>
          <w:rStyle w:val="FootnoteAnchor"/>
          <w:rtl w:val="true"/>
        </w:rPr>
        <w:footnoteReference w:id="6"/>
      </w:r>
      <w:r>
        <w:rPr>
          <w:rFonts w:ascii="Amiri" w:hAnsi="Amiri" w:eastAsia="Amiri" w:cs="Amiri"/>
          <w:color w:val="111111"/>
          <w:sz w:val="28"/>
          <w:sz w:val="28"/>
          <w:szCs w:val="28"/>
          <w:rtl w:val="true"/>
          <w:lang w:bidi="ar-SA"/>
        </w:rPr>
        <w:t>، بينما الثاني هو المعروف، و الذي يروي عنه محمّد بن أبي عبد اللّه الكوفي الثقة،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محمّد بن جعفر الكوفي الأسدي المعروف بمحمّد بن أبي عبد اللّه، و هو المعروف أيضا بأبي الحسين الكوفي عند النجاشي، و أبي الحسين الأسدي عند الشيخ الطوسي رحمه اللّه، و قد ذكر الشيخ في الغيبة أنّه من الأقوام الثقات الذين ترد عليهم التوقيعات من النوّاب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بن عمران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و عبد اللّه اسم لجدّه أي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بن عمران بن عبد اللّه النخعي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القرينة علی ذلك أنّه موسي بن عمران النخعي عمّه الحسين بن يزيد النوفلي الذي يكثر الرواية عنه جدّا، و يصرّح بوصفه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الحسين بن يزيد النوفلي قد صرّح باسم جدّه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روضة الكافي</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جدّ عمّه 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طريق ذلك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موسي بن عمران، عن عمّه الحسين بن عيسي بن عبد اللّه، عن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وقوع </w:t>
      </w:r>
    </w:p>
    <w:p>
      <w:pPr>
        <w:pStyle w:val="BookText"/>
        <w:rPr/>
      </w:pPr>
      <w:r>
        <w:rPr>
          <w:rFonts w:ascii="IRNazanin" w:hAnsi="IRNazanin" w:eastAsia="IRNazanin"/>
          <w:color w:val="111111"/>
          <w:sz w:val="28"/>
          <w:sz w:val="28"/>
          <w:szCs w:val="28"/>
          <w:rtl w:val="true"/>
          <w:lang w:bidi="fa-IR"/>
        </w:rPr>
        <w:t xml:space="preserve">تصحيف في اسم والد عمّه، أي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عن عمّه الحسين بن يزيد بن عبد اللّه، و التصحيف قريب في الرسم، و قد وقع نظير ذلك كثيرا في اسم عمّه، ففي بعض الطرق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تصحيف معهود في النسخ و الطرق، هذا مضافا إلی أنّ وحدة الطريق للصدوق تقتضي وحدة الراوي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موسي بن عمران النخعي كما يظهر من تتبّع رواياته المتكاثرة في كتب الصدوق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تلميذ عمّه الحسين بن يزيد النوفلي، و أغلب رواياته عنه، و قد اعتمد توثيقه الشيخ في عدّة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من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استاذ و شيخ أبي الحسين محمّد بن أبي عبد اللّه جعفر بن عون الأسدي الكوفي الذي قال عنه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كان في زمان السفراء المحمودين أقوام ثقات ترد عليهم التوقيعات من قبل المنصوبين للسفارة من الأصل، منهم أبو الحسين محمّد بن جعفر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أغلب رواياته يرويها الأسدي هذا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اعتمده الصدوق في كتاب كمال الدين و التوحيد و الخصال و العلل و الفقيه و ثواب الأعمال و صفات الشيعة و الأمالي، </w:t>
      </w:r>
    </w:p>
    <w:p>
      <w:pPr>
        <w:pStyle w:val="BookText"/>
        <w:rPr/>
      </w:pPr>
      <w:r>
        <w:rPr>
          <w:rFonts w:ascii="IRNazanin" w:hAnsi="IRNazanin" w:eastAsia="IRNazanin"/>
          <w:color w:val="111111"/>
          <w:sz w:val="28"/>
          <w:sz w:val="28"/>
          <w:szCs w:val="28"/>
          <w:rtl w:val="true"/>
          <w:lang w:bidi="fa-IR"/>
        </w:rPr>
        <w:t>و أكثر من رواياته، كما اعتمده في مشيخة الفقيه في طريقه إلی يحيي بن عبّاد المكّي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في طريقه إلی الحديث عن سليمان بن داود في معني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فَطَفِقَ مَسْحاً</w:t>
      </w:r>
      <w:r>
        <w:rPr>
          <w:rFonts w:eastAsia="IRNazanin" w:cs="IRNazanin"/>
          <w:color w:val="111111"/>
          <w:sz w:val="28"/>
          <w:szCs w:val="28"/>
          <w:rtl w:val="true"/>
          <w:lang w:bidi="fa-IR"/>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غالب رواياته بالطريق المتكرّر، و هو محمّد بن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موسي بن عمران، عن عمّه الحسين بن يزيد هي في تحف المسائل الاعتقاديّة و لطائف المعارف، بل جلّ رواياته بغير هذا الطريق أيضا هي في نكات المعرفة في الاصول الاعتقاديّة، كما يشهد لذلك التتبّع لجميع رواياته، و هي تظهر بوضوح مستوي رفيع في العلم مستقيم العقيدة، و علی نمط رائق ظريف في معاني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تبعا لاستاذه و هو عمّه الحسين بن يزيد النوفلي كان منفتحا علی عدّة مشارب في تيّارات الرواة من الإماميّة، فهو يروي بتوسّط عمّه عن فقهاء الرواة، و كذلك يروي عن رواة أسرار المعارف كالمفضّل بن عمر و محمّد بن سنان، و يروي عن متكلّمي الرواة و غيرهم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رواياته أيضا الكليني في اصول الكافي، و ابن </w:t>
      </w:r>
      <w:bookmarkStart w:id="24" w:name="pg20517_205375"/>
    </w:p>
    <w:p>
      <w:pPr>
        <w:pStyle w:val="BookText"/>
        <w:rPr/>
      </w:pPr>
      <w:bookmarkEnd w:id="24"/>
      <w:r>
        <w:rPr>
          <w:rFonts w:ascii="Amiri" w:hAnsi="Amiri" w:eastAsia="Amiri" w:cs="Amiri"/>
          <w:color w:val="111111"/>
          <w:sz w:val="28"/>
          <w:sz w:val="28"/>
          <w:szCs w:val="28"/>
          <w:rtl w:val="true"/>
          <w:lang w:bidi="ar-SA"/>
        </w:rPr>
        <w:t>قولويه في كامل الزيارات، و عليّ بن محمّد القمّي في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وجوه اخري لاعتبار حاله</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0141154_3381743652"/>
      <w:bookmarkStart w:id="26" w:name="_Toc7"/>
      <w:bookmarkEnd w:id="25"/>
      <w:r>
        <w:rPr>
          <w:rtl w:val="true"/>
        </w:rPr>
        <w:t>الأوّل</w:t>
      </w:r>
      <w:r>
        <w:rPr>
          <w:rtl w:val="true"/>
        </w:rPr>
        <w:t xml:space="preserve">: </w:t>
      </w:r>
      <w:r>
        <w:rPr>
          <w:rtl w:val="true"/>
        </w:rPr>
        <w:t>موسي الراوي لأغلب روايات عمّه النوفلي</w:t>
      </w:r>
      <w:bookmarkEnd w:id="26"/>
    </w:p>
    <w:p>
      <w:pPr>
        <w:pStyle w:val="BookText"/>
        <w:rPr/>
      </w:pPr>
      <w:r>
        <w:rPr>
          <w:rFonts w:ascii="Amiri" w:hAnsi="Amiri" w:eastAsia="Amiri" w:cs="Amiri"/>
          <w:color w:val="111111"/>
          <w:sz w:val="28"/>
          <w:sz w:val="28"/>
          <w:szCs w:val="28"/>
          <w:rtl w:val="true"/>
          <w:lang w:bidi="ar-SA"/>
        </w:rPr>
        <w:t>و أمّا موسي بن عمران فهو ابن أخ الحسين بن يزيد النوفلي، و النوفلي وثّقه الشيخ الطوسي في العدّة و السيّد الخوئي و جماعة غيرهم لقول الشيخ الطوسي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عملت الطائفة بروايات السكوني</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الراوي لأغلب روايات السكوني هو الحسين بن يزيد النوفلي، فيقتضي ذلك توثيق الطائفة له، مضافا لتعبير النجاشي بأنّ الحسين بن يزيد النوفلي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نوفل النخع</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أي وجيه قبيلة النخع و الموجّه فيهم، أو الذي يذكر بالجميل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قبيلة النخع من القبائل الشيعيّة الكبيرة في الكوفة، فمع هذا الوصف تظهر مكانة موسي بن عمران النخعي، حيث أنّ عمّه هو النوفلي، بل و استاذه، فقد روي عن عمّه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ممّا يظهر تتلمذه عليه، و اختصاصه </w:t>
      </w:r>
      <w:bookmarkStart w:id="27" w:name="pg20517_205376"/>
    </w:p>
    <w:p>
      <w:pPr>
        <w:pStyle w:val="BookText"/>
        <w:rPr/>
      </w:pPr>
      <w:bookmarkEnd w:id="27"/>
      <w:r>
        <w:rPr>
          <w:rFonts w:ascii="Amiri" w:hAnsi="Amiri" w:eastAsia="Amiri" w:cs="Amiri"/>
          <w:color w:val="111111"/>
          <w:sz w:val="28"/>
          <w:sz w:val="28"/>
          <w:szCs w:val="28"/>
          <w:rtl w:val="true"/>
          <w:lang w:bidi="ar-SA"/>
        </w:rPr>
        <w:t>به، فضلا عن غيره، فهو كثير الرواية في كتب الأصحاب المعتمدة، بل إنّ الحسين بن يزيد تطّرد فيه وجوه التوثيق المتقدّمة في ابن أخيه موسي بن عمران، كما لا يخفي</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0141156_3381743652"/>
      <w:bookmarkStart w:id="29" w:name="_Toc8"/>
      <w:bookmarkEnd w:id="28"/>
      <w:r>
        <w:rPr>
          <w:rtl w:val="true"/>
        </w:rPr>
        <w:t>الثاني</w:t>
      </w:r>
      <w:r>
        <w:rPr>
          <w:rtl w:val="true"/>
        </w:rPr>
        <w:t xml:space="preserve">: </w:t>
      </w:r>
      <w:r>
        <w:rPr>
          <w:rtl w:val="true"/>
        </w:rPr>
        <w:t>روايات النوفلي جلّها في المعارف</w:t>
      </w:r>
      <w:bookmarkEnd w:id="29"/>
    </w:p>
    <w:p>
      <w:pPr>
        <w:pStyle w:val="BookText"/>
        <w:rPr/>
      </w:pPr>
      <w:r>
        <w:rPr>
          <w:rFonts w:ascii="IRNazanin" w:hAnsi="IRNazanin" w:eastAsia="IRNazanin"/>
          <w:color w:val="111111"/>
          <w:sz w:val="28"/>
          <w:sz w:val="28"/>
          <w:szCs w:val="28"/>
          <w:rtl w:val="true"/>
          <w:lang w:bidi="fa-IR"/>
        </w:rPr>
        <w:t>مضافا إلی أنّ متون الروايات التي يرويها موسي بن عمران عن عمّه، جلّها في فرائد المعارف، و هي صحيحة المضمون، مستقيمة المعني، وفق اصول و قواعد معارف المذهب عند المتأخّرين، بل إنّ جملة منها ممّا يدلّ علی رفعة مقامه، و طول باعه، و تمكّنه و تضلّعه في المعارف، ممّا يكشف عن كونه من فرسان الميدان، و أوتاد الرواة، و حملة هذه الأسرار</w:t>
      </w:r>
      <w:r>
        <w:rPr>
          <w:rFonts w:eastAsia="IRNazanin" w:cs="IRNazanin"/>
          <w:color w:val="111111"/>
          <w:sz w:val="28"/>
          <w:szCs w:val="28"/>
          <w:rtl w:val="true"/>
          <w:lang w:bidi="fa-IR"/>
        </w:rPr>
        <w:t>.</w:t>
      </w:r>
    </w:p>
    <w:p>
      <w:pPr>
        <w:pStyle w:val="Heading3"/>
        <w:numPr>
          <w:ilvl w:val="2"/>
          <w:numId w:val="1"/>
        </w:numPr>
        <w:rPr/>
      </w:pPr>
      <w:bookmarkStart w:id="30" w:name="__RefHeading___Toc10141158_3381743652"/>
      <w:bookmarkStart w:id="31" w:name="_Toc9"/>
      <w:bookmarkEnd w:id="30"/>
      <w:r>
        <w:rPr>
          <w:rtl w:val="true"/>
        </w:rPr>
        <w:t>الثالث</w:t>
      </w:r>
      <w:r>
        <w:rPr>
          <w:rtl w:val="true"/>
        </w:rPr>
        <w:t xml:space="preserve">: </w:t>
      </w:r>
      <w:r>
        <w:rPr>
          <w:rtl w:val="true"/>
        </w:rPr>
        <w:t>اعتماد الأعلام علی رواياته</w:t>
      </w:r>
      <w:bookmarkEnd w:id="31"/>
    </w:p>
    <w:p>
      <w:pPr>
        <w:pStyle w:val="BookText"/>
        <w:rPr/>
      </w:pPr>
      <w:r>
        <w:rPr>
          <w:rFonts w:ascii="Amiri" w:hAnsi="Amiri" w:eastAsia="Amiri" w:cs="Amiri"/>
          <w:color w:val="111111"/>
          <w:sz w:val="28"/>
          <w:sz w:val="28"/>
          <w:szCs w:val="28"/>
          <w:rtl w:val="true"/>
          <w:lang w:bidi="ar-SA"/>
        </w:rPr>
        <w:t xml:space="preserve">و قد اعتمد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في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الطائفة، كالكليني في الكافي، و الصدوق في عيون أخبار الرضا عليه السّلام و التوحيد، و غيرهما، بل و وقع في مشيخته فروي عنه في أكثر من ثمانين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عمّه الحسين بن يزيد النوفلي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الإجماع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الحكم بن ظهير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جليل</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مهران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رواياته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أبي عبد اللّه الكوفي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يحيي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أبوه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موسي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علی الأصحّ</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محمّد بن عمران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ترضّي عليه الصدوق</w:t>
      </w:r>
      <w:r>
        <w:rPr>
          <w:rFonts w:eastAsia="Amiri" w:cs="Amiri" w:ascii="Amiri" w:hAnsi="Amiri"/>
          <w:color w:val="111111"/>
          <w:sz w:val="28"/>
          <w:szCs w:val="28"/>
          <w:rtl w:val="true"/>
          <w:lang w:bidi="ar-SA"/>
        </w:rPr>
        <w:t xml:space="preserve">). </w:t>
      </w:r>
      <w:bookmarkStart w:id="32" w:name="pg20517_205378"/>
    </w:p>
    <w:p>
      <w:pPr>
        <w:pStyle w:val="BookText"/>
        <w:rPr/>
      </w:pPr>
      <w:bookmarkEnd w:id="3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ترضّي عليه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السناني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المكّي البرمكي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العيون للصدوق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صحّة سند الزيارة إذا ما لاحظنا سند الزيارة الجامعة الكبيرة فإنّا سنجده صحيحا إلی موسي بن عمران، و هذا هو أحد الأدلّة علی وثاقة الراوي موسي بن عمران بن يزيد النخعي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الصدوق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أحمد بن محمّد بن عمران الدقّاق رضي اللّه عنه و محمّد بن أحمد السناني و عليّ بن عبد الورّاق و الحسين بن إبراهيم بن أحمد بن هشام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و أبو الحسين الأسدي،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المكّي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عمران النخعي</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0141160_3381743652"/>
      <w:bookmarkStart w:id="34" w:name="_Toc10"/>
      <w:bookmarkEnd w:id="33"/>
      <w:r>
        <w:rPr>
          <w:rtl w:val="true"/>
        </w:rPr>
        <w:t>الرابع</w:t>
      </w:r>
      <w:r>
        <w:rPr>
          <w:rtl w:val="true"/>
        </w:rPr>
        <w:t xml:space="preserve">: </w:t>
      </w:r>
      <w:r>
        <w:rPr>
          <w:rtl w:val="true"/>
        </w:rPr>
        <w:t>سؤال للإمام الهادي عليه السّلام</w:t>
      </w:r>
      <w:bookmarkEnd w:id="3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سؤاله للإمام الهادي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صلّي اللّه عليه و اله </w:t>
      </w:r>
      <w:r>
        <w:rPr>
          <w:rFonts w:eastAsia="Amiri" w:cs="Amiri" w:ascii="Amiri" w:hAnsi="Amiri"/>
          <w:color w:val="111111"/>
          <w:sz w:val="28"/>
          <w:szCs w:val="28"/>
          <w:rtl w:val="true"/>
          <w:lang w:bidi="ar-SA"/>
        </w:rPr>
        <w:t xml:space="preserve">- </w:t>
      </w:r>
      <w:bookmarkStart w:id="35" w:name="pg20517_205379"/>
    </w:p>
    <w:p>
      <w:pPr>
        <w:pStyle w:val="BookText"/>
        <w:rPr/>
      </w:pPr>
      <w:bookmarkEnd w:id="35"/>
      <w:r>
        <w:rPr>
          <w:rFonts w:ascii="IRNazanin" w:hAnsi="IRNazanin" w:eastAsia="IRNazanin"/>
          <w:color w:val="111111"/>
          <w:sz w:val="28"/>
          <w:sz w:val="28"/>
          <w:szCs w:val="28"/>
          <w:rtl w:val="true"/>
          <w:lang w:bidi="fa-IR"/>
        </w:rPr>
        <w:t>قولا بليغا كاملا إذا زرت واحدا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نفسه دليل علی مقام معرفته بالأئمّة عليهم السّلام، و أنّ لهم شؤونا متّحدة، و مقامات متّبعة، و أنّ نور الإمامة و مقام الخلافة شيء واحد</w:t>
      </w:r>
      <w:r>
        <w:rPr>
          <w:rFonts w:eastAsia="IRNazanin" w:cs="IRNazanin"/>
          <w:color w:val="111111"/>
          <w:sz w:val="28"/>
          <w:szCs w:val="28"/>
          <w:rtl w:val="true"/>
          <w:lang w:bidi="fa-IR"/>
        </w:rPr>
        <w:t>.</w:t>
      </w:r>
    </w:p>
    <w:p>
      <w:pPr>
        <w:pStyle w:val="Heading3"/>
        <w:numPr>
          <w:ilvl w:val="2"/>
          <w:numId w:val="1"/>
        </w:numPr>
        <w:rPr/>
      </w:pPr>
      <w:bookmarkStart w:id="36" w:name="__RefHeading___Toc10141162_3381743652"/>
      <w:bookmarkStart w:id="37" w:name="_Toc11"/>
      <w:bookmarkEnd w:id="36"/>
      <w:r>
        <w:rPr>
          <w:rtl w:val="true"/>
        </w:rPr>
        <w:t>الخامس</w:t>
      </w:r>
      <w:r>
        <w:rPr>
          <w:rtl w:val="true"/>
        </w:rPr>
        <w:t xml:space="preserve">: </w:t>
      </w:r>
      <w:r>
        <w:rPr>
          <w:rtl w:val="true"/>
        </w:rPr>
        <w:t>بيان الإمام الهادي عليه السّلام</w:t>
      </w:r>
      <w:bookmarkEnd w:id="37"/>
    </w:p>
    <w:p>
      <w:pPr>
        <w:pStyle w:val="Heading4"/>
        <w:numPr>
          <w:ilvl w:val="3"/>
          <w:numId w:val="1"/>
        </w:numPr>
        <w:rPr/>
      </w:pPr>
      <w:bookmarkStart w:id="38" w:name="__RefHeading___Toc10141164_3381743652"/>
      <w:bookmarkStart w:id="39" w:name="_Toc12"/>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بيان الإمام لمثل هذا المتن لموسي بن عمران يدلّ علی مكانته في معرفة مقاماتهم و أسرارهم عليهم السّلام، و ذلك نظير ما اعتمدوه في اعتبار حال عمر بن حنظلة</w:t>
      </w:r>
      <w:r>
        <w:rPr>
          <w:rStyle w:val="FootnoteAnchor"/>
          <w:rtl w:val="true"/>
        </w:rPr>
        <w:footnoteReference w:id="14"/>
      </w:r>
      <w:r>
        <w:rPr>
          <w:rFonts w:ascii="IRNazanin" w:hAnsi="IRNazanin" w:eastAsia="IRNazanin"/>
          <w:color w:val="111111"/>
          <w:sz w:val="28"/>
          <w:sz w:val="28"/>
          <w:szCs w:val="28"/>
          <w:rtl w:val="true"/>
          <w:lang w:bidi="fa-IR"/>
        </w:rPr>
        <w:t>، فأسئلة و أجوبة الإمام له تدلّ علی علوّ مقامه العلمي و جلالته، و هي قرينة متينة معتمدة</w:t>
      </w:r>
      <w:r>
        <w:rPr>
          <w:rFonts w:eastAsia="IRNazanin" w:cs="IRNazanin"/>
          <w:color w:val="111111"/>
          <w:sz w:val="28"/>
          <w:szCs w:val="28"/>
          <w:rtl w:val="true"/>
          <w:lang w:bidi="fa-IR"/>
        </w:rPr>
        <w:t>.</w:t>
      </w:r>
    </w:p>
    <w:p>
      <w:pPr>
        <w:pStyle w:val="Heading4"/>
        <w:numPr>
          <w:ilvl w:val="3"/>
          <w:numId w:val="1"/>
        </w:numPr>
        <w:rPr/>
      </w:pPr>
      <w:bookmarkStart w:id="40" w:name="__RefHeading___Toc10141166_3381743652"/>
      <w:bookmarkStart w:id="41" w:name="_Toc13"/>
      <w:bookmarkEnd w:id="40"/>
      <w:r>
        <w:rPr>
          <w:rtl w:val="true"/>
        </w:rPr>
        <w:t>مضامين الزيارة الجامعة</w:t>
      </w:r>
      <w:bookmarkEnd w:id="4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 مضامين الزيارة من حيث جزالة المعني و جزالة اللفظ و التراكيب، كلّها تدلّ علی قوّة مضمون الزيارة، و أنّها في مصاف أعالي متون الروايات الصادرة منهم عليهم السّلام، كما أنّ مضامينها و بنودها كقواعد في معرفتهم قد ورد بمضمونها الروايات المستفيضة في أبواب المعارف، و إن اختلف اللفظ في بعضها، لكن لباب المعني و مآله واحد</w:t>
      </w:r>
      <w:r>
        <w:rPr>
          <w:rFonts w:eastAsia="IRNazanin" w:cs="IRNazanin"/>
          <w:color w:val="111111"/>
          <w:sz w:val="28"/>
          <w:szCs w:val="28"/>
          <w:rtl w:val="true"/>
          <w:lang w:bidi="fa-IR"/>
        </w:rPr>
        <w:t xml:space="preserve">. </w:t>
      </w:r>
      <w:bookmarkStart w:id="42" w:name="pg20517_205380"/>
    </w:p>
    <w:p>
      <w:pPr>
        <w:pStyle w:val="Heading4"/>
        <w:numPr>
          <w:ilvl w:val="3"/>
          <w:numId w:val="1"/>
        </w:numPr>
        <w:rPr/>
      </w:pPr>
      <w:bookmarkStart w:id="43" w:name="__RefHeading___Toc10141168_3381743652"/>
      <w:bookmarkStart w:id="44" w:name="_Toc14"/>
      <w:bookmarkEnd w:id="42"/>
      <w:bookmarkEnd w:id="43"/>
      <w:r>
        <w:rPr>
          <w:rtl w:val="true"/>
        </w:rPr>
        <w:t>متون رواياته في المعارف</w:t>
      </w:r>
      <w:bookmarkEnd w:id="44"/>
    </w:p>
    <w:p>
      <w:pPr>
        <w:pStyle w:val="BookText"/>
        <w:rPr/>
      </w:pPr>
      <w:r>
        <w:rPr>
          <w:rFonts w:ascii="Amiri" w:hAnsi="Amiri" w:eastAsia="Amiri" w:cs="Amiri"/>
          <w:color w:val="111111"/>
          <w:sz w:val="28"/>
          <w:sz w:val="28"/>
          <w:szCs w:val="28"/>
          <w:rtl w:val="true"/>
          <w:lang w:bidi="ar-SA"/>
        </w:rPr>
        <w:t>نبذة بارزة من متون الروايات التي ينقلها موسي بن عمران في المعارف، بلحاظ معارف الأئمّة عليهم السّلام، و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رحمه اللّه في التوحيد،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ابن عمران الدقّاق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موسي بن عمران النخعي الكوفي، عن عمّه الحسين بن يزيد، عن عليّ بن الحسين، عمّن حدّثه، عن عبد الرحمن بن كثير،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علم اللّه، و أنا قلب اللّه الواعي، و لسان اللّه الناطق، و عين اللّه، و جنب اللّه، و أنا يد اللّه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p>
    <w:p>
      <w:pPr>
        <w:pStyle w:val="BookText"/>
        <w:rPr/>
      </w:pPr>
      <w:r>
        <w:rPr>
          <w:rFonts w:ascii="Amiri" w:hAnsi="Amiri" w:eastAsia="Amiri" w:cs="Amiri"/>
          <w:color w:val="111111"/>
          <w:sz w:val="28"/>
          <w:sz w:val="28"/>
          <w:szCs w:val="28"/>
          <w:rtl w:val="true"/>
          <w:lang w:bidi="ar-SA"/>
        </w:rPr>
        <w:t>ابن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عمران النخعي، عن عمّه الحسين بن يزيد، عن الحسن بن عليّ بن سالم، عن أبيه، عن أبي حمزة، عن سعيد بن جبير، عن عبد اللّه 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صلّي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اطَّلَعَ إِلَى الْأَرْضِ اطِّلَاعَةً فَاخْتَارَنِي مِنْهَا فَجَعَلَنِي نَبِيًّا، ثُمَّ اطَّلَعَ الثَّانِيَةَ فَاخْتَارَ مِنْهَا عَلِيًّا فَجَعَلَهُ إِمَامًا، ثُمَّ أَمَرَنِي أَنْ أَتَّخِذَهُ أَخًا وَوَلِيًّا وَوَصِيًّا وَخَلِيفَةً وَوَزِيرًا، فَعَلِيٌّ مِنِّي وَأَنَا مِنْ عَلِيٍّ، وَهُوَ زَوْجُ ابْنَتِي وَأَبُو سِبْطَيَّ الْحَسَنِ وَالْحُسَيْنِ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 إنّ اللّه تبارك و تعالی جعلني و إيّاهم حججا علی عباده، و جعل من صلب الحسين أئمّة يقومون بأمري، و يحفظون وصيّتي، التاسع منهم قائم أهل بيتي، و مهديّ امّتي، أشبه الناس بي في شمائله و أقواله و أفعاله، يظهر بعد غيبة طويلة و حيرة مضلّة، فيعلن أمر اللّه، و يظهر دين اللّه عزّ و جلّ، يؤيّد بنصر اللّه، و ينصر بملائكة اللّه، فيملأ الأرض قسطا و عدلا كما ملئت جورا و ظلما</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بن عمران النخعي، عن عمّه الحسين بن يزيد، عن الحسن بن عليّ بن أبي حمزة، عن أبيه، </w:t>
      </w:r>
    </w:p>
    <w:p>
      <w:pPr>
        <w:pStyle w:val="BookText"/>
        <w:rPr/>
      </w:pPr>
      <w:r>
        <w:rPr>
          <w:rFonts w:ascii="Amiri" w:hAnsi="Amiri" w:eastAsia="Amiri" w:cs="Amiri"/>
          <w:color w:val="111111"/>
          <w:sz w:val="28"/>
          <w:sz w:val="28"/>
          <w:szCs w:val="28"/>
          <w:rtl w:val="true"/>
          <w:lang w:bidi="ar-SA"/>
        </w:rPr>
        <w:t>عن الصادق جعفر بن محمّد، عن أبيه،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عن ربّ العزّة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لا إله إلاّ أنا وحدي، و أنّ محمّدا عبدي و رسولي، و أنّ عليّ بن أبي طالب خليفتي، و أنّ الأئمّة من ولده حججي أدخله الجنّة برحمتي، و نجّيته من النار بعفوي، و أبحت له جواري، و أوجبت له كرامتي، و أتممت عليه نعمتي، و جعلته من خاصّتي و خالصتي، إن ناداني لبّيته، و إن دعاني أجبته، و إن سألني أعطيته، و إن سكت ابتدأته، و إن أساء رحمته، و إن فرّ منّي دعوته، و إن رجع إليّ قبلته، و إن قرع بابي فتحته، و من لم يشهد أن لا إله إلاّ أنا وحدي، أو شهد بذلك و لم يشهد أنّ محمّدا عبدي و رسولي، أو شهد بذلك و لم يشهد أنّ عليّ بن أبي طالب خليفتي، أو شهد بذلك و لم يشهد أنّ الأئمّة من ولده حججي، فقد جحد نعمتي، و صغّر عظمتي، و كفر بآياتي و كتبي، إن قصدني حجبته، و إن سألني حرمته، و إن ناداني لم أسمع نداءه، و إن دعاني لم أستجب دعاءه، و إن رجاني خيّبته، و ذلك جزاؤه منّي و ما أنا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الأئمّة من ولد عليّ بن أبي طالب؟</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سيدا شباب أهل الجنة ، ثم سيد العابدين في زمانه علی بن الحسين ، ثمّ الباقر محمد بن علی ، وستدركه يا جابر، </w:t>
      </w:r>
    </w:p>
    <w:p>
      <w:pPr>
        <w:pStyle w:val="BookText"/>
        <w:rPr/>
      </w:pPr>
      <w:r>
        <w:rPr>
          <w:rFonts w:ascii="Amiri" w:hAnsi="Amiri" w:eastAsia="Amiri" w:cs="Amiri"/>
          <w:color w:val="111111"/>
          <w:sz w:val="28"/>
          <w:sz w:val="28"/>
          <w:szCs w:val="28"/>
          <w:rtl w:val="true"/>
          <w:lang w:bidi="ar-SA"/>
        </w:rPr>
        <w:t>فإذا أدركته فأقرئه منّي السلام، ثمّ الصادق جعفر بن محمّد، ثمّ الكاظم موسي بن جعفر، ثمّ الرضا عليّ بن موسي، ثمّ التقيّ محمّد بن عليّ، ثمّ النقيّ عليّ بن محمّد، ثمّ الزكيّ الحسن بن عليّ، ثمّ ابنه القائم بالحقّ مهديّ امّتي الذي 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خلفائي و أوصيائي و أولادي و عترتي، من أطاعهم فقد أطاعني، و من عصاهم فقد عصاني، و من أنكرهم أو أنكر واحدا منهم فقد أنكرني، بهم يمسك اللّه عزّ و جلّ السماء أن تقع علی الأرض إلاّ بإذنه، و بهم يحفظ اللّه الأرض أن تميد بأهلها</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موسي الدقّاق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موسي بن عمران النخعي، عن عمّه الحسين بن يزيد النوفلي، عن الحسن بن عليّ بن أبي حمزة، عن أبيه، عن سعيد بن جبير،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صلّي اللّه عليه و اله كان جالسا ذات يوم إذ أقبل الحسن عليه السّلام، فلمّا رآه بكي،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يا بنيّ، فما زال يدنيه حتّي أجلسه علی فخذه اليمني</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الحسين عليه السّلام، فلمّا رآه 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 بنيّ، فما زال </w:t>
      </w:r>
    </w:p>
    <w:p>
      <w:pPr>
        <w:pStyle w:val="BookText"/>
        <w:rPr/>
      </w:pPr>
      <w:r>
        <w:rPr>
          <w:rFonts w:ascii="IRNazanin" w:hAnsi="IRNazanin" w:eastAsia="IRNazanin"/>
          <w:color w:val="111111"/>
          <w:sz w:val="28"/>
          <w:sz w:val="28"/>
          <w:szCs w:val="28"/>
          <w:rtl w:val="true"/>
          <w:lang w:bidi="fa-IR"/>
        </w:rPr>
        <w:t>يدنيه حتّي أجلسه علی فخذه اليسري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أقبلت فاطمة عليها السّلام، فلمّا رآها 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بنيّة، فأجلسها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أمير المؤمنين عليه السّلام، فلمّا رآه بكي،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يا أخي، فما زال يدنيه حتّي أجلسه إلی جنبه الأيمن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تري واحدا من هؤلاء إلاّ بكيت، أو ما فيهم من تسرّ برؤيته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صلّي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بعثني بالنبوّة، و اصطفاني علی جميع البريّة، إنّي و إيّاهم لأكرم الخلق علی اللّه عزّ و جلّ، و ما علی وجه الأرض نسمة أحبّ إليّ منهم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بن أبي طالب فإنّه أخي وشقيقي ، وصاحب الأمر بعدي ، وصاحب لوائي في الدنيا والآخرة، وصاحب حوضي وشفاعتي ، وهو مولي کل مسلم ، وإمام كل مؤمن، وقائد كل تقي ، وهو وصتي وخليفتي على أهلي وأمتي في حياتي وبعد مماتي ، ومحبه محبي ، ومبغضه مبغضي ، وبولايته صارت أمتي مرحومة ، وبعداوته صارت المخالفة له منها ملعونة ، وإني بكيت حين أقبل لأني ذكرت قدر الأمة به بعدي حتى إنه ليزال عن مقعدي ، وقد جعله الله له بعدي ، ثم لا يزال الأمر به حتى يضرب على قرنه تخضب منها لحيته في أفضل الشهور شهر رمضان الذي </w:t>
      </w:r>
    </w:p>
    <w:p>
      <w:pPr>
        <w:pStyle w:val="BookText"/>
        <w:rPr/>
      </w:pPr>
      <w:r>
        <w:rPr>
          <w:rFonts w:ascii="Amiri" w:hAnsi="Amiri" w:eastAsia="Amiri" w:cs="Amiri"/>
          <w:color w:val="111111"/>
          <w:sz w:val="28"/>
          <w:sz w:val="28"/>
          <w:szCs w:val="28"/>
          <w:rtl w:val="true"/>
          <w:lang w:bidi="ar-SA"/>
        </w:rPr>
        <w:t>انزل فيه القرآن هدي للناس و بيّنات من الهدي و الفرقان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ابنتي فاطمة، فإنّها سيّدة نساء العالمين من الأوّلين و الآخرين، و هي بضعة منّي، و هي نور عيني، و هي ثمرة فؤادي، و هي روحي التي بين جنبي، و هي الحوراء الإنسيّة، متي قامت في محرابها بين يدي ربّها جلّ جلاله زهر نورها لملائكة السماء كما يزهر نور الكواكب لأهل الأرض، و يقول اللّه عزّ و جلّ 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ملائكتي، انظروا إلی أمتي فاطمة سيّدة إمائي، قائمة بين يدي ترتعد فرائصها من خيفتي، و قد أقبلت بقلبها علی عبادتي، اشهدكم أنّي قد آمنت شيعتها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لمّا رأيتها ذكرت ما يصنع بها بعدي، كأنّي بها و قد دخل الذلّ بيتها، و انتهكت حرمتها، و غصبت حقّها، و منعت إرثها، و كسر جنبها، و أسقطت جنينها، و 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 فلا تجاب، و تستغيث فلا تغاث، فلا تزال بعدي محزونة مكروبة باكية، تتذكّر انقطاع الوحي عن بيتها مرّة، و تتذكّر فراقي اخري، و تستوحش إذا جنّها الليل لفقد صوتي الذي كانت تستمع إليه إذا تهجّدت بالقرآن، ثمّ تري نفسها ذليلة بعد أن كانت في أيّام أبيها عزيزة، فعند ذلك يؤنسها اللّه تعالی ذكره بالملائكة، فنادتها بما نادت به مريم بنت عمران،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اصْطَفاكِ وَ طَهَّرَكِ وَ اصْطَفاكِ عَلي نِساءِ الْعالَمِینَ</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اُقْنُتِی لِرَبِّكِ وَ اسْجُدِی وَ ارْكَعِی مَعَ الرّاكِعِینَ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يبتدئ بها الوجع فتمرض، فيبعث اللّه عزّ و جلّ إليها مريم بنت عمران تمرّضها و تؤنسها في علّتها، فتقول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قد سئمت الحياة، و تبرّمت بأهل الدنيا، فألحقني بأبي، فيلحقها اللّه عزّ و جلّ بي، فتكون أوّل من يلحقني من أهل بيتي، فتقدم عليّ محزونة مكروبة مغمومة مغصوبة مقتولة، فأقول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 عاقب من غصبها، و أذلّ من أذلّها، و خلد في نارك من ضرب جنبها حتّي ألقت ولدها، فتقول 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الحسن، فإنّه ابني و ولدي، و بضعة منّي، و قرّة عيني، و ضياء قلبي، و ثمرة فؤادي، و هو سيّد شباب أهل الجنّة، و حجّة اللّه علی الامّة، أمره أمري، و قوله قولي، من تبعه فإنّه منّي، و من عصاه فليس منّي، و إنّي لمّا نظرت إليه تذكرت ما يجري عليه من الذلّ بعدي، فلا يزال الأمر به حتّي يقتل بالسمّ ظلما و عدوانا، فعند ذلك تبكي الملائكة و السبع الشداد لموته، و يبكيه كلّ شيء حتّي الطير في جوّ السماء، و الحيتان في جوف الماء، فمن بكاه لم تعم عينه يوم تعمي العيون، و من حزن عليه لم يحزن قلبه يوم تحزن القلوب، و من زاره في بقيعه ثبتت قدمه علی الصراط يوم تزلّ فيه الأقدام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الحسين، فإنّه منّي، و هو ابني و ولدي، و خير الخلق بعد أخيه، و هو إمام المسلمين، و مولي المؤمنين، و خليفة ربّ العالمين، و غياث المستغيثين، و كهف المستجيرين، و حجّة اللّه علی خلقه أجمعين، و هو سيّد شباب أهل الجنّة، و باب نجاة الامّة، أمره أمري، و طاعته طاعتي، من تبعه فإنّه منّي، و من عصاه فليس منّي، و إنّي لمّا رأيته تذكّرت ما يصنع به بعدي، كأنّي به و قد استجار بحرمي و قبري فلا يجار، فأضمّه في منامه إلی صدري، و آمره بالرحلة عن دار هجرتي، و ابشّره بالشهادة، فيرتحل عنها إلی أرض مقتله، و موضع مصرعه أرض كرب و بلاء، و قتل و فناء، تنصره عصابة من المسلمين، اولئك من سادة شهداء امّتي يوم القيامة، كأنّي أنظر إليه و قد رمي بسهم فخرّ عن فرسه صريعا، ثمّ يذبح كما يذبح الكبش مظلوما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بكي رسول اللّه صلّي اللّه عليه و اله و بكي من حوله، و ارتفعت أصواتهم بالضجيج، ثمّ قال صلّي اللّه عليه و اله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ما يلقي أهل بيتي بعدي، ثمّ دخل منزله</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عن موسي بن </w:t>
      </w:r>
    </w:p>
    <w:p>
      <w:pPr>
        <w:pStyle w:val="BookText"/>
        <w:rPr/>
      </w:pPr>
      <w:r>
        <w:rPr>
          <w:rFonts w:ascii="Amiri" w:hAnsi="Amiri" w:eastAsia="Amiri" w:cs="Amiri"/>
          <w:color w:val="111111"/>
          <w:sz w:val="28"/>
          <w:sz w:val="28"/>
          <w:szCs w:val="28"/>
          <w:rtl w:val="true"/>
          <w:lang w:bidi="ar-SA"/>
        </w:rPr>
        <w:t>عمران النخعي، عن عمّه الحسين بن يزيد النوفلي، عن عليّ بن سالم، عن أبيه، عن ثابت بن دينار،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زين العابدين عليّ بن الحسين بن عليّ بن أبي طالب عليهم السّلام عن اللّه جلّ جلاله هل يوصف بمكان؟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أسري بنبيّه محمّد صلّي اللّه عليه و اله إلی السماء؟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ليريه ملكوت السماء و ما فيها من عجائب صنعه و بدائع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دَنا فَتَدَلّي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قَوْسَیْنِ أَوْ أَدْني</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رسول اللّه صلّي اللّه عليه و اله، دنا من حجب النور فرأي ملكوت السماوات، ثمّ تدلّي صلّي اللّه عليه و اله فنظر من تحته إلی ملكوت الأرض حتّي ظنّ أنّه في القرب من الأرض كقاب قوسين أو أدني</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بن عمران النخعي، عن عمّه الحسين بن يزيد النوفلي، عن الحسن بن عليّ بن أبي حمزة، عن أبي </w:t>
      </w:r>
    </w:p>
    <w:p>
      <w:pPr>
        <w:pStyle w:val="BookText"/>
        <w:rPr/>
      </w:pPr>
      <w:r>
        <w:rPr>
          <w:rFonts w:ascii="Amiri" w:hAnsi="Amiri" w:eastAsia="Amiri" w:cs="Amiri"/>
          <w:color w:val="111111"/>
          <w:sz w:val="28"/>
          <w:sz w:val="28"/>
          <w:szCs w:val="28"/>
          <w:rtl w:val="true"/>
          <w:lang w:bidi="ar-SA"/>
        </w:rPr>
        <w:t>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فرائض اللّه، و اجتنب محارم اللّه، و أحسن الولاية لأهل بيت نبيّ اللّه، و تبرّأ من أعداء اللّه عزّ و جلّ، فليدخل من أيّ أبواب الجنّة الثمانية شاء</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أحمد السنائي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موسي بن عمران النخعي، عن عمّه الحسين بن يزيد، عن عليّ بن سالم، عن أبيه، عن أبان بن عثمان، عن أبان بن تغلب، عن عكرمة،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صلّي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الناس كلّهم علی ولاية عليّ ما خلقت النار</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إبراهيم بن أحمد بن هشام المؤدّب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الأسدي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موسي بن عمران النخعي، عن عمّه الحسين بن يزيد النوفلي، عن عليّ بن أبي حمزة، عن أبيه، عن الصادق جعفر بن محمّد، عن أبيه، عن آبائه، عن عليّ عليهم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صلّي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يؤتي بك يا عليّ علی ناقة من نور، و علی رأسك تاج له أربعة أركان، علی كلّ ركن </w:t>
      </w:r>
    </w:p>
    <w:p>
      <w:pPr>
        <w:pStyle w:val="BookText"/>
        <w:rPr/>
      </w:pPr>
      <w:r>
        <w:rPr>
          <w:rFonts w:ascii="IRNazanin" w:hAnsi="IRNazanin" w:eastAsia="IRNazanin"/>
          <w:color w:val="111111"/>
          <w:sz w:val="28"/>
          <w:sz w:val="28"/>
          <w:szCs w:val="28"/>
          <w:rtl w:val="true"/>
          <w:lang w:bidi="fa-IR"/>
        </w:rPr>
        <w:t>ثلاثة 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وليّ اللّه، و تعطي مفاتيح الجنّة، ثمّ يوضع لك كرسي يعرف بكرسي الكرامة فتقعد عليه، ثمّ يجمع لك الأوّلون و الآخرون في صعيد واحد، فتأمر بشيعتك إلی الجنّة، و بأعدائك إلی النار، فأنت قسيم الجنّة، و أنت قسيم النار، و لقد فاز من تولاّك، و خسر من عاداك، فأنت في ذلك اليوم أمين اللّه، و حجّة اللّه الواضحة</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أبي عبد اللّه الأسدي الكوفي، عن موسي بن عمران، عن عمّه الحسين بن يزيد النوفلي، عن الحسن بن عليّ بن أبي حمزة حديث تفسير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باقِیَةً فِی عَقِبِهِ</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بالإمامة، جعلها اللّه عزّ و جلّ في عقب الحسين عليه السّلام باقية إلی يوم القيامة</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محمّد بن أبي عبد اللّه الكوفي، عن موسي بن عمران النخعي، عن عمّه الحسين بن يزيد، عن الحسن بن عليّ بن أبي حمزة، عن أبيه، عن يحيي بن أبي القاسم، عن الصادق جعفر بن </w:t>
      </w:r>
    </w:p>
    <w:p>
      <w:pPr>
        <w:pStyle w:val="BookText"/>
        <w:rPr/>
      </w:pPr>
      <w:r>
        <w:rPr>
          <w:rFonts w:ascii="IRNazanin" w:hAnsi="IRNazanin" w:eastAsia="IRNazanin"/>
          <w:color w:val="111111"/>
          <w:sz w:val="28"/>
          <w:sz w:val="28"/>
          <w:szCs w:val="28"/>
          <w:rtl w:val="true"/>
          <w:lang w:bidi="fa-IR"/>
        </w:rPr>
        <w:t>محمّد، عن أبيه، عن جدّه عليهم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صلّي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أوّلهم عليّ بن أبي طالب، و آخرهم القائم، فهم خلفائي و أوصيائي و أوليائي و حجج اللّه علی امّتي بعدي، المقرّ بهم مؤمن، و المنكر لهم كافر</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السناني رضي اللّه عنه، عن محمّد بن أبي عبد اللّه الأسدي الكوفي، عن موسي بن عمران النخعي، عن عمّه الحسين بن يزيد النوفلي، عن عليّ بن سالم، عن أبي بصير، عن أبي عبد اللّه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تعالی لا يوصف بزمان، و لا مكان، و لا حركة، و لا انتقال، و لا سكون، بل هو خالق الزمان و المكان و الحركة و السكون و الانتقال، تعالی عمّا يقول الظالمون علوّا كبيرا</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الأسدي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عمران النخعي، عن عمّه الحسين بن يزيد، عن عليّ بن سالم، عن أبيه، عن سعد بن طريف، عن سعيد بن جبير،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اله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إمام المسلمين، و أمير المؤمنين، و قائد الغرّ </w:t>
      </w:r>
    </w:p>
    <w:p>
      <w:pPr>
        <w:pStyle w:val="BookText"/>
        <w:rPr/>
      </w:pPr>
      <w:r>
        <w:rPr>
          <w:rFonts w:ascii="Amiri" w:hAnsi="Amiri" w:eastAsia="Amiri" w:cs="Amiri"/>
          <w:color w:val="111111"/>
          <w:sz w:val="28"/>
          <w:sz w:val="28"/>
          <w:szCs w:val="28"/>
          <w:rtl w:val="true"/>
          <w:lang w:bidi="ar-SA"/>
        </w:rPr>
        <w:t>المحجّلين، و حجّة اللّه بعدي علی الخلق أجمعين، و سيّد الوصيّين، و وصيّ سيّد النبيّين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إنّه لمّا عرج بي إلی السماء السابعة، و منها إلی سدرة المنتهي، و منها إلی حجب النور، و أكرمني ربّي جلّ جلاله بمناجاته،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 سعديك، تباركت و تعاليت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إمام أوليائي، و نور لمن أطاعني، و هو الكلمة التي ألزمتها المتّقين، من أطاعه أطاعني، و من عصاه عصاني، فبشّره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بلغ من قدري حتّي إنّي اذكر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عليّ، فاشكر ربّك، فخرّ عليّ عليه السّلام ساجدا شكرا للّه علی ما أنعم به عليه، فقال له رسول اللّه صلّي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 يا عليّ، فإنّ اللّه قد باهي بك ملائكته</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بن عمران النخعي، عن عمّه الحسين بن يزيد النوفلي، عن عليّ بن سالم، عن أبيه، عن ثابت </w:t>
      </w:r>
    </w:p>
    <w:p>
      <w:pPr>
        <w:pStyle w:val="BookText"/>
        <w:rPr/>
      </w:pPr>
      <w:r>
        <w:rPr>
          <w:rFonts w:ascii="Amiri" w:hAnsi="Amiri" w:eastAsia="Amiri" w:cs="Amiri"/>
          <w:color w:val="111111"/>
          <w:sz w:val="28"/>
          <w:sz w:val="28"/>
          <w:szCs w:val="28"/>
          <w:rtl w:val="true"/>
          <w:lang w:bidi="ar-SA"/>
        </w:rPr>
        <w:t>ابن أبي صفيّة، عن سعيد بن جبير،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يجمع اللّه له الخير كلّه فليوال عليّا بعدي، و ليوال أولياءه، و ليعاد أعداءه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الجليل أبو جعفر محمّد بن عليّ بن الحسين بن موسي بن بابويه القمّي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موسي الدقّاق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عمران النخعي، عن عمّه الحسين بن يزيد النوفلي، عن عليّ بن أبي حمزة، عن يحيي بن أبي إسحاق، عن الصادق جعفر بن محمّد، عن أبيه، عن جدّه، عن أبيه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النبيّ صلّي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و آدم في الجنّة؟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صلبه، و هبط بي إلی الأرض في صلبه، و ركبت السفينة في صلب أبي نوح، و قذف بي في النار في صلب أبي إبراهيم، لم يلتق لي أبوان علی سفاح قطّ، و لم يزل اللّه عزّ و جلّ ينقلني من الأصلاب الطيّبة إلی الأرحام الطاهرة هاديا مهديّا حتّي أخذ اللّه بالنبوّة عهدي، و بالإسلام ميثاقي، و بيّن كلّ شيء من صفتي، و أثبت في التوراة و الإنجيل ذكري، و رقي بي إلی سمائه، و شقّ لي اسما من أسمائه </w:t>
      </w:r>
    </w:p>
    <w:p>
      <w:pPr>
        <w:pStyle w:val="BookText"/>
        <w:rPr/>
      </w:pPr>
      <w:r>
        <w:rPr>
          <w:rFonts w:ascii="Amiri" w:hAnsi="Amiri" w:eastAsia="Amiri" w:cs="Amiri"/>
          <w:color w:val="111111"/>
          <w:sz w:val="28"/>
          <w:sz w:val="28"/>
          <w:szCs w:val="28"/>
          <w:rtl w:val="true"/>
          <w:lang w:bidi="ar-SA"/>
        </w:rPr>
        <w:t>الحسني، امّتي الحمّادون، فذو العرش محمود و أنا محمّد</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موسي بن المتوكّل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عن موسي بن عمران النخعي، عن عمّه الحسين بن يزيد النوفلي، عن عليّ بن سالم، عن أبيه، عن أبي حمزة الثمالي، عن سعد الخفّاف، عن الأصبغ بن نباتة، عن عبد اللّه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صلّي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إلی السماء السابعة، و منها إلی سدرة المنتهي، و من السدرة إلی حجب النور، ناداني ربّي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أنت عبدي و أنا ربّك، فلي فاخضع، و إيّاي فاعبد، و عليّ فتوكّل، و بي فثق، فإنّي قد رضيت بك عبدا و حبيبا و رسولا و 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بأخيك عليّ خليفة و بابا، فهو حجّتي علی عبادي، و إمام لخلقي، به يعرف أوليائي من أعدائي، و به يميّز حزب الشيطان من حزبي، و به يقام ديني، و تحفظ حدودي، و تنفذ أحكامي، و بك و به و بالأئمّة من ولده أرحم عبادي و إمائي</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بالقائم منكم أعمر أرضي بتسبيحي و تهليلي و تقديسي و تكبيري و تمجيدي، و به اطهّر الأرض من أعدائي، و اورثها أوليائي، و به أجعل </w:t>
      </w:r>
    </w:p>
    <w:p>
      <w:pPr>
        <w:pStyle w:val="BookText"/>
        <w:rPr/>
      </w:pPr>
      <w:r>
        <w:rPr>
          <w:rFonts w:ascii="IRNazanin" w:hAnsi="IRNazanin" w:eastAsia="IRNazanin"/>
          <w:color w:val="111111"/>
          <w:sz w:val="28"/>
          <w:sz w:val="28"/>
          <w:szCs w:val="28"/>
          <w:rtl w:val="true"/>
          <w:lang w:bidi="fa-IR"/>
        </w:rPr>
        <w:t>كلمة الذين كفروا بي السفلي، و كلمتي العليا، و به أحيي عبادي و بلادي بعلمي، و له اظهر الكنوز و الذخائر بمشيئتي، و إيّاه أظهر علی الأسرار و الضمائر بإرادتي، و أمدّه بملائكتي لتؤيّده علی إنفاذ أمري، و إعلان ديني، ذلك وليّي حقّا، و مهدي عبادي صدقا</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عمران النخعي، عن عمّه الحسين بن يزيد، عن الحسن بن عليّ بن أبي حمزة،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دفنت فاطمة عليها السّلام بالليل و لم تدفن بالنهار؟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أوصت أن لا يصلّي عليها الرجلان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أحمد بن موسي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عمران النخعي، عن عمّه الحسين بن يزيد، عن عليّ بن أبي حمزة، عن يحيي بن أبي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الصادق جعفر بن محمّد عليهما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رَیْبَ فِیهِ هُديً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p>
    <w:p>
      <w:pPr>
        <w:pStyle w:val="BookText"/>
        <w:rPr/>
      </w:pPr>
      <w:r>
        <w:rPr>
          <w:rFonts w:ascii="Amiri" w:hAnsi="Amiri" w:eastAsia="Amiri" w:cs="Amiri"/>
          <w:color w:val="111111"/>
          <w:sz w:val="28"/>
          <w:sz w:val="28"/>
          <w:szCs w:val="28"/>
          <w:rtl w:val="true"/>
          <w:lang w:bidi="ar-SA"/>
        </w:rPr>
        <w:t>یُؤْمِنُونَ بِالْغَیْبِ</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شيعة عليّ عليه السّلام، و الغيب فهو الحجّة الغائب، و شاهد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یَقُولُونَ لَوْ لا أُنْزِلَ عَلَیْهِ آیَةٌ مِنْ رَبِّهِ فَقُلْ إِنَّمَا الْغَیْبُ لِلّهِ فَانْتَظِرُوا إِنِّی مَعَكُمْ مِنَ الْمُنْتَظِرِینَ</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فأخبر عزّ و جلّ أنّ الآية هي الغيب، و الغيب هو الحجّة، و تصديق ذلك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ابْنَ مَرْیَمَ وَ أُمَّهُ آیَةً</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يعني حجّة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الروايات المميّزة التي رواها بالسند المعروف المتكرّر عن ابن عبّاس، عن رسول اللّه صلّي اللّه عليه و اله ظلامة فاطمة، و غصبها حقّها، و ضرب جنبها، و إسقاط جنينها، رواه الصدوق في الأمالي</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الحموي في فرائد السمطين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غيرها من الروايات، و هي دالّة علی روايته لغوامض المعارف و لبابها</w:t>
      </w:r>
      <w:r>
        <w:rPr>
          <w:rFonts w:eastAsia="IRNazanin" w:cs="IRNazanin"/>
          <w:color w:val="111111"/>
          <w:sz w:val="28"/>
          <w:szCs w:val="28"/>
          <w:rtl w:val="true"/>
          <w:lang w:bidi="fa-IR"/>
        </w:rPr>
        <w:t xml:space="preserve">. </w:t>
      </w:r>
      <w:bookmarkStart w:id="45" w:name="pg20517_205397"/>
    </w:p>
    <w:p>
      <w:pPr>
        <w:pStyle w:val="Heading3"/>
        <w:numPr>
          <w:ilvl w:val="2"/>
          <w:numId w:val="1"/>
        </w:numPr>
        <w:rPr/>
      </w:pPr>
      <w:bookmarkStart w:id="46" w:name="__RefHeading___Toc10141170_3381743652"/>
      <w:bookmarkStart w:id="47" w:name="_Toc15"/>
      <w:bookmarkEnd w:id="45"/>
      <w:bookmarkEnd w:id="46"/>
      <w:r>
        <w:rPr>
          <w:rtl w:val="true"/>
        </w:rPr>
        <w:t>السادس</w:t>
      </w:r>
      <w:r>
        <w:rPr>
          <w:rtl w:val="true"/>
        </w:rPr>
        <w:t xml:space="preserve">: </w:t>
      </w:r>
      <w:r>
        <w:rPr>
          <w:rtl w:val="true"/>
        </w:rPr>
        <w:t>توثيق الأعلام للنخعي و اعتمادهم و استشهادهم بالزيارة</w:t>
      </w:r>
      <w:bookmarkEnd w:id="47"/>
    </w:p>
    <w:p>
      <w:pPr>
        <w:pStyle w:val="Heading4"/>
        <w:numPr>
          <w:ilvl w:val="3"/>
          <w:numId w:val="1"/>
        </w:numPr>
        <w:rPr/>
      </w:pPr>
      <w:bookmarkStart w:id="48" w:name="__RefHeading___Toc10141172_3381743652"/>
      <w:bookmarkStart w:id="49" w:name="_Toc16"/>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 xml:space="preserve">توثيق العلماء لموسي بن عمران النخعي، فقد وثّقه السيّد الخوئي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لروايته عن تفسير القمّي</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فيه المامقاني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روايته لها دلالة واضحة علی كونه إماميّا صحيح الاعتقاد، بل في تلقين مولانا الهادي عليه السّلام شهادة علی كون الرجل من الحسان مقبول الرواية لهم، و عدم ذكره في كتاب الرجال غير قادح فيه</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10141174_3381743652"/>
      <w:bookmarkStart w:id="51" w:name="_Toc17"/>
      <w:bookmarkEnd w:id="50"/>
      <w:r>
        <w:rPr>
          <w:rtl w:val="true"/>
        </w:rPr>
        <w:t>أقوال العلماء في سند و متن الزيارة</w:t>
      </w:r>
      <w:bookmarkEnd w:id="51"/>
    </w:p>
    <w:p>
      <w:pPr>
        <w:pStyle w:val="BookText"/>
        <w:rPr/>
      </w:pPr>
      <w:r>
        <w:rPr>
          <w:rFonts w:ascii="Amiri" w:hAnsi="Amiri" w:eastAsia="Amiri" w:cs="Amiri"/>
          <w:color w:val="111111"/>
          <w:sz w:val="28"/>
          <w:sz w:val="28"/>
          <w:szCs w:val="28"/>
          <w:rtl w:val="true"/>
          <w:lang w:bidi="ar-SA"/>
        </w:rPr>
        <w:t xml:space="preserve">يقول العلاّمة المجلسي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أرقي الزيارات الجامعة متنا و سندا، و هي أفصحها و أبلغها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المولي محمّد تقي المجلسي قدّس سرّه في شرح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الزيارات لأمير المؤمنين و لباقي الأئمّة عليهم السّلام كثيرة كثرة، أحسنها الزيارة الجامعة التي سنذكرها مشروحة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انّها أكمل الزيارات و أحسنها، بل بعد تلك الرؤيا أكثر الأوقات أزور الأئمّة عليهم السّلام بهذه الزيارة، و في العتبات العاليات ما زرتهم إلاّ بهذه الزيارة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كان ذلك بعد مكاشفته اللطيفة التي يقول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وفّقني اللّه تعالی لزيارة أمير المؤمنين عليه السّلام و شرعت في حوالي الروضة المقدّسة في المجاهدات، و فتح اللّه تعالی عليّ ببركة مولانا عليه السّلام أبواب المكاشفات التي لا تحتملها العقول الضعيفة، رأيت في ذلك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 بين النوم و اليقظة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كنت في رواق عمران جالسا إنّي بسرّ من 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رأيت مشهدهما في نهاية الارتفاع و الزينة، و رأيت علی قبرهما لباسا أخضر من لباس الجنّة، لأنّه لم أر مثله في الدنيا، و رأيت مولانا و مولي الأنام صاحب العصر و الزمان عليه السّلام جالسا، ظهره علی القبر و وجهه إلی الباب، فلمّا رأيته شرعت في هذه الزيارة بالصوت المرتفع كالمدّاحين، فلمّا أتممتها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الزيارة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روحي فداك، زيارة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أشرت نحو القبر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ادخل، فلمّا دخلت وقفت قريبا من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أخاف أن أصير كافرا بترك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بإذننا، فتقدّمت قليلا و كنت خائفا مرتعشا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حتّي صرت قريبا منه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جلست جلسة العبيد بين يدي المولي الجليل،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استرح و اجلس مربعا، فإنّك تعبت، جئت ماشيا حافيا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أنّه وقع منه عليه السّلام بالنسبة إلی عبده ألطاف عظيمة و مكالمات لطيفة لا يمكن عدّها و نسيت أكثرها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انتبهت من تلك الرؤيا، و حصل في اليوم أسباب الزيارة بعد كون الطريق مسدودة في مدّة طويلة، و بعد ما حصل الموانع العظيمة ارتفعت بفضل اللّه و تيسّرت الزيارة بالمشي و الحفا، كما قاله الصاحب عليه 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ليلة في الروضة المقدّسة و زرت مكرّرا بهذه الزيارة، و ظهر </w:t>
      </w:r>
    </w:p>
    <w:p>
      <w:pPr>
        <w:pStyle w:val="BookText"/>
        <w:rPr/>
      </w:pPr>
      <w:r>
        <w:rPr>
          <w:rFonts w:ascii="Amiri" w:hAnsi="Amiri" w:eastAsia="Amiri" w:cs="Amiri"/>
          <w:color w:val="111111"/>
          <w:sz w:val="28"/>
          <w:sz w:val="28"/>
          <w:szCs w:val="28"/>
          <w:rtl w:val="true"/>
          <w:lang w:bidi="ar-SA"/>
        </w:rPr>
        <w:t xml:space="preserve">في الطريق و في الروضة كرامات عجيبة، بل معجزات غريبة يطول ذكرها، فالحاصل أنّه لا شكّ لي أنّ هذه الزيارة من أبي الحسن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بتقرير الصاحب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أكمل الزيارات و أحسنها، بل بعد تلك الرؤيا أكثر الأوقات أزور الأئمّة عليهم السّلام بهذه الزيارة، و في العتبات العاليات ما زرتهم إلاّ بهذه الزيارة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العلاّمة السيّد عبد اللّه شبّر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يخفي علی اولي البصائر النقّادة، و أرباب الأذهان الوقّادة، و ذوي العقول السليمة، و أصحاب الأفهام المستقيمة، أنّ الزيارة الجامعة الكبيرة أعظم الزيارات شأنا، و أعلاها مكانة و مكانا، و أنّ فصاحة ألفاظها و فقراتها، و بلاغة مضامينها و عباراتها، تنادي بصدورها من عين صافية نبعت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الإلهام، و تدعو إلی أنّها خرجت من ألسنة نواميس الدين و معاقل الأنام، فإنّها فوق كلام المخلوق و تحت كلام الخالق الملك العلاّم، قد اشتملت علی الإشارة إلی جملة من الأدلّة و البراهين المتعلّقة بمعارف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أسرار الأئمّة الطاهرين، و مظاهر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احتوت علی رياض نضرة، و حدائق خضرة، مزيّنة بأزهار المعارف و الحكمة، محفوفة بثمار أسرار أهل بيت العصمة، و قد تضمّنت شطرا </w:t>
      </w:r>
      <w:bookmarkStart w:id="52" w:name="pg20517_205401"/>
    </w:p>
    <w:p>
      <w:pPr>
        <w:pStyle w:val="BookText"/>
        <w:rPr/>
      </w:pPr>
      <w:bookmarkEnd w:id="52"/>
      <w:r>
        <w:rPr>
          <w:rFonts w:ascii="IRNazanin" w:hAnsi="IRNazanin" w:eastAsia="IRNazanin"/>
          <w:color w:val="111111"/>
          <w:sz w:val="28"/>
          <w:sz w:val="28"/>
          <w:szCs w:val="28"/>
          <w:rtl w:val="true"/>
          <w:lang w:bidi="fa-IR"/>
        </w:rPr>
        <w:t>و افرا من حقوق اولي الأمر الذين أمر اللّه بطاعتهم، و أهل البيت الذين حثّ اللّه علی متابعتهم، و ذوي القرب الذين أمر اللّه بمودّتهم، و أهل الذكر الذين أمر اللّه بمسألتهم، مع الإشارة إلی آيات فرقانيّة، و روايات نبويّة، و أسرار إلهيّة، و علوم غيبيّة، و مكاشفات حقّيّة، و 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إلي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هذه الزيارة قد رواها جملة من أساطين الدين، و حملة علوم الأئمّة الطاهرين، و قد اشتهرت بين الشيعة الأبرار اشتهار الشمس في رابعة النهار، و جواهر مبانيها، و أنوار معانيها، دلائل حقّ، و شواهد صدق، علی صدورها عن صدور حملة العلوم الربّانيّة، و أرباب الأسرار الفرقانيّة، المخلوقين من الأنوار الإلهيّة، فهي كسائر كلامهم الذي يغني فصاحة مضمونة، و بلاغة مشحونة عن ملاحظة سنده، كنهج البلاغة و الصحيفة السجّاديّة، و أكثر الدعوات و المناجات</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10141176_3381743652"/>
      <w:bookmarkStart w:id="54" w:name="_Toc18"/>
      <w:bookmarkEnd w:id="53"/>
      <w:r>
        <w:rPr>
          <w:rtl w:val="true"/>
        </w:rPr>
        <w:t>استشهاد العلماء بالزيارة</w:t>
      </w:r>
      <w:bookmarkEnd w:id="54"/>
    </w:p>
    <w:p>
      <w:pPr>
        <w:pStyle w:val="BookText"/>
        <w:rPr/>
      </w:pPr>
      <w:r>
        <w:rPr>
          <w:rFonts w:ascii="IRNazanin" w:hAnsi="IRNazanin" w:eastAsia="IRNazanin"/>
          <w:color w:val="111111"/>
          <w:sz w:val="28"/>
          <w:sz w:val="28"/>
          <w:szCs w:val="28"/>
          <w:rtl w:val="true"/>
          <w:lang w:bidi="fa-IR"/>
        </w:rPr>
        <w:t>ما فتئ العلماء يعتمدون علی الاستشهاد بالزيارة الجامعة، و نذكر ما قاله بعض منهم علی سبيل المثال لا الحصر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شرف الدين الحسيني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نحو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تأويل الآيات الواردة في سورة الغاشية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أحدّثهم بتفسير جابر؟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 السفلة فيذيعوه، أما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 جمع اللّه الأوّلين و الآخرين، ولاّنا حساب شيعتنا، فما كان بينهم و بين اللّه حكمنا علی اللّه فيه، فأجاز حكومتنا، و ما كان بينهم و بين الناس استوهبناه فوهبوه لنا، و ما كان بيننا و بينهم فنحن أحقّ من عفا و صفح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 ذلك ما جاء في الزيارة الجامعة المرويّة عن الهادي عليه السّلام،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إِيَابُ الْخَلْقِ إِلَيْكُمْ، وَ حِسَابُهُمْ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معني هذا التأويل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الضمير في إلينا و علينا راجع إلی اللّه تعالي</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راجع إليهم عليهم السّلام؛ و ذلك لأنّهم ولاة أمره و نهيه في الدنيا و الآخرة، و الأمر كلّه للّه، فلمن شاء من خلقه جعله إليه، </w:t>
      </w:r>
    </w:p>
    <w:p>
      <w:pPr>
        <w:pStyle w:val="BookText"/>
        <w:rPr/>
      </w:pPr>
      <w:r>
        <w:rPr>
          <w:rFonts w:ascii="Amiri" w:hAnsi="Amiri" w:eastAsia="Amiri" w:cs="Amiri"/>
          <w:color w:val="111111"/>
          <w:sz w:val="28"/>
          <w:sz w:val="28"/>
          <w:szCs w:val="28"/>
          <w:rtl w:val="true"/>
          <w:lang w:bidi="ar-SA"/>
        </w:rPr>
        <w:t>و لا شكّ أنّ رجوع الخلق يوم القيامة إليهم، و حسابهم عليهم، فيدخلون وليّهم الجنّة، و عدوّهم النار، كما ورد في كثير من الأخبار</w:t>
      </w:r>
    </w:p>
    <w:p>
      <w:pPr>
        <w:pStyle w:val="BookText"/>
        <w:rPr/>
      </w:pPr>
      <w:r>
        <w:rPr>
          <w:rFonts w:ascii="Amiri" w:hAnsi="Amiri" w:eastAsia="Amiri" w:cs="Amiri"/>
          <w:color w:val="111111"/>
          <w:sz w:val="28"/>
          <w:sz w:val="28"/>
          <w:szCs w:val="28"/>
          <w:rtl w:val="true"/>
          <w:lang w:bidi="ar-SA"/>
        </w:rPr>
        <w:t>أنّ أمير المؤمنين عليه السّلام قسيم الجنّة و النّار</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السيّد صدر الدين الطباطبائي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صلّي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من شجرة واحدة، و سائر الناس من شجر 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المعني بالواحدة ليس المعني الذي تفيده التاء بمعني الوحدة الظاهريّة التي مناطها التشخيص الوحداني بحسب الوجود العيني، بل الواحدة الذاتيّة الواقعيّة المعنويّة، التي تشبه أن يكون مضمونه ما في الزيارة الجامعة عطفا علی ما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أَرْوَاحَكُمْ وَ نُورَكُمْ وَ طِينَتَكُمْ وَاحِدَةٌ، طَابَتْ وَ طَهُرَتْ بَعْضُهَا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علی هذا قوله صلّي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لشجرة باعتبار الكثرة المقابلة لهذه الوحدة، فلا يضادّه التاء</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الشيخ الأنصاري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الكلام في الخوارج يظهر ممّا ذكرنا في الناصب فإنّهم أشدّ النواصب، مضافا إلی إطلاق المشرك عليهم في بعض الأخبار، كما في قوله عليه السّلام في خارجي </w:t>
      </w:r>
    </w:p>
    <w:p>
      <w:pPr>
        <w:pStyle w:val="BookText"/>
        <w:rPr/>
      </w:pPr>
      <w:r>
        <w:rPr>
          <w:rFonts w:ascii="Amiri" w:hAnsi="Amiri" w:eastAsia="Amiri" w:cs="Amiri"/>
          <w:color w:val="111111"/>
          <w:sz w:val="28"/>
          <w:sz w:val="28"/>
          <w:szCs w:val="28"/>
          <w:rtl w:val="true"/>
          <w:lang w:bidi="ar-SA"/>
        </w:rPr>
        <w:t>دخل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مشرك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حَارَبَكُمْ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نجاستهم إجماعيّة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الملاّ هادي السبزواري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صلّي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خلق اللّه روحي أو عقلي أو 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نبيّا و آدم بين الماء و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اليمين، و بالأخبار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المقرّبون، لكنّهما كالظرف و المجرور، و كالفقير و المسكين، إذا اجتمعا افترقا، و إذا افترقا اجتمعا، فمن موارد الاجتماع مثل ما هاهنا ما في الزيارة الجامعة الكبيرة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نُورُ الْأَخْيَارِ، وَ هُدَاةُ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بمعناه أيضا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المولي محمّد التبريزي الأنصاري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معني تسمية الزهراء عليها السّلام بالمشكاة، في تفسيره لآية النور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المشكاة هي فاطمة الزهراء عليها السّلام، و هذا المصباح يوقد من شجرة الحقيقة المحمّديّة، و هي الزيتونة المباركة لبركة آثارها، و عدم تناهي </w:t>
      </w:r>
    </w:p>
    <w:p>
      <w:pPr>
        <w:pStyle w:val="BookText"/>
        <w:rPr/>
      </w:pPr>
      <w:r>
        <w:rPr>
          <w:rFonts w:ascii="Amiri" w:hAnsi="Amiri" w:eastAsia="Amiri" w:cs="Amiri"/>
          <w:color w:val="111111"/>
          <w:sz w:val="28"/>
          <w:sz w:val="28"/>
          <w:szCs w:val="28"/>
          <w:rtl w:val="true"/>
          <w:lang w:bidi="ar-SA"/>
        </w:rPr>
        <w:t>أطوارها، و في الزيارة الجامعة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مَحَالِّ مَعْرِفَةِ اللَّهِ، وَ مَسَاكِنِ بَرَكَةِ اللَّهِ، وَ مَعَادِنِ حِكْمَةِ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فهي مباركة لإفاضة جميع الفيوضات التشريعيّة و التكوينيّة منها، و هي الشجرة الكلّيّة النابتة 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بيداء الإبداع و الاختراع، و صحراء المشيئة و الإرادة، لتشعّب وجوه تعلّقاتها بذرّات الوجود التي لا تتناهي في مراتب الإمكان شعوبا و قبائل، و هي أصل البركة و فرعها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 الْخَيْرِ كُنْتُمْ أَوَّلَهُ وَ أَصْلَهُ وَ 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الشيخ الأصفهاني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إطاعتهم عليهم السّلام في أوامرهم الشرعيّة إطاعة بالذات للآمر، و إطاعة بالعرض لمن جري علی لسانه أمره تعالي، و الإطاعة التي تكون إطاعة لهم بالذات و تكون إطاعة له تعالی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أنّهم منسوبون إليه المدلول عليها بقوله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أَطَاعَكُمْ فَقَدْ أَطَاعَ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إطاعتهم في أوامرهم الشخصيّة، فالنبوّة و الإمامة حيثيّة تعليليّة لوجوب إطاعة أوامرهم الشخصيّة، و ما ورد في باب إطاعتهم عليهم السّلام أولی بالشمول لمثل هذه الإطاعة من إطاعة أوامرهم الشرعيّة، فإنّها إطاعة للأمر الإلهي بالحقيقة، و لزومها بديهي لا يحتاج إلی المبالغة في الإلزام </w:t>
      </w:r>
    </w:p>
    <w:p>
      <w:pPr>
        <w:pStyle w:val="BookText"/>
        <w:rPr/>
      </w:pPr>
      <w:r>
        <w:rPr>
          <w:rFonts w:ascii="Amiri" w:hAnsi="Amiri" w:eastAsia="Amiri" w:cs="Amiri"/>
          <w:color w:val="111111"/>
          <w:sz w:val="28"/>
          <w:sz w:val="28"/>
          <w:szCs w:val="28"/>
          <w:rtl w:val="true"/>
          <w:lang w:bidi="ar-SA"/>
        </w:rPr>
        <w:t>بها، كما لا يخفي</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السيّد الخوئي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يشبهها من الضلالات، و يدلّ عليه قوله عليه السّلام 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جَحَدَكُمْ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وَحَّدَهُ قَبِلَ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ينتج بعكس النقيض، أنّ من لم يقبل عنكم لم يوحّده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يقول كذلك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ورد في الزيارة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وَحَّدَهُ قَبِلَ عَنْكُمْ، فإنّه ينتج بعكس النقيض، أنّ من لم يقبل منهم فهو غير موحّد 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الواردة بهذا المضمون و إن كانت من الكثرة بمكان، إلاّ أنّه لا دلالة لها علی نجاسة ليس هو في مقابل الإسلام، و إنّما هو في مقابل الإيمان، كما أشرنا إليه سابقا</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السيّد الگلپايگاني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ظاهرها كفرهم مطلقا، سواء كان من علم أو عن جهل مركّب، و منها رواية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أبي جعفر عليه السّلام رجل محصور عظيم البطن، فجلس معه علی سريره، فحيّاه و رحّب به، فلمّا 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الخوارج كما هو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 و اللّه مشرك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المشرك هو الكافر، و قد مرّ ذلك الخبر في أوائل الكتاب، و 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حَارَبَكُمْ مُشْرِكٌ</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55" w:name="pg20517_205408"/>
    </w:p>
    <w:p>
      <w:pPr>
        <w:pStyle w:val="Heading4"/>
        <w:numPr>
          <w:ilvl w:val="3"/>
          <w:numId w:val="1"/>
        </w:numPr>
        <w:rPr/>
      </w:pPr>
      <w:bookmarkStart w:id="56" w:name="__RefHeading___Toc10141178_3381743652"/>
      <w:bookmarkStart w:id="57" w:name="_Toc19"/>
      <w:bookmarkEnd w:id="55"/>
      <w:bookmarkEnd w:id="56"/>
      <w:r>
        <w:rPr>
          <w:rtl w:val="true"/>
        </w:rPr>
        <w:t xml:space="preserve">الإمام صاحب الزمان </w:t>
      </w:r>
      <w:r>
        <w:rPr>
          <w:rtl w:val="true"/>
        </w:rPr>
        <w:t>(</w:t>
      </w:r>
      <w:r>
        <w:rPr>
          <w:rtl w:val="true"/>
        </w:rPr>
        <w:t>عجل الله تعالی فرجه الشريف</w:t>
      </w:r>
      <w:r>
        <w:rPr>
          <w:rtl w:val="true"/>
        </w:rPr>
        <w:t xml:space="preserve">) </w:t>
      </w:r>
      <w:r>
        <w:rPr>
          <w:rtl w:val="true"/>
        </w:rPr>
        <w:t>و الزيارة الجامعة</w:t>
      </w:r>
      <w:bookmarkEnd w:id="57"/>
    </w:p>
    <w:p>
      <w:pPr>
        <w:pStyle w:val="BookText"/>
        <w:rPr/>
      </w:pPr>
      <w:r>
        <w:rPr>
          <w:rFonts w:ascii="Amiri" w:hAnsi="Amiri" w:eastAsia="Amiri" w:cs="Amiri"/>
          <w:color w:val="111111"/>
          <w:sz w:val="28"/>
          <w:sz w:val="28"/>
          <w:szCs w:val="28"/>
          <w:rtl w:val="true"/>
          <w:lang w:bidi="ar-SA"/>
        </w:rPr>
        <w:t>نقل المحقّق الميرزا حسين النوري الطبرسي قدّس سرّه قصّة تشرّف أحد الصلحاء بالإمام صاحب العصر عجّل اللّه فرجه، و وصيّته بقراءة هذه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الميرزا النوري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النجف الأشرف منذ سبع عشرة سنة تقريبا التقيّ الصالح السيّد أحمد ابن السيّد هاشم ابن السيّد حسن الموسوي الرشتي أيّده اللّه، و هو من تجّار مدينة رشت، فزارني في بيتي بصحبة العالم الربّاني، و الفاضل الصمداني الشيخ الرشتي طاب ثراه الآتي ذكره في القصّة الآتية إن شاء اللّه، فلمّا نهضا للخروج نبّهني الشيخ إلی أنّ السيّد أحمد من الصلحاء المسدّدين، و لمّح إلی أنّ له قصّة غريبة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فتشرّف السيّد أحمد الرشتي بلقاء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صاحبي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صاحب الزمان عجّل اللّه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العنان، فناولته إيّاه، فأخذ العنان بيمناه، و وضع المسحاة علی عاتقه الأيسر، و أخذ في المسير، فطاوعه الفرس أيسر المطاوعة، ثمّ وضع يده علی ركبتي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تتركون زيارة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كرّرها ثلاث مرّات؟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تزورون بالزيارة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الجامعة، الجامعة،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الزيارة في مكاشفة المولي محمّد تقي المجلسي قدّس سرّه المذكورة آنفا عندما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الزيارة</w:t>
      </w:r>
      <w:r>
        <w:rPr>
          <w:rFonts w:eastAsia="Amiri" w:cs="Amiri" w:ascii="Amiri" w:hAnsi="Amiri"/>
          <w:color w:val="111111"/>
          <w:sz w:val="28"/>
          <w:szCs w:val="28"/>
          <w:rtl w:val="true"/>
          <w:lang w:bidi="ar-SA"/>
        </w:rPr>
        <w:t xml:space="preserve">. </w:t>
      </w:r>
      <w:bookmarkStart w:id="58" w:name="pg20517_205410"/>
    </w:p>
    <w:p>
      <w:pPr>
        <w:pStyle w:val="Heading4"/>
        <w:numPr>
          <w:ilvl w:val="3"/>
          <w:numId w:val="1"/>
        </w:numPr>
        <w:rPr/>
      </w:pPr>
      <w:bookmarkStart w:id="59" w:name="__RefHeading___Toc10141180_3381743652"/>
      <w:bookmarkStart w:id="60" w:name="_Toc20"/>
      <w:bookmarkEnd w:id="58"/>
      <w:bookmarkEnd w:id="59"/>
      <w:r>
        <w:rPr>
          <w:rtl w:val="true"/>
        </w:rPr>
        <w:t>الزيارة الجامعة الكاملة</w:t>
      </w:r>
      <w:bookmarkEnd w:id="60"/>
    </w:p>
    <w:p>
      <w:pPr>
        <w:pStyle w:val="BookText"/>
        <w:rPr/>
      </w:pPr>
      <w:r>
        <w:rPr>
          <w:rFonts w:ascii="Amiri" w:hAnsi="Amiri" w:eastAsia="Amiri" w:cs="Amiri"/>
          <w:color w:val="111111"/>
          <w:sz w:val="28"/>
          <w:sz w:val="28"/>
          <w:szCs w:val="28"/>
          <w:rtl w:val="true"/>
          <w:lang w:bidi="ar-SA"/>
        </w:rPr>
        <w:t>ثمّ إنّ هذه الزيارة العظيمة لها صورة اخري أطول، غير الطريق الذي رواه الصدوق و الشيخ رحمهما اللّه، و قد روي تلك الصورة المطوّلة الشيخ الكفعمي رحمه اللّه في البلد الأمين</w:t>
      </w:r>
      <w:r>
        <w:rPr>
          <w:rStyle w:val="FootnoteAnchor"/>
          <w:rtl w:val="true"/>
        </w:rPr>
        <w:footnoteReference w:id="59"/>
      </w:r>
      <w:r>
        <w:rPr>
          <w:rFonts w:ascii="Amiri" w:hAnsi="Amiri" w:eastAsia="Amiri" w:cs="Amiri"/>
          <w:color w:val="111111"/>
          <w:sz w:val="28"/>
          <w:sz w:val="28"/>
          <w:szCs w:val="28"/>
          <w:rtl w:val="true"/>
          <w:lang w:bidi="ar-SA"/>
        </w:rPr>
        <w:t>، و الميرزا النوري رحمه اللّه في المستدرك في أبواب الزيارات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العلاّمة المجلسي رحمه اللّه الزيادات في زيارات جامعة اخري</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قد ألّف الميرزا النوري قدّس سرّه كتابا خاصّا بالزيارة الجامعة الكاملة، و قد طبع في تبريز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 الشيخ عبّاس القمّي رحمه اللّه متن الزيارة الكاملة في ما تمّمه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النوري</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61" w:name="pg20517_205411"/>
    </w:p>
    <w:p>
      <w:pPr>
        <w:pStyle w:val="Heading2"/>
        <w:numPr>
          <w:ilvl w:val="1"/>
          <w:numId w:val="1"/>
        </w:numPr>
        <w:rPr/>
      </w:pPr>
      <w:bookmarkStart w:id="62" w:name="__RefHeading___Toc10141182_3381743652"/>
      <w:bookmarkStart w:id="63" w:name="_Toc21"/>
      <w:bookmarkEnd w:id="61"/>
      <w:bookmarkEnd w:id="62"/>
      <w:r>
        <w:rPr>
          <w:rtl w:val="true"/>
        </w:rPr>
        <w:t>القسم الثاني ردّ الشبهات</w:t>
      </w:r>
      <w:bookmarkEnd w:id="6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10141184_3381743652"/>
      <w:bookmarkStart w:id="65" w:name="_Toc22"/>
      <w:bookmarkEnd w:id="64"/>
      <w:r>
        <w:rPr>
          <w:rtl w:val="true"/>
        </w:rPr>
        <w:t>اشارة</w:t>
      </w:r>
      <w:bookmarkEnd w:id="6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20517_205413"/>
      <w:bookmarkStart w:id="67" w:name="pg20517_205413"/>
      <w:bookmarkEnd w:id="67"/>
    </w:p>
    <w:p>
      <w:pPr>
        <w:pStyle w:val="BookText"/>
        <w:rPr/>
      </w:pPr>
      <w:bookmarkStart w:id="68" w:name="pg20517_205413"/>
      <w:bookmarkEnd w:id="68"/>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الصلاة و السلام علی أفضل الأنبياء و خاتم المرسلين محمّد و آل بيته الطيّبين الطاهرين، و اللعن الدائم علی أعدائهم أجمعين إلی قيام يوم الدين</w:t>
      </w:r>
    </w:p>
    <w:p>
      <w:pPr>
        <w:pStyle w:val="Heading3"/>
        <w:numPr>
          <w:ilvl w:val="2"/>
          <w:numId w:val="1"/>
        </w:numPr>
        <w:rPr/>
      </w:pPr>
      <w:bookmarkStart w:id="69" w:name="__RefHeading___Toc10141186_3381743652"/>
      <w:bookmarkStart w:id="70" w:name="_Toc23"/>
      <w:bookmarkEnd w:id="69"/>
      <w:r>
        <w:rPr>
          <w:rtl w:val="true"/>
        </w:rPr>
        <w:t>شبهة و إثارة</w:t>
      </w:r>
      <w:bookmarkEnd w:id="70"/>
    </w:p>
    <w:p>
      <w:pPr>
        <w:pStyle w:val="BookText"/>
        <w:rPr/>
      </w:pPr>
      <w:r>
        <w:rPr>
          <w:rFonts w:ascii="Amiri" w:hAnsi="Amiri" w:eastAsia="Amiri" w:cs="Amiri"/>
          <w:color w:val="111111"/>
          <w:sz w:val="28"/>
          <w:sz w:val="28"/>
          <w:szCs w:val="28"/>
          <w:rtl w:val="true"/>
          <w:lang w:bidi="ar-SA"/>
        </w:rPr>
        <w:t>المسألة التي يطرحها البعض هي أنّ الزيارة الجامعة تخالف الكتاب و السنّة في بعض فقراتها، و الفقرة المقصودة بهذه المسألة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إِيَابُ الْخَلْقِ إِلَيْكُمْ، وَ حِسَابُهُمْ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تنافي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 فالتعبير هنا هو عن الذات الإلهيّة، بأنّ الحساب علی اللّه عزّ و جلّ، و أنّ الإياب إليه تعالی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 فكيف يكون الإياب إلی الأئمّة عليهم السّلام </w:t>
      </w:r>
    </w:p>
    <w:p>
      <w:pPr>
        <w:pStyle w:val="BookText"/>
        <w:rPr/>
      </w:pPr>
      <w:r>
        <w:rPr>
          <w:rFonts w:ascii="Amiri" w:hAnsi="Amiri" w:eastAsia="Amiri" w:cs="Amiri"/>
          <w:color w:val="111111"/>
          <w:sz w:val="28"/>
          <w:sz w:val="28"/>
          <w:szCs w:val="28"/>
          <w:rtl w:val="true"/>
          <w:lang w:bidi="ar-SA"/>
        </w:rPr>
        <w:t>و الحساب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نظير هذا الاعتراض قد يعترض علی ما ورد في زيارات متعدّدة، كما في الزيارة المعروفة للإمام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التي تتضمّن صلوات علی المعصومين كلّ علی 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مسندة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عليه السّلام عدّة زيارات جمعها السيّد رضا الصدر رحمه اللّه في كتاب طبع طبعة واحدة فقط، و هو كتاب قيّم جدّا، لأنّه قد استقصي فيه أكثر زيارات الرضا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أشهر زيارة له عليه السّلام صلوات علی كلّ من النبيّ صلّي اللّه عليه و اله، و سيّد الأوصياء عليه السّلام، ثمّ الصدّيقة فاطمة عليها السّلام، ثمّ الحسنين عليها السّلام، ثمّ بقيّة المعصومين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في أوصاف أمير المؤمنين عليه السّلام، و أوصاف جملة من المعصومين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دَيَّانُ الدِّينِ بِعَدْلِكَ، وَ فَصْلُ قَضَائِكَ بَيْنَ خَلْقِكَ</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و هذه الأوصاف هي أوصاف وردت في القرآن الكريم للّه عزّ و جلّ، و هي بذلك شبيهة 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إِيَابُ الْخَلْقِ إِلَيْكُمْ، وَ حِسَابُهُمْ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العبارة التي تحمل التساؤل و الاعتراض المطروح</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أنّ مبدأ الخلق للّه تعالي، و أنّ المنتهي إليه، فكيف يطلق هذا التعبير علی الإمام، فكأنّ المنتهي للأئمّة عليهم السّلام؟ لذا قيل بأنّ هذا </w:t>
      </w:r>
      <w:bookmarkStart w:id="71" w:name="pg20517_205415"/>
    </w:p>
    <w:p>
      <w:pPr>
        <w:pStyle w:val="BookText"/>
        <w:rPr/>
      </w:pPr>
      <w:bookmarkEnd w:id="71"/>
      <w:r>
        <w:rPr>
          <w:rFonts w:ascii="Amiri" w:hAnsi="Amiri" w:eastAsia="Amiri" w:cs="Amiri"/>
          <w:color w:val="111111"/>
          <w:sz w:val="28"/>
          <w:sz w:val="28"/>
          <w:szCs w:val="28"/>
          <w:rtl w:val="true"/>
          <w:lang w:bidi="ar-SA"/>
        </w:rPr>
        <w:t>المضمون هو خلاف الكتاب و السنّة قطعا</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0141188_3381743652"/>
      <w:bookmarkStart w:id="73" w:name="_Toc24"/>
      <w:bookmarkEnd w:id="72"/>
      <w:r>
        <w:rPr>
          <w:rtl w:val="true"/>
        </w:rPr>
        <w:t>نظريّة التجسيم و دورها في خلق هذا التساؤل</w:t>
      </w:r>
      <w:bookmarkEnd w:id="73"/>
    </w:p>
    <w:p>
      <w:pPr>
        <w:pStyle w:val="BookText"/>
        <w:rPr/>
      </w:pPr>
      <w:r>
        <w:rPr>
          <w:rFonts w:ascii="IRNazanin" w:hAnsi="IRNazanin" w:eastAsia="IRNazanin"/>
          <w:color w:val="111111"/>
          <w:sz w:val="28"/>
          <w:sz w:val="28"/>
          <w:szCs w:val="28"/>
          <w:rtl w:val="true"/>
          <w:lang w:bidi="fa-IR"/>
        </w:rPr>
        <w:t>هذا التساؤل و هذا الاعتراض مبنيّ علی نظريّة في العقيدة أشبه بنظريّة التجسيم إن لم تكن 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نظريّة التجسيم أو التشبيه هذه خطيرة جدّا، و هي نظريّة ناخرة و معشّشة في كثير من بحوث العقيدة الإسلاميّة عند كثير من أصحاب المذاهب الإسلاميّة، و لربّما حتّي في الوسط الداخلي لدينا في بعض الكتابات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ليس من الاعتباط أنّ أئمّة أهل البيت عليهم السّلام انبروا بكلّ قوّة و شدّة لتفنيد نظريّة التجسيم و التشبيه و التعطيل، كما قال البررة عليهم السّلام لتفنيد نظريّة الجبر و 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المعاجز العلميّة الخالدة لأهل بيت النبوّة عليهم السّلام أنّهم بدّهوا، أي أوصلوا الأمر للبديهة، و أوصلوا الأمر المجهول لدي عامّة المسلمين إلی درجة البديهة، و أوصلوه إلی درجة الذروة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أصحاب التفاسير من الفريقين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أَنْبَأَكَ هذا قالَ نَبَّأَنِیَ الْعَلِیمُ الْخَبِیرُ</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حسب ما رووه هم، و هذه طبعا الحال في عامّة الناس، ففهم عامّة الناس للآية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فِی السَّماءِ إِلهٌ وَ فِی الْأَرْضِ إِلهٌ وَ هُوَ الْحَكِیمُ الْعَلِیمُ</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قد يصل بهم إلی التفكير بأنّ عرشه في السماء بفوقيّة جغرافيّة، أو أنّ الاستواء استواء جغرافي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أنّه ببركة أهل البيت عليهم السّلام ازيل هذا الجهل بالامور العقائديّة الهامّة الخطيرة جدّا و البالغة الأهمّيّة، و استبدل بالعلم إلی درجة البديهة، فقد أوضحوا عليهم السّلام بطلان التجسيم و بطلان التشبيه إلی درجة البديهة بعد أن كان الأمر مجهولا أو غائما أو عائما عند عامّة المسلمين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نظريّة التجسيم و التشبيه و التعطيل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تشبيه و لا تعطيل إنّما توحيد و توصيف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القواعد العقائديّة البالغة الأهمّيّة، و كلّ من اعتمد مثل هذه القواعد فهو بالضرورة قد رشف علمها من أهل بيت النبوّة عليهم السّلام، مباشرة أو بالواسطة، شعر بذلك أم لم يشعر، فهذه صدرت من معدن العلم، لم يسبقهم لها سابق، و لم يتفطّن إليها فطن، وراثة عن سيّد المرسلين صلّي اللّه عليه و اله، في العلوم التي لم يرثها أحد غيرهم منه،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بل هو أمر بين أمرين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الجهالة بحقيقة هذه القواعد و هذه الامور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عالقة و منتشرة و متفشّية في عقول الكثير منّا حتّي في الوسط الداخلي، من حيث لا نشعر، فنتعامل مع كثير من مفردات العقيدة تعامل الجبريّة، و هذا خاطئ، و نتعامل مع الكثير من المفردات العقائديّة معاملة المشبّهة أو المجسّمة أو معاملة المعطّلة، من حيث نشعر أو لا نشعر، و كلّ تفسير عقائدي مبنيّ علی التجسيم و علی التعطيل و علی التشبيه فهو باطل، كما هو الحال في ذات التعطيل و ذات التجسيم، شعر به القائل أو لم يشعر، و كلّ تفسير عقائدي مبنيّ علی الجبر أو علی التفويض فهو خاطئ، فطن له المفسّر أو لم يفطن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عندما نقرأ في شؤون الباري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یَوْمِ الدِّینِ</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یُفْعَلَ بِها فاقِرَةٌ</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لا نعني بالنظر هنا النظر إلی شابّ أمرد 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ليست تلك الرؤية رؤية جسمانيّة، إنّما هي رؤية قلبيّة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تُدْرِكُهُ الْقُلُوبُ بِحَقَائِقِ الْإِيمَانِ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أَفَأَعْبُدُ ما لَا أَرى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تراه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الْعُيُونُ بِمُشَاهَدَةِ الْعِيَانِ ، وَلكِنْ تُدْرِكُهُ الْقُلُوبُ بحقَائِقِ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الْأَشْيَاءِ غَيْرَ مُلابِسٍ ، بَعِيدٌ مِنْهَا غَيْرَ مُبَايِن ، متَكَلَّمْ لَا بِرَوِيَّةٍ ، مُرِيدٌ لَا بِهِمَّةٍ ، صَائِعٌ لَا بِجَارِحَةٍ ، لَطِيفٌ لَا يُوصَفُ بِالْخَفَاءِ ، كَبِيرٌ لا يُوصَفُ بِالْجَفَاءِ ، بَصِيرٌ لَا يُوصَفُ بِالْحَاسَّةِ ، رَحِيمٌ لا يُوصَفُ بِالرِّقَّةِ ، تَعْنُو الْوُجُوهُ لِعَظَمَتِهِ ، وَتَجِبُ الْقُلُوبُ مِنْ مَخَانَتِهِ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كما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أَفَأَعْبُدُ</w:t>
      </w:r>
      <w:bookmarkStart w:id="74" w:name="pg20517_205418"/>
    </w:p>
    <w:p>
      <w:pPr>
        <w:pStyle w:val="BookText"/>
        <w:rPr/>
      </w:pPr>
      <w:bookmarkEnd w:id="74"/>
      <w:r>
        <w:rPr>
          <w:rFonts w:ascii="Amiri" w:hAnsi="Amiri" w:eastAsia="Amiri" w:cs="Amiri"/>
          <w:color w:val="111111"/>
          <w:sz w:val="28"/>
          <w:sz w:val="28"/>
          <w:szCs w:val="28"/>
          <w:rtl w:val="true"/>
          <w:lang w:bidi="ar-SA"/>
        </w:rPr>
        <w:t>مَا لَا أَرَى؟</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أمّا الرؤية الجسمانيّة بالعين البيضاويّة هذه، فحاشا للّه أن تحيط به العيون، و إلاّ لكان محدودا، مع أنّه ورد عنهم عليهم السّلام أنّ النظر في الآية بمعني الانتظار لما يجازيهم ربّهم، كما في آية اخري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فَناظِرَةٌ بِمَ یَرْجِعُ الْمُرْسَلُونَ</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0141190_3381743652"/>
      <w:bookmarkStart w:id="76" w:name="_Toc25"/>
      <w:bookmarkEnd w:id="75"/>
      <w:r>
        <w:rPr>
          <w:rtl w:val="true"/>
        </w:rPr>
        <w:t>نفي مقالة التجسيم</w:t>
      </w:r>
      <w:bookmarkEnd w:id="7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نفي توهّم التجسيم غير مخصوص بدار الدنيا، فالباري تعالی لا تحيط به دنيا و لا آخرة، و لا برزخ، و لا أوّليّة و لا آخريّة، لأنّه الأوّل </w:t>
      </w:r>
    </w:p>
    <w:p>
      <w:pPr>
        <w:pStyle w:val="BookText"/>
        <w:rPr/>
      </w:pPr>
      <w:r>
        <w:rPr>
          <w:rFonts w:ascii="IRNazanin" w:hAnsi="IRNazanin" w:eastAsia="IRNazanin"/>
          <w:color w:val="111111"/>
          <w:sz w:val="28"/>
          <w:sz w:val="28"/>
          <w:szCs w:val="28"/>
          <w:rtl w:val="true"/>
          <w:lang w:bidi="fa-IR"/>
        </w:rPr>
        <w:t>قبل الأشياء، فهو أوّل الأوّليّة، و الآخر بعد فناء الأشياء، فهو آخر الآخريّة، لا يحيط به عالم من العوالم، و حينما يقال بأنّ اللّه عزّ و جلّ ليس جسما و أنّه لا يشبه أحدا من خلقه، فهذا لا يعني الشبه في الأجسام فقط، بل حتّي الأرواح لا تشبه اللّه عزّ و جلّ و لا الأنوار، لأنّهما من الخلقة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 كَمِشْكاةٍ</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صلّي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نور نبيّك، يا جابر</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فنفي التشبيه لا يقتصر علی نفي التجسيم فحسب، بل يقتضي نفي تشبيه اللّه تعالی حتّي بغير الأجسام، فخلقة الأنوار، و خلقة العقول، و خلقة الأرواح، كلّها لا تشبه اللّه عزّ و جلّ، و لا يشبهها اللّه عزّ و جلّ، فاللّه تعالی لا يشبه شيئا من خلقه، و لا يشبهه من خلقه شيء</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هو عظيم 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يتجلّي ذلك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 الرُّوحُ فِیهَا</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الْمَلائِكَةَ بِالرُّوحِ مِنْ أَمْرِهِ عَلي مَنْ یَشاءُ مِنْ عِبادِهِ</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 فالملائكة كلّها تفتقر في نزولها و عروجها إلی الروح، و الروح خلق أعظم من الملائكة، لكنّنا مع ذلك </w:t>
      </w:r>
    </w:p>
    <w:p>
      <w:pPr>
        <w:pStyle w:val="BookText"/>
        <w:rPr/>
      </w:pPr>
      <w:r>
        <w:rPr>
          <w:rFonts w:ascii="Amiri" w:hAnsi="Amiri" w:eastAsia="Amiri" w:cs="Amiri"/>
          <w:color w:val="111111"/>
          <w:sz w:val="28"/>
          <w:sz w:val="28"/>
          <w:szCs w:val="28"/>
          <w:rtl w:val="true"/>
          <w:lang w:bidi="ar-SA"/>
        </w:rPr>
        <w:t>ننزّه الباري عن تشبيهه بالروح مهما تعاظم، و هو الوهم في التشبيه الذي وقع فيه النصاري، لأنّه خلق من خلق اللّه، فنفي بذلك التجسيم و التشبيه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يظنّ البعض نفسه سالكا مسلك الصواب حينما يكتفي بنفي التجسيم عن اللّه، و اللّه سبحانه و تعالی له ذاته المنزّهة عن كلّ سوء بما في ذلك الاعتقاد بكونه نورا مشتبكا مع خلقه و العياذ باللّه، كما قد يتوهّم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السَّماواتِ وَ الْأَرْضِ </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 فلا تجسيم و لا تشبيه، و نفي التشبيه أعمّ من نفي التجسيم المرتكز في بعض العقول، لأنّ طبيعة البشر ميّالة للتشبيه، نزّاعة للتجسيم، تحمل طبيعة المخيّلة أو الأوهام التي تجسّم الشيء و تصوّره، لأنّها دائما تأنس بالمادّة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تتفشّي هذه النظريّة و هذه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شعور أو عن غير 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البحوث الإسلاميّة، كنظريّة الجبر، كما يقول عدّة من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الكثير ممّن يتبرّأ من الجبر أو يتبرّأ من التفويض، يقع من حيث لا يشعر في الكثير من المباحث في المعارف الإسلاميّة في الجبر أو في 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لصعوبة هذه البحوث و هذه المعارف، و لصعوبة نفس الجبر و التفويض، و غموض نفيهما و سلوك مسلك </w:t>
      </w:r>
      <w:bookmarkStart w:id="77" w:name="pg20517_205421"/>
    </w:p>
    <w:p>
      <w:pPr>
        <w:pStyle w:val="BookText"/>
        <w:rPr/>
      </w:pPr>
      <w:bookmarkEnd w:id="77"/>
      <w:r>
        <w:rPr>
          <w:rFonts w:ascii="Amiri" w:hAnsi="Amiri" w:eastAsia="Amiri" w:cs="Amiri"/>
          <w:color w:val="111111"/>
          <w:sz w:val="28"/>
          <w:sz w:val="28"/>
          <w:szCs w:val="28"/>
          <w:rtl w:val="true"/>
          <w:lang w:bidi="ar-SA"/>
        </w:rPr>
        <w:t xml:space="preserve">الحقّ و التوحيد و هو الاختيار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بين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تلك المباحث صعوبتها في تطبيقات هذه النظريّات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الشأن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تشبيه و لا تعطيل، و إنّما توصيف بتوحيد</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المقولة المشهورة عن أهل البيت عليهم السّلام هي قريبة من هذا المضمون، و أهل البيت هم الذين أسّسوا صرح مثل هذه القواعد الدينيّة الشامخة الهامّة، و إلاّ لكان المسلمون في معزل عن الاطّلاع علی مثل هذه الحقائق و المعالم الدينيّة، لكن ببركاتهم تبدّهت و انتشرت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تفويض، و لكن أمر بين أمرين</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 و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تشبيه و لا تعطيل، و إنّما توصيف بتوحيد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نفي التشبيه يتضمّن نفي التجسيم، و من يتبنّي و يلتزم بنفي التجسيم و نفي التشبيه يواجه من الجانب الآخر صعوبة نفي التعطيل</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0141192_3381743652"/>
      <w:bookmarkStart w:id="79" w:name="_Toc26"/>
      <w:bookmarkEnd w:id="78"/>
      <w:r>
        <w:rPr>
          <w:rtl w:val="true"/>
        </w:rPr>
        <w:t>نفي التعطيل و ما قد يجرّ إليه</w:t>
      </w:r>
      <w:bookmarkEnd w:id="7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التعطيل بانّه تعطيل الباري عن صفاته، أو عن الكمالات، أو عن الفاعليّة، أو عن القيموميّة، أو عن العالميّة، أو عن القدرة، أو عن الإحاطة، أو عن الهيمنة، أو عن أصل الوجود، و العياذ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 يقال بأنّ هذه المخلوقات و العوالم برمّتها لا خالق لها، فيتعطّل بهذا القول عالم الخلقة عن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التعطيل لا ريب في فساده و بطلانه، لكنّ الكثير من الأذهان يستصعب عليها نفي التعطيل حين ما تنفي التجسيم و التشبيه، لأنّ نفي التعطيل لا بدّ له من إثبات، كإثبات صفات اللّه، و إثبات فاعليّة اللّه، و إثبات حاكميّة اللّه عزّ و جلّ، فإن أراد أن يثبت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الإثبات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بتمثيل و تشبيه، فوقع في محذور التشبيه أو التجسيم، و إذا أراد أن يسلك مسلك النفي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ينفي التشبيه و التجسيم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يؤدّي به ذلك للانجرار إلی النفي المطلق الذي هو التعطيل، فنفي التعطيل هو النفي، و نفي النفي هو الإثبات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يجرّ نفي التعطيل إلی التشبيه أو التجسيم، بأن يشبّه الإنسان الباري تعالی بما يشاهده و يدركه من أفعال و أفاعيل المخلوقات، لأنّ حدود إدراكه هي أفعال المخلوقات، فيثبّتها بعينها و بمثلها للبارئ، فيكون مشبّها من حيث لا يشعر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إن نفي مثل هذه الإثباتات من تشبيه و تجسيم و أفرط في النفي، وقع في محذور التعطيل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كانت هناك جدليّة عويصة بين نفي التشبيه و نفي التعطيل، نظير الجدليّة العويصة الموجودة بين نفي الجبر و نفي التفويض، فنفي الجبر أدّي بالمعتزلة إلی التفويض الباطل، كأنّما اللّه فوّض إلی العباد تفويضا </w:t>
      </w:r>
    </w:p>
    <w:p>
      <w:pPr>
        <w:pStyle w:val="BookText"/>
        <w:rPr/>
      </w:pPr>
      <w:r>
        <w:rPr>
          <w:rFonts w:ascii="IRNazanin" w:hAnsi="IRNazanin" w:eastAsia="IRNazanin"/>
          <w:color w:val="111111"/>
          <w:sz w:val="28"/>
          <w:sz w:val="28"/>
          <w:szCs w:val="28"/>
          <w:rtl w:val="true"/>
          <w:lang w:bidi="fa-IR"/>
        </w:rPr>
        <w:t xml:space="preserve">عزليّا، أي أنّ قدرته انعزلت و انحسرت عن مخلوقات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عطيّة معط إلی طرف آخر، حين تنقطع الصلة بين الواهب و الموهوب و يستقلّ الموهوب بالهبة، و الباري ليس كذلك، يدّعي هذا التفويض عزليّا بحيث يفوّض اللّه أمر المخلوق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تنحسر قدرته و هيمنته و إحاطته، و هذا تفويض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أراد الإنسان نفي التفويض الباطل، قد يفرّط به الحال إلی قوله بأنّ كلّ شيء من خير و شرّ هو مستند إلی الباري، و أن لا إرادة للمخلوق، فيؤدّي به إلی الجبر، و إذا أراد إثبات الفاعليّة و القدرة للّه في الأفعال بالقول المطلق، قد يجرّه هذا إلی الجبر، و إن أراد نفي إسناد الشرور إليه تعالی و نفي الإكراه و الإلجاء قد يؤدّي به النفي المطلق إلی 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ريب أنّ اعتماد الطريق الوسط يكون باتّباع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التي أبانها أهل البيت عليهم السّلام، و هي طريقة صعبة غامضة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فالبحث في هاتين القاعدتين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 و صعب، و كثيرا ما يخوض الإنسان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محقّقو علماء الإماميّة من فلاسفة و 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مفصّل و يكتب كتبا و أسفارا و صفحات في بيان تحقيق هاتين القاعدتين، لكنّه يقع من حيث لا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تحقيقه و تنقيحه مثل هذه المباحث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أبواب المعارف الاخري، يقع في </w:t>
      </w:r>
      <w:bookmarkStart w:id="80" w:name="pg20517_205424"/>
    </w:p>
    <w:p>
      <w:pPr>
        <w:pStyle w:val="BookText"/>
        <w:rPr/>
      </w:pPr>
      <w:bookmarkEnd w:id="80"/>
      <w:r>
        <w:rPr>
          <w:rFonts w:ascii="Amiri" w:hAnsi="Amiri" w:eastAsia="Amiri" w:cs="Amiri"/>
          <w:color w:val="111111"/>
          <w:sz w:val="28"/>
          <w:sz w:val="28"/>
          <w:szCs w:val="28"/>
          <w:rtl w:val="true"/>
          <w:lang w:bidi="ar-SA"/>
        </w:rPr>
        <w:t xml:space="preserve">خلاف هاتين القاعدتين، و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شعوريّا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بهاتين القاعدتين، و يقع في محاذير اخري، أي رغم أنّه يسلك مسلك الاختيار لكن من حيث لا يشعر، يقع في مسلك الجبر أو مسلك التفويض، و كذلك في مسألة التعطيل و التشبيه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بدّ من التركيز الدقيق علی هاتين القاعدتين، لأنّهما ناخرتان في عظام منظومة كثير من المعارف، و كذلك ما نحن فيه، و هي قضيّة الحساب</w:t>
      </w:r>
      <w:r>
        <w:rPr>
          <w:rFonts w:eastAsia="IRNazanin" w:cs="IRNazanin"/>
          <w:color w:val="111111"/>
          <w:sz w:val="28"/>
          <w:szCs w:val="28"/>
          <w:rtl w:val="true"/>
          <w:lang w:bidi="fa-IR"/>
        </w:rPr>
        <w:t>.</w:t>
      </w:r>
    </w:p>
    <w:p>
      <w:pPr>
        <w:pStyle w:val="Heading3"/>
        <w:numPr>
          <w:ilvl w:val="2"/>
          <w:numId w:val="1"/>
        </w:numPr>
        <w:rPr/>
      </w:pPr>
      <w:bookmarkStart w:id="81" w:name="__RefHeading___Toc10141194_3381743652"/>
      <w:bookmarkStart w:id="82" w:name="_Toc27"/>
      <w:bookmarkEnd w:id="81"/>
      <w:r>
        <w:rPr>
          <w:rtl w:val="true"/>
        </w:rPr>
        <w:t>نفي التشبيه و علاقته بمبحث المعاد</w:t>
      </w:r>
      <w:bookmarkEnd w:id="8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اعتمدنا مذهب الحقّ القائل إنّ الباري تعالی ليس بجسم، لا يشابه أحدا من خلقه، و لا يشبهه أحد من خلقه، فلا يمكن قصر ذلك علی دار الدنيا فقط، بل في كلّ العوالم و المشاهد بالطبع، فهو 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تحيط به النشآت المخلوقة، كنشأة الآخرة، و نشأة الدنيا، و نشأة البرزخ، و نشأة القبر، فهو ليس جسما محدودا لتحيط به النشآت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شأنه تعالی كذلك، فهل يتوقّع أصحاب مذهب التجسيم أن نقول بأنّ إياب الخلق إلی اللّه في يوم القيامة، يعني أن نشاهد اللّه تعالی بالرؤية البصريّة، الجسمانيّة، الجغرافيّة، المكانيّة، بحيث نتوجّه وجهة جغرافيّة للبارئ تعالي؟ هذا ممّا </w:t>
      </w:r>
    </w:p>
    <w:p>
      <w:pPr>
        <w:pStyle w:val="BookText"/>
        <w:rPr/>
      </w:pPr>
      <w:r>
        <w:rPr>
          <w:rFonts w:ascii="IRNazanin" w:hAnsi="IRNazanin" w:eastAsia="IRNazanin"/>
          <w:color w:val="111111"/>
          <w:sz w:val="28"/>
          <w:sz w:val="28"/>
          <w:szCs w:val="28"/>
          <w:rtl w:val="true"/>
          <w:lang w:bidi="fa-IR"/>
        </w:rPr>
        <w:t>لا يمكن التفوّه به، لأنّه يستلزم محدوديّة الباري، و إلاّ لصدقت مقولة قريش العاصية علی رسالة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عدّة أصحاب النار الملائكة تسعة عشر، فنحن قريش جمهورنا غفير، نقيم بدرا أو احدا اخري و نتغلّب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تلك المقولات الإسرائيليّة التي تخبر بمصارعة بين اللّه عزّ و جلّ و بين يعقوب، و لطم وجه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 من السفاسف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اللّه عزّ و جلّ ليس بجسم و لا يشبه أحدا من خلقه، فأيّ معني لإياب الخلق إلی اللّه و حسابه مع اللّه؟</w:t>
      </w:r>
    </w:p>
    <w:p>
      <w:pPr>
        <w:pStyle w:val="BookText"/>
        <w:rPr/>
      </w:pP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التجسيم في مبحث المعاد، لأنّه لا يصحّ اكتفاء الباحث بنفي قاعدة التجسيم في مبحث من المباحث فحسب، فنفي التجسيم و التشبيه قاعدتان ركنيّتان في مبحث التوحيد، لذا يعمّ نفيهما لمبحث المعاد، لا سيّما و أنّ المعاد هو نوع من التوحيد، فهو توحيد الغاية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تشبيه و لا تجسيم في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اللّه عزّ و جلّ ليس بجسم، و المقصود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رَبِّها ناظِرَةٌ</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ليس النظر الجسماني و إنّما الرؤية القلبيّة، كما قال </w:t>
      </w:r>
    </w:p>
    <w:p>
      <w:pPr>
        <w:pStyle w:val="BookText"/>
        <w:rPr/>
      </w:pPr>
      <w:r>
        <w:rPr>
          <w:rFonts w:ascii="Amiri" w:hAnsi="Amiri" w:eastAsia="Amiri" w:cs="Amiri"/>
          <w:color w:val="111111"/>
          <w:sz w:val="28"/>
          <w:sz w:val="28"/>
          <w:szCs w:val="28"/>
          <w:rtl w:val="true"/>
          <w:lang w:bidi="ar-SA"/>
        </w:rPr>
        <w:t xml:space="preserve">الصادق عليه السّلام لأبي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يراه المؤمنون يوم القيامة؟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رأوه قبل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 قالُوا بَلي</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المؤمنين ليرونه في الدنيا قبل يوم القيامة، ألست تراه في وقتك هذا؟</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فأحدّث بهذا عنك؟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فإنّك إذا حدّثت به فأنكر منكر جاهل بمعني ما تقوله، ثمّ قدّر أنّ ذلك تشبيه كفر، و ليست الرؤية بالقلب كالرؤية بالعين، تعالی اللّه عمّا يصفه المشبّهون و الملحدون</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الرؤية القلبيّة التي يثبتها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أهل البيت عليهم السّلام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عرصات يوم القيامة هي أجسام لطيفة نورانيّة، هو قول لا يوصف به الباري تعالي، لأنّه </w:t>
      </w:r>
    </w:p>
    <w:p>
      <w:pPr>
        <w:pStyle w:val="BookText"/>
        <w:rPr/>
      </w:pPr>
      <w:r>
        <w:rPr>
          <w:rFonts w:ascii="IRNazanin" w:hAnsi="IRNazanin" w:eastAsia="IRNazanin"/>
          <w:color w:val="111111"/>
          <w:sz w:val="28"/>
          <w:sz w:val="28"/>
          <w:szCs w:val="28"/>
          <w:rtl w:val="true"/>
          <w:lang w:bidi="fa-IR"/>
        </w:rPr>
        <w:t>لا يصحّ أن نثبت له جسما أو شبها بأحد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لكنّنا بنفينا المطلق للتجسيم هنا قد نقع في التعطيل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يمكن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نعطّل اللّه عزّ و جلّ عن الحاكميّة في يوم القيامة، لأنّ الإغراق في النفي، أي الاقتصار عليه يؤدّي إلی التعطيل، و نفي النفي، أي نفي التعطيل يعني الإثبات، و الإغراق في الإثبات بكلّ صفة إثباتيّة، يؤدّي إلی التجسيم و التشبيه، فما الحلّ لهذا الإشكال؟</w:t>
      </w:r>
    </w:p>
    <w:p>
      <w:pPr>
        <w:pStyle w:val="BookText"/>
        <w:rPr/>
      </w:pPr>
      <w:r>
        <w:rPr>
          <w:rFonts w:ascii="Amiri" w:hAnsi="Amiri" w:eastAsia="Amiri" w:cs="Amiri"/>
          <w:color w:val="111111"/>
          <w:sz w:val="28"/>
          <w:sz w:val="28"/>
          <w:szCs w:val="28"/>
          <w:rtl w:val="true"/>
          <w:lang w:bidi="ar-SA"/>
        </w:rPr>
        <w:t xml:space="preserve">مع نفي التجسيم و التشبيه يوم القيامة،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التعطيل، فكيف نفسّر أنّ الحاكم الأوّل هو اللّه عزّ و جلّ، و أنّه هو الحاكم يوم الدين، و هو مالك يوم الدين، و ديّان يوم الدين، الأوّل و الآخر؟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التساؤل لا يطرح في المعاد فقط، بل حتّي في دار الدنيا، و هؤلاء المستشكلون و المتسائلون يثيرون العجب، فكأنّما يريدون أن يوحّدوا اللّه عزّ و جلّ في يوم المعاد دون دار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 ليس الحكم في التشريع فحسب،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في كلّ مجال حتّي في الحكم و الحاكميّة السياسيّة و حتّي في التكوين،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تَشاؤُنَ إِلاّ أَنْ یَشاءَ اللّهُ إِنَّ اللّهَ كانَ عَلِیماً حَكِیماً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83" w:name="pg20517_205428"/>
    </w:p>
    <w:p>
      <w:pPr>
        <w:pStyle w:val="BookText"/>
        <w:rPr/>
      </w:pPr>
      <w:bookmarkEnd w:id="83"/>
      <w:r>
        <w:rPr>
          <w:rFonts w:ascii="Amiri" w:hAnsi="Amiri" w:eastAsia="Amiri" w:cs="Amiri"/>
          <w:color w:val="111111"/>
          <w:sz w:val="28"/>
          <w:sz w:val="28"/>
          <w:szCs w:val="28"/>
          <w:rtl w:val="true"/>
          <w:lang w:bidi="ar-SA"/>
        </w:rPr>
        <w:t>إنّ الحكم التكويني الحكم المعني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الإرادة هي بالأصالة للّه عزّ و جلّ، و قدرة خلقه هي من بعده</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0141196_3381743652"/>
      <w:bookmarkStart w:id="85" w:name="_Toc28"/>
      <w:bookmarkEnd w:id="84"/>
      <w:r>
        <w:rPr>
          <w:rtl w:val="true"/>
        </w:rPr>
        <w:t>الفرق بين نظرة مدرسة أهل البيت عليهم السّلام و نظرة بقيّة المدارس لصفات اللّه تعالي</w:t>
      </w:r>
      <w:bookmarkEnd w:id="85"/>
    </w:p>
    <w:p>
      <w:pPr>
        <w:pStyle w:val="BookText"/>
        <w:rPr/>
      </w:pPr>
      <w:r>
        <w:rPr>
          <w:rFonts w:ascii="IRNazanin" w:hAnsi="IRNazanin" w:eastAsia="IRNazanin"/>
          <w:color w:val="111111"/>
          <w:sz w:val="28"/>
          <w:sz w:val="28"/>
          <w:szCs w:val="28"/>
          <w:rtl w:val="true"/>
          <w:lang w:bidi="fa-IR"/>
        </w:rPr>
        <w:t>لذلك وجد فرق بين عقيدة أهل البيت عليهم السّلام و عقائد بقيّة مذاهب المسلمين، فهم يرون أنّ اللّه عزّ و جلّ غير متسلّط الآن في النظام الاجتماعي أو السياسي، لأنّه أتي لهم فقط بدستور خالد سماوي من شريعة و دين، ثمّ ترك الامور علی 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فقوّته و قدرته و صلاحيّته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قوّة تشريعيّة بناء علی حكمه، فالسلطة التشريعيّة بيد اللّه، أمّا السلطة السياسيّة و السلطة التنفيذيّة و السلطة القضائيّة هي كلّها ليست بيد اللّه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تستطع أيّ مدرسة أو أيّ مذهب من المذاهب الإسلاميّة أن تصل إلی تفسير ما وصلت إليه مدرسة أهل البيت عليهم السّلام من أنّ اللّه سبحانه و تعالی حاكم علی كلّ الأصعدة و المقامات، لا في يوم الدين فحسب، بل إنّه حاكم هاهنا في دار الدنيا، و الحاكم الأوّل هو اللّه عزّ و جلّ، لكنّها لم تثبت هذه العقيدة بتجسيم و لا تشبيه و لا تعطيل، بل إنّ المدارس الإسلاميّة الاخري التزموا بالتعطيل في دار الدنيا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فقالوا بأنّ السلطة التشريعيّة هي للّه، أمّا السلطة التنفيذيّة و السياسيّة و العسكريّة و القضائيّة، فهي كلّها محسورة و منعزلة عن القدرة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مقالة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اللّهِ مَغْلُولَةٌ غُلَّتْ أَیْدِیهِمْ وَ لُعِنُوا بِما قالُوا بَلْ یَداهُ مَبْسُوطَتانِ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تصرّف اللّه لا ينحسر في دار من دور الخلقة، و لا نشأة من نشآتها، و هو إن كان مخصوصا في دار الدنيا فهو كذلك في يوم القيامة، و إن كان عامّا في يوم القيامة فهو كذلك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تفسير أهل البيت عليهم السّلام حاكميّة اللّه في دار الدنيا، فإنّ الحاكم الأوّل كان اللّه حتّي في حكومة الرسول صلّي اللّه عليه و اله، و حتّي في حكومة أمير المؤمنين عليه السّلام، فلم يكن الحاكم الأوّل هو أمير المؤمنين، إنّما هو اللّه تعالي، و كان الحاكم الثاني في حكومة أمير المؤمنين عليه السّلام في خمس سنوات أيضا هو الرسول صلّي اللّه عليه و اله، و كان الحاكم الثالث هو أمير المؤمنين عليه السّلام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 هم مهبط مشيئات اللّه، و مهبط إرادات اللّه، فإرادتهم مؤتمرة بإرادة اللّه، حتّي </w:t>
      </w:r>
    </w:p>
    <w:p>
      <w:pPr>
        <w:pStyle w:val="BookText"/>
        <w:rPr/>
      </w:pPr>
      <w:r>
        <w:rPr>
          <w:rFonts w:ascii="Amiri" w:hAnsi="Amiri" w:eastAsia="Amiri" w:cs="Amiri"/>
          <w:color w:val="111111"/>
          <w:sz w:val="28"/>
          <w:sz w:val="28"/>
          <w:szCs w:val="28"/>
          <w:rtl w:val="true"/>
          <w:lang w:bidi="ar-SA"/>
        </w:rPr>
        <w:t>إرادة اللّه التنفيذيّة و السياسيّة و العسكريّة و القضائيّة، في الآيات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أَیُّهَا النَّبِیُّ جاهِدِ الْكُفّارَ وَ الْمُنافِقِینَ وَ اغْلُظْ عَلَیْهِمْ وَ مَأْواهُمْ جَهَنَّمُ وَ بِئْسَ الْمَصِیرُ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صَدَقَةً تُطَهِّرُهُمْ وَ تُزَكِّیهِمْ بِها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أَیُّهَا النَّبِیُّ حَرِّضِ الْمُؤْمِنِینَ عَلَی الْقِتالِ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أَیُّهَا النَّبِیُّ إِذا جاءَكَ الْمُؤْمِناتُ یُبایِعْنَكَ عَلي أَنْ لا یُشْرِكْنَ بِاللّهِ شَیْئاً وَ لا یَسْرِقْنَ وَ لا یَزْنِینَ وَ لا یَقْتُلْنَ أَوْلادَهُنَّ وَ لا یَأْتِینَ بِبُهْتانٍ یَفْتَرِینَهُ بَیْنَ أَیْدِیهِنَّ وَ أَرْجُلِهِنَّ وَ لا یَعْصِینَكَ فِی مَعْرُوفٍ فَبایِعْهُنَّ وَ اسْتَغْفِرْ لَهُنَّ اللّهَ إِنَّ اللّهَ غَفُورٌ رَحِیمٌ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ينبغي أن لا نقرأ هذه الآيات بحسب موارد النزول فقط باعتبارها تشريعات كلّيّة فحسب، لأنّ قراءة القرآن و تفسيره لا يقتصر علی هذا </w:t>
      </w:r>
      <w:bookmarkStart w:id="86" w:name="pg20517_205431"/>
    </w:p>
    <w:p>
      <w:pPr>
        <w:pStyle w:val="BookText"/>
        <w:rPr/>
      </w:pPr>
      <w:bookmarkEnd w:id="86"/>
      <w:r>
        <w:rPr>
          <w:rFonts w:ascii="IRNazanin" w:hAnsi="IRNazanin" w:eastAsia="IRNazanin"/>
          <w:color w:val="111111"/>
          <w:sz w:val="28"/>
          <w:sz w:val="28"/>
          <w:szCs w:val="28"/>
          <w:rtl w:val="true"/>
          <w:lang w:bidi="fa-IR"/>
        </w:rPr>
        <w:t>النحو فقط عند أهل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تقتصر هذه علی كونها تشريعات كلّيّة فقط، إنّما هي تطبيقات إلهيّة سياسيّة و تنفيذات إجرائيّة أيضا، كما أنّ كلّ بند هو بند تشريعي كلّي في تفسير القرآن، هو أيضا بند إجرائي تنفيذي تفصيلي من اللّه عزّ و جلّ، و حاكميّة، فكما هو تشريع عامّ في الجهاد، و تشريع في الاقتصاد، و تشريع في السياسة، و تشريع في السياسة الماليّة، و كذا في الطلاق و في الظهار، و كذا في الأحوال الشخصيّة، كذلك كانت حكومة و حاكميّة جزئيّة و إنفاذ حاسم باتّ في تلك الموارد كانت الحاكميّة الاولي بحسب منطق القرآن للّه عزّ و جلّ، و من بعده للرسول صلّي اللّه عليه و اله هي امور تفصيليّة و ليست تشريعات كلّيّة فقط، و الملفت للنظر أنّ هذه الجهة قد أغفلها عامّة المفسّرين من كلا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روايات أهل البيت عليهم السّلام</w:t>
      </w:r>
      <w:r>
        <w:rPr>
          <w:rFonts w:eastAsia="IRNazanin" w:cs="IRNazanin"/>
          <w:color w:val="111111"/>
          <w:sz w:val="28"/>
          <w:szCs w:val="28"/>
          <w:rtl w:val="true"/>
          <w:lang w:bidi="fa-IR"/>
        </w:rPr>
        <w:t>.</w:t>
      </w:r>
    </w:p>
    <w:p>
      <w:pPr>
        <w:pStyle w:val="Heading3"/>
        <w:numPr>
          <w:ilvl w:val="2"/>
          <w:numId w:val="1"/>
        </w:numPr>
        <w:rPr/>
      </w:pPr>
      <w:bookmarkStart w:id="87" w:name="__RefHeading___Toc10141198_3381743652"/>
      <w:bookmarkStart w:id="88" w:name="_Toc29"/>
      <w:bookmarkEnd w:id="87"/>
      <w:r>
        <w:rPr>
          <w:rtl w:val="true"/>
        </w:rPr>
        <w:t>حاكميّة اللّه تعالی كما تراها مدرسة أهل البيت عليهم السّلام</w:t>
      </w:r>
      <w:bookmarkEnd w:id="88"/>
    </w:p>
    <w:p>
      <w:pPr>
        <w:pStyle w:val="BookText"/>
        <w:rPr/>
      </w:pPr>
      <w:r>
        <w:rPr>
          <w:rFonts w:ascii="IRNazanin" w:hAnsi="IRNazanin" w:eastAsia="IRNazanin"/>
          <w:color w:val="111111"/>
          <w:sz w:val="28"/>
          <w:sz w:val="28"/>
          <w:szCs w:val="28"/>
          <w:rtl w:val="true"/>
          <w:lang w:bidi="fa-IR"/>
        </w:rPr>
        <w:t>إذا فحكومة الرسول صلّي اللّه عليه و اله التي نشاهدها في القرآن، نشاهد فيها اللّه تعالی الحاكم الأوّل، و ليست هي من ناحية السلطة و الصلاحيّات التشريعيّة للّه عزّ و جلّ فقط، بل الصلاحيّة و التصرّفات السياسيّة، و السلطة القضائيّة، فالقاضي الأوّل هو اللّه عزّ و جلّ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المنعطفات الخطيرة تسلّم الامور إلی قضاء اللّه، و في المنعطفات الاقتصاديّة الخطيرة الحاكم الاقتصادي الأوّل هو اللّه، </w:t>
      </w:r>
    </w:p>
    <w:p>
      <w:pPr>
        <w:pStyle w:val="BookText"/>
        <w:rPr/>
      </w:pPr>
      <w:r>
        <w:rPr>
          <w:rFonts w:ascii="IRNazanin" w:hAnsi="IRNazanin" w:eastAsia="IRNazanin"/>
          <w:color w:val="111111"/>
          <w:sz w:val="28"/>
          <w:sz w:val="28"/>
          <w:szCs w:val="28"/>
          <w:rtl w:val="true"/>
          <w:lang w:bidi="fa-IR"/>
        </w:rPr>
        <w:t>و في المنعطفات العسكريّة الخطيرة الحاكم أيضا هو اللّه عزّ و جلّ، و بعده تأتي حاكميّة الرسول صلّي اللّه عليه و اله في الامور التي دون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تجد هذه النظرة التوحيديّة و الحاكميّة للّه عزّ و جلّ في دار الدنيا عند غير مدرسة أهل البيت عليهم السّلام، و هي ليست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عقيدة مدرسة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بحكومة الرسول و بعهد الرسول صلّي اللّه عليه و اله، و إنّما هي كذلك في عهد الأئمّة، ففي حكومة أمير المؤمنين عليه السّلام، كان الحاكم الأوّل هو اللّه كذلك، لأنّ أمير المؤمنين عليه السّلام مهبط إرادات اللّه ليس بصاحب شريعة جديدة، إنّما منفّذ الشريعة و مطبّقها، فيتنزّل الأمر علی الرسول صلّي اللّه عليه و اله، و لو في عوالم البرزخ أو عالم الآخرة، ثمّ يتنزّل علی أمير المؤمنين عليه السّلام، و من ثمّ يأتمر أمير المؤمنين و هو في دار الدنيا بأوامر النبيّ التفصيليّة، و هو صلّي اللّه عليه و اله في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نحسر ولاية الرسول صلّي اللّه عليه و اله بدار الحياة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 اخرج إلی العراق، إنّ اللّه شاء أن يراك قتيلا</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فخروج الحسين عليه السّلام كان بأمر من اللّه و رسوله صلّي اللّه عليه و اله، فالرسول هو رسول مطاع حتّي في 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رَسُولَهُ إِنْ كُنْتُمْ مُؤْمِنِینَ </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 و كما أنّ طاعة اللّه ليست مخصوصة بحياة الرسول صلّي اللّه عليه و اله، </w:t>
      </w:r>
    </w:p>
    <w:p>
      <w:pPr>
        <w:pStyle w:val="BookText"/>
        <w:rPr/>
      </w:pPr>
      <w:r>
        <w:rPr>
          <w:rFonts w:ascii="IRNazanin" w:hAnsi="IRNazanin" w:eastAsia="IRNazanin"/>
          <w:color w:val="111111"/>
          <w:sz w:val="28"/>
          <w:sz w:val="28"/>
          <w:szCs w:val="28"/>
          <w:rtl w:val="true"/>
          <w:lang w:bidi="fa-IR"/>
        </w:rPr>
        <w:t xml:space="preserve">و إنّما هي طاعة مطلقة، و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أَطِیعُوا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يظنّ ظانّ أنّها طاعة مخصوصة أو مقيّدة بوجوده الشريف صلّي اللّه عليه و اله في دار الدنيا، بل هي مستمرّة لوجوده في 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الأمر الرابط بيننا و بين وجوده صلّي اللّه عليه و اله في دار الآخرة هو أئمّة أهل البيت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يسائل ابن عبّاس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مؤتمر بأمر الرسول بالشهادة، فما بال هذه النسوة أن تصطحبهنّ معك؟</w:t>
      </w:r>
    </w:p>
    <w:p>
      <w:pPr>
        <w:pStyle w:val="BookText"/>
        <w:rPr/>
      </w:pPr>
      <w:r>
        <w:rPr>
          <w:rFonts w:ascii="Amiri" w:hAnsi="Amiri" w:eastAsia="Amiri" w:cs="Amiri"/>
          <w:color w:val="111111"/>
          <w:sz w:val="28"/>
          <w:sz w:val="28"/>
          <w:szCs w:val="28"/>
          <w:rtl w:val="true"/>
          <w:lang w:bidi="ar-SA"/>
        </w:rPr>
        <w:t>فقال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شاء أن يراهنّ سبايا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حاكميّة 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عهد الحسين عليه السّلام كان الحاكم الأوّل في نظام المسلمين الذي يدبّره و يديره الحسين عليه السّلام، هو اللّه عزّ و جلّ، ثمّ الرسول صلّي اللّه عليه و اله، ثمّ الحسين عليه السّلام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فالحاكم الأوّل علی كلّ الأصعدة حتّي الصعيد السياسي في دار الدنيا هو اللّه عزّ و جلّ بحسب مدرسة أهل البيت عليهم السّلام، التي لم تعطّل حاكميّة اللّه تعالی حتّي في النشأة الدنيا، و لا يصحّ أن يقودنا هذا الإثبات إلی تشبيه أو تجسيم فنقول بأنّ اللّه شابّ أمرد أملس و فتي بهيّ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 نقول بعدم مشابهة اللّه عزّ و جلّ للأجسام لنشبّهه بغيره من المخلوقات، فنقول بأنه روح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بكونه نورا مختلطا بالسموات، تتولّد منه طاقات اخري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یَكُنْ لَهُ كُفُواً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إقامة التوحيد </w:t>
      </w:r>
      <w:bookmarkStart w:id="89" w:name="pg20517_205434"/>
    </w:p>
    <w:p>
      <w:pPr>
        <w:pStyle w:val="BookText"/>
        <w:rPr/>
      </w:pPr>
      <w:bookmarkEnd w:id="89"/>
      <w:r>
        <w:rPr>
          <w:rFonts w:ascii="Amiri" w:hAnsi="Amiri" w:eastAsia="Amiri" w:cs="Amiri"/>
          <w:color w:val="111111"/>
          <w:sz w:val="28"/>
          <w:sz w:val="28"/>
          <w:szCs w:val="28"/>
          <w:rtl w:val="true"/>
          <w:lang w:bidi="ar-SA"/>
        </w:rPr>
        <w:t xml:space="preserve">صعب مستصعب، بل ممتنع بغير النبيّ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یَكُنْ لَهُ كُفُواً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اللّه تعالی بجسم، و ليس له شبيه، فلا يشابه خلقه، و لا يجوز تعطيل صفاته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حينئذ تسدّ أمامنا الأبواب، و لا نجد بابا نفتحه سوي باب توصيف و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القائم علی التنزيه عن التشبيه، و علی نفي التعطيل، و إثبات حاكميّة اللّه عزّ و جلّ، فالقول إنّه هو الحاكم الأوّل حتّي في دار الدنيا في النظام الاجتماعي و في النظام السياسي و نظام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بالآيات، و بأسماء، و بخليفته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جاعِلٌ فِی الْأَرْضِ خَلِیفَةً </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 xml:space="preserve">، و لا يعني هذا المنطق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التفويض العزلي و التعطيل للّه، أو انتفاء قدرة اللّه أو انحسارها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0141200_3381743652"/>
      <w:bookmarkStart w:id="91" w:name="_Toc30"/>
      <w:bookmarkEnd w:id="90"/>
      <w:r>
        <w:rPr>
          <w:rtl w:val="true"/>
        </w:rPr>
        <w:t>بيان أمير المؤمنين عليه السّلام في وصف الذات الإلهيّة</w:t>
      </w:r>
      <w:bookmarkEnd w:id="9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يصحّ إثبات صفات اللّه عزّ و جلّ بمباشرته بجسمانيّة، لأنّ الذي يفعل بمباشرة هو الذي يفتقر في فعله إلی القرب لكونه بعيدا من المفعول، و ليس توحيد اللّه مباشرته بتشبيه من خلقه، فيكون روحا أو نورا يحلّ في الجسد، و إلاّ لصرنا نقول بقول مذهب الحلوليّة الصوفيّة، </w:t>
      </w:r>
    </w:p>
    <w:p>
      <w:pPr>
        <w:pStyle w:val="BookText"/>
        <w:rPr/>
      </w:pPr>
      <w:r>
        <w:rPr>
          <w:rFonts w:ascii="Amiri" w:hAnsi="Amiri" w:eastAsia="Amiri" w:cs="Amiri"/>
          <w:color w:val="111111"/>
          <w:sz w:val="28"/>
          <w:sz w:val="28"/>
          <w:szCs w:val="28"/>
          <w:rtl w:val="true"/>
          <w:lang w:bidi="ar-SA"/>
        </w:rPr>
        <w:t xml:space="preserve">القائل بأنّ اللّه يحلّ في روح الإنسان أو في جسده أو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نوره أي الخلوق، و نور السماوات يعني فعله لا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عليّ عليه السّلام عنه تعالی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في الأشياء لا بالممازجة، و خارج عن الأشياء لا بالمزايلة</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المطلب الذي دقّ فهمه علی الحكماء إلی القرن الواحد و العشرين الميلادي، و القرن الخامس عشر الهجري، و قد قالها عليه السّلام قبل أربعة عشر قرنا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نهج البلاغة نهج حكمي معقّد، بل إنّ الحكماء أنفسهم استعصي عليهم شرحه، فمع هذه المدارس الفلسفيّة و عملقتها، تبدو حيرتهم من قول عليّ بن أبي طالب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في الأشياء لا بالممازجة، و خارج عن الأشياء لا بالمزايلة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الكلمات التي تتحدّث البشريّة إلی يوم القيامة في المعجزة العلميّة، معجزة المعارف</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حتّي روّاد الفيزياء الحديثة يحارون في فهم هذا المطلب، و هذه هي و عورة التوحيد و التوصيف،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تجسيم و لا تعطيل، إنّما توصيف بتوحيد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القاعدة قاعدة اعتقاديّة عميقة عملاقة خطيرة، كما في أمر حاكميّة اللّه عزّ و جلّ في دار الدنيا، بأن يكون حاكما بقدرته و هيمنته و إحاطته حتّي علی خلفائه، بدءا من خليفة اللّه </w:t>
      </w:r>
    </w:p>
    <w:p>
      <w:pPr>
        <w:pStyle w:val="BookText"/>
        <w:rPr/>
      </w:pPr>
      <w:r>
        <w:rPr>
          <w:rFonts w:ascii="IRNazanin" w:hAnsi="IRNazanin" w:eastAsia="IRNazanin"/>
          <w:color w:val="111111"/>
          <w:sz w:val="28"/>
          <w:sz w:val="28"/>
          <w:szCs w:val="28"/>
          <w:rtl w:val="true"/>
          <w:lang w:bidi="fa-IR"/>
        </w:rPr>
        <w:t xml:space="preserve">آدم إلی النبيّ الخاتم صلّي اللّه عليه و اله و إلی الوصيّ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قادر علی وجودهم و علی أفعالهم، و هم مفتقرون إليه في وجودهم و في أفعالهم و في صفاتهم، لا يستغنون و لا يستقلّون عن فيضه طرفة عين، و لا ما هو أقلّ من ذلك، فخلقه قائم به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معني تصرّف اللّه و قدرته، و هذا هو معني عدم تعطيله، فلا يعني ذلك تجسيمه أو تشبيهه، لأنّ تصرّفه نافذ، و قدرته نافذة، و فعله نافذ، حاكم، مهيمن، مسيطر علی المخلوقات من أشرفها إلی أدناها، و هذا معني تصرّفه و حاكميّته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أنّ حاكميّته في دار الدنيا تكون في قصر رئاسة جمهوريّة أو قصر 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نقرأ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أَغْلَقَتِ الْمُلُوكُ أَبْوَابَهَا، وَدَارَتْ عَلَيْهَا حُرَّاسُهَا، وَبَابُكَ مَفْتُوحٌ لِمَنْ دَعَاكَ</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ليس له حجّاب، و لا يصحّ القول لإثبات هذه الحاكميّة بوجود قصر رئاسي للّه عزّ و جلّ في الدنيا، أو بتنزّله في عرفة و في ليلة الجمعة علی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العياذ باللّه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حاكميّة اللّه عزّ و جلّ و مالكيّته هي ليوم الدين و لدار الدنيا و لكلّ العوالم، فهو مالك يوم الدين، و هو مالك كلّ شيء،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في دار الدنيا أو في دار الآخرة، و في كلّ مجال و موقع</w:t>
      </w:r>
      <w:r>
        <w:rPr>
          <w:rFonts w:eastAsia="Amiri" w:cs="Amiri" w:ascii="Amiri" w:hAnsi="Amiri"/>
          <w:color w:val="111111"/>
          <w:sz w:val="28"/>
          <w:szCs w:val="28"/>
          <w:rtl w:val="true"/>
          <w:lang w:bidi="ar-SA"/>
        </w:rPr>
        <w:t xml:space="preserve">. </w:t>
      </w:r>
      <w:bookmarkStart w:id="92" w:name="pg20517_205437"/>
    </w:p>
    <w:p>
      <w:pPr>
        <w:pStyle w:val="Heading3"/>
        <w:numPr>
          <w:ilvl w:val="2"/>
          <w:numId w:val="1"/>
        </w:numPr>
        <w:rPr/>
      </w:pPr>
      <w:bookmarkStart w:id="93" w:name="__RefHeading___Toc10141202_3381743652"/>
      <w:bookmarkStart w:id="94" w:name="_Toc31"/>
      <w:bookmarkEnd w:id="92"/>
      <w:bookmarkEnd w:id="93"/>
      <w:r>
        <w:rPr>
          <w:rtl w:val="true"/>
        </w:rPr>
        <w:t>وساطة المخلوقات في أفعال الالوهيّة</w:t>
      </w:r>
      <w:bookmarkEnd w:id="94"/>
    </w:p>
    <w:p>
      <w:pPr>
        <w:pStyle w:val="BookText"/>
        <w:rPr/>
      </w:pPr>
      <w:r>
        <w:rPr>
          <w:rFonts w:ascii="IRNazanin" w:hAnsi="IRNazanin" w:eastAsia="IRNazanin"/>
          <w:color w:val="111111"/>
          <w:sz w:val="28"/>
          <w:sz w:val="28"/>
          <w:szCs w:val="28"/>
          <w:rtl w:val="true"/>
          <w:lang w:bidi="fa-IR"/>
        </w:rPr>
        <w:t>حاكميّة اللّه عزّ و جلّ هي بتوسّط من حكومة أوليائه، لأنّ أولياءه قائمون بوجوده و فعله و تصرّفه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نشاهد هذا المنطق مذكورا في القرآن الكريم، حتّي في التوفّي و الإماتة اللذان يسندهما القرآن الكريم تارة إلی اللّه عزّ و جلّ، و تارة إلی ملك الموت عزرائيل، و تارة إلی أعوان عزرائيل و هم الملائكة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ليس هذا تناقضا و لا تنافيا في القرآن الكريم، بل 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مراتب تباعا طوليّة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أقدر عزرائيل علی الإماتة، لكنّ قدرة عزرائيل قائمة باللّه، و قدرته تعالی علی قدرة عزرائيل أقدر من قدرة عزرائيل علی قدرة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وهبها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نري التعبير القرآني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یَتَوَفَّی الْأَنْفُسَ حِینَ مَوْتِها وَ الَّتِی لَمْ تَمُتْ فِی مَنامِها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یَتَوَفّاكُمْ بِاللَّیْلِ وَ یَعْلَمُ ما جَرَحْتُمْ بِالنَّهارِ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غيرها من الآيات التي أسند فيها التوفّي إلی ذاته المقدّسة، و مع ذلك يقول تعالی في سورة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یَتَوَفّاكُمْ مَلَكُ الْمَوْتِ الَّذِی </w:t>
      </w:r>
    </w:p>
    <w:p>
      <w:pPr>
        <w:pStyle w:val="BookText"/>
        <w:rPr/>
      </w:pPr>
      <w:r>
        <w:rPr>
          <w:rFonts w:ascii="Amiri" w:hAnsi="Amiri" w:eastAsia="Amiri" w:cs="Amiri"/>
          <w:color w:val="111111"/>
          <w:sz w:val="28"/>
          <w:sz w:val="28"/>
          <w:szCs w:val="28"/>
          <w:rtl w:val="true"/>
          <w:lang w:bidi="ar-SA"/>
        </w:rPr>
        <w:t>وُكِّلَ بِكُمْ ثُمَّ إِلي رَبِّكُمْ تُرْجَعُونَ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يسند القرآن الكريم إسنادا ثالثا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تَري إِذْ یَتَوَفَّی الَّذِینَ كَفَرُوا الْمَلائِكَةُ یَضْرِبُونَ وُجُوهَهُمْ وَ أَدْبارَهُمْ وَ ذُوقُوا عَذابَ الْحَرِیقِ </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إسنادات ثلاثة، تارة إلی ذاته المقدّسة، و تارة إلی عزرائيل، و تارة إلی الملائكة أعوان عزرائيل، و ليس ذلك تناقضا في القرآن الكريم، بل إنّ هذا هو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كذلك في الحاكميّة، و كذلك في الإحياء، فهو يسند الإحياء تارة إلی ذاته المقدّسة، و تارة إلی إسرافيل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یُنْفَخُ فِی الصُّورِ </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ينفخ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أنفخ في 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فأفعال الالوهيّة عند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إحياء و إماتة، و حاكميّة و ديّانيّة، يجريها اللّه تعالی علی يد المقرّبين و المكرّمين من مخلوقاته، و هي بتوسّط أشراف مخلوقاته، أي مخلوقاته الشريفة، التي هي من الملائكة المقرّبين و من الأنبياء و الرسل، فأفعالهم تسند إليه تعالي، لأنّ كلّ فعلهم قائم به، و كلّ وجودهم قائم به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تصوير القرآن الكريم و أهل البيت عليهم السّلام لحاكميّة اللّه في </w:t>
      </w:r>
    </w:p>
    <w:p>
      <w:pPr>
        <w:pStyle w:val="BookText"/>
        <w:rPr/>
      </w:pPr>
      <w:r>
        <w:rPr>
          <w:rFonts w:ascii="Amiri" w:hAnsi="Amiri" w:eastAsia="Amiri" w:cs="Amiri"/>
          <w:color w:val="111111"/>
          <w:sz w:val="28"/>
          <w:sz w:val="28"/>
          <w:szCs w:val="28"/>
          <w:rtl w:val="true"/>
          <w:lang w:bidi="ar-SA"/>
        </w:rPr>
        <w:t xml:space="preserve">التكوين في دار الدنيا و دار الآخرة، فحاكميّة اللّه في التكوين، تشمل حاكميّة اللّه في النظام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مدرسة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حاكميّة اللّه في 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ديّان يوم الدين بأن ينصب خلفاء له يدينون الناس، كما في قوله تعالی في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بَیْنَهُما حِجابٌ وَ عَلَی الْأَعْرافِ رِجالٌ یَعْرِفُونَ كُلاًّ بِسِیماهُمْ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هناك في عرصة القيامة رجال علی الأعراف لديهم معرفة بكلّ من أصحاب الجنّة و أصحاب النار، و ذلك بتوسّط علم التوسّم و معرفة سيماء كلّ من الفريقين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 هذا مقام يشرف و يهيمن علی الفريقين، ثمّ تتابع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نادَوْا أَصْحابَ الْجَنَّةِ أَنْ سَلامٌ عَلَیْكُمْ لَمْ یَدْخُلُوها وَ هُمْ یَطْمَعُونَ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صُرِفَتْ أَبْصارُهُمْ تِلْقاءَ أَصْحابِ النّارِ قالُوا رَبَّنا لا تَجْعَلْنا مَعَ الْقَوْمِ الظّالِمِینَ</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 أي نادي أصحاب الأعراف أصحاب الجنّة بتسليمهم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یَدْخُلُوها وَ هُمْ یَطْمَعُونَ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أصحاب الجنّة لم يدخلوا بعد الجنّة و هم يطمعون، و غالب المفسّرين أرجع الضمير إلی أصحاب الأعراف، و هو خطأ فاحش، كما سيظهر من بيان بقيّة الآيات، و كما يظهر من الآية المتقدّمة أيضا، حيث بيّنت مقام الإشراف لأصحاب الأعراف علی معرفة الفريقين من </w:t>
      </w:r>
    </w:p>
    <w:p>
      <w:pPr>
        <w:pStyle w:val="BookText"/>
        <w:rPr/>
      </w:pPr>
      <w:r>
        <w:rPr>
          <w:rFonts w:ascii="Amiri" w:hAnsi="Amiri" w:eastAsia="Amiri" w:cs="Amiri"/>
          <w:color w:val="111111"/>
          <w:sz w:val="28"/>
          <w:sz w:val="28"/>
          <w:szCs w:val="28"/>
          <w:rtl w:val="true"/>
          <w:lang w:bidi="ar-SA"/>
        </w:rPr>
        <w:t>أصحاب الجنّة و أصحاب النار،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صُرِفَتْ أَبْصارُهُمْ تِلْقاءَ أَصْحابِ النّارِ قالُوا رَبَّنا لا تَجْعَلْنا مَعَ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الفعل هاهنا أيضا مسند إلی أصحاب الجنّة أنّهم إذا صرفت أبصارهم تلقاء أصحاب النار قال أصحاب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بقرينة ما سبق، و لا سيّما أنّ بعد ذلك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نادي أَصْحابُ الْأَعْرافِ رِجالاً یَعْرِفُونَهُمْ بِسِیماهُمْ قالُوا ما أَغْني عَنْكُمْ جَمْعُكُمْ وَ ما كُنْتُمْ تَسْتَكْبِرُونَ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هؤُلاءِ الَّذِینَ أَقْسَمْتُمْ لا یَنالُهُمُ اللّهُ بِرَحْمَةٍ ادْخُلُوا الْجَنَّةَ لا خَوْفٌ عَلَیْكُمْ وَ لا أَنْتُمْ تَحْزَنُونَ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فإسناد فعل النداء إلی أصحاب الأعراف مع التصريح بصفتهم و عنوانهم دالّ علی أنّ الجمل السابقة في الذين لم يدخلوا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يطمعون، و الذين إذا صرفت أبصارهم تلقاء أصحاب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هم أصحاب الجنّة قبل دخولهم الجنّة، و أنّ أصحاب الأعراف ينادون بعض أصحاب النار متميّزين بسيماء يعرفها بالتوسّم أصحاب الأعراف، فيخاطبونهم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يشير أصحاب الأعراف إلی أصحاب الجنّة في حين مخاطبة أصحاب الأعراف و نداءهم إلی بعض رجال أصحاب النار، أهؤلاء الذين أقسمتم أن لن ينالهم اللّه برحمة، أي لن ينال اللّه أصحاب الجنّة برحمة بعد أن يخاطب أصحاب </w:t>
      </w:r>
    </w:p>
    <w:p>
      <w:pPr>
        <w:pStyle w:val="BookText"/>
        <w:rPr/>
      </w:pPr>
      <w:r>
        <w:rPr>
          <w:rFonts w:ascii="Amiri" w:hAnsi="Amiri" w:eastAsia="Amiri" w:cs="Amiri"/>
          <w:color w:val="111111"/>
          <w:sz w:val="28"/>
          <w:sz w:val="28"/>
          <w:szCs w:val="28"/>
          <w:rtl w:val="true"/>
          <w:lang w:bidi="ar-SA"/>
        </w:rPr>
        <w:t xml:space="preserve">الأعراف اولئك الرجال من أصحاب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أَغْني عَنْكُمْ جَمْعُكُمْ وَ ما كُنْتُمْ تَسْتَكْبِرُونَ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يخاطب أصحاب الأعراف أصحاب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لا خَوْفٌ عَلَیْكُمْ وَ لا أَنْتُمْ تَحْزَنُونَ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هذا يدلّ علی مقام عظيم آخر لأصحاب الأعراف أنّهم هم الذين يأذنون لأصحاب الجنّة في دخول الجنّة، و هذا ممّا يدلّ علی أنّ أصحاب الأعراف هم الموكّل لهم من قبل اللّه تعالی حساب الخلق و مداينة أصحاب النار و مجازاة أصحاب الجنّة، و أنّهم أصحاب الأعراف قد اعطوا علم و معرفة الفريقين بتوسّط علم التوسّم و معرفة سيماء كلّ فريق، و أنّهم الذين يقسمون الخلق إلی فريقين، و يميّزون كلّ فريق عن الآخر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أصحاب الأعراف هؤلاء قد أفصح القرآن عنهم، و هم الشهداء علی الخلق الذين يشهدون علی العباد أعمالهم، كما قال اللّه تعالی في آخر سورة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اجْتَباكُمْ وَ ما جَعَلَ عَلَیْكُمْ فِی الدِّینِ مِنْ حَرَجٍ مِلَّةَ أَبِیكُمْ إِبْراهِیمَ هُوَ سَمّاكُمُ الْمُسْلِمِینَ مِنْ قَبْلُ وَ فِی هذا لِیَكُونَ الرَّسُولُ شَهِیداً عَلَیْكُمْ وَ تَكُونُوا شُهَداءَ عَلَی النّاسِ </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 فأفصح عنهم القرآن أنّهم من نسل إبراهيم و ذرّيّته، و أنّهم الذين اجتباهم اللّه و اصطفاهم من </w:t>
      </w:r>
    </w:p>
    <w:p>
      <w:pPr>
        <w:pStyle w:val="BookText"/>
        <w:rPr/>
      </w:pPr>
      <w:r>
        <w:rPr>
          <w:rFonts w:ascii="Amiri" w:hAnsi="Amiri" w:eastAsia="Amiri" w:cs="Amiri"/>
          <w:color w:val="111111"/>
          <w:sz w:val="28"/>
          <w:sz w:val="28"/>
          <w:szCs w:val="28"/>
          <w:rtl w:val="true"/>
          <w:lang w:bidi="ar-SA"/>
        </w:rPr>
        <w:t>هذه الامّة، و أنّ خاتم المرسلين و سيّد الأنبياء شاهد عليهم و هم شهداء علی الناس، و قد اشير إليهم في سورة البقرة في دعوة إبراهيم و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 اجْعَلْنا مُسْلِمَیْنِ لَكَ وَ مِنْ ذُرِّیَّتِنا أُمَّةً مُسْلِمَةً لَكَ وَ أَرِنا مَناسِكَنا وَ تُبْ عَلَیْنا إِنَّكَ أَنْتَ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فِیهِمْ رَسُولاً مِنْهُمْ یَتْلُوا عَلَیْهِمْ آياتِكَ</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فهم محلّ دعوة إبراهيم و إسماعيل و من نسلهما، و سمّاهم من قبل المسلمين كما أنّهم محلّ دعوة إبراهيم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ابْتَلي إِبْراهِیمَ رَبُّهُ بِكَلِماتٍ فَأَتَمَّهُنَّ قالَ إِنِّی جاعِلُكَ لِلنّاسِ إِماماً قالَ وَ مِنْ ذُرِّیَّتِی قالَ لا یَنالُ عَهْدِی الظّالِمِینَ</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 فأجابه تعالی بجعل الإمامة في ذرّيّته المصطفون المجتبون المنزّهون عن المعاصي و الظلم، و هم أهل آية التطهير، فهؤلاء هم الشهداء المجتبون علی أعمال الخلق، فهم الذين يعرفون أصحاب الأعمال الصالحة و أصحاب الأعمال الطالحة، و هم أصحاب الأعراف الذين يعرفون الفريقين بسيمائهم و يدينون أصحاب النار و يأذنون لأصحاب الجنّة بدخولها، فمن ثمّ ينطبق عليهم قوله تعالی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الْمَوازِینَ الْقِسْطَ</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 فيصحّ أن يسند إليهم الميزان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قال سيّد الأوصياء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موازين القسط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شهداء علی الناس، و اللّه عزّ و جلّ أشار إلی دورهم،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نَبْعَثُ فِی كُلِّ أُمَّةٍ شَهِیداً عَلَیْهِمْ مِنْ أَنْفُسِهِمْ وَ جِئْنا بِكَ شَهِیداً عَلي هؤُلاءِ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باعتراف الفخر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دالّة علی وجود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يزلّ و لا يخطئ، لأنّه لو كان يزلّ أو يخطئ، لكان أحقّ أن يشهد عليه، لا أن يكون شاهدا علی النّاس، و قد تكرّر هذا في آيات و سور عديدة في القرآن الكريم، بأنّ هناك أشهاد علی الامم و الناس في البشريّة، و هؤلاء الأشهاد من هذه الامّة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أَبِیكُمْ إِبْراهِیمَ هُوَ سَمّاكُمُ الْمُسْلِمِینَ مِنْ قَبْلُ وَ فِی هذا لِیَكُونَ الرَّسُولُ شَهِیداً عَلَیْكُمْ وَ تَكُونُوا شُهَداءَ عَلَی النّاسِ فَأَقِیمُوا الصَّلاةَ وَ آتُوا الزَّكاةَ وَ اعْتَصِمُوا بِاللّهِ هُوَ مَوْلاكُمْ فَنِعْمَ الْمَوْلي وَ نِعْمَ النَّصِیرُ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شهداء يوم القيامة، أي الذين يداينون الناس، الشاهد يعني الذي يدين، إنّ فعل الحسن فبحسن، و إن فعل القبيح فبقبيح، و الديّان فوقهم هو الرسول، و الديّان فوق الرسول هو اللّه عزّ و جلّ، فهي سلسلة مراتب و صلاحيّات، كما في حاكميّة اللّه عزّ و جلّ في دار الدنيا، التي لم يثبتها</w:t>
      </w:r>
      <w:bookmarkStart w:id="95" w:name="pg20517_205444"/>
    </w:p>
    <w:p>
      <w:pPr>
        <w:pStyle w:val="BookText"/>
        <w:rPr/>
      </w:pPr>
      <w:bookmarkEnd w:id="95"/>
      <w:r>
        <w:rPr>
          <w:rFonts w:ascii="Amiri" w:hAnsi="Amiri" w:eastAsia="Amiri" w:cs="Amiri"/>
          <w:color w:val="111111"/>
          <w:sz w:val="28"/>
          <w:sz w:val="28"/>
          <w:szCs w:val="28"/>
          <w:rtl w:val="true"/>
          <w:lang w:bidi="ar-SA"/>
        </w:rPr>
        <w:t>غير أهل البيت عليهم السّلام، ليست حاكميّة الصلاحيّة التشريعيّة فحسب، بل حتّي الحاكميّة السياسيّة، فالحاكم السياسي الأوّل في حكومة الرسول هو اللّه عزّ و جلّ، و هو الحاكم العسكري الأوّل، و الحاكم الاقتصادي الأوّل، يأمرهم بالحرب أو الغزو أو المعاهدة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النظريّة في غير عقيدة أهل البيت عليهم السّلام غير مصوّرة، بل تحسر يدي البارئ عزّ و جلّ عن التصرّف، و العياذ باللّه</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0141204_3381743652"/>
      <w:bookmarkStart w:id="97" w:name="_Toc32"/>
      <w:bookmarkEnd w:id="96"/>
      <w:r>
        <w:rPr>
          <w:rtl w:val="true"/>
        </w:rPr>
        <w:t>أقسام الصفات الإلهيّة</w:t>
      </w:r>
      <w:bookmarkEnd w:id="97"/>
    </w:p>
    <w:p>
      <w:pPr>
        <w:pStyle w:val="BookText"/>
        <w:rPr/>
      </w:pPr>
      <w:r>
        <w:rPr>
          <w:rFonts w:ascii="IRNazanin" w:hAnsi="IRNazanin" w:eastAsia="IRNazanin"/>
          <w:color w:val="111111"/>
          <w:sz w:val="28"/>
          <w:sz w:val="28"/>
          <w:szCs w:val="28"/>
          <w:rtl w:val="true"/>
          <w:lang w:bidi="fa-IR"/>
        </w:rPr>
        <w:t>نخلص من هذا كلّه، و نستنتج و نصل إلی قاعدة عامّة في صفات الباري الفعليّة، باعتبار أنّ الصفات الإلهيّة تنقسم إلی قسمين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الصفات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كالوجود، و الأحديّة، و الواحديّة، و الحياة، و القدرة، و الديموميّة، و الأوّليّة و الآخريّة، 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السمع و البصر يرجعان إلی العلم بهذا المعني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اَلسَّمِیعُ الْبَصِیرُ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الصفات الفعليّة، مثل الرازق، الباسط، المميت، المحيي، الحاكم، مالِكِ یَوْمِ الدِّینِ ، و ما شابه ذلك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يعبّرون عن الضابط بين الصفات الفعليّة و الصفات الذاتيّة، بأنّ الصفات الفعليّة تارة تثبت له تعالي، و تارة يثبت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فالمحيي يثبت، و المميت يثبت، و الرازق يثبت، و المقدر يثبت، كلّها ثابتة </w:t>
      </w:r>
      <w:bookmarkStart w:id="98" w:name="pg20517_205445"/>
    </w:p>
    <w:p>
      <w:pPr>
        <w:pStyle w:val="BookText"/>
        <w:rPr/>
      </w:pPr>
      <w:bookmarkEnd w:id="98"/>
      <w:r>
        <w:rPr>
          <w:rFonts w:ascii="IRNazanin" w:hAnsi="IRNazanin" w:eastAsia="IRNazanin"/>
          <w:color w:val="111111"/>
          <w:sz w:val="28"/>
          <w:sz w:val="28"/>
          <w:szCs w:val="28"/>
          <w:rtl w:val="true"/>
          <w:lang w:bidi="fa-IR"/>
        </w:rPr>
        <w:t>للباري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فالصفات الفعليّة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لنفس فعله تعالي، و فعله تعالی مخلوق له، فإذا كان الفعل مخلوقا له، فإنّ تجلّي الباري تعالی بصفاته الفعليّة هو تجلّ بفعله لا بتجسيمه تعالي، و لا بتشبيهه بأحد من خلقه، سواء كان المشبّه به جسما أو نورا أو غيره، بل إنّ تجلّيه في صفاته الفعليّة هو بتوسّط فعله، و كلّ مخلوقاته هي فعله، حتّي الجواهر الروحيّة، و الجواهر النورانيّة و النوريّة، و الجواهر الجسمانيّة، كلّها له تعالي، كما يقول الباري تعالی عن النبيّ عيسي و 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ابْنَ مَرْیَمَ وَ أُمَّهُ آیَةً وَ آوَیْناهُما إِلي رَبْوَةٍ ذاتِ قَرارٍ وَ مَعِینٍ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الْمَسِیحُ عِیسَی ابْنُ مَرْیَمَ رَسُولُ اللّهِ وَ كَلِمَتُهُ أَلْقاها إِلي مَرْیَمَ</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فنفس وجود النبيّ عيسي هو كلمة من كلمات اللّه تعالي، تكلّم بها اللّه تعالي، و آية من آياته تجلّي بها اللّه تعالي</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0141206_3381743652"/>
      <w:bookmarkStart w:id="100" w:name="_Toc33"/>
      <w:bookmarkEnd w:id="99"/>
      <w:r>
        <w:rPr>
          <w:rtl w:val="true"/>
        </w:rPr>
        <w:t>تجلّي صفات اللّه بتوسّط أفعاله و مخلوقاته الشريفة</w:t>
      </w:r>
      <w:bookmarkEnd w:id="10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قاعدة عامّة، فالأفعال و الصفات الفعليّة، التي هي مشتقّة أو هي عين الأفعال، تعني تجلّي اللّه عزّ و جلّ بالفعل نفسه، مثل تعبير </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 اللّه عقابه، و رضاه ثوابه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فليست هذه الصفات كأحوال عارضة علی الجسم أو علی جوهر نفساني أو علی جوهر نوراني أو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الصفات الفعليّة و في أفعال الباري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 الباري تعالی بتوسّط مخلوقاته الشريفة، فكما مرّ بنا حول حاكميّته تعالی في دار الدنيا، التي كانت بنزول المشيئات و الإرادات الإلهيّة علی قلب الرسول صلّي اللّه عليه و اله، فكان هذا مظهرا لحاكميّة اللّه في النظام البشري، و كذلك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 لا يعني انحسار قدرته تعالي، و إنّما هو أقدر في تلك القدرة التي أقدر المخلوق عليها، و هو أقدر من المخلوق علی تلك القدرة من الخلوق نفسه، و هو الذي عبّر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قريب من هذا المضمون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عليه السّلام في نهج البلاغة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فقدرة البارئ عزّ و جلّ غير محصورة، و لا يصحّ القول بعزلته عن قيموميّته علی خلقه، و علی الفعل في خلقه، و هو الذي يفيض هذه القدرة آنا بآن، أو ما هو أقلّ من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المدد هو من الباري تعالی و من ثمّ هو المتحكّم، فصدق بذلك أن توفّي الأرواح يسند تارة إلی ملك الموت، و تارة إلی أعوان ملك الموت، و تارة يسنده القرآن الكريم </w:t>
      </w:r>
      <w:bookmarkStart w:id="101" w:name="pg20517_205447"/>
    </w:p>
    <w:p>
      <w:pPr>
        <w:pStyle w:val="BookText"/>
        <w:rPr/>
      </w:pPr>
      <w:bookmarkEnd w:id="101"/>
      <w:r>
        <w:rPr>
          <w:rFonts w:ascii="IRNazanin" w:hAnsi="IRNazanin" w:eastAsia="IRNazanin"/>
          <w:color w:val="111111"/>
          <w:sz w:val="28"/>
          <w:sz w:val="28"/>
          <w:szCs w:val="28"/>
          <w:rtl w:val="true"/>
          <w:lang w:bidi="fa-IR"/>
        </w:rPr>
        <w:t>بمعني الفعل إلی الباري تعالي، لأنّ ملك الموت عندما يقوم بهذا الفعل، يكون هذا الفعل مدد من اللّه، و هيمنة و إحاطة من اللّه، و إفاضة من اللّه عزّ و جلّ، فبقدر شعرة أو ما هو أقلّ من الشعرة، أو بقدر الآن أو ما هو أقلّ من الآن، لا يستقلّ عزرائيل عليه السّلام عن مدد اللّه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فالفاعل الحقيقي هو اللّه عزّ و جلّ، لكن مظهر الفعل هو عزرائيل، و عزرائيل أيضا قد يكون له أعوان مثل قولنا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يدنا عون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قوانا عون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أيضا لعزرائيل أعوان، و هم أيضا يستمدّون القدرة من اللّه عبر عزرائيل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يصحّح كون الفعل للّه عزّ و جلّ، و هو حقيقة له تعالي، بقدرته القيوميّة و الهيمنة و الإحاطة التي له علی مخلوقاته، ففي الصفات الفعليّة عموما، يكون فعله تعالی بتوسّط صدور تلك الأفعال من مخلوقاته الشريفة، لأنّه هو الذي يمدّ و يفيض تلك القدرة علی مخلوقاته، من ثمّ يكون الفعل مسندا إليه، و لا يتوهّم من قولنا إنّ اللّه تعالی هو ديّان يوم الدين، أنّ للّه تعالی في عرصة يوم القيامة موقعيّة جغرافيّة معيّنة نتّجه إليها، و أنّ تلك الموقعيّة الجغرافيّة هي محدّدة لجسم الباري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العياذ باللّه </w:t>
      </w:r>
      <w:r>
        <w:rPr>
          <w:rFonts w:eastAsia="IRNazanin" w:cs="IRNazanin"/>
          <w:color w:val="111111"/>
          <w:sz w:val="28"/>
          <w:szCs w:val="28"/>
          <w:rtl w:val="true"/>
          <w:lang w:bidi="fa-IR"/>
        </w:rPr>
        <w:t>-.</w:t>
      </w:r>
    </w:p>
    <w:p>
      <w:pPr>
        <w:pStyle w:val="Heading3"/>
        <w:numPr>
          <w:ilvl w:val="2"/>
          <w:numId w:val="1"/>
        </w:numPr>
        <w:rPr/>
      </w:pPr>
      <w:bookmarkStart w:id="102" w:name="__RefHeading___Toc10141208_3381743652"/>
      <w:bookmarkStart w:id="103" w:name="_Toc34"/>
      <w:bookmarkEnd w:id="102"/>
      <w:r>
        <w:rPr>
          <w:rtl w:val="true"/>
        </w:rPr>
        <w:t>إياب الخلق و حسابهم في يوم القيامة</w:t>
      </w:r>
      <w:bookmarkEnd w:id="10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فإيابنا إلی خلفاء اللّه في المحشر، هو إياب للّه عزّ و جلّ، و مداينة </w:t>
      </w:r>
    </w:p>
    <w:p>
      <w:pPr>
        <w:pStyle w:val="BookText"/>
        <w:rPr/>
      </w:pPr>
      <w:r>
        <w:rPr>
          <w:rFonts w:ascii="IRNazanin" w:hAnsi="IRNazanin" w:eastAsia="IRNazanin"/>
          <w:color w:val="111111"/>
          <w:sz w:val="28"/>
          <w:sz w:val="28"/>
          <w:szCs w:val="28"/>
          <w:rtl w:val="true"/>
          <w:lang w:bidi="fa-IR"/>
        </w:rPr>
        <w:t xml:space="preserve">أولياء اللّه للعباد يوم القيامة هي مداينة إلی اللّه، و إلاّ فإنّ عليّا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روي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قسيم النار و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قسيم النار و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محبّك فدعيه يدخل، و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مبغضك فخذيه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مظهر لفعل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الصفات للّه عزّ و جلّ ليست خاصّة بنشأة دون اخري لكي نتساءل و نجادل في كيفيّة تفسيرها في نشأة الآخرة دون نشأة الدنيا، ففي النشأة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هذا القول إذا صحّ في النشأة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بلا عزلة، و كأنّما هذا الذي يتبنّي هذا السؤال أو الإشكال في خلده أو في قناعته أو في ذهنه، يري أنّ انحسار قدرة البارئ لا مانع منه في الدار الدنيا، أمّا في يوم القيامة فهناك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النشآت ممتنعة عن انحسار قدرة البارئ، و لذا مرّ بنا أنّه ليس هناك نظريّة في المذاهب الإسلاميّة كما في مدرسة أهل البيت عليهم السّلام، من تصوير أنّ الحاكم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يعزب عن حكومته و حاكميّته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عزّ و جلّ، لم يستطيعوا في بياناتهم الاعتقاديّة أن يصوّروا أو يبيّنوا أو يحقّقوا هذا المطلب، بخلاف مدرسة أهل البيت عليهم السّلام، و هذا سرّ وصف الأئمّة بهذه الصفة المهمّة،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مشيئات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علی مظهر حاكميّة اللّه </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في الزيارة الجامعة التي نقرأها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كان هذا هو الحال في الدار الدنيا، و هو لا ينافي حاكميّة اللّه، بل علی العكس من ذلك، فهو يوحّد و يحقّق و يبيّن حاكميّة اللّه عزّ و جلّ، فإنّ الحال هو كذلك في الدار الآخرة، في محاسبتهم عليهم السّلام للخلق، و إلاّ فما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قسيم 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ماذا يعني كونهم أصحاب الأعراف</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المؤمنين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إشارة إلى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الْأَعْرَافِ رِجَالٌ يَعْرِفُونَ كُلَاً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في المجمع </w:t>
      </w:r>
      <w:r>
        <w:rPr>
          <w:rFonts w:eastAsia="IRNazanin" w:cs="IRNazanin"/>
          <w:color w:val="111111"/>
          <w:sz w:val="28"/>
          <w:szCs w:val="28"/>
          <w:rtl w:val="true"/>
          <w:lang w:bidi="fa-IR"/>
        </w:rPr>
        <w:t xml:space="preserve">: </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الحاكم الحسكاني وهو من حفاظ العامة ، قال عنه الذهبي في تذكرته </w:t>
      </w:r>
      <w:r>
        <w:rPr>
          <w:rFonts w:eastAsia="IRNazanin" w:cs="IRNazanin"/>
          <w:color w:val="111111"/>
          <w:sz w:val="28"/>
          <w:szCs w:val="28"/>
          <w:rtl w:val="true"/>
          <w:lang w:bidi="fa-IR"/>
        </w:rPr>
        <w:t xml:space="preserve">: </w:t>
      </w:r>
      <w:r>
        <w:rPr>
          <w:rFonts w:eastAsia="IRNazanin" w:cs="IRNazanin"/>
          <w:color w:val="111111"/>
          <w:sz w:val="28"/>
          <w:szCs w:val="28"/>
          <w:lang w:bidi="fa-IR"/>
        </w:rPr>
        <w:t>309/3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متقن ، ذو عناية تامة بعلم الحديث ، كان معمّراً ، عالي الإسناد ، صنف وجمع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رفعه إلى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جالساً عند علی فأتاه ابن الكواء فسأله عن هذه الآية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يابن الكواء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نقف يوم القيامة بين الجنّة والنار ، فمن نصرنا عرفناه بسيماء فأدخلناء الجنة ، ومن أبغضنا عرفناه بسيماه فأدخلناه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وعن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أبو إسحاق الثعلبي في الكشف والبيان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الآية الشريفة ، عن ابن عباس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الأعراف موضع عال من الصراط، عليه العباس وحمزة وعلي بن أبي طالب وجعفر ذو الجناحين يعرفون محبيهم ببياض الوجوه ، ومبغضيهم بسواد الوجوه ، ، ورواه ابن طلحة الشافعي في مطالب السؤول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حجر في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والشوكاني في فتح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كان المفسّرون قد فسّروا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 الأعراف بمعني أنّهم من تكافأت حسناتهم و سيّئاتهم فلم يستطيعوا الدخول للجنّة، و لم يذهب بهم إلی النار، لكنّ الصحيح في تفسير الأعراف ليس هذا التفسير، و حتّي سياق الآيات لا ينهض بهذا التفسير الدارج عند </w:t>
      </w:r>
      <w:bookmarkStart w:id="104" w:name="pg20517_205451"/>
    </w:p>
    <w:p>
      <w:pPr>
        <w:pStyle w:val="BookText"/>
        <w:rPr/>
      </w:pPr>
      <w:bookmarkEnd w:id="104"/>
      <w:r>
        <w:rPr>
          <w:rFonts w:ascii="Amiri" w:hAnsi="Amiri" w:eastAsia="Amiri" w:cs="Amiri"/>
          <w:color w:val="111111"/>
          <w:sz w:val="28"/>
          <w:sz w:val="28"/>
          <w:szCs w:val="28"/>
          <w:rtl w:val="true"/>
          <w:lang w:bidi="ar-SA"/>
        </w:rPr>
        <w:t>المفسّرين، بل هو كما أشارت له روايات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هم أصحاب الأعراف، هم المتوسّمون، و هم الحكّام، و هم ديّان يوم الدين، نيابة عن اللّه عزّ و جلّ، كما مرّ شرحه مفصّلا بالشواهد السابقة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صوّرت مدرسة أهل البيت عليهم السّلام هذا المعني، فالمداينة و المحاسبة يوم القيامة هي فعل من أفعال الباري، يوجده اللّه عزّ و جلّ و لو علی أيدي شرفاء مخلوقاته، لأنّه هو الذي يمدّهم، يمدّ ذواتهم و يمدّ أفعال ذواتهم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 عباد مكرمون، و كرامتهم علی اللّه أنّ كلّ حركاتهم و سكناتهم و إرادتهم و مشيئاتهم صادرة عن إرادة و مشيئة اللّه، فنقمتهم من نقمة اللّه، و غضبهم من غضب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يغضب لغضبها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 تفاسير هذا الحديث الشريف هو أنّ رضا فاطمة عليها السّلام هو صادر من رضا اللّه عزّ و جلّ، و أنّ غضبها هو من غضب اللّه، أو تابع لغضب اللّه</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0141210_3381743652"/>
      <w:bookmarkStart w:id="106" w:name="_Toc35"/>
      <w:bookmarkEnd w:id="105"/>
      <w:r>
        <w:rPr>
          <w:rtl w:val="true"/>
        </w:rPr>
        <w:t>نظير عبارة الإياب و الحساب في القرآن الكريم</w:t>
      </w:r>
      <w:bookmarkEnd w:id="10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ذلك فهذه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إِيَابُ الْخَلْقِ إِلَيْكُمْ، وَ حِسَابُهُمْ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p>
    <w:p>
      <w:pPr>
        <w:pStyle w:val="BookText"/>
        <w:rPr/>
      </w:pPr>
      <w:r>
        <w:rPr>
          <w:rFonts w:ascii="IRNazanin" w:hAnsi="IRNazanin" w:eastAsia="IRNazanin"/>
          <w:color w:val="111111"/>
          <w:sz w:val="28"/>
          <w:sz w:val="28"/>
          <w:szCs w:val="28"/>
          <w:rtl w:val="true"/>
          <w:lang w:bidi="fa-IR"/>
        </w:rPr>
        <w:t xml:space="preserve">عين التوحيد، باعتبارهم عليهم السّلام خلفاء اللّه عزّ و جلّ، و مظهر إرادته و مظهر مشيئته، و قد وردت في القرآن الكريم عدّة أفعال لملائكة النار، و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رئاسة ملائكة النار، و هذه الأفعال هي أفعال اللّه تعالي، لكنّها تظهر علی أيدي خزنة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ذلك فهذا التعبير موجود في القرآن الكريم و لا يختلف عليه، فكيف تكون هذه الفقرة في الزيارة الجامعة مخالفة للكتاب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مطابقة للكتاب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شريطة التضلّع في هذه المعارف الاعتقاديّة، و إلاّ فإنّ كلّ إنسان لا يغور و لا يتدبّر فيها، و يبني حينئذ علی التجسيم و علی التشبيه و نحو ذلك، أو يبني علی أنّ للّه عزّ و جلّ في يوم القيامة موقعيّة جغرافيّة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العياذ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كان ذلك غير حاصل في الدار الدنيا، بل هو تعالی الذي عيّن العين فلا عين له، و هو الذي كيّف الكيف فلا كيف له، و هو الذي خلق الزمان و المتي فلا زمان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خرجنا بقاعدة عامّة مهمّة و للّه الحمد، و هي أنّ الصفات الفعليّة للباري لا يتوقّع أن تعرض أو تحلّ أو تطرأ علی ذات الباري، فهذا توهّم، و هذا يستلزم الحدوث، و يستلزم الإمكان و النقص في ذات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صفاته الفعليّة و أفعاله هذه تقع بأن يوجدها تعالی في مخلوقاته، فالمدد و الفيض يكون منه عزّ و جلّ، و هذا مختلف عن صفاته الذاتيّة، إلاّ بناءه علی التجسيم و التشبيه و ما شابه ذلك</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صلّي اللّه علی محمّد و آله الطاهرين </w:t>
      </w:r>
      <w:bookmarkStart w:id="107" w:name="pg20517_205453"/>
    </w:p>
    <w:p>
      <w:pPr>
        <w:pStyle w:val="Heading2"/>
        <w:numPr>
          <w:ilvl w:val="1"/>
          <w:numId w:val="1"/>
        </w:numPr>
        <w:rPr/>
      </w:pPr>
      <w:bookmarkStart w:id="108" w:name="__RefHeading___Toc10141212_3381743652"/>
      <w:bookmarkStart w:id="109" w:name="_Toc36"/>
      <w:bookmarkEnd w:id="107"/>
      <w:bookmarkEnd w:id="108"/>
      <w:r>
        <w:rPr>
          <w:rtl w:val="true"/>
        </w:rPr>
        <w:t>المصادر</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قدّس سرّه، دار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الشيخ الصدوق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اللامعة في شرح 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شبّر قدّس سرّه، مؤسّسة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المجلسي قدّس سرّه، مؤسّسة الوفاء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في فضل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 الحسيني قدّس سرّه، مطبعة الأمير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الطباطبائي قدّس سرّه،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المامقاني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قدّس سرّه، 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الأصفهاني قدّس سرّه، أنوار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 قدّس سرّه، مؤسّسة المعارف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النوري قدّس سرّه، دار الكتب الإسلاميّة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العبّاس أحمد بن عليّ النجاشي قدّس سرّه، </w:t>
      </w:r>
    </w:p>
    <w:p>
      <w:pPr>
        <w:pStyle w:val="BookText"/>
        <w:rPr/>
      </w:pP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محمّد تقي المجلسي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الأسماء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هادي السبزواري قدّس سرّه، مكتبة بصيرتي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محمّد صالح المازندراني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دعاء الندبة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صدر الدين الطباطبائي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قدّس سرّه، مؤسّسة آل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قدّس سرّه، المكتبة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عوالم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البحراني قدّس سرّه، مدرسة 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قدّس سرّه، مؤسّسة الأعلمي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الأميني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 قدّس سرّه، 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 قدّس سرّه، دار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الأنصاري قدّس سرّه، مؤسّسة الهادي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قدّس سرّه، مؤسّسة النشر الإسلامي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محمّد التبريزي الأنصاري قدّس سرّه، مؤسّسة الهادي 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اللهوف علی قتلي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ابن طاووس قدّس سرّه، أنوار الهدي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الحلّي قدّس سرّه، المطبعة 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النمازي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 قدّس سرّه،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قدّس سرّه، 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 قدّس سرّه، مؤسّسة الأعلمي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نتائج الأفكار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الگلپايگاني قدّس سرّه، دار القرآن الكريم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النوري قدّس سرّه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الشريف الرضي</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20517_205457"/>
      <w:bookmarkStart w:id="111" w:name="pg20517_205457"/>
      <w:bookmarkEnd w:id="111"/>
    </w:p>
    <w:p>
      <w:pPr>
        <w:pStyle w:val="Heading2"/>
        <w:numPr>
          <w:ilvl w:val="1"/>
          <w:numId w:val="1"/>
        </w:numPr>
        <w:rPr/>
      </w:pPr>
      <w:bookmarkStart w:id="112" w:name="pg20517_205457"/>
      <w:bookmarkStart w:id="113" w:name="__RefHeading___Toc10141214_3381743652"/>
      <w:bookmarkStart w:id="114" w:name="_Toc37"/>
      <w:bookmarkEnd w:id="112"/>
      <w:bookmarkEnd w:id="113"/>
      <w:r>
        <w:rPr>
          <w:rtl w:val="true"/>
        </w:rPr>
        <w:t>المحتويات</w:t>
      </w:r>
      <w:bookmarkEnd w:id="114"/>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موسي بن عمران بن يزيد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وجوه اخري لاعتبار حال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الراوي لأغلب روايات عمّه النوفلي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النوفلي جلّها في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الأعلام علی رواياته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من روي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و روي رواياته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صحّة سند الزيارة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للإمام الهادي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الإمام الهادي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مضامين الزيارة الجامعة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متون رواياته في المعارف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الأعلام للنخعي و اعتمادهم و استشهادهم بالزيارة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أقوال العلماء في سند و متن الزيارة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استشهاد العلماء بالزيارة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الإمام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الزيارة الجامعة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الزيارة الجامعة الكاملة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شبهة و إثارة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نظريّة التجسيم و دورها في خلق هذا التساؤل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نفي مقالة التجسيم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نفي التعطيل و ما قد يجرّ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نفي التشبيه و علاقته بمبحث المعاد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الفرق بين نظرة مدرسة أهل البيت و نظرة بقيّة المدارس لصفات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حاكميّة اللّه تعالی كما تراها مدرسة أهل البيت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بيان أمير المؤمنين عليه السّلام في وصف الذات الإلهيّة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وساطة المخلوقات في أفعال الالوهيّة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أقسام الصفات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تجلّي صفات اللّه بتوسّط أفعاله و مخلوقاته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إياب الخلق و حسابهم في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نظير عبارة الإياب و الحساب في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في أئمّة آل محمّد عليهم السّلام حديثهم صعب مستصعب،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موسي بن عمران النخعي هو نفسه موسي بن عبد اللّه النخعي، و قد صرّح باتّحاده مع موسي بن عمران الشيخ عليّ النمازي الشاهرودي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كان في زمان السفراء المحمودين أقوام ثقات ترد عليهم التوقيعات من قبل المنصوبين للسفارة من الأصل، منهم أبو الحسين محمّد بن جعفر الأسدي رحمه اللّه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في رسالة خاصّة جلالة حاله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هيويات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علّق عليه الشيخ الصدوق رحمه اللّه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معني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قلب اللّه الواعي، أي أنا القلب الذي جعله اللّه و عاء لعلمه، و قلبه إلی طاعته، و هو قلب مخلوق للّه عزّ و جلّ كما هو عبد اللّه عزّ و جلّ،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اللّه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بيت اللّه و جنّة اللّه و نار اللّه، 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اللّه، فإنّه يعني به الحافظ لدين اللّه، و قد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تَجْرِی بِأَعْیُنِنا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بحفظنا، و كذلك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لِتُصْنَعَ عَلي عَیْنِی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علی حفظي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المجلس الرابع و العشرون،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اللامعة في شرح الزيارة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دعاء الندبة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الأسماء الحسني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 في شرح الخطبة الزهراء عليها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كذلك استشهد بها في الصفحة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416/10</w:t>
      </w:r>
      <w:r>
        <w:rPr>
          <w:rFonts w:ascii="IRNazanin" w:hAnsi="IRNazanin" w:eastAsia="IRNazanin"/>
          <w:b w:val="false"/>
          <w:b w:val="false"/>
          <w:bCs w:val="false"/>
          <w:i w:val="false"/>
          <w:i w:val="false"/>
          <w:iCs w:val="false"/>
          <w:color w:val="333333"/>
          <w:sz w:val="20"/>
          <w:sz w:val="20"/>
          <w:szCs w:val="20"/>
          <w:rtl w:val="true"/>
        </w:rPr>
        <w:t>، باب نوادر ما يتعلّق بأبواب المزار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إلی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إلی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ذعلب اليماني أمير المؤمنين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رأيت ربّك يا أمير المؤمنين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78:22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مناقب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ascii="IRNazanin" w:hAnsi="IRNazanin" w:eastAsia="IRNazanin"/>
          <w:b w:val="false"/>
          <w:b w:val="false"/>
          <w:bCs w:val="false"/>
          <w:i w:val="false"/>
          <w:i w:val="false"/>
          <w:iCs w:val="false"/>
          <w:color w:val="333333"/>
          <w:sz w:val="20"/>
          <w:sz w:val="20"/>
          <w:szCs w:val="20"/>
          <w:rtl w:val="true"/>
        </w:rPr>
        <w:t>، باب ما ذكر أنّ عليّ قسيم النار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عن هلقام،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الْأَعْرافِ رِجالٌ یَعْرِفُونَ كُلاًّ بِسِیماهُمْ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يعني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الْأَعْرافِ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ألستم تعرفون عليكم عرفاء علی قبائلكم ليعرفوا من فيها من صالح أو طالح؟قلت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اولئك الرجال الذين يعرفون كلاّ بسيماهم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يقول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قسيم النّار، و خازن الجنان، و صاحب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العلامة المجلسي رحمه الله في هامش هذا المقطع من خطبة أمير</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image" Target="media/image2.jpeg"/><Relationship Id="rId113" Type="http://schemas.openxmlformats.org/officeDocument/2006/relationships/image" Target="media/image2.jpeg"/><Relationship Id="rId114" Type="http://schemas.openxmlformats.org/officeDocument/2006/relationships/footer" Target="footer105.xml"/><Relationship Id="rId115" Type="http://schemas.openxmlformats.org/officeDocument/2006/relationships/footnotes" Target="footnotes.xml"/><Relationship Id="rId116" Type="http://schemas.openxmlformats.org/officeDocument/2006/relationships/numbering" Target="numbering.xml"/><Relationship Id="rId117" Type="http://schemas.openxmlformats.org/officeDocument/2006/relationships/fontTable" Target="fontTable.xml"/><Relationship Id="rId118" Type="http://schemas.openxmlformats.org/officeDocument/2006/relationships/settings" Target="settings.xml"/><Relationship Id="rId1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16803</Words>
  <Characters>69148</Characters>
  <CharactersWithSpaces>85432</CharactersWithSpaces>
  <Paragraphs>769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2026-08-31T10:17:19Z</dcterms:created>
  <dc:creator>ghaemiyeh.com</dc:creator>
  <dc:description/>
  <dc:language>en-US</dc:language>
  <cp:lastModifiedBy/>
  <dcterms:modified xsi:type="dcterms:W3CDTF">2026-08-31T13:47:23Z</dcterms:modified>
  <cp:revision>1</cp:revision>
  <dc:subject/>
  <dc:title>فی رحاب الزیاره الجامعه الکبیره</dc:title>
</cp:coreProperties>
</file>

<file path=docProps/custom.xml><?xml version="1.0" encoding="utf-8"?>
<Properties xmlns="http://schemas.openxmlformats.org/officeDocument/2006/custom-properties" xmlns:vt="http://schemas.openxmlformats.org/officeDocument/2006/docPropsVTypes"/>
</file>