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التقابل وسلطة المعنى دراسة فی عهد الإمام علی علیه السلام لمالک الأشتر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8401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22840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28405_1051229030">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9228407_1051229030">
            <w:r>
              <w:rPr>
                <w:webHidden/>
                <w:rStyle w:val="IndexLink"/>
                <w:rtl w:val="true"/>
              </w:rPr>
              <w:t>مدخل</w:t>
            </w:r>
            <w:r>
              <w:rPr>
                <w:rStyle w:val="IndexLink"/>
                <w:rtl w:val="true"/>
              </w:rPr>
              <w:tab/>
            </w:r>
            <w:r>
              <w:rPr>
                <w:rStyle w:val="IndexLink"/>
              </w:rPr>
              <w:t>13</w:t>
            </w:r>
          </w:hyperlink>
        </w:p>
        <w:p>
          <w:pPr>
            <w:pStyle w:val="Contents2"/>
            <w:tabs>
              <w:tab w:val="clear" w:pos="8743"/>
              <w:tab w:val="right" w:pos="9026" w:leader="dot"/>
            </w:tabs>
            <w:rPr/>
          </w:pPr>
          <w:hyperlink w:anchor="__RefHeading___Toc9228409_1051229030">
            <w:r>
              <w:rPr>
                <w:webHidden/>
                <w:rStyle w:val="IndexLink"/>
                <w:rtl w:val="true"/>
              </w:rPr>
              <w:t>المبحث الأول</w:t>
            </w:r>
            <w:r>
              <w:rPr>
                <w:rStyle w:val="IndexLink"/>
                <w:rtl w:val="true"/>
              </w:rPr>
              <w:t xml:space="preserve">: </w:t>
            </w:r>
            <w:r>
              <w:rPr>
                <w:rStyle w:val="IndexLink"/>
                <w:rtl w:val="true"/>
              </w:rPr>
              <w:t>التقابل في الذوات</w:t>
            </w:r>
            <w:r>
              <w:rPr>
                <w:rStyle w:val="IndexLink"/>
                <w:rtl w:val="true"/>
              </w:rPr>
              <w:t>:</w:t>
              <w:tab/>
            </w:r>
            <w:r>
              <w:rPr>
                <w:rStyle w:val="IndexLink"/>
              </w:rPr>
              <w:t>22</w:t>
            </w:r>
          </w:hyperlink>
        </w:p>
        <w:p>
          <w:pPr>
            <w:pStyle w:val="Contents2"/>
            <w:tabs>
              <w:tab w:val="clear" w:pos="8743"/>
              <w:tab w:val="right" w:pos="9026" w:leader="dot"/>
            </w:tabs>
            <w:rPr/>
          </w:pPr>
          <w:hyperlink w:anchor="__RefHeading___Toc9228411_1051229030">
            <w:r>
              <w:rPr>
                <w:webHidden/>
                <w:rStyle w:val="IndexLink"/>
                <w:rtl w:val="true"/>
              </w:rPr>
              <w:t>من هنا تأتي أهمية التقابل من خلال ترك</w:t>
            </w:r>
            <w:r>
              <w:rPr>
                <w:rStyle w:val="IndexLink"/>
                <w:rtl w:val="true"/>
              </w:rPr>
              <w:tab/>
            </w:r>
            <w:r>
              <w:rPr>
                <w:rStyle w:val="IndexLink"/>
              </w:rPr>
              <w:t>25</w:t>
            </w:r>
          </w:hyperlink>
        </w:p>
        <w:p>
          <w:pPr>
            <w:pStyle w:val="Contents2"/>
            <w:tabs>
              <w:tab w:val="clear" w:pos="8743"/>
              <w:tab w:val="right" w:pos="9026" w:leader="dot"/>
            </w:tabs>
            <w:rPr/>
          </w:pPr>
          <w:hyperlink w:anchor="__RefHeading___Toc9228413_1051229030">
            <w:r>
              <w:rPr>
                <w:webHidden/>
                <w:rStyle w:val="IndexLink"/>
                <w:rtl w:val="true"/>
              </w:rPr>
              <w:t>المبحث الثاني</w:t>
            </w:r>
            <w:r>
              <w:rPr>
                <w:rStyle w:val="IndexLink"/>
                <w:rtl w:val="true"/>
              </w:rPr>
              <w:t xml:space="preserve">: </w:t>
            </w:r>
            <w:r>
              <w:rPr>
                <w:rStyle w:val="IndexLink"/>
                <w:rtl w:val="true"/>
              </w:rPr>
              <w:t>تقابل الصفات</w:t>
            </w:r>
            <w:r>
              <w:rPr>
                <w:rStyle w:val="IndexLink"/>
                <w:rtl w:val="true"/>
              </w:rPr>
              <w:tab/>
            </w:r>
            <w:r>
              <w:rPr>
                <w:rStyle w:val="IndexLink"/>
              </w:rPr>
              <w:t>39</w:t>
            </w:r>
          </w:hyperlink>
        </w:p>
        <w:p>
          <w:pPr>
            <w:pStyle w:val="Contents2"/>
            <w:tabs>
              <w:tab w:val="clear" w:pos="8743"/>
              <w:tab w:val="right" w:pos="9026" w:leader="dot"/>
            </w:tabs>
            <w:rPr/>
          </w:pPr>
          <w:hyperlink w:anchor="__RefHeading___Toc9228415_1051229030">
            <w:r>
              <w:rPr>
                <w:webHidden/>
                <w:rStyle w:val="IndexLink"/>
                <w:rtl w:val="true"/>
              </w:rPr>
              <w:t>المبحث الثالث تقابل الشواهد</w:t>
            </w:r>
            <w:r>
              <w:rPr>
                <w:rStyle w:val="IndexLink"/>
                <w:rtl w:val="true"/>
              </w:rPr>
              <w:t>:</w:t>
              <w:tab/>
            </w:r>
            <w:r>
              <w:rPr>
                <w:rStyle w:val="IndexLink"/>
              </w:rPr>
              <w:t>53</w:t>
            </w:r>
          </w:hyperlink>
        </w:p>
        <w:p>
          <w:pPr>
            <w:pStyle w:val="Contents2"/>
            <w:tabs>
              <w:tab w:val="clear" w:pos="8743"/>
              <w:tab w:val="right" w:pos="9026" w:leader="dot"/>
            </w:tabs>
            <w:rPr/>
          </w:pPr>
          <w:hyperlink w:anchor="__RefHeading___Toc9228417_1051229030">
            <w:r>
              <w:rPr>
                <w:webHidden/>
                <w:rStyle w:val="IndexLink"/>
                <w:rtl w:val="true"/>
              </w:rPr>
              <w:t>الخاتمة</w:t>
            </w:r>
            <w:r>
              <w:rPr>
                <w:rStyle w:val="IndexLink"/>
                <w:rtl w:val="true"/>
              </w:rPr>
              <w:tab/>
            </w:r>
            <w:r>
              <w:rPr>
                <w:rStyle w:val="IndexLink"/>
              </w:rPr>
              <w:t>60</w:t>
            </w:r>
          </w:hyperlink>
        </w:p>
        <w:p>
          <w:pPr>
            <w:pStyle w:val="Contents2"/>
            <w:tabs>
              <w:tab w:val="clear" w:pos="8743"/>
              <w:tab w:val="right" w:pos="9026" w:leader="dot"/>
            </w:tabs>
            <w:rPr/>
          </w:pPr>
          <w:hyperlink w:anchor="__RefHeading___Toc9228419_1051229030">
            <w:r>
              <w:rPr>
                <w:webHidden/>
                <w:rStyle w:val="IndexLink"/>
                <w:rtl w:val="true"/>
              </w:rPr>
              <w:t>المحتويات</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38_57340"/>
      <w:bookmarkStart w:id="1" w:name="pg8238_57340"/>
      <w:bookmarkEnd w:id="1"/>
    </w:p>
    <w:p>
      <w:pPr>
        <w:pStyle w:val="Heading2"/>
        <w:numPr>
          <w:ilvl w:val="1"/>
          <w:numId w:val="1"/>
        </w:numPr>
        <w:rPr/>
      </w:pPr>
      <w:bookmarkStart w:id="2" w:name="pg8238_57340"/>
      <w:bookmarkStart w:id="3" w:name="__RefHeading___Toc9228401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التقابل وسلطة المعني دراسة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العراقية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adr ILPaK-QI ara ILPak-QI</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BP38.09.B3K43 2018 :Cl</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الخفاجي، كاظم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التقابل وسلطة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بيان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فاخر الخفاجي،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 قاسم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الدراسات اللغوية، سلسلة دراسات في عهد</w:t>
      </w:r>
    </w:p>
    <w:p>
      <w:p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p>
    <w:p>
      <w:pPr>
        <w:pStyle w:val="BookText"/>
        <w:rPr/>
      </w:pPr>
      <w:r>
        <w:rPr>
          <w:rFonts w:ascii="Amiri" w:hAnsi="Amiri" w:eastAsia="Amiri" w:cs="Amiri"/>
          <w:color w:val="111111"/>
          <w:sz w:val="28"/>
          <w:sz w:val="28"/>
          <w:szCs w:val="28"/>
          <w:rtl w:val="true"/>
          <w:lang w:bidi="ar-SA"/>
        </w:rPr>
        <w:t>مالك الاشتر</w:t>
      </w:r>
    </w:p>
    <w:p>
      <w:pPr>
        <w:pStyle w:val="BookText"/>
        <w:rPr/>
      </w:pPr>
      <w:r>
        <w:rPr>
          <w:rFonts w:ascii="Amiri" w:hAnsi="Amiri" w:eastAsia="Amiri" w:cs="Amiri"/>
          <w:color w:val="111111"/>
          <w:sz w:val="28"/>
          <w:sz w:val="28"/>
          <w:szCs w:val="28"/>
          <w:rtl w:val="true"/>
          <w:lang w:bidi="ar-SA"/>
        </w:rPr>
        <w:t xml:space="preserve">موضوع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w:t>
      </w:r>
    </w:p>
    <w:p>
      <w:pPr>
        <w:pStyle w:val="BookText"/>
        <w:rPr/>
      </w:pPr>
      <w:r>
        <w:rPr>
          <w:rFonts w:ascii="Amiri" w:hAnsi="Amiri" w:eastAsia="Amiri" w:cs="Amiri"/>
          <w:color w:val="111111"/>
          <w:sz w:val="28"/>
          <w:sz w:val="28"/>
          <w:szCs w:val="28"/>
          <w:rtl w:val="true"/>
          <w:lang w:bidi="ar-SA"/>
        </w:rPr>
        <w:t xml:space="preserve">مصطلح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المترادفات والاضداد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الدلالة اللفظية</w:t>
      </w:r>
    </w:p>
    <w:p>
      <w:pPr>
        <w:pStyle w:val="BookText"/>
        <w:rPr/>
      </w:pPr>
      <w:r>
        <w:rPr>
          <w:rFonts w:ascii="Amiri" w:hAnsi="Amiri" w:eastAsia="Amiri" w:cs="Amiri"/>
          <w:color w:val="111111"/>
          <w:sz w:val="28"/>
          <w:sz w:val="28"/>
          <w:szCs w:val="28"/>
          <w:rtl w:val="true"/>
          <w:lang w:bidi="ar-SA"/>
        </w:rPr>
        <w:t xml:space="preserve">مؤلف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840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اللغوية</w:t>
      </w:r>
    </w:p>
    <w:p>
      <w:pPr>
        <w:pStyle w:val="BookText"/>
        <w:rPr/>
      </w:pPr>
      <w:r>
        <w:rPr>
          <w:rFonts w:ascii="IRNazanin" w:hAnsi="IRNazanin" w:eastAsia="IRNazanin"/>
          <w:color w:val="111111"/>
          <w:sz w:val="28"/>
          <w:sz w:val="28"/>
          <w:szCs w:val="28"/>
          <w:rtl w:val="true"/>
          <w:lang w:bidi="fa-IR"/>
        </w:rPr>
        <w:t xml:space="preserve">التقابل وسلطة المعني دراسة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فاخرالخفاجي</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ستارقاسم عبد الله</w:t>
      </w:r>
    </w:p>
    <w:p>
      <w:pPr>
        <w:pStyle w:val="BookText"/>
        <w:rPr/>
      </w:pPr>
      <w:r>
        <w:rPr>
          <w:rFonts w:ascii="Amiri" w:hAnsi="Amiri" w:eastAsia="Amiri" w:cs="Amiri"/>
          <w:color w:val="111111"/>
          <w:sz w:val="28"/>
          <w:sz w:val="28"/>
          <w:szCs w:val="28"/>
          <w:rtl w:val="true"/>
          <w:lang w:bidi="ar-SA"/>
        </w:rPr>
        <w:t>اِصْدَار</w:t>
      </w:r>
    </w:p>
    <w:p>
      <w:pPr>
        <w:pStyle w:val="BookText"/>
        <w:rPr/>
      </w:pPr>
      <w:r>
        <w:rPr>
          <w:rFonts w:ascii="IRNazanin" w:hAnsi="IRNazanin" w:eastAsia="IRNazanin"/>
          <w:color w:val="111111"/>
          <w:sz w:val="28"/>
          <w:sz w:val="28"/>
          <w:szCs w:val="28"/>
          <w:rtl w:val="true"/>
          <w:lang w:bidi="fa-IR"/>
        </w:rPr>
        <w:t>موسسه علوم نهج البلاغه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الأفکار و الآراء المذکورۃ فی هذا الکتاب تعبر عن وجهة نظر کاتبها،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تعبر بالضرورة عن وجهة نظر العتبة الحسینیة المقدسة </w:t>
      </w:r>
      <w:bookmarkStart w:id="7" w:name="pg8238_57344"/>
    </w:p>
    <w:p>
      <w:pPr>
        <w:pStyle w:val="Heading2"/>
        <w:numPr>
          <w:ilvl w:val="1"/>
          <w:numId w:val="1"/>
        </w:numPr>
        <w:rPr/>
      </w:pPr>
      <w:bookmarkStart w:id="8" w:name="__RefHeading___Toc9228405_1051229030"/>
      <w:bookmarkStart w:id="9" w:name="_Toc3"/>
      <w:bookmarkEnd w:id="7"/>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بیا قدم، من عموم نعمٍ ابتدأها، وسبوغ آلاء أسداها، والصلاة والسلام على خير الخلق أجمعين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وإصلاح متعلقاته الحياتية وذلك ضمن سلسلة بحثية علمية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التقابل وسلطة المعني دراسة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تلك الدراسات التي عنت بهذا الجانب، إذ تناول فيه الباحثان التقابل وسلطة المعنى في </w:t>
      </w:r>
    </w:p>
    <w:p>
      <w:pPr>
        <w:pStyle w:val="BookText"/>
        <w:rPr/>
      </w:pPr>
      <w:r>
        <w:rPr>
          <w:rFonts w:ascii="Amiri" w:hAnsi="Amiri" w:eastAsia="Amiri" w:cs="Amiri"/>
          <w:color w:val="111111"/>
          <w:sz w:val="28"/>
          <w:sz w:val="28"/>
          <w:szCs w:val="28"/>
          <w:rtl w:val="true"/>
          <w:lang w:bidi="ar-SA"/>
        </w:rPr>
        <w:t>تحديد المفاهيم التي وردت في العهد الشريف، من خلال التقابلات القديمة التي جاءت بشكل فني و إبداعي وتوظيف تلك التقابلات في الكشف عن مقاصدها وجاءت هذه التقابلات في الذوات والصفات وتقابل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أجرهما،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8238_57348"/>
    </w:p>
    <w:p>
      <w:pPr>
        <w:pStyle w:val="Heading2"/>
        <w:numPr>
          <w:ilvl w:val="1"/>
          <w:numId w:val="1"/>
        </w:numPr>
        <w:rPr/>
      </w:pPr>
      <w:bookmarkStart w:id="11" w:name="__RefHeading___Toc9228407_1051229030"/>
      <w:bookmarkStart w:id="12" w:name="_Toc4"/>
      <w:bookmarkEnd w:id="10"/>
      <w:bookmarkEnd w:id="11"/>
      <w:r>
        <w:rPr>
          <w:rtl w:val="true"/>
        </w:rPr>
        <w:t>مدخل</w:t>
      </w:r>
      <w:bookmarkEnd w:id="12"/>
    </w:p>
    <w:p>
      <w:pPr>
        <w:pStyle w:val="BookText"/>
        <w:rPr/>
      </w:pPr>
      <w:r>
        <w:rPr>
          <w:rFonts w:ascii="Amiri" w:hAnsi="Amiri" w:eastAsia="Amiri" w:cs="Amiri"/>
          <w:color w:val="111111"/>
          <w:sz w:val="28"/>
          <w:sz w:val="28"/>
          <w:szCs w:val="28"/>
          <w:rtl w:val="true"/>
          <w:lang w:bidi="ar-SA"/>
        </w:rPr>
        <w:t>التقابل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التقابل والمقابلة</w:t>
      </w:r>
    </w:p>
    <w:p>
      <w:pPr>
        <w:pStyle w:val="BookText"/>
        <w:rPr/>
      </w:pPr>
      <w:r>
        <w:rPr>
          <w:rFonts w:ascii="Amiri" w:hAnsi="Amiri" w:eastAsia="Amiri" w:cs="Amiri"/>
          <w:color w:val="111111"/>
          <w:sz w:val="28"/>
          <w:sz w:val="28"/>
          <w:szCs w:val="28"/>
          <w:rtl w:val="true"/>
          <w:lang w:bidi="ar-SA"/>
        </w:rPr>
        <w:t>في اللغة المواجهة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فلانا قبلا ومقابلة وقبلا وقبليا وقبيلا وكله واحد وهو المواجهة ومن معاني التقابل والمقابلة بين الناس في اللغة أن يقبل بعضهم على بعض اما بالذات واما بالعناية والتوافر والمودة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والمقابل في اللغة ضد المدابر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مقابل ومدابر اذا كان كريم الطرفين من أبيه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والمقابلة والتقابل واحد وهو قبالك وقبلتك اي اتجاهك</w:t>
      </w:r>
      <w:r>
        <w:rPr>
          <w:rStyle w:val="FootnoteAnchor"/>
          <w:rtl w:val="true"/>
        </w:rPr>
        <w:footnoteReference w:id="5"/>
      </w:r>
      <w:r>
        <w:rPr>
          <w:rFonts w:ascii="Amiri" w:hAnsi="Amiri" w:eastAsia="Amiri" w:cs="Amiri"/>
          <w:color w:val="111111"/>
          <w:sz w:val="28"/>
          <w:sz w:val="28"/>
          <w:szCs w:val="28"/>
          <w:rtl w:val="true"/>
          <w:lang w:bidi="ar-SA"/>
        </w:rPr>
        <w:t>ويعني التقابل في اللغة فيها يعني التعادل اذ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عادله وقابله وحاذاه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فالتقابل المكاني أو المواقفي هو الأصل المعنوي للتقابل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كل شيء ضاد شيئا ليغلبه، والسواد ضد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ضد الحياة وضد الشيء خلافه، يقال ضادني فلان اذا خالفك، فأردت طولا وأراد قصرا وأرادت ظلمه وأراد نورا فهو ضدك وضديدك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خالفك فأردت وجها تذهب فيه ونازعك في ضده </w:t>
      </w:r>
      <w:r>
        <w:rPr>
          <w:rStyle w:val="FootnoteAnchor"/>
          <w:rtl w:val="true"/>
        </w:rPr>
        <w:footnoteReference w:id="7"/>
      </w:r>
      <w:r>
        <w:rPr>
          <w:rFonts w:ascii="Amiri" w:hAnsi="Amiri" w:eastAsia="Amiri" w:cs="Amiri"/>
          <w:color w:val="111111"/>
          <w:sz w:val="28"/>
          <w:sz w:val="28"/>
          <w:szCs w:val="28"/>
          <w:rtl w:val="true"/>
          <w:lang w:bidi="ar-SA"/>
        </w:rPr>
        <w:t xml:space="preserve">، والتضاد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يجمع بين المتضادين مع </w:t>
      </w:r>
    </w:p>
    <w:p>
      <w:pPr>
        <w:pStyle w:val="BookText"/>
        <w:rPr/>
      </w:pPr>
      <w:r>
        <w:rPr>
          <w:rFonts w:ascii="IRNazanin" w:hAnsi="IRNazanin" w:eastAsia="IRNazanin"/>
          <w:color w:val="111111"/>
          <w:sz w:val="28"/>
          <w:sz w:val="28"/>
          <w:szCs w:val="28"/>
          <w:rtl w:val="true"/>
          <w:lang w:bidi="fa-IR"/>
        </w:rPr>
        <w:t>مراعات التقابل</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والمتضادان عند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اللذان ينتفي أحدهما عند وجود صاحبه اذا كان وجود هذا على النحو الذي يوجد عليه ذلك كالسواد والبياض</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العودة إلى المصطلحات البلاغية القديمة نرى هناك تداخلات في كثير منها كما هو الحال في التضاد والخلاف، يكشف لنا ذلك أبو الطيب اللغوي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كل ما خالف الشيء ضداله فالاختلاف أعم من التضاد إذا كان كل متضادين مختلفين وليس كل مختلفين ضدین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المصطلحات المرادفة للتضاد المطابقة ويسمى التطابق أو الطباق ومر هذا المصطلح بتحولات كثيره حتى استقر عند العسكري </w:t>
      </w:r>
    </w:p>
    <w:p>
      <w:pPr>
        <w:pStyle w:val="BookText"/>
        <w:rPr/>
      </w:pPr>
      <w:r>
        <w:rPr>
          <w:rFonts w:ascii="Amiri" w:hAnsi="Amiri" w:eastAsia="Amiri" w:cs="Amiri"/>
          <w:color w:val="111111"/>
          <w:sz w:val="28"/>
          <w:sz w:val="28"/>
          <w:szCs w:val="28"/>
          <w:rtl w:val="true"/>
          <w:lang w:bidi="ar-SA"/>
        </w:rPr>
        <w:t>بالجمع بين الشيء وضده</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مصطلح آخر يدل على الضدية، وهو الأضداد وكادت مباحثه أن تقتصر على كتب اللغة وحدها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نظر اللغويون القدامى إلى كليات الأضداد على أنها تمثل مظهرا من مظاهر الاشتراك اللفظي ودليلا على سعة لغة العرب وظرفها، إذ إن الكلمة نفسها تحمل معنيين متضادين، لكن هذين المعنيين لا يردان في الجملة متقابلين وإنما متواترين أو متعاقبين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مفهوم التقابل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بالعودة إلى البلاغيين القدامى نلاحظ تعدد </w:t>
      </w:r>
    </w:p>
    <w:p>
      <w:pPr>
        <w:pStyle w:val="BookText"/>
        <w:rPr/>
      </w:pPr>
      <w:r>
        <w:rPr>
          <w:rFonts w:ascii="Amiri" w:hAnsi="Amiri" w:eastAsia="Amiri" w:cs="Amiri"/>
          <w:color w:val="111111"/>
          <w:sz w:val="28"/>
          <w:sz w:val="28"/>
          <w:szCs w:val="28"/>
          <w:rtl w:val="true"/>
          <w:lang w:bidi="ar-SA"/>
        </w:rPr>
        <w:t>التعاريف للموضوع نفسه، فكل واحد منهم يقدم فهما خاصا وإن لم يبتعد كثيرا عن غيره لكنه أما أن يضيف أو يحذف أو يشعب الموضوع ويدخل فيه تفرعات كثيره لكنهم مجمعون على وضع العديد من الفنون البلاغية تحت عنوان المحسنات اللفظية ولم يتطرقوا إليها على انها وسيلة في إيصال الخطاب كما ينظر إليها في الأسلوبية الحديثة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الباحث في التراث النقدي والبلاغي لا يستطيع إغفال الالتفاتات الذكية التي رصدت التضاد وبينت أبعاده العميقة بوصفه وسيلة من وسائل التعبير والايحاء في اللغة وطريقة من طرق العرب في كلامها، على نحو ما نجده عند عبد القاهر الجرجاني، اذ ربط التضاد بالصورة ومزجه بالاستعارة مزجا كاد أن يعده جزءا منها </w:t>
      </w:r>
    </w:p>
    <w:p>
      <w:pPr>
        <w:pStyle w:val="BookText"/>
        <w:rPr/>
      </w:pPr>
      <w:r>
        <w:rPr>
          <w:rFonts w:ascii="Amiri" w:hAnsi="Amiri" w:eastAsia="Amiri" w:cs="Amiri"/>
          <w:color w:val="111111"/>
          <w:sz w:val="28"/>
          <w:sz w:val="28"/>
          <w:szCs w:val="28"/>
          <w:rtl w:val="true"/>
          <w:lang w:bidi="ar-SA"/>
        </w:rPr>
        <w:t xml:space="preserve">فهو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الأشياء تزداد بيانا بالأضداد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يرد التقابل أسلوبا بدیع یا مستقلا ضمن التقسيمات البلاغية، وإنما أشير إليه بوصفه أحد أنواع المواجهة بين الأشياء، والمخالفة المعنوية التي تطرأ على اللفظ بإزاء اللفظ الآخر داخل السياق النصي الذي جمعها، وقد تجلت هذه الإشارات في مبحث التكافؤ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يصف الشاعر شيئا أو يذمه، ويتكلم فيه أي معنی کان، فيأتي بمعنيين متكافئين، بحسب قول قدامه بن جعفر، وقد أشار إلى معنى التكافؤ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أريد 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متكافئين في هذا الموضع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متقابلين، إما من جهة المصادرة، أو السلب والإيجاب أو غيرهما من أقسام التقابل، مثل قول أبي الشعب العبسي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حُلُو الشمائلٍ وهُوَ مرُّ باسلٌ</w:t>
      </w:r>
    </w:p>
    <w:p>
      <w:pPr>
        <w:pStyle w:val="BookText"/>
        <w:rPr/>
      </w:pPr>
      <w:r>
        <w:rPr>
          <w:rFonts w:ascii="Amiri" w:hAnsi="Amiri" w:eastAsia="Amiri" w:cs="Amiri"/>
          <w:color w:val="111111"/>
          <w:sz w:val="28"/>
          <w:sz w:val="28"/>
          <w:szCs w:val="28"/>
          <w:rtl w:val="true"/>
          <w:lang w:bidi="ar-SA"/>
        </w:rPr>
        <w:t>يحمي الذمارَ صبيحة الأرهانٍ</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وحلو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تكافؤ</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أحد الباحثين المعاصرين في الثنائيات الضدية في المنظور النقدي الحديث أن هناك ثلاث اتجاهات نقدية تدور حول مفهوم التضاد على المستوى البلاغي النقدي، اولهما يدور في الغالب في فلك القديم ويحلق في سماء فكره ويردد العبارات والشواهد نفسها اذ سيطرت فكرة المحسن البديعي والتنميق على بحوث اصحاب هذا الاتجاه في أثناء تناولهم للطباق والتضاد واستعان كثيرٌ منهم بنصوص القدماء، وإعادة ملاحظاتهم واستنتاجاتهم من دون تعليق </w:t>
      </w:r>
    </w:p>
    <w:p>
      <w:pPr>
        <w:pStyle w:val="BookText"/>
        <w:rPr/>
      </w:pPr>
      <w:r>
        <w:rPr>
          <w:rFonts w:ascii="Amiri" w:hAnsi="Amiri" w:eastAsia="Amiri" w:cs="Amiri"/>
          <w:color w:val="111111"/>
          <w:sz w:val="28"/>
          <w:sz w:val="28"/>
          <w:szCs w:val="28"/>
          <w:rtl w:val="true"/>
          <w:lang w:bidi="ar-SA"/>
        </w:rPr>
        <w:t>أو تجديد يلفت الانتباه، أو يثير القضية في المنظور الدلالي أو السياقي في النص اذ ان اصحاب هذا الاتجاه قلما تأثروا بموجة الحداثة وما رافقها من مناهج أسلوبية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اصحاب الاتجاه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 في التناول لأصحاب الاتجاه الأول، فقد اهتم المعنيون بهذا المعنى بفنون البديع ولاسيما الطباق أو التضاد خارج مفهوم التحسين، بل إن بعضهم رفض تسميتها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بالمحسنات وأصحاب هذا الاتجاه تتبعوا التضاد وآلياته على أنه عنصر بنائي في النص وليس شيئا عارضا أو دخیلا عليه وإنما هو جزء منه، فقد سلطوا الضوء عليه من حيث الوظيفة والاستعمال بطريقة تتسم بالعمق والحيوية وتجمع بين الاصالة و التجديد وأخيرا أصحاب 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أفاد من المناهج النقدية الحديثة عموما ومن المناهج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البنيوية وامتداداتها التطبيقية في توظيف الثنائيات الضدية على وجه الخصوص حتی طغت على ابحاثهم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3" w:name="pg8238_57357"/>
    </w:p>
    <w:p>
      <w:pPr>
        <w:pStyle w:val="Heading2"/>
        <w:numPr>
          <w:ilvl w:val="1"/>
          <w:numId w:val="1"/>
        </w:numPr>
        <w:rPr/>
      </w:pPr>
      <w:bookmarkStart w:id="14" w:name="__RefHeading___Toc9228409_1051229030"/>
      <w:bookmarkStart w:id="15" w:name="_Toc5"/>
      <w:bookmarkEnd w:id="13"/>
      <w:bookmarkEnd w:id="14"/>
      <w:r>
        <w:rPr>
          <w:rtl w:val="true"/>
        </w:rPr>
        <w:t>المبحث الأول</w:t>
      </w:r>
      <w:r>
        <w:rPr>
          <w:rtl w:val="true"/>
        </w:rPr>
        <w:t xml:space="preserve">: </w:t>
      </w:r>
      <w:r>
        <w:rPr>
          <w:rtl w:val="true"/>
        </w:rPr>
        <w:t>التقابل في الذوات</w:t>
      </w:r>
      <w:r>
        <w:rPr>
          <w:rtl w:val="true"/>
        </w:rPr>
        <w:t>:</w:t>
      </w:r>
      <w:bookmarkEnd w:id="15"/>
    </w:p>
    <w:p>
      <w:pPr>
        <w:pStyle w:val="BookText"/>
        <w:rPr/>
      </w:pPr>
      <w:r>
        <w:rPr>
          <w:rFonts w:ascii="Amiri" w:hAnsi="Amiri" w:eastAsia="Amiri" w:cs="Amiri"/>
          <w:color w:val="111111"/>
          <w:sz w:val="28"/>
          <w:sz w:val="28"/>
          <w:szCs w:val="28"/>
          <w:rtl w:val="true"/>
          <w:lang w:bidi="ar-SA"/>
        </w:rPr>
        <w:t>نسعى هنا إلى تبيان التقابل في عهد الإمام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مالك الأشتر على مستوى الأطراف المتخاطبة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مقامات المتخاطبين وردود أفعالهم؛ وذلك لبيان تماسك النص في الشكل العام والحياة التي بثها التقابل فيه مما جعله يتعدى الزمان الذي كُتٍبَ فيه؛ إذ إن الباحث في التقابل في المنظور النقدي الحديث يقف على ما لم يقف عليه من سبقه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تقابل الذوات في النص من نقطة الشروع الأولى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أَمِيرُالْمُؤْمِنِينَ مَالِكَ بْنَ الْحَارِثِ الْأَشْتَرَ فِي عَهْدِهِ إِلَيْهِ حِينَ وَلَّاهُ مِصْرَ جِبَايَةَ خَرَاجِهَا وَ جِهَادَ عَدُوِّهَا وَ اسْتِصْلَاحَ </w:t>
      </w:r>
    </w:p>
    <w:p>
      <w:pPr>
        <w:pStyle w:val="BookText"/>
        <w:rPr/>
      </w:pPr>
      <w:r>
        <w:rPr>
          <w:rFonts w:ascii="Amiri" w:hAnsi="Amiri" w:eastAsia="Amiri" w:cs="Amiri"/>
          <w:color w:val="111111"/>
          <w:sz w:val="28"/>
          <w:sz w:val="28"/>
          <w:szCs w:val="28"/>
          <w:rtl w:val="true"/>
          <w:lang w:bidi="ar-SA"/>
        </w:rPr>
        <w:t>أَهْلِهَا وَ عِمَارَةَ بِلَادِهَا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يتجلى تقابل الذوات في عتبة النص ومطلعه بين المرسل والمرسل إليه والأمر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نلحظ تبلور مكانة الذاتين من خلال الأمر الذي يصدر من الأعلى إلى الأدنى، ومن خلال تتبع صيغ الأمر سوف نتعرف على ما كان عليه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تقواه ومكانته في الزهد، وإيثار طاعته في حدود الله سبحانه وتعالى، وإن لم يكن ذلك في النص بشكل صريح، ولكن نلمس ذلك من جملة وصاياه عليه السلام لمالك الأشتر، التي كشفها السياق لنا وهو ما يسمى بالبلاغة العربية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يحذف بعض الكلام لدلالة الباقي على الذاهب</w:t>
      </w:r>
      <w:r>
        <w:rPr>
          <w:rStyle w:val="FootnoteAnchor"/>
          <w:rtl w:val="true"/>
        </w:rPr>
        <w:footnoteReference w:id="18"/>
      </w:r>
      <w:r>
        <w:rPr>
          <w:rFonts w:ascii="Amiri" w:hAnsi="Amiri" w:eastAsia="Amiri" w:cs="Amiri"/>
          <w:color w:val="111111"/>
          <w:sz w:val="28"/>
          <w:sz w:val="28"/>
          <w:szCs w:val="28"/>
          <w:rtl w:val="true"/>
          <w:lang w:bidi="ar-SA"/>
        </w:rPr>
        <w:t xml:space="preserve">، وهو ضرب من الإيجاز البليغ، بعد ذلك تأتي تفرعات </w:t>
      </w:r>
    </w:p>
    <w:p>
      <w:pPr>
        <w:pStyle w:val="BookText"/>
        <w:rPr/>
      </w:pPr>
      <w:r>
        <w:rPr>
          <w:rFonts w:ascii="Amiri" w:hAnsi="Amiri" w:eastAsia="Amiri" w:cs="Amiri"/>
          <w:color w:val="111111"/>
          <w:sz w:val="28"/>
          <w:sz w:val="28"/>
          <w:szCs w:val="28"/>
          <w:rtl w:val="true"/>
          <w:lang w:bidi="ar-SA"/>
        </w:rPr>
        <w:t>الذوات على مستوى عال من الإتقان فقد أضافت قوة حجاجية إقناعية في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قابل بين مالك الاشتر والرعية والولاة السابقين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یا مالِک، اَنّی قَدْ وَجَّهْتُک اِلی بِلاد قَدْ جَرَتْ عَلَیها دُوَلٌ قَبْلَک، مِنْ عَدْل وَ جَوْر، وَ اَنَّ النّاسَ ینْظُرُونَ مِنْ اُمُورِک فی مِثْلِ ما کنْتَ تَنْظُرُ فیهِ مِنْ اُمُورِ الْوُلاةِ قَبْلَک، وَ یقُولُونَ فیک ما کنْتَ تَقُولُ فیهِمْ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النص يعكس التقابل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والولاة الاخرين من جهة ثانية وبين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والرعية من جهة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التقابل يأتي بقصد ولغرض عام في تدبير الأمور على ما يرام فالإمام کان </w:t>
      </w:r>
      <w:bookmarkStart w:id="16" w:name="pg8238_57360"/>
    </w:p>
    <w:p>
      <w:pPr>
        <w:pStyle w:val="BookText"/>
        <w:rPr/>
      </w:pPr>
      <w:bookmarkEnd w:id="16"/>
      <w:r>
        <w:rPr>
          <w:rFonts w:ascii="IRNazanin" w:hAnsi="IRNazanin" w:eastAsia="IRNazanin"/>
          <w:color w:val="111111"/>
          <w:sz w:val="28"/>
          <w:sz w:val="28"/>
          <w:szCs w:val="28"/>
          <w:rtl w:val="true"/>
          <w:lang w:bidi="fa-IR"/>
        </w:rPr>
        <w:t xml:space="preserve">یعي ما لدى المواجه من قوه وأثر في الاقناع عند ابرازها بهذا النسق التعبيري الذي جعل مالك الاشتر وهو الوالي مقام الناس عندما عاد بذاكرته للولاة السابقين وكيف كان ينتظر منهم الاحسان مثل ما الناس تنتظر منه ذلك، وكل ذلك من خلال التقابل وبلاغة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التجليات التقابلية في انتاج النصوص والرسائل والمخاطبات اليومية فهي كثيرة، وقوية الحضور وحسبنا التأمل والتدبر فيما نقول، ومايقال لنا لنقف على حقيقة هذا الامر كثير ما يكون التفكير التقابلي سببا في احداث بلاغة القول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9228411_1051229030"/>
      <w:bookmarkStart w:id="18" w:name="_Toc6"/>
      <w:bookmarkEnd w:id="17"/>
      <w:r>
        <w:rPr>
          <w:rtl w:val="true"/>
        </w:rPr>
        <w:t>من هنا تأتي أهمية التقابل من خلال ترك</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فسحة تصورية للمتلقي في فهم النص وكشف مکنوناته؛ إذ لم يعد يعرف التقابل بالمواجهة فقط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وانا بالإشارة والتلميح والتماثل والتقارب وما إلى ذلك من خلال التقابلات المتعددة وبطرق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التقابل في صناعة النص هو تطالب المعاني واستدعائها في الذهن بغية التكامل فالمعنی یکمل غيره توسیعا أو تفریعا أو تأكيدا أو تقسیما، أو غير ذلك من العلاقات الحادثة بين المعاني في ذهن منشئها سواء اكان هذا التطالب أو التداعي بين المعاني الأول اي بين المعنى الاساس القابل للتفريع</w:t>
      </w:r>
      <w:r>
        <w:rPr>
          <w:rStyle w:val="FootnoteAnchor"/>
          <w:rtl w:val="true"/>
        </w:rPr>
        <w:footnoteReference w:id="21"/>
      </w:r>
      <w:r>
        <w:rPr>
          <w:rFonts w:ascii="Amiri" w:hAnsi="Amiri" w:eastAsia="Amiri" w:cs="Amiri"/>
          <w:color w:val="111111"/>
          <w:sz w:val="28"/>
          <w:sz w:val="28"/>
          <w:szCs w:val="28"/>
          <w:rtl w:val="true"/>
          <w:lang w:bidi="ar-SA"/>
        </w:rPr>
        <w:t xml:space="preserve">، وهذا التطالب للمعاني وجدناه في النص، 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 في عرض المقابلات مابين الذوات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أَنْصِفِ اللهَ وَ أَنْصِفِ النَّاسَ مِنْ نَفْسکَ، وَ مِنْ خَاصَّةِ أَهْلِکَ، وَ مَنْ لَکَ فِیهِ هَوًی مِنْ رَعِیَّتِکَ،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فَإِنَّکَ إِلاَّ تَفْعَلْ تَظْلِمْ؛ وَ مَنْ ظَلَمَ عِبَادَ اللهِ کَانَ اللهُ خَصْمَهُ دُونَ عِبَادهِ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 أن تقابل الذوات يستمر في النص حتى يأخذ مساحة واسعة منه، وهذا الاستمرار لم يأت من فراغ أو لمجرد التعبير وإنا لفائدة كان يقصدها المتكلم، وأرجع البلاغيين التكرار في الكلام إلى أغراض عدة وهو أحد علامات الجمال البارزة، ومصدر دال على المبالغة في المعنى العام، يعني الإعادة يأتي لتأكيد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بلاغة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ونبعه الفياض كان واضحا في جميع نصوصه التي وردت عنه، وانه لم يتخذوتيرة واحدة في عرض التقابلات </w:t>
      </w:r>
    </w:p>
    <w:p>
      <w:pPr>
        <w:pStyle w:val="BookText"/>
        <w:rPr/>
      </w:pPr>
      <w:r>
        <w:rPr>
          <w:rFonts w:ascii="Amiri" w:hAnsi="Amiri" w:eastAsia="Amiri" w:cs="Amiri"/>
          <w:color w:val="111111"/>
          <w:sz w:val="28"/>
          <w:sz w:val="28"/>
          <w:szCs w:val="28"/>
          <w:rtl w:val="true"/>
          <w:lang w:bidi="ar-SA"/>
        </w:rPr>
        <w:t xml:space="preserve">بل نوّع في ذلك وبطرق عدة عبر الخطاب؛ إذ مال إلى الذكر الصريح في التقابل بین الذوات و إلى التلميح والإشارة في أحيان أخرى وهنا يصرح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يَکُونَنَّ الْمُحْسِنُ وَالْمُسِيءُ عِنْدَکَ بِمَنْزِلَة سَوَاء، فَإِنَّ فِي ذَلِکَ تَزْهِيداً لاِهْلِ الاْحْسَانِ فِي الاْحْسَانِ، وَتَدْرِيباً لاِهْلِ الاْسَاءَةِ عَلَى الاْسَاءَةِ، وَأَلْزِمْ کُلاًّ مِنْهُمْ مَا أَلْزَمَ نَفْسَهُ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كان ذكر الطرفين في الخطاب وعدم ترك مجال للتأويل والتحليل في حال إخفاء المقابل الآخر وذلك لأهمية الطرفين عند القائل الذي عبر عن هذه الأهمية بالذكر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لمسنا أن التقابل الخفي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النواة المؤسسة لتصورات النص وفحوى مكنونه بعد اخراجه من مفهوم البلاغة المعيارية القديمة </w:t>
      </w:r>
    </w:p>
    <w:p>
      <w:pPr>
        <w:pStyle w:val="BookText"/>
        <w:rPr/>
      </w:pPr>
      <w:r>
        <w:rPr>
          <w:rFonts w:ascii="IRNazanin" w:hAnsi="IRNazanin" w:eastAsia="IRNazanin"/>
          <w:color w:val="111111"/>
          <w:sz w:val="28"/>
          <w:sz w:val="28"/>
          <w:szCs w:val="28"/>
          <w:rtl w:val="true"/>
          <w:lang w:bidi="fa-IR"/>
        </w:rPr>
        <w:t>المرتبط بالطباق والتضاد على مستوى المفردة، والانشغال في دلالته على التواجه والتفاعل عن طريق عرض الأشياء والأفكار على ما يقابلها أو يماثلها أو يضادها أو يجاريها أو ينميها أو يشرحها أو يكشف عللها وأسبابها، على وفق علامات متباينة بين العناصر والمستويات المتقابلة بوصف النص کون لغوياً متقابلاً يعكس الخطابات الذهنية المتقابلة للمعنى عند منتجة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فالتقابل أسٌّ من أسس تماسك النص وآلية ناجعة لتحليل الخطاب تسمح بتحفيز الفكر البشري في الفهم والتفهيم والتبليغ والتأويل فيكون النص بذلك قادرا على التأثير والاقناع وهو يتجه بموضوعاته الانسانية النبيلة وافكاره الرفيعة، بأسلوب أدبي جميل إلى المتلقي الذي </w:t>
      </w:r>
    </w:p>
    <w:p>
      <w:pPr>
        <w:pStyle w:val="BookText"/>
        <w:rPr/>
      </w:pPr>
      <w:r>
        <w:rPr>
          <w:rFonts w:ascii="Amiri" w:hAnsi="Amiri" w:eastAsia="Amiri" w:cs="Amiri"/>
          <w:color w:val="111111"/>
          <w:sz w:val="28"/>
          <w:sz w:val="28"/>
          <w:szCs w:val="28"/>
          <w:rtl w:val="true"/>
          <w:lang w:bidi="ar-SA"/>
        </w:rPr>
        <w:t>يستقبله من حيث هو بناء من العلاقات اللسانية التداولية الجامعة للقضايا وحاملاتها من الالفاظ والجمل والفقرات والمقاطع والنصوص الموازية واشتقاقاتها والتراكيب البلاغية السياقية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ولاتَنْقُضْ سُنّةً صالِحَةً عَمِلَ بها صدورُ هذِهِ الاُمَةِ وَاجْتَمَعَتْ بِها الاُلْفَة وَصَلُحَتْ عليها الرعِيَّةُ وَلاتَحْدُثَنَّ سنّةً تَضُرُّ بشىء مِنْ ماضى تلكَ السُّنَنِ فيكونُ الأجْرُ لِمَنْ سَنَّها وَالوِزْرُ عليكَ بِما نَقَضْتَ مِنها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رسم له طريق عبر بيان عمل الصالحين وسننهم وما كان لهم من أعمال البر وما بين عمله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يسير عليه من اتباع أعمالهم أو مخالفتها، وما يتحقق عليه من أثر من </w:t>
      </w:r>
    </w:p>
    <w:p>
      <w:pPr>
        <w:pStyle w:val="BookText"/>
        <w:rPr/>
      </w:pPr>
      <w:r>
        <w:rPr>
          <w:rFonts w:ascii="Amiri" w:hAnsi="Amiri" w:eastAsia="Amiri" w:cs="Amiri"/>
          <w:color w:val="111111"/>
          <w:sz w:val="28"/>
          <w:sz w:val="28"/>
          <w:szCs w:val="28"/>
          <w:rtl w:val="true"/>
          <w:lang w:bidi="ar-SA"/>
        </w:rPr>
        <w:t xml:space="preserve">جراء ذلك، كانت هذه المواجهة في التعبير بارزة في اظهار ذلك التحذير من المخالفة والنهي عن إحداث أي تغير في سنن الصالحين وهذا مرده إلى قول الحديث الشريف الوارد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يهتم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بالسلوك الواجب اتباعه بين الأطراف المتقابلة فكان على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مر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يتبع سنة الصالحين وابتعاده عن هوى النفس وما شاكل ذلك من الغرائز الإنسانية المتعددة عبر مقابلتها بما يناسبها من </w:t>
      </w:r>
    </w:p>
    <w:p>
      <w:pPr>
        <w:pStyle w:val="BookText"/>
        <w:rPr/>
      </w:pPr>
      <w:r>
        <w:rPr>
          <w:rFonts w:ascii="IRNazanin" w:hAnsi="IRNazanin" w:eastAsia="IRNazanin"/>
          <w:color w:val="111111"/>
          <w:sz w:val="28"/>
          <w:sz w:val="28"/>
          <w:szCs w:val="28"/>
          <w:rtl w:val="true"/>
          <w:lang w:bidi="fa-IR"/>
        </w:rPr>
        <w:t xml:space="preserve">الحالات والمعاني في التعبير المباشر أو الاشارة والتلميح، فالأشياء عند الجرجاني تزداد بیانا بالأضداد ، كل تلك المقابلات اخرجت لنا نصا بهذه الروعة مفعما بالدلالة والعمق والارشاد، قلما نجد نظيرا له في النصوص التراثية المماثلة، کا وإن تحليل النص بهذا الشكل هو لكشف البنيات الدلالية المتقابلة التي يتأسس عليها خطاب النص في اثناء صياغته، أي إدراك الأشياء بمقابلاتها، وليس القصد بالتقابل دوما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الذي أشرنا إليه في بداية البحث بل التماثل والتناظر والتشابه إلى آخره، وحضور ذوات متعددة في ذهن الكاتب جعلته يضع لكل ذات مقابل لا على أساس التضاد وإنما على أساس البيان والإرشاد والدلالة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الرعية على أساس بيان الذوات وما يصلح لكل قسم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الرعية وبيان حقوقه وواجباته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 الرَّعِیهَ طَبَقاتٌ لایصْلُحُ بَعْضُها اِلاّ بِبَعْض، وَ 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 مِنْها کتّابُ الْعامَّةِ وَ الْخاصَّةِ، وَ مِنْها قُضاةُ الْعَدْلِ، وَ مِنْها عُمّالُ الاْنْصافِ وَ الرِّفْقِ، وَ مِنْها اَهْلُ الْجِزْیةِ وَ الْخَراجِ مِنْ اَهْلِ الذِّمَّةِ وَ مُسْلِمَةِ النّاسِ، وَ مِنْها التُّجّارُ وَ اَهْلُ الصِّناعاتِ، وَ مِنْهَا الطَّبَقَةُ السُّفْلی مِنْ ذَوِی الْحاجَةِ وَ 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قَدْ سَمَّی اللّهُ لَهُ سَهْمَهُ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إن فصل الذوات على هذا الأساس من التخصص أعطى لكل ذات قبالها من عمل على اساس ما تأخذه من وظيفة في المجتمع وما يترتب عليها من آثار، فكانت المقابلة مابين الوظيفة العائدة على الذات وما بين التعامل الذي يجب معها من قبل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المقابلة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فالتقابل هو أحد مفردات علم البلاغة الذي يشمل مفردات عدة دارت حولها قضايا هذا العلم، وإن تعريف البلاغة هي قدرة المتكلم على ایصال مقصده إلى المستمع على وفق ما يتطلب المقام، ومن زاوية نظر تأویلية التقابل تقوم بتوسيع ما ينطبق على البلاغة الانتاجية ليشمل التأويلية البليغة، القادرة على بلوغ التفهيم، إبلاغ مقاصد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التأويلية إلى القراءة بأعلى درجات الإيضاح والدقة والتماسك</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الاطلاع على القراءات النقدية الحديثة وخصوصا نظرية القراءة والتلقي التي صدح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أعطى من قيمة عالية في النص للقارئ حيث ترك له مجالات واسعة في المداخلة وفهم النص من خلال ما يضيفه هذا القارئ </w:t>
      </w:r>
    </w:p>
    <w:p>
      <w:pPr>
        <w:pStyle w:val="BookText"/>
        <w:rPr/>
      </w:pPr>
      <w:r>
        <w:rPr>
          <w:rFonts w:ascii="Amiri" w:hAnsi="Amiri" w:eastAsia="Amiri" w:cs="Amiri"/>
          <w:color w:val="111111"/>
          <w:sz w:val="28"/>
          <w:sz w:val="28"/>
          <w:szCs w:val="28"/>
          <w:rtl w:val="true"/>
          <w:lang w:bidi="ar-SA"/>
        </w:rPr>
        <w:t xml:space="preserve">للنص من مخزون ثقافته وهي تناص لثقافات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 فهم التقابل خارج فكرة المحسن البديعي وإيمانا بنظرية القراءة والتلقي والمساحة التي أعطتها للقارئ في فهم النص يمكن من خلال ذلك التعبير عن التقابل بمختلف انواعه الخفي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النص من خلال ما</w:t>
      </w:r>
    </w:p>
    <w:p>
      <w:pPr>
        <w:pStyle w:val="BookText"/>
        <w:rPr/>
      </w:pPr>
      <w:r>
        <w:rPr>
          <w:rFonts w:ascii="Amiri" w:hAnsi="Amiri" w:eastAsia="Amiri" w:cs="Amiri"/>
          <w:color w:val="111111"/>
          <w:sz w:val="28"/>
          <w:sz w:val="28"/>
          <w:szCs w:val="28"/>
          <w:rtl w:val="true"/>
          <w:lang w:bidi="ar-SA"/>
        </w:rPr>
        <w:t>يضيفه من تماسك للنص وجمالية في استرسال معانيه وأفكاره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ختام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نقف على ما 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القضاة في 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لِلْحُکْمِ بَيْنَ النَّاسِ أَفْضَلَ رَعِيَّتِکَ فِي نَفْسِکَ، مِمَّنْ لاَ تَضِيقُ بِهِ الاُْمُورُ، وَلاَ تُمَحِّکُهُ الْخُصُومُ، وَلاَ يَتَمَادَى فِي الزَّلَّةِ، وَلاَ يَحْصَرُ مِنَ الْفَيْءِ إِلَى الْحَقِّ إِذَا عَرَفَهُ، وَلاَ تُشْرِفُ نَفْسُهُ عَلَى </w:t>
      </w:r>
    </w:p>
    <w:p>
      <w:pPr>
        <w:pStyle w:val="BookText"/>
        <w:rPr/>
      </w:pPr>
      <w:r>
        <w:rPr>
          <w:rFonts w:ascii="Amiri" w:hAnsi="Amiri" w:eastAsia="Amiri" w:cs="Amiri"/>
          <w:color w:val="111111"/>
          <w:sz w:val="28"/>
          <w:sz w:val="28"/>
          <w:szCs w:val="28"/>
          <w:rtl w:val="true"/>
          <w:lang w:bidi="ar-SA"/>
        </w:rPr>
        <w:t>طَمَع، وَلاَ يَکْتَفِي بِأَدْنَى فَهْم دُونَ أَقْصَاهُ، وَأَوْقَفَهُمْ فِي الشُّبُهَاتِ، وَآخَذَهُمْ بِالْحُجَجِ، وَأَقَلَّهُمْ تَبَرُّماً بِمُرَاجَعَةِ الْخَصْمِ، وَأَصْبَرَهُمْ عَلَى تَکَشُّفِ الاُْمُورِ، وَأَصْرَمَهُمْ عِنْدَ اتِّضَاحِ الْحُکْمِ، مِمَّنْ لاَ يَزْدَهِيهِ إِطْرَاءٌ وَلاَ يَسْتَمِيلُهُ إِغْرَاءٌ وَأُولَئِکَ قَلِيلٌ؛ ثُمَّ أَکْثِرْ تَعَاهُدَ قَضَائِهِ، وَافْسَحْ لَهُ فِي الْبَذْلِ مَا يُزِيلُ عِلَّتَهُ، وَتَقِلُّ مَعَهُ حَاجَتُهُ إِلَى النَّاسِ، وَأَعْطِهِ مِنَ الْمَنْزِلَةِ لَدَيْکَ مَا لاَ يَطْمَعُ فِيهِ غَيْرُهُ مِنْ خَاصَّتِکَ، لِيَأْمَنَ بِذَلِکَ اغْتِيَالَ الرِّجَالِ لَهُ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ذَلِکَ نَظَراً بَلِيغاً، فَإِنَّ هَذَا الدِّينَ قَدْ کَانَ أَسِيراً فِي أَيْدِي الاَْشْرَارِ،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التفصيل الدقيق لأحوال القضاة وكيفية اختيارهم، الذي ميزهم بعديد من المميزات والمؤهلات التي يحملونها عن غيرهم، </w:t>
      </w:r>
    </w:p>
    <w:p>
      <w:pPr>
        <w:pStyle w:val="BookText"/>
        <w:rPr/>
      </w:pPr>
      <w:r>
        <w:rPr>
          <w:rFonts w:ascii="IRNazanin" w:hAnsi="IRNazanin" w:eastAsia="IRNazanin"/>
          <w:color w:val="111111"/>
          <w:sz w:val="28"/>
          <w:sz w:val="28"/>
          <w:szCs w:val="28"/>
          <w:rtl w:val="true"/>
          <w:lang w:bidi="fa-IR"/>
        </w:rPr>
        <w:t>ثم أشار للمعاملة الخاصة معهم؛ لأن في ذلك أمانا لهم ورفع حاجتهم للناس حتى يظهر ذلك على عملهم الذي هو أساس قیام عمله وحكومته وهو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المشهد النقدي العربي اليوم غالبا ما تأخذ</w:t>
      </w:r>
    </w:p>
    <w:p>
      <w:pPr>
        <w:pStyle w:val="BookText"/>
        <w:rPr/>
      </w:pPr>
      <w:r>
        <w:rPr>
          <w:rFonts w:ascii="IRNazanin" w:hAnsi="IRNazanin" w:eastAsia="IRNazanin"/>
          <w:color w:val="111111"/>
          <w:sz w:val="28"/>
          <w:sz w:val="28"/>
          <w:szCs w:val="28"/>
          <w:rtl w:val="true"/>
          <w:lang w:bidi="fa-IR"/>
        </w:rPr>
        <w:t>متابعة الأعمال الدارسة والشارحة لنصوص الأدب، خط المقابل المهادن، والحليف المناصر للنص، فلا يعدو أن يكون دورها محصورا في التفسير أو التأويل أو المقاربة من جانب من الجوانب اعتمادا على لغة واصفة تستند إلى مرجعية من المرجعيات النظرية أو المنهجية وهو ما نجده عادة في الدراسات الأكاديمية التي انجزت على شکل بحوث جامعية، ثم نشرت بعد ذلك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الاتجاه يعتمد على التجريب المنهجي،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المرتبط بالسياق الذي أنجز فيه، وهو يقوم على التطبيق المطلق للمنهج المعتمد في المقاربة ويدفع إلى السير في اتجاه واحد من دون النظر إلى الاتجاهات الأخرى الممكنة ونادرا ما نجد دراسة نقدية هادفة تقارب مستويات العمل و تخلق معه حوارا حقيقيا عبر جهاز منهجي متسق يخرج بنتائج هامه، مدعومة بتبريرات كافية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9" w:name="pg8238_57374"/>
    </w:p>
    <w:p>
      <w:pPr>
        <w:pStyle w:val="Heading2"/>
        <w:numPr>
          <w:ilvl w:val="1"/>
          <w:numId w:val="1"/>
        </w:numPr>
        <w:rPr/>
      </w:pPr>
      <w:bookmarkStart w:id="20" w:name="__RefHeading___Toc9228413_1051229030"/>
      <w:bookmarkStart w:id="21" w:name="_Toc7"/>
      <w:bookmarkEnd w:id="19"/>
      <w:bookmarkEnd w:id="20"/>
      <w:r>
        <w:rPr>
          <w:rtl w:val="true"/>
        </w:rPr>
        <w:t>المبحث الثاني</w:t>
      </w:r>
      <w:r>
        <w:rPr>
          <w:rtl w:val="true"/>
        </w:rPr>
        <w:t xml:space="preserve">: </w:t>
      </w:r>
      <w:r>
        <w:rPr>
          <w:rtl w:val="true"/>
        </w:rPr>
        <w:t>تقابل الصفات</w:t>
      </w:r>
      <w:bookmarkEnd w:id="2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تقابل الصفات، من العناصر البليغة التي ضمنت لعهد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حجاجية وإقناعية، وفائدة أخلاقية، ولعل ما يشد القارئ لخطابة هو تصور الصفات أو الطباع بهذا الشكل المتقابل، وهو دليل على إدراك وتمثيل حقيقي لصفات الانسان وسلوکه راسها بذلك لوحة تعبيرية هي غاية في الجمال والروعة والانسجام</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التقابل اساس الحياة وعصبها فقد بني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خطابة وتوسع به في الانتاج وصناعة المعنى وقديما قال ابن سيدة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ومقابلة الشيء بنقيضه أذهب في الصناعة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التقابل على وفق النقد الحديث، يتجاوز النقيض وحده، ليسع اناطا أخر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الترتيب أو التأذي أو التوازي أو الترادف أو التخالف وغير ذلك من الإمكانيات التي يبنی عليها الخطاب</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الصفات عبر الخطاب في الذكر الصريح عندما قابل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 عَلَيْها دُوَلٌ قَبْلَكَ، مٍنْ عَدْل وَجَوْر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مقتضى الكلام يتطلب هذا الذكر الكال الصورة عند المتلقي، والأخذ بمجامع فكره، فالتقابل يضل خاصية لغوية، وتعبيرية وفكرية، وإنسانية ولذلك نجده يتجسد إمامنا في </w:t>
      </w:r>
    </w:p>
    <w:p>
      <w:pPr>
        <w:pStyle w:val="BookText"/>
        <w:rPr/>
      </w:pPr>
      <w:r>
        <w:rPr>
          <w:rFonts w:ascii="Amiri" w:hAnsi="Amiri" w:eastAsia="Amiri" w:cs="Amiri"/>
          <w:color w:val="111111"/>
          <w:sz w:val="28"/>
          <w:sz w:val="28"/>
          <w:szCs w:val="28"/>
          <w:rtl w:val="true"/>
          <w:lang w:bidi="ar-SA"/>
        </w:rPr>
        <w:t>سائر الأنماط التواصلية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تحليل الخطاب بحاجة إلى أدوات وبلاغات قادرة على تبين كيفيات تشكل موضوعاته في الوعي المدرك، والباني للأفكار والمعاني لدى الكتاب، والمؤلفين، والخطباء، والسياسيين، والاعلامين، ولذلك يضاف التقابل إلى الأدوات التي قدمتها نظريات تحليل الخطاب لما يقدمه النموذج التقابلي من مفاهيم وتصورات قادرة على تفكيك الخطاب على مستوى الاستراتيجيات التخاطبية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دقة الصفات موزعة في النص على حساب ما يقتضيه المعنى في ايصال فكرة القائل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أعم لكل من يتلقی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لذا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طبقتين مهمتين في المجتمع مشيرا إلى صفات كل منها، والأثر المترتب في الإفراط بإحداهن على الأخرى، وهي الصفات المتعلقة بخاصة الوالي من طرف، وصفات عامة الرعية من طرف اخر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وَلْيَکُنْ أَحَبَّ الاُْمُورِ إِلَيْکَ أَوْسَطُهَا فِي الْحَقِّ، وَأَعَمُّهَا فِي الْعَدْلِ، وَأَجْمَعُهَا لِرِضَى الرَّعِيَّةِ، فَإِنَّ سُخْطَ الْعَامَّةِ يُجْحِفُ بِرِضَى الْخَاصَّةِ، وَإِنَّ سُخْطَ الْخَاصَّةِ يُغْتَفَرُ مَعَ رِضَى الْعَامَّةِ؛ وَلَيْسَ أَحَدٌ مِنَ الرَّعِيَّةِ أَثْقَلَ عَلَى الْوَالِي مَؤُونَةً فِي الرَّخَاءِ، وَأَقَلَّ مَعُونَةً لَهُ فِي الْبَلاَءِ، وَأَکْرَهَ لِلاْنْصَافِ، وَأَسْأَلَ بِالاْلْحَافِ، وَأَقَلَّ شُکْراً عِنْدَ الاْعْطَاءِ، وَأَبْطَأَ عُذْراً عِنْدَ الْمَنْعِ، وَأَضْعَفَ صَبْراً عِنْدَ مُلِمَّاتِ الدَّهْرِ مِنْ أَهْلِ الْخَاصَّةِ؛ وَإِنَّمَا عِمَادُ الدِّينِ وَجِمَاعُ الْمُسْلِمِينَ وَالْعُدَّةُ لِلاْعْدَاءِ، الْعَامَّةُ </w:t>
      </w:r>
    </w:p>
    <w:p>
      <w:pPr>
        <w:pStyle w:val="BookText"/>
        <w:rPr/>
      </w:pPr>
      <w:r>
        <w:rPr>
          <w:rFonts w:ascii="Amiri" w:hAnsi="Amiri" w:eastAsia="Amiri" w:cs="Amiri"/>
          <w:color w:val="111111"/>
          <w:sz w:val="28"/>
          <w:sz w:val="28"/>
          <w:szCs w:val="28"/>
          <w:rtl w:val="true"/>
          <w:lang w:bidi="ar-SA"/>
        </w:rPr>
        <w:t>مِنَ الاْمَّةِ؛ فَلْيَکُنْ صِغْوُکَ لَهُمْ، وَمَيْلُکَ مَعَهُمْ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حمل النص كثيرا من التقابلات البنائية التي كانت وراءها دلالات كثيرة تدل على عمق النظرة التي كان يحملها مرسل النص، فالعلاقات القائمة بين طبقات المجتمع على أساس تناقض الصفات كل طبقة بحسب مقتضى المصلحة، فالمبدع هو الذي يدرك ما وراء الظاهر العيني ويغوص إلى الأشياء التي يدق المسلك إليها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فالتقابل سمة من سمات التخاطب وبناء القول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تأملنا مايقال وما يكتب، لتبين لنا أن التقابل المعنوي في الكون وما فيه، ينعكس على البنيات القولية المنتجة، وهو ما يبرر هذا التوجه نحو المعاني المتقابلة في </w:t>
      </w:r>
    </w:p>
    <w:p>
      <w:pPr>
        <w:pStyle w:val="BookText"/>
        <w:rPr/>
      </w:pPr>
      <w:r>
        <w:rPr>
          <w:rFonts w:ascii="IRNazanin" w:hAnsi="IRNazanin" w:eastAsia="IRNazanin"/>
          <w:color w:val="111111"/>
          <w:sz w:val="28"/>
          <w:sz w:val="28"/>
          <w:szCs w:val="28"/>
          <w:rtl w:val="true"/>
          <w:lang w:bidi="fa-IR"/>
        </w:rPr>
        <w:t>التخاطب</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وبالعودة إلى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 إلى مستشاري الوالي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مجموعة من الصفات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مَشُورَتِکَ بَخِيلاً يَعْدِلُ بِکَ عَنِ الْفَضْلِ وَ يَعِدُکَ الْفَقْرَ، وَلاَ جَبَاناً يُضْعِفُکَ عَنِ الاُْمُورِ، وَلاَ حَرِيصاً يُزَيِّنُ لَکَ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الملاحظ أن تقابلات الصفات الظاهرة على سطح النص تتبلور بشكل خفي في ذهن المتلقي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ضمنا عکس هذه الصفات المعلنة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الصفات في هذا النص بأسلوب التعليل الذي يعد وسيلة ضرورية لتوسيع دائرة دلالة النص، لان النص له دلالات عدة قد تتسع وقد تضيق والعلة والسبب في اللغة بمعنى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الصفات بيّن اسبابها في انها ناتجة عن سوء الظن بالله تعالى، وتأسيسا على ذلك يمكننا ان نحيل بعضا من بواعث التضاد في أسلوب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الأهمية مايوصي به وما يترتب عليه في حال ترکه وعدم الأخذ به وتطبيقه في شؤون الرعية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نظرة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العارف عن بصيرة فهو يصف القادة من خلال فرز صفاتهم عن باقي جنود الرعية في 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جُنُودِکَ أَنْصَحَهُمْ فِي نَفْسِکَ لِلَّهِ </w:t>
      </w:r>
    </w:p>
    <w:p>
      <w:pPr>
        <w:pStyle w:val="BookText"/>
        <w:rPr/>
      </w:pPr>
      <w:r>
        <w:rPr>
          <w:rFonts w:ascii="Amiri" w:hAnsi="Amiri" w:eastAsia="Amiri" w:cs="Amiri"/>
          <w:color w:val="111111"/>
          <w:sz w:val="28"/>
          <w:sz w:val="28"/>
          <w:szCs w:val="28"/>
          <w:rtl w:val="true"/>
          <w:lang w:bidi="ar-SA"/>
        </w:rPr>
        <w:t>وَلِرَسُولِهِ وَ لاِمَامِکَ، وَأَنْقَاهُمْ جَيْباً، وَأَفْضَلَهُمْ حِلْماً، مِمَّنْ يُبْطِئُ عَنِ الْغَضَبِ، وَيَسْتَرِيحُ إِلَى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لهذه الصفات من صفات مواجهة أخرى من خلالها امتاز بها القادة عن غيرهم وبموجبها كانت لهم الصدارة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شرعنا في تأمل المواجهات المتحكمة في الكنايات البلاغية العربية القديمة بحثنا عن السمات العميقة فيها، فأننا سنقف حتما عند هذه الآلية في صناعة النصوص وتأويلها، وهذا ما يجعل عملنا مركبا يبدأ من الافتراض فالاستكشاف، ثم التحليل والاستنتاج ليأتي بعد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التصور، ثم تطبيقه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من يقرأ النص يقف مذهولا من روعة ما</w:t>
      </w:r>
    </w:p>
    <w:p>
      <w:pPr>
        <w:pStyle w:val="BookText"/>
        <w:rPr/>
      </w:pPr>
      <w:r>
        <w:rPr>
          <w:rFonts w:ascii="Amiri" w:hAnsi="Amiri" w:eastAsia="Amiri" w:cs="Amiri"/>
          <w:color w:val="111111"/>
          <w:sz w:val="28"/>
          <w:sz w:val="28"/>
          <w:szCs w:val="28"/>
          <w:rtl w:val="true"/>
          <w:lang w:bidi="ar-SA"/>
        </w:rPr>
        <w:t>فيه من دقة في الوصف والتعبير تارة تراه يصنف المجتمع على اساس ميزات كل صنف وما يتحمله من مهمة في المجتمع فقد وصف القضاة تم بين صفات القادة في الدفاع عن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حاشية الوالي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جِمَاعٌ مِنَ الْكَرَمِ، وَشُعَبٌ مِنَ الْعُرْفِ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هذه الصفات التي يفتقدها غيرهم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يتبع تلك الصفات بالتعليل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تتكرر على طول النص بوصفها تأكیدا العرض تلك الأفكار من خلال بيان الأسباب، ان النظرة السطحية للنص تطلعنا على صفات معينة من دون ذکر مقابلاتها إذ إن المتلقي يحصل عليها من خلال التأويل الذي ينشئه على ضوء الاطر المتقابلة الغائبة انطلاقا من الأطر الماثلة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يقوم النموذج التقابلي على مفاهیم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وتصورات قادرة على تفكيك الخطاب على مستوى الاستراتيجيات التخاطبيه، وعلى مستوى اللغة والأساليب، والأسانيد الحجاجية الموظفة، ومهارات التعبير، وآداب الخطاب، والتلطف وغير ذلك من ادوات التحليل أو التخيل الممكنة التي يستدعيها كل مقام نتج عنه خطاب معين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خلال التصورات التقابلية التي نتجت من تأويل النص نستطيع وصف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بالدستور قال في دستوره لمالك عن احوال العال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انْظُرْ فِي أُمُورِ عُمَّالِکَ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الاِْسْلاَمِ الْمُتَقَدِّمَةِ، فَإِنَّهُمْ أَکْرَمُ أَخْلاَقاً وَأَصَحُّ أَعْرَاضاً، وَأَقَلُّ فِي الْمَطَامِعِ إِشْرَاقاً، وَأَبْلَغُ فِي عَوَاقِبِ الاُْمُورِ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الاَْرْزَاقَ، فَإِنَّ ذَلِکَ قُوَّةٌ لَهُمْ عَلَى اسْتِصْلاَحِ أَنْفُسِهِمْ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لنص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فكره البليغ جليا في النظر بأمر العال عبر بيانه الصفاتهم ووصاياه فيهم وتعامل الوالي معهم، </w:t>
      </w:r>
    </w:p>
    <w:p>
      <w:pPr>
        <w:pStyle w:val="BookText"/>
        <w:rPr/>
      </w:pPr>
      <w:r>
        <w:rPr>
          <w:rFonts w:ascii="Amiri" w:hAnsi="Amiri" w:eastAsia="Amiri" w:cs="Amiri"/>
          <w:color w:val="111111"/>
          <w:sz w:val="28"/>
          <w:sz w:val="28"/>
          <w:szCs w:val="28"/>
          <w:rtl w:val="true"/>
          <w:lang w:bidi="ar-SA"/>
        </w:rPr>
        <w:t>ثم عدل بعد العمال إلى كتّاب الوالي وحفظة 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کُتَّابِکَ فَوَلِّ عَلَى أُمُورِکَ خَيْرَهُمْ، وَاخْصُصْ رَسَائِلَکَ الَّتِي تُدْخِلُ فِيهَا مَکَايِدَکَ وَأَسْرَارَکَ بِأَجْمَعِهِمْ لِوُجُوهِ صَالِحِ الاَْخْلاَقِ، مِمَّنْ لاَ تُبْطِرُهُ الْکَرَامَةُ، فَيَجْتَرِئَ بِهَا عَلَيْکَ فِي خِلاَف لَکَ بِحَضْرَةِ مَلاَ، وَلاَ تَقْصُرُ بِهِ الْغَفْلَةُ عَنْ إِيرَادِ مُکَاتَبَاتِ عُمِّالِکَ عَلَيْکَ، وَإِصْدَارِ جَوَابَاتِهَا عَلَى الصَّوَابِ عَنْکَ، فِيمَا يَأْخُذُ لَکَ وَيُعْطِي مِنْکَ، وَلاَ يُضْعِفُ عَقْداً اعْتَقَدَهُ لَکَ، وَلاَ يَعْجِزُ عَنْ إِطْلاَقِ مَا عُقِدَ عَلَيْکَ، وَلاَ يَجْهَلُ مَبْلَغَ قَدْرِ نَفْسِهِ فِي الاُْمُورِ، فَإِنَّ الْجَاهِلَ بِقَدْرِ نَفْسِهِ يَکُونُ بِقَدْرِ غَيْرِهِ أَجْهَلَ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هذا التفصيل في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شيء من صفاتهم وما يتميزون به من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مهارات على غيرهم حتى حظوا بهذا القدر ثم بعد ذلك استوصي بالتجار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 الْمُتَرَفِّقِ بِبَدَنِهِ، فَإِنَّهُمْ مَوَادُّ الْمَنَافِعِ، وَ أَسْبَابُ الْمَرَافِقِ وَ جُلَّابُهَا مِنَ الْمَبَاعِدِ وَالْمَطَارِحِ، فِي بَرِّك‌وَ بَحْرِك‌وَسَهْلِكَ وَجَبَلِكَ وَ حَيْثُ لَايَلْتَئِمُ النَّاسُ لِمَوَاضِعِهَا وَ لَايَجْتَرِئُونَ عَلَيْهَا، فَإِنَّهُمْ سِلْمٌ لَاتُخَافُ بَائِقَتُهُ، وَ صُلْحٌ لَاتُخْشَى غَائِلَتُهُ، وَ تَفَقَّدْ أُمُورَهُمْ بِحَضْرَتِكَ وَ 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وَشُحّاً قَبِيحاً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يقدّر وضوح التقابل في ذهن منتج النص بقدر وضوحه في النص وفي تلقيه وتأويله وقوة وضوح المقابل دليل على بلاغة القول</w:t>
      </w:r>
      <w:r>
        <w:rPr>
          <w:rStyle w:val="FootnoteAnchor"/>
          <w:rtl w:val="true"/>
        </w:rPr>
        <w:footnoteReference w:id="52"/>
      </w:r>
      <w:r>
        <w:rPr>
          <w:rFonts w:ascii="Amiri" w:hAnsi="Amiri" w:eastAsia="Amiri" w:cs="Amiri"/>
          <w:color w:val="111111"/>
          <w:sz w:val="28"/>
          <w:sz w:val="28"/>
          <w:szCs w:val="28"/>
          <w:rtl w:val="true"/>
          <w:lang w:bidi="ar-SA"/>
        </w:rPr>
        <w:t xml:space="preserve">، وهذا ما كان حاضرا في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تقابلات عدة ناتجة عن حضورها في ذهن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2" w:name="pg8238_57388"/>
    </w:p>
    <w:p>
      <w:pPr>
        <w:pStyle w:val="Heading2"/>
        <w:numPr>
          <w:ilvl w:val="1"/>
          <w:numId w:val="1"/>
        </w:numPr>
        <w:rPr/>
      </w:pPr>
      <w:bookmarkStart w:id="23" w:name="__RefHeading___Toc9228415_1051229030"/>
      <w:bookmarkStart w:id="24" w:name="_Toc8"/>
      <w:bookmarkEnd w:id="22"/>
      <w:bookmarkEnd w:id="23"/>
      <w:r>
        <w:rPr>
          <w:rtl w:val="true"/>
        </w:rPr>
        <w:t>المبحث الثالث تقابل الشواهد</w:t>
      </w:r>
      <w:r>
        <w:rPr>
          <w:rtl w:val="true"/>
        </w:rPr>
        <w:t>:</w:t>
      </w:r>
      <w:bookmarkEnd w:id="24"/>
    </w:p>
    <w:p>
      <w:pPr>
        <w:pStyle w:val="BookText"/>
        <w:rPr/>
      </w:pPr>
      <w:r>
        <w:rPr>
          <w:rFonts w:ascii="Amiri" w:hAnsi="Amiri" w:eastAsia="Amiri" w:cs="Amiri"/>
          <w:color w:val="111111"/>
          <w:sz w:val="28"/>
          <w:sz w:val="28"/>
          <w:szCs w:val="28"/>
          <w:rtl w:val="true"/>
          <w:lang w:bidi="ar-SA"/>
        </w:rPr>
        <w:t>الشاهد من الحجج الجاهزة أو غير الصناعية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يسميها أرسطو</w:t>
      </w:r>
      <w:r>
        <w:rPr>
          <w:rStyle w:val="FootnoteAnchor"/>
          <w:rtl w:val="true"/>
        </w:rPr>
        <w:footnoteReference w:id="53"/>
      </w:r>
      <w:r>
        <w:rPr>
          <w:rFonts w:ascii="Amiri" w:hAnsi="Amiri" w:eastAsia="Amiri" w:cs="Amiri"/>
          <w:color w:val="111111"/>
          <w:sz w:val="28"/>
          <w:sz w:val="28"/>
          <w:szCs w:val="28"/>
          <w:rtl w:val="true"/>
          <w:lang w:bidi="ar-SA"/>
        </w:rPr>
        <w:t xml:space="preserve">، والشاهد في الخطاب العربي وسننه القولية يتمثل في الآيات القرآنية الكريمة والحديث النبوي الشريف، والامثال والحكم، والابيات الشعرية، وهي نصوص توسع مدارك المتأمل عبر مقابلتها لمعاني ما حوله من المواقف والحالات، وترغيبه فيما ينفعه، وتنفيره ممايضره لذلك كان الشاهد دعامة قوية وحجة بالغة في جميع المواقف التي يحضر فيها وقد عبر عنه الجاحظ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ومدار العلم على الشاهد والمثل</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ونجد الشاهد حاضرا بقوة في أغلب التراث العربي عبر امتداد مراحله المتعددة من الشعر الجاهلي، كذلك نجد الشاهد </w:t>
      </w:r>
    </w:p>
    <w:p>
      <w:pPr>
        <w:pStyle w:val="BookText"/>
        <w:rPr/>
      </w:pPr>
      <w:r>
        <w:rPr>
          <w:rFonts w:ascii="Amiri" w:hAnsi="Amiri" w:eastAsia="Amiri" w:cs="Amiri"/>
          <w:color w:val="111111"/>
          <w:sz w:val="28"/>
          <w:sz w:val="28"/>
          <w:szCs w:val="28"/>
          <w:rtl w:val="true"/>
          <w:lang w:bidi="ar-SA"/>
        </w:rPr>
        <w:t>حاضراّ في الخطاب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ويعد الشاهد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مرادفا للحجة والدليل والبرهان، ودعامة أساسية لإرساء الحقائق، عبر الخطاب ومن خلاله للمتلقي، 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يُضْلِعُکَ مِنَ الْخُطُوبِ، وَيَشْتَبِهُ عَلَيْکَ مِنَ الاْمُورِ؛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الاْمْرِ مِنْکُمْ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فَالرَّدُّ إِلَى اللهِ الاْخْذُ بِمُحْکَمِ کِتَابِهِ، وَالرَّدُّ إِلَى الرَّسُولِ الاَْخْذُ بِسُنَّتِهِ الْجَامِعَةِ غَيْرِ الْمُفَرِّقَةِ فال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بگم كتابه، وال إلى الشولي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الأبشيه الجايعة غير المفرقة</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من خلال مطالعة النص </w:t>
      </w:r>
    </w:p>
    <w:p>
      <w:pPr>
        <w:pStyle w:val="BookText"/>
        <w:rPr/>
      </w:pPr>
      <w:r>
        <w:rPr>
          <w:rFonts w:ascii="IRNazanin" w:hAnsi="IRNazanin" w:eastAsia="IRNazanin"/>
          <w:color w:val="111111"/>
          <w:sz w:val="28"/>
          <w:sz w:val="28"/>
          <w:szCs w:val="28"/>
          <w:rtl w:val="true"/>
          <w:lang w:bidi="fa-IR"/>
        </w:rPr>
        <w:t xml:space="preserve">نلاحظ كيف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اورد المعنى ثم قابله في الشاهد الذي كان مماثلاً لما أورده من معنی مع ذكر الشاهد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الرد لله وللرسول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يقوم التقابل الاستشهادي على الإتيان بمعنی ثم تأكيده بمعنى آخر يجري مجرى الاستشهاد على الاول والحجة على صحته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الملاحظ أن الاستشهاد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مساحة واسعة في خطابه الموجه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اقتصر على مقتضى حاجة المقام اليه، هاهو يورد شاهدا آخر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صَلاَتِکَ لِلنَّاسِ، فَلاَ تَکُونَنَّ مُنَفِّراً وَلاَ مُضَيِّعاً، فَإِنَّ فِي النَّاسِ مَنْ بِهِ الْعِلَّةُ وَ لَهُ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کَيْفَ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أَضْعَفِهِمْ وَ کُنْ بِالْمُؤْمِنِينَ رَحِيماً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مع وجود الشاهد الذي يعد تأكيدا للكلام اردف كلامه بالتعليل للتقابل علامات، أو سياء ولا نتكلم عن التقابل الاعبر حضور احد العنصرين في مقابل عنصر اخر انه تواجه شيئين، أو شخصين، أو وضعين، أو حالين، قد يدل احدهما على الآخر بصورة وان كان غائبا فهو علامة وسيماء على بنية تقابلية قائمة على الحضور التام أو الجزئي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ظل هذا نلحظ التواجه عبر التوجيه والإرشاد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إِیَّاکَ وَ الْمَنَّ عَلَی رَعِیَّتِکَ بِإِحْسَانِکَ، أَوِ التَّزَیُّدَ فِیمَا کَانَ مِنْ فِعْلِکَ، أَوْ </w:t>
      </w:r>
    </w:p>
    <w:p>
      <w:pPr>
        <w:pStyle w:val="BookText"/>
        <w:rPr/>
      </w:pPr>
      <w:r>
        <w:rPr>
          <w:rFonts w:ascii="Amiri" w:hAnsi="Amiri" w:eastAsia="Amiri" w:cs="Amiri"/>
          <w:color w:val="111111"/>
          <w:sz w:val="28"/>
          <w:sz w:val="28"/>
          <w:szCs w:val="28"/>
          <w:rtl w:val="true"/>
          <w:lang w:bidi="ar-SA"/>
        </w:rPr>
        <w:t>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فالنص القرآني الموظف في سياق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نوعين من التقابل الأول، وهو بائن في صلب الشاهد القرآني و متبلور من فحوى معناه، فالمقت يأتي من القول من دون العمل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التقابل الآخر، فيستشف من معنی الفكرة في التقابل الأول المقابل للمعنى في النص القرآني المستشهد به، وهو منطلق فعال </w:t>
      </w:r>
    </w:p>
    <w:p>
      <w:pPr>
        <w:pStyle w:val="BookText"/>
        <w:rPr/>
      </w:pPr>
      <w:r>
        <w:rPr>
          <w:rFonts w:ascii="Amiri" w:hAnsi="Amiri" w:eastAsia="Amiri" w:cs="Amiri"/>
          <w:color w:val="111111"/>
          <w:sz w:val="28"/>
          <w:sz w:val="28"/>
          <w:szCs w:val="28"/>
          <w:rtl w:val="true"/>
          <w:lang w:bidi="ar-SA"/>
        </w:rPr>
        <w:t>في صناعة الخطاب وتوهج 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توظيف شواهده البينية المبينة على التقابل لإدراكه اهميتها في الاقناع والتأثير، فقد نتجت القضية ثم يأتي بمقابلها من الشواهد لغرض التوثيق والتوكيد نراه في النصح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إلى الله ورسوله، يقابلها بالطاعة لله والرسول، ومن الملفت للنظر أن جميع الشواهد مبنية على التقابل بأنواعه المختلفة وذلك راجع لاتساع نقدية التقابل في بناء العهد ودلالاته فالمعاني يطلب بعضها بعضا من اجل التكامل وتوسيع المدارك والافهام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وبوسع التأويل التقابلي أن يمدنا بمزيد من المعاني المنبثقة من الافتراضات الدلالية التي يتأسس عليها هذا الخطاب فالمثل يتقابل مع الفكرة المطروحة، ويتموضع بمثابة حجة جاهزة تؤدي وظيفة التدعيم، كونها تكتسب قوتها من </w:t>
      </w:r>
    </w:p>
    <w:p>
      <w:pPr>
        <w:pStyle w:val="BookText"/>
        <w:rPr/>
      </w:pPr>
      <w:r>
        <w:rPr>
          <w:rFonts w:ascii="Amiri" w:hAnsi="Amiri" w:eastAsia="Amiri" w:cs="Amiri"/>
          <w:color w:val="111111"/>
          <w:sz w:val="28"/>
          <w:sz w:val="28"/>
          <w:szCs w:val="28"/>
          <w:rtl w:val="true"/>
          <w:lang w:bidi="ar-SA"/>
        </w:rPr>
        <w:t>مصادقة الناس عليها وتواترها في الفعل الجمعي، فضلا عن كونها تؤدي وظيفة إعادة التوازن بين المرسل والمرسل اليه، عندما يصيب عملية التخاطب خفوت في تفاعلها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يقدر التقابل بالمثل کونه آلية من آليات الخطاب الإقناعي البلاغي غير المباشر في تقريب المعاني من الإفهام بضروب من الأمثلة المركبة ترکیبا تقابلیا حتی تناسب التصورات والفكرة التي يدافع عنها ویروم ایصالها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5" w:name="pg8238_57395"/>
    </w:p>
    <w:p>
      <w:pPr>
        <w:pStyle w:val="Heading2"/>
        <w:numPr>
          <w:ilvl w:val="1"/>
          <w:numId w:val="1"/>
        </w:numPr>
        <w:rPr/>
      </w:pPr>
      <w:bookmarkStart w:id="26" w:name="__RefHeading___Toc9228417_1051229030"/>
      <w:bookmarkStart w:id="27" w:name="_Toc9"/>
      <w:bookmarkEnd w:id="25"/>
      <w:bookmarkEnd w:id="26"/>
      <w:r>
        <w:rPr>
          <w:rtl w:val="true"/>
        </w:rPr>
        <w:t>الخاتمة</w:t>
      </w:r>
      <w:bookmarkEnd w:id="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البحث قراءة الخطاب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بأدوات وإمكانيات تحليلية تستند على أساس التقابل الأسلوبي فالمعاني تصنع بأبعاد وعلامات متقابلة خارج نظرة المحسن البديعي للتقابل المعهود في معاجم اللغة فقط، وإنما تقترح آليات لتوسيع مفهوم التقابل ليشمل التجاور والمحاذاة والتقريب بين المعاني عبر المواجهة بين الذوات والصفات والشواهد على مستوى التصورات والتعرف والإدراك وذلك من أجل فهم النص وافهامه انطلاقا من بنيته وسياقاته التي تتساند فيما بينها في اثناء القراءة والتلقي وبذلك نكون قد قدمنافها مغايرة لقراءة اي خطاب خارج ما هو متعارف في فهم وتحليل النصوص وهذا يدعونا لإعادة النظر في العديد من النصوص خارج الادوات التقليدية المتبعة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 مختلف الأخبار، أبو جعفر محمد بن</w:t>
      </w:r>
    </w:p>
    <w:p>
      <w:pPr>
        <w:pStyle w:val="BookText"/>
        <w:rPr/>
      </w:pPr>
      <w:r>
        <w:rPr>
          <w:rFonts w:ascii="IRNazanin" w:hAnsi="IRNazanin" w:eastAsia="IRNazanin"/>
          <w:color w:val="111111"/>
          <w:sz w:val="28"/>
          <w:sz w:val="28"/>
          <w:szCs w:val="28"/>
          <w:rtl w:val="true"/>
          <w:lang w:bidi="fa-IR"/>
        </w:rPr>
        <w:t>الحسن الطوسي، تحقيق محمد جواد مغنیه، تصحیح</w:t>
      </w:r>
    </w:p>
    <w:p>
      <w:pPr>
        <w:pStyle w:val="BookText"/>
        <w:rPr/>
      </w:pPr>
      <w:r>
        <w:rPr>
          <w:rFonts w:ascii="Amiri" w:hAnsi="Amiri" w:eastAsia="Amiri" w:cs="Amiri"/>
          <w:color w:val="111111"/>
          <w:sz w:val="28"/>
          <w:sz w:val="28"/>
          <w:szCs w:val="28"/>
          <w:rtl w:val="true"/>
          <w:lang w:bidi="ar-SA"/>
        </w:rPr>
        <w:t xml:space="preserve">يوسف البغدادي، دار الأضواء،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البلاغة في علم البيان، للإمام عبد القاهر</w:t>
      </w:r>
    </w:p>
    <w:p>
      <w:pPr>
        <w:pStyle w:val="BookText"/>
        <w:rPr/>
      </w:pPr>
      <w:r>
        <w:rPr>
          <w:rFonts w:ascii="Amiri" w:hAnsi="Amiri" w:eastAsia="Amiri" w:cs="Amiri"/>
          <w:color w:val="111111"/>
          <w:sz w:val="28"/>
          <w:sz w:val="28"/>
          <w:szCs w:val="28"/>
          <w:rtl w:val="true"/>
          <w:lang w:bidi="ar-SA"/>
        </w:rPr>
        <w:t>الجرجاني، تحقيق محمد رشيد رضا، دار الكتب العلمية،</w:t>
      </w:r>
    </w:p>
    <w:p>
      <w:pPr>
        <w:pStyle w:val="BookText"/>
        <w:rPr/>
      </w:pPr>
      <w:r>
        <w:rPr>
          <w:rFonts w:ascii="IRNazanin" w:hAnsi="IRNazanin" w:eastAsia="IRNazanin"/>
          <w:color w:val="111111"/>
          <w:sz w:val="28"/>
          <w:sz w:val="28"/>
          <w:szCs w:val="28"/>
          <w:rtl w:val="true"/>
          <w:lang w:bidi="fa-IR"/>
        </w:rPr>
        <w:t xml:space="preserve">بیروت، الطبعة الأولى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والتبين لأبي عثمان عمر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عبد السلام محمد هارون، مكتبة الخانجي للطباعة والنشر والتوزيع القاهرة</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شعر ابي العلاء المعري،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w:t>
      </w:r>
    </w:p>
    <w:p>
      <w:pPr>
        <w:pStyle w:val="BookText"/>
        <w:rPr/>
      </w:pPr>
      <w:r>
        <w:rPr>
          <w:rFonts w:ascii="Amiri" w:hAnsi="Amiri" w:eastAsia="Amiri" w:cs="Amiri"/>
          <w:color w:val="111111"/>
          <w:sz w:val="28"/>
          <w:sz w:val="28"/>
          <w:szCs w:val="28"/>
          <w:rtl w:val="true"/>
          <w:lang w:bidi="ar-SA"/>
        </w:rPr>
        <w:t xml:space="preserve">الإمام، تموز للطابعة والنشر، 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أنواعه وخصائصه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هاجر مدقن،</w:t>
      </w:r>
    </w:p>
    <w:p>
      <w:pPr>
        <w:pStyle w:val="BookText"/>
        <w:rPr/>
      </w:pPr>
      <w:r>
        <w:rPr>
          <w:rFonts w:ascii="Amiri" w:hAnsi="Amiri" w:eastAsia="Amiri" w:cs="Amiri"/>
          <w:color w:val="111111"/>
          <w:sz w:val="28"/>
          <w:sz w:val="28"/>
          <w:szCs w:val="28"/>
          <w:rtl w:val="true"/>
          <w:lang w:bidi="ar-SA"/>
        </w:rPr>
        <w:t>منشورات الاختلاف الجزائر العاصمة، الجزائر الطبعة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المتكل من شعر المتنبي، لابن سيده، تحقیق</w:t>
      </w:r>
    </w:p>
    <w:p>
      <w:pPr>
        <w:pStyle w:val="BookText"/>
        <w:rPr/>
      </w:pPr>
      <w:r>
        <w:rPr>
          <w:rFonts w:ascii="Amiri" w:hAnsi="Amiri" w:eastAsia="Amiri" w:cs="Amiri"/>
          <w:color w:val="111111"/>
          <w:sz w:val="28"/>
          <w:sz w:val="28"/>
          <w:szCs w:val="28"/>
          <w:rtl w:val="true"/>
          <w:lang w:bidi="ar-SA"/>
        </w:rPr>
        <w:t>مصطفى السقا وحامد عبد المجيد، الهيأة المصرية</w:t>
      </w:r>
    </w:p>
    <w:p>
      <w:pPr>
        <w:pStyle w:val="BookText"/>
        <w:rPr/>
      </w:pPr>
      <w:r>
        <w:rPr>
          <w:rFonts w:ascii="Amiri" w:hAnsi="Amiri" w:eastAsia="Amiri" w:cs="Amiri"/>
          <w:color w:val="111111"/>
          <w:sz w:val="28"/>
          <w:sz w:val="28"/>
          <w:szCs w:val="28"/>
          <w:rtl w:val="true"/>
          <w:lang w:bidi="ar-SA"/>
        </w:rPr>
        <w:t xml:space="preserve">العامة للكتب،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 ونقده، لأبي علي الحسن</w:t>
      </w:r>
    </w:p>
    <w:p>
      <w:pPr>
        <w:pStyle w:val="BookText"/>
        <w:rPr/>
      </w:pPr>
      <w:r>
        <w:rPr>
          <w:rFonts w:ascii="Amiri" w:hAnsi="Amiri" w:eastAsia="Amiri" w:cs="Amiri"/>
          <w:color w:val="111111"/>
          <w:sz w:val="28"/>
          <w:sz w:val="28"/>
          <w:szCs w:val="28"/>
          <w:rtl w:val="true"/>
          <w:lang w:bidi="ar-SA"/>
        </w:rPr>
        <w:t>بن القيرواني، تحقيق محمد محي الدين عبد الحميد،</w:t>
      </w:r>
    </w:p>
    <w:p>
      <w:pPr>
        <w:pStyle w:val="BookText"/>
        <w:rPr/>
      </w:pPr>
      <w:r>
        <w:rPr>
          <w:rFonts w:ascii="Amiri" w:hAnsi="Amiri" w:eastAsia="Amiri" w:cs="Amiri"/>
          <w:color w:val="111111"/>
          <w:sz w:val="28"/>
          <w:sz w:val="28"/>
          <w:szCs w:val="28"/>
          <w:rtl w:val="true"/>
          <w:lang w:bidi="ar-SA"/>
        </w:rPr>
        <w:t>مطبعة السعادة، مصر،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 للأمام الأديب أبي هلال العسكري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الأضداد في كلام العرب، لأبي الطيب عبد</w:t>
      </w:r>
    </w:p>
    <w:p>
      <w:pPr>
        <w:pStyle w:val="BookText"/>
        <w:rPr/>
      </w:pPr>
      <w:r>
        <w:rPr>
          <w:rFonts w:ascii="Amiri" w:hAnsi="Amiri" w:eastAsia="Amiri" w:cs="Amiri"/>
          <w:color w:val="111111"/>
          <w:sz w:val="28"/>
          <w:sz w:val="28"/>
          <w:szCs w:val="28"/>
          <w:rtl w:val="true"/>
          <w:lang w:bidi="ar-SA"/>
        </w:rPr>
        <w:t xml:space="preserve">الواحد بن علي اللغوي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عزت حسن، دار طلاس للدراسات والترجمة والنشر</w:t>
      </w:r>
    </w:p>
    <w:p>
      <w:pPr>
        <w:pStyle w:val="BookText"/>
        <w:rPr/>
      </w:pPr>
      <w:r>
        <w:rPr>
          <w:rFonts w:ascii="Amiri" w:hAnsi="Amiri" w:eastAsia="Amiri" w:cs="Amiri"/>
          <w:color w:val="111111"/>
          <w:sz w:val="28"/>
          <w:sz w:val="28"/>
          <w:szCs w:val="28"/>
          <w:rtl w:val="true"/>
          <w:lang w:bidi="ar-SA"/>
        </w:rPr>
        <w:t xml:space="preserve">دمشق، الطبعة الثانية،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التعريفات، للشريف علي بن محمد الجرجاني،</w:t>
      </w:r>
    </w:p>
    <w:p>
      <w:pPr>
        <w:pStyle w:val="BookText"/>
        <w:rPr/>
      </w:pPr>
      <w:r>
        <w:rPr>
          <w:rFonts w:ascii="IRNazanin" w:hAnsi="IRNazanin" w:eastAsia="IRNazanin"/>
          <w:color w:val="111111"/>
          <w:sz w:val="28"/>
          <w:sz w:val="28"/>
          <w:szCs w:val="28"/>
          <w:rtl w:val="true"/>
          <w:lang w:bidi="fa-IR"/>
        </w:rPr>
        <w:t>دار احیاء التراث العربي، بیروت لبنان، الطبعة الأولى،</w:t>
      </w:r>
    </w:p>
    <w:p>
      <w:pPr>
        <w:pStyle w:val="BookText"/>
        <w:rPr/>
      </w:pP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الصناعتين، لابي هلال العسكري، تحقيق علي</w:t>
      </w:r>
    </w:p>
    <w:p>
      <w:pPr>
        <w:pStyle w:val="BookText"/>
        <w:rPr/>
      </w:pPr>
      <w:r>
        <w:rPr>
          <w:rFonts w:ascii="IRNazanin" w:hAnsi="IRNazanin" w:eastAsia="IRNazanin"/>
          <w:color w:val="111111"/>
          <w:sz w:val="28"/>
          <w:sz w:val="28"/>
          <w:szCs w:val="28"/>
          <w:rtl w:val="true"/>
          <w:lang w:bidi="fa-IR"/>
        </w:rPr>
        <w:t>محمد البنجاوي ومحمد ابو الفصل، مطبعة عیسی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البابي الحلبي وشركائه، الطبعة الثانية،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لابن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دار احیاء</w:t>
      </w:r>
    </w:p>
    <w:p>
      <w:pPr>
        <w:pStyle w:val="BookText"/>
        <w:rPr/>
      </w:pPr>
      <w:r>
        <w:rPr>
          <w:rFonts w:ascii="IRNazanin" w:hAnsi="IRNazanin" w:eastAsia="IRNazanin"/>
          <w:color w:val="111111"/>
          <w:sz w:val="28"/>
          <w:sz w:val="28"/>
          <w:szCs w:val="28"/>
          <w:rtl w:val="true"/>
          <w:lang w:bidi="fa-IR"/>
        </w:rPr>
        <w:t>التراث العربي، منشورات آداب الحوزة، قم، ایران،</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 التقابلي، محمد بازي، دار الأمان، الرباط،</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في اللغة، أبو زيد الأنصاري، تحقيق ودراسة،</w:t>
      </w:r>
    </w:p>
    <w:p>
      <w:pPr>
        <w:pStyle w:val="BookText"/>
        <w:rPr/>
      </w:pPr>
      <w:r>
        <w:rPr>
          <w:rFonts w:ascii="Amiri" w:hAnsi="Amiri" w:eastAsia="Amiri" w:cs="Amiri"/>
          <w:color w:val="111111"/>
          <w:sz w:val="28"/>
          <w:sz w:val="28"/>
          <w:szCs w:val="28"/>
          <w:rtl w:val="true"/>
          <w:lang w:bidi="ar-SA"/>
        </w:rPr>
        <w:t>محمد عبد القادر أحمد، دار الشروق بيروت، الطبعة</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 محمد عبده، تحقيق، فاتن خليل</w:t>
      </w:r>
    </w:p>
    <w:p>
      <w:pPr>
        <w:pStyle w:val="BookText"/>
        <w:rPr/>
      </w:pPr>
      <w:r>
        <w:rPr>
          <w:rFonts w:ascii="Amiri" w:hAnsi="Amiri" w:eastAsia="Amiri" w:cs="Amiri"/>
          <w:color w:val="111111"/>
          <w:sz w:val="28"/>
          <w:sz w:val="28"/>
          <w:szCs w:val="28"/>
          <w:rtl w:val="true"/>
          <w:lang w:bidi="ar-SA"/>
        </w:rPr>
        <w:t>مؤسسة التاريخ العربي للطباعة والنشر، بيروت لبنان،</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التقابل وبلاغة الخطاب في رسالة المعاش والمعاد</w:t>
      </w:r>
    </w:p>
    <w:p>
      <w:pPr>
        <w:pStyle w:val="BookText"/>
        <w:rPr/>
      </w:pPr>
      <w:r>
        <w:rPr>
          <w:rFonts w:ascii="Amiri" w:hAnsi="Amiri" w:eastAsia="Amiri" w:cs="Amiri"/>
          <w:color w:val="111111"/>
          <w:sz w:val="28"/>
          <w:sz w:val="28"/>
          <w:szCs w:val="28"/>
          <w:rtl w:val="true"/>
          <w:lang w:bidi="ar-SA"/>
        </w:rPr>
        <w:t>اللجاحظ،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 الإمام مهلهل الأسدي، أوروك</w:t>
      </w:r>
    </w:p>
    <w:p>
      <w:pPr>
        <w:pStyle w:val="BookText"/>
        <w:rPr/>
      </w:pPr>
      <w:r>
        <w:rPr>
          <w:rFonts w:ascii="Amiri" w:hAnsi="Amiri" w:eastAsia="Amiri" w:cs="Amiri"/>
          <w:color w:val="111111"/>
          <w:sz w:val="28"/>
          <w:sz w:val="28"/>
          <w:szCs w:val="28"/>
          <w:rtl w:val="true"/>
          <w:lang w:bidi="ar-SA"/>
        </w:rPr>
        <w:t>للعلوم الإنسانية مجلة تصدر عن كلية التربية جامعة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المثنی، المجلد الثامن العدد الثاني، نیسان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bookmarkStart w:id="28" w:name="pg8238_57399"/>
    </w:p>
    <w:p>
      <w:pPr>
        <w:pStyle w:val="Heading2"/>
        <w:numPr>
          <w:ilvl w:val="1"/>
          <w:numId w:val="1"/>
        </w:numPr>
        <w:rPr/>
      </w:pPr>
      <w:bookmarkStart w:id="29" w:name="__RefHeading___Toc9228419_1051229030"/>
      <w:bookmarkStart w:id="30" w:name="_Toc10"/>
      <w:bookmarkEnd w:id="28"/>
      <w:bookmarkEnd w:id="29"/>
      <w:r>
        <w:rPr>
          <w:rtl w:val="true"/>
        </w:rPr>
        <w:t>المحتويات</w:t>
      </w:r>
      <w:bookmarkEnd w:id="30"/>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المبحث الأول تقابل الذوات</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مفهوم التقابل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المبحث الثالث تقابل الشواهد</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النوادر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قبل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وزن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الضد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ابو الهلال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الأضداد في كلام العرب، أبو الطيب اللغوي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الصناعين، ابو الهلال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 المزهر في علوم اللغة وانواعها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والاضداد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الانباري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ينضر کتاب الاضداد، ابو الطيب اللغوي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عبد القاهر الجرجاني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التقابل بين البلاغة العربية والأسلوبية 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کاظم حميدي،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نقد الشعر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الثنائيات الضدية في شعر ابي العلاء المعري،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الإمام الأسدي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رشيق القيرواني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وبلاغة الخطاب في رسالة المعاش والمعاد اللجاحظ، بحث،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عبد الامام، مجلة اوروك للعلوم الانسانية، جامعة المثنى كلية التربية، المجلد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الثاني، نیسان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محمد بازي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وبلاغة الخطاب في رسالة المعاش والمعاد للجاحظ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مختلف الاخبار، ابي جعفر محمد ابن الحسن الطوسي، تحقيق محمد جواد مغنیه، تصحیح يوسف البغدادي، دار الأضواء 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محمد بازي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التأويل التقابلي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وبلاغة الخطاب في رسالة المعاش والمعاد اللجاحظ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المشكل في شعر المتنبي، 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 و حامد عبد المجيد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وبلاغة الخطاب في رسالة المعاش والمعاد للجاحظ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التأويل التقابلي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انواعه وخصائصه، هاجر مدقن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التقابلي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التقابل وبلاغة الخطاب في رسالة المعاش والمعاد للجاحظ مجلة اوروك العلمية للعلوم الانسانية، جامعة المثنى، كلية التربية، </w:t>
      </w:r>
      <w:r>
        <w:rPr>
          <w:rFonts w:eastAsia="IRNazanin" w:cs="IRNazanin"/>
          <w:b w:val="false"/>
          <w:bCs w:val="false"/>
          <w:i w:val="false"/>
          <w:iCs w:val="false"/>
          <w:color w:val="333333"/>
          <w:sz w:val="20"/>
          <w:szCs w:val="20"/>
        </w:rPr>
        <w:t>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6039</Words>
  <Characters>28625</Characters>
  <CharactersWithSpaces>34381</CharactersWithSpaces>
  <Paragraphs>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2026-08-27T15:29:42Z</dcterms:created>
  <dc:creator>ghaemiyeh.com</dc:creator>
  <dc:description/>
  <dc:language>en-US</dc:language>
  <cp:lastModifiedBy/>
  <dcterms:modified xsi:type="dcterms:W3CDTF">2026-08-27T19:00:21Z</dcterms:modified>
  <cp:revision>1</cp:revision>
  <dc:subject/>
  <dc:title>التقابل وسلطة المعنى دراسة فی عهد الإمام علی علیه السلام لمالک الأشتر رحمه الله</dc:title>
</cp:coreProperties>
</file>

<file path=docProps/custom.xml><?xml version="1.0" encoding="utf-8"?>
<Properties xmlns="http://schemas.openxmlformats.org/officeDocument/2006/custom-properties" xmlns:vt="http://schemas.openxmlformats.org/officeDocument/2006/docPropsVTypes"/>
</file>