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معارج الأفهام إلی علم الکلام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43315_105122903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543317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543319_1051229030">
            <w:r>
              <w:rPr>
                <w:webHidden/>
                <w:rStyle w:val="IndexLink"/>
                <w:rtl w:val="true"/>
              </w:rPr>
              <w:t>مقدمة المکتبة</w:t>
            </w:r>
            <w:r>
              <w:rPr>
                <w:rStyle w:val="IndexLink"/>
                <w:rtl w:val="true"/>
              </w:rPr>
              <w:tab/>
            </w:r>
            <w:r>
              <w:rPr>
                <w:rStyle w:val="IndexLink"/>
              </w:rPr>
              <w:t>12</w:t>
            </w:r>
          </w:hyperlink>
        </w:p>
        <w:p>
          <w:pPr>
            <w:pStyle w:val="Contents2"/>
            <w:tabs>
              <w:tab w:val="clear" w:pos="8743"/>
              <w:tab w:val="right" w:pos="9026" w:leader="dot"/>
            </w:tabs>
            <w:rPr/>
          </w:pPr>
          <w:hyperlink w:anchor="__RefHeading___Toc7543321_1051229030">
            <w:r>
              <w:rPr>
                <w:webHidden/>
                <w:rStyle w:val="IndexLink"/>
                <w:rtl w:val="true"/>
              </w:rPr>
              <w:t>مقدّمة التحقيق</w:t>
            </w:r>
            <w:r>
              <w:rPr>
                <w:rStyle w:val="IndexLink"/>
                <w:rtl w:val="true"/>
              </w:rPr>
              <w:tab/>
            </w:r>
            <w:r>
              <w:rPr>
                <w:rStyle w:val="IndexLink"/>
              </w:rPr>
              <w:t>14</w:t>
            </w:r>
          </w:hyperlink>
        </w:p>
        <w:p>
          <w:pPr>
            <w:pStyle w:val="Contents3"/>
            <w:tabs>
              <w:tab w:val="clear" w:pos="8459"/>
              <w:tab w:val="right" w:pos="9026" w:leader="dot"/>
            </w:tabs>
            <w:rPr/>
          </w:pPr>
          <w:hyperlink w:anchor="__RefHeading___Toc7543323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7543325_1051229030">
            <w:r>
              <w:rPr>
                <w:webHidden/>
                <w:rStyle w:val="IndexLink"/>
                <w:rtl w:val="true"/>
              </w:rPr>
              <w:t>سطور في حياة المؤلّف</w:t>
            </w:r>
            <w:r>
              <w:rPr>
                <w:rStyle w:val="IndexLink"/>
                <w:rtl w:val="true"/>
              </w:rPr>
              <w:tab/>
            </w:r>
            <w:r>
              <w:rPr>
                <w:rStyle w:val="IndexLink"/>
              </w:rPr>
              <w:t>18</w:t>
            </w:r>
          </w:hyperlink>
        </w:p>
        <w:p>
          <w:pPr>
            <w:pStyle w:val="Contents4"/>
            <w:tabs>
              <w:tab w:val="clear" w:pos="8176"/>
              <w:tab w:val="right" w:pos="9026" w:leader="dot"/>
            </w:tabs>
            <w:rPr/>
          </w:pPr>
          <w:hyperlink w:anchor="__RefHeading___Toc7543327_1051229030">
            <w:r>
              <w:rPr>
                <w:webHidden/>
                <w:rStyle w:val="IndexLink"/>
                <w:rtl w:val="true"/>
              </w:rPr>
              <w:t>اسمه ونسبه وكلمات العلماء فيه</w:t>
            </w:r>
            <w:r>
              <w:rPr>
                <w:rStyle w:val="IndexLink"/>
                <w:rtl w:val="true"/>
              </w:rPr>
              <w:tab/>
            </w:r>
            <w:r>
              <w:rPr>
                <w:rStyle w:val="IndexLink"/>
              </w:rPr>
              <w:t>18</w:t>
            </w:r>
          </w:hyperlink>
        </w:p>
        <w:p>
          <w:pPr>
            <w:pStyle w:val="Contents4"/>
            <w:tabs>
              <w:tab w:val="clear" w:pos="8176"/>
              <w:tab w:val="right" w:pos="9026" w:leader="dot"/>
            </w:tabs>
            <w:rPr/>
          </w:pPr>
          <w:hyperlink w:anchor="__RefHeading___Toc7543329_1051229030">
            <w:r>
              <w:rPr>
                <w:webHidden/>
                <w:rStyle w:val="IndexLink"/>
                <w:rtl w:val="true"/>
              </w:rPr>
              <w:t>والده</w:t>
            </w:r>
            <w:r>
              <w:rPr>
                <w:rStyle w:val="IndexLink"/>
                <w:rtl w:val="true"/>
              </w:rPr>
              <w:tab/>
            </w:r>
            <w:r>
              <w:rPr>
                <w:rStyle w:val="IndexLink"/>
              </w:rPr>
              <w:t>19</w:t>
            </w:r>
          </w:hyperlink>
        </w:p>
        <w:p>
          <w:pPr>
            <w:pStyle w:val="Contents4"/>
            <w:tabs>
              <w:tab w:val="clear" w:pos="8176"/>
              <w:tab w:val="right" w:pos="9026" w:leader="dot"/>
            </w:tabs>
            <w:rPr/>
          </w:pPr>
          <w:hyperlink w:anchor="__RefHeading___Toc7543331_1051229030">
            <w:r>
              <w:rPr>
                <w:webHidden/>
                <w:rStyle w:val="IndexLink"/>
                <w:rtl w:val="true"/>
              </w:rPr>
              <w:t>إخوانه</w:t>
            </w:r>
            <w:r>
              <w:rPr>
                <w:rStyle w:val="IndexLink"/>
                <w:rtl w:val="true"/>
              </w:rPr>
              <w:tab/>
            </w:r>
            <w:r>
              <w:rPr>
                <w:rStyle w:val="IndexLink"/>
              </w:rPr>
              <w:t>20</w:t>
            </w:r>
          </w:hyperlink>
        </w:p>
        <w:p>
          <w:pPr>
            <w:pStyle w:val="Contents4"/>
            <w:tabs>
              <w:tab w:val="clear" w:pos="8176"/>
              <w:tab w:val="right" w:pos="9026" w:leader="dot"/>
            </w:tabs>
            <w:rPr/>
          </w:pPr>
          <w:hyperlink w:anchor="__RefHeading___Toc7543333_1051229030">
            <w:r>
              <w:rPr>
                <w:webHidden/>
                <w:rStyle w:val="IndexLink"/>
                <w:rtl w:val="true"/>
              </w:rPr>
              <w:t>اتّصال العائلة بالحارث الهمدانيّ</w:t>
            </w:r>
            <w:r>
              <w:rPr>
                <w:rStyle w:val="IndexLink"/>
                <w:rtl w:val="true"/>
              </w:rPr>
              <w:t>:</w:t>
              <w:tab/>
            </w:r>
            <w:r>
              <w:rPr>
                <w:rStyle w:val="IndexLink"/>
              </w:rPr>
              <w:t>23</w:t>
            </w:r>
          </w:hyperlink>
        </w:p>
        <w:p>
          <w:pPr>
            <w:pStyle w:val="Contents4"/>
            <w:tabs>
              <w:tab w:val="clear" w:pos="8176"/>
              <w:tab w:val="right" w:pos="9026" w:leader="dot"/>
            </w:tabs>
            <w:rPr/>
          </w:pPr>
          <w:hyperlink w:anchor="__RefHeading___Toc7543335_1051229030">
            <w:r>
              <w:rPr>
                <w:webHidden/>
                <w:rStyle w:val="IndexLink"/>
                <w:rtl w:val="true"/>
              </w:rPr>
              <w:t>مشایخه والرواة عنه</w:t>
            </w:r>
            <w:r>
              <w:rPr>
                <w:rStyle w:val="IndexLink"/>
                <w:rtl w:val="true"/>
              </w:rPr>
              <w:tab/>
            </w:r>
            <w:r>
              <w:rPr>
                <w:rStyle w:val="IndexLink"/>
              </w:rPr>
              <w:t>23</w:t>
            </w:r>
          </w:hyperlink>
        </w:p>
        <w:p>
          <w:pPr>
            <w:pStyle w:val="Contents4"/>
            <w:tabs>
              <w:tab w:val="clear" w:pos="8176"/>
              <w:tab w:val="right" w:pos="9026" w:leader="dot"/>
            </w:tabs>
            <w:rPr/>
          </w:pPr>
          <w:hyperlink w:anchor="__RefHeading___Toc7543337_1051229030">
            <w:r>
              <w:rPr>
                <w:webHidden/>
                <w:rStyle w:val="IndexLink"/>
                <w:rtl w:val="true"/>
              </w:rPr>
              <w:t>وفاته</w:t>
            </w:r>
            <w:r>
              <w:rPr>
                <w:rStyle w:val="IndexLink"/>
                <w:rtl w:val="true"/>
              </w:rPr>
              <w:tab/>
            </w:r>
            <w:r>
              <w:rPr>
                <w:rStyle w:val="IndexLink"/>
              </w:rPr>
              <w:t>24</w:t>
            </w:r>
          </w:hyperlink>
        </w:p>
        <w:p>
          <w:pPr>
            <w:pStyle w:val="Contents4"/>
            <w:tabs>
              <w:tab w:val="clear" w:pos="8176"/>
              <w:tab w:val="right" w:pos="9026" w:leader="dot"/>
            </w:tabs>
            <w:rPr/>
          </w:pPr>
          <w:hyperlink w:anchor="__RefHeading___Toc7543339_1051229030">
            <w:r>
              <w:rPr>
                <w:webHidden/>
                <w:rStyle w:val="IndexLink"/>
                <w:rtl w:val="true"/>
              </w:rPr>
              <w:t>مشجّر العائلة الكريمة</w:t>
            </w:r>
            <w:r>
              <w:rPr>
                <w:rStyle w:val="IndexLink"/>
                <w:rtl w:val="true"/>
              </w:rPr>
              <w:tab/>
            </w:r>
            <w:r>
              <w:rPr>
                <w:rStyle w:val="IndexLink"/>
              </w:rPr>
              <w:t>25</w:t>
            </w:r>
          </w:hyperlink>
        </w:p>
        <w:p>
          <w:pPr>
            <w:pStyle w:val="Contents4"/>
            <w:tabs>
              <w:tab w:val="clear" w:pos="8176"/>
              <w:tab w:val="right" w:pos="9026" w:leader="dot"/>
            </w:tabs>
            <w:rPr/>
          </w:pPr>
          <w:hyperlink w:anchor="__RefHeading___Toc7543341_1051229030">
            <w:r>
              <w:rPr>
                <w:webHidden/>
                <w:rStyle w:val="IndexLink"/>
                <w:rtl w:val="true"/>
              </w:rPr>
              <w:t>كفرعيما واللويزة وجبع ونسبته إليها</w:t>
            </w:r>
            <w:r>
              <w:rPr>
                <w:rStyle w:val="IndexLink"/>
                <w:rtl w:val="true"/>
              </w:rPr>
              <w:tab/>
            </w:r>
            <w:r>
              <w:rPr>
                <w:rStyle w:val="IndexLink"/>
              </w:rPr>
              <w:t>27</w:t>
            </w:r>
          </w:hyperlink>
        </w:p>
        <w:p>
          <w:pPr>
            <w:pStyle w:val="Contents4"/>
            <w:tabs>
              <w:tab w:val="clear" w:pos="8176"/>
              <w:tab w:val="right" w:pos="9026" w:leader="dot"/>
            </w:tabs>
            <w:rPr/>
          </w:pPr>
          <w:hyperlink w:anchor="__RefHeading___Toc7543343_1051229030">
            <w:r>
              <w:rPr>
                <w:webHidden/>
                <w:rStyle w:val="IndexLink"/>
                <w:rtl w:val="true"/>
              </w:rPr>
              <w:t>مؤلّفاته</w:t>
            </w:r>
            <w:r>
              <w:rPr>
                <w:rStyle w:val="IndexLink"/>
                <w:rtl w:val="true"/>
              </w:rPr>
              <w:tab/>
            </w:r>
            <w:r>
              <w:rPr>
                <w:rStyle w:val="IndexLink"/>
              </w:rPr>
              <w:t>28</w:t>
            </w:r>
          </w:hyperlink>
        </w:p>
        <w:p>
          <w:pPr>
            <w:pStyle w:val="Contents5"/>
            <w:tabs>
              <w:tab w:val="clear" w:pos="7892"/>
              <w:tab w:val="right" w:pos="9026" w:leader="dot"/>
            </w:tabs>
            <w:rPr/>
          </w:pPr>
          <w:hyperlink w:anchor="__RefHeading___Toc7543345_105122903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7543347_1051229030">
            <w:r>
              <w:rPr>
                <w:webHidden/>
                <w:rStyle w:val="IndexLink"/>
                <w:rtl w:val="true"/>
              </w:rPr>
              <w:t xml:space="preserve">الأوّل </w:t>
            </w:r>
            <w:r>
              <w:rPr>
                <w:rStyle w:val="IndexLink"/>
                <w:rtl w:val="true"/>
              </w:rPr>
              <w:t xml:space="preserve">: </w:t>
            </w:r>
            <w:r>
              <w:rPr>
                <w:rStyle w:val="IndexLink"/>
                <w:rtl w:val="true"/>
              </w:rPr>
              <w:t>زبدة البيان في عمل شهر رمضان</w:t>
            </w:r>
            <w:r>
              <w:rPr>
                <w:rStyle w:val="IndexLink"/>
                <w:rtl w:val="true"/>
              </w:rPr>
              <w:tab/>
            </w:r>
            <w:r>
              <w:rPr>
                <w:rStyle w:val="IndexLink"/>
              </w:rPr>
              <w:t>29</w:t>
            </w:r>
          </w:hyperlink>
        </w:p>
        <w:p>
          <w:pPr>
            <w:pStyle w:val="Contents5"/>
            <w:tabs>
              <w:tab w:val="clear" w:pos="7892"/>
              <w:tab w:val="right" w:pos="9026" w:leader="dot"/>
            </w:tabs>
            <w:rPr/>
          </w:pPr>
          <w:hyperlink w:anchor="__RefHeading___Toc7543349_1051229030">
            <w:r>
              <w:rPr>
                <w:webHidden/>
                <w:rStyle w:val="IndexLink"/>
                <w:rtl w:val="true"/>
              </w:rPr>
              <w:t xml:space="preserve">الثاني </w:t>
            </w:r>
            <w:r>
              <w:rPr>
                <w:rStyle w:val="IndexLink"/>
                <w:rtl w:val="true"/>
              </w:rPr>
              <w:t xml:space="preserve">: </w:t>
            </w:r>
            <w:r>
              <w:rPr>
                <w:rStyle w:val="IndexLink"/>
                <w:rtl w:val="true"/>
              </w:rPr>
              <w:t>الرسالة المُهدية إلى مذهب الإماميّة</w:t>
            </w:r>
            <w:r>
              <w:rPr>
                <w:rStyle w:val="IndexLink"/>
                <w:rtl w:val="true"/>
              </w:rPr>
              <w:tab/>
            </w:r>
            <w:r>
              <w:rPr>
                <w:rStyle w:val="IndexLink"/>
              </w:rPr>
              <w:t>31</w:t>
            </w:r>
          </w:hyperlink>
        </w:p>
        <w:p>
          <w:pPr>
            <w:pStyle w:val="Contents5"/>
            <w:tabs>
              <w:tab w:val="clear" w:pos="7892"/>
              <w:tab w:val="right" w:pos="9026" w:leader="dot"/>
            </w:tabs>
            <w:rPr/>
          </w:pPr>
          <w:hyperlink w:anchor="__RefHeading___Toc7543351_1051229030">
            <w:r>
              <w:rPr>
                <w:webHidden/>
                <w:rStyle w:val="IndexLink"/>
                <w:rtl w:val="true"/>
              </w:rPr>
              <w:t xml:space="preserve">الثالث </w:t>
            </w:r>
            <w:r>
              <w:rPr>
                <w:rStyle w:val="IndexLink"/>
                <w:rtl w:val="true"/>
              </w:rPr>
              <w:t xml:space="preserve">: </w:t>
            </w:r>
            <w:r>
              <w:rPr>
                <w:rStyle w:val="IndexLink"/>
                <w:rtl w:val="true"/>
              </w:rPr>
              <w:t>كتاب معارج الأفهام إلى علم الكلام</w:t>
            </w:r>
            <w:r>
              <w:rPr>
                <w:rStyle w:val="IndexLink"/>
                <w:rtl w:val="true"/>
              </w:rPr>
              <w:tab/>
            </w:r>
            <w:r>
              <w:rPr>
                <w:rStyle w:val="IndexLink"/>
              </w:rPr>
              <w:t>32</w:t>
            </w:r>
          </w:hyperlink>
        </w:p>
        <w:p>
          <w:pPr>
            <w:pStyle w:val="Contents6"/>
            <w:tabs>
              <w:tab w:val="clear" w:pos="7609"/>
              <w:tab w:val="right" w:pos="9026" w:leader="dot"/>
            </w:tabs>
            <w:rPr/>
          </w:pPr>
          <w:hyperlink w:anchor="__RefHeading___Toc7543353_1051229030">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7543355_1051229030">
            <w:r>
              <w:rPr>
                <w:webHidden/>
                <w:rStyle w:val="IndexLink"/>
                <w:rtl w:val="true"/>
              </w:rPr>
              <w:t>اسم الكتاب</w:t>
            </w:r>
            <w:r>
              <w:rPr>
                <w:rStyle w:val="IndexLink"/>
                <w:rtl w:val="true"/>
              </w:rPr>
              <w:tab/>
            </w:r>
            <w:r>
              <w:rPr>
                <w:rStyle w:val="IndexLink"/>
              </w:rPr>
              <w:t>32</w:t>
            </w:r>
          </w:hyperlink>
        </w:p>
        <w:p>
          <w:pPr>
            <w:pStyle w:val="Contents6"/>
            <w:tabs>
              <w:tab w:val="clear" w:pos="7609"/>
              <w:tab w:val="right" w:pos="9026" w:leader="dot"/>
            </w:tabs>
            <w:rPr/>
          </w:pPr>
          <w:hyperlink w:anchor="__RefHeading___Toc7543357_1051229030">
            <w:r>
              <w:rPr>
                <w:webHidden/>
                <w:rStyle w:val="IndexLink"/>
                <w:rtl w:val="true"/>
              </w:rPr>
              <w:t>موضوع الكتاب وترتيبه</w:t>
            </w:r>
            <w:r>
              <w:rPr>
                <w:rStyle w:val="IndexLink"/>
                <w:rtl w:val="true"/>
              </w:rPr>
              <w:tab/>
            </w:r>
            <w:r>
              <w:rPr>
                <w:rStyle w:val="IndexLink"/>
              </w:rPr>
              <w:t>33</w:t>
            </w:r>
          </w:hyperlink>
        </w:p>
        <w:p>
          <w:pPr>
            <w:pStyle w:val="Contents6"/>
            <w:tabs>
              <w:tab w:val="clear" w:pos="7609"/>
              <w:tab w:val="right" w:pos="9026" w:leader="dot"/>
            </w:tabs>
            <w:rPr/>
          </w:pPr>
          <w:hyperlink w:anchor="__RefHeading___Toc7543359_1051229030">
            <w:r>
              <w:rPr>
                <w:webHidden/>
                <w:rStyle w:val="IndexLink"/>
                <w:rtl w:val="true"/>
              </w:rPr>
              <w:t>نسخ الكتاب</w:t>
            </w:r>
            <w:r>
              <w:rPr>
                <w:rStyle w:val="IndexLink"/>
                <w:rtl w:val="true"/>
              </w:rPr>
              <w:tab/>
            </w:r>
            <w:r>
              <w:rPr>
                <w:rStyle w:val="IndexLink"/>
              </w:rPr>
              <w:t>33</w:t>
            </w:r>
          </w:hyperlink>
        </w:p>
        <w:p>
          <w:pPr>
            <w:pStyle w:val="Contents6"/>
            <w:tabs>
              <w:tab w:val="clear" w:pos="7609"/>
              <w:tab w:val="right" w:pos="9026" w:leader="dot"/>
            </w:tabs>
            <w:rPr/>
          </w:pPr>
          <w:hyperlink w:anchor="__RefHeading___Toc7543361_1051229030">
            <w:r>
              <w:rPr>
                <w:webHidden/>
                <w:rStyle w:val="IndexLink"/>
                <w:rtl w:val="true"/>
              </w:rPr>
              <w:t>عملنا في تحقيق الكتاب</w:t>
            </w:r>
            <w:r>
              <w:rPr>
                <w:rStyle w:val="IndexLink"/>
                <w:rtl w:val="true"/>
              </w:rPr>
              <w:tab/>
            </w:r>
            <w:r>
              <w:rPr>
                <w:rStyle w:val="IndexLink"/>
              </w:rPr>
              <w:t>35</w:t>
            </w:r>
          </w:hyperlink>
        </w:p>
        <w:p>
          <w:pPr>
            <w:pStyle w:val="Contents2"/>
            <w:tabs>
              <w:tab w:val="clear" w:pos="8743"/>
              <w:tab w:val="right" w:pos="9026" w:leader="dot"/>
            </w:tabs>
            <w:rPr/>
          </w:pPr>
          <w:hyperlink w:anchor="__RefHeading___Toc7543363_1051229030">
            <w:r>
              <w:rPr>
                <w:webHidden/>
                <w:rStyle w:val="IndexLink"/>
                <w:rtl w:val="true"/>
              </w:rPr>
              <w:t>نماذج من نسخ الكتاب</w:t>
            </w:r>
            <w:r>
              <w:rPr>
                <w:rStyle w:val="IndexLink"/>
                <w:rtl w:val="true"/>
              </w:rPr>
              <w:tab/>
            </w:r>
            <w:r>
              <w:rPr>
                <w:rStyle w:val="IndexLink"/>
              </w:rPr>
              <w:t>38</w:t>
            </w:r>
          </w:hyperlink>
        </w:p>
        <w:p>
          <w:pPr>
            <w:pStyle w:val="Contents2"/>
            <w:tabs>
              <w:tab w:val="clear" w:pos="8743"/>
              <w:tab w:val="right" w:pos="9026" w:leader="dot"/>
            </w:tabs>
            <w:rPr/>
          </w:pPr>
          <w:hyperlink w:anchor="__RefHeading___Toc7543365_1051229030">
            <w:r>
              <w:rPr>
                <w:webHidden/>
                <w:rStyle w:val="IndexLink"/>
                <w:rtl w:val="true"/>
              </w:rPr>
              <w:t>معارج الإفهام إلى علم الكلام</w:t>
            </w:r>
            <w:r>
              <w:rPr>
                <w:rStyle w:val="IndexLink"/>
                <w:rtl w:val="true"/>
              </w:rPr>
              <w:tab/>
            </w:r>
            <w:r>
              <w:rPr>
                <w:rStyle w:val="IndexLink"/>
              </w:rPr>
              <w:t>46</w:t>
            </w:r>
          </w:hyperlink>
        </w:p>
        <w:p>
          <w:pPr>
            <w:pStyle w:val="Contents2"/>
            <w:tabs>
              <w:tab w:val="clear" w:pos="8743"/>
              <w:tab w:val="right" w:pos="9026" w:leader="dot"/>
            </w:tabs>
            <w:rPr/>
          </w:pPr>
          <w:hyperlink w:anchor="__RefHeading___Toc7543367_1051229030">
            <w:r>
              <w:rPr>
                <w:webHidden/>
                <w:rStyle w:val="IndexLink"/>
                <w:rtl w:val="true"/>
              </w:rPr>
              <w:t>المعراج الأول في التوحيد</w:t>
            </w:r>
            <w:r>
              <w:rPr>
                <w:rStyle w:val="IndexLink"/>
                <w:rtl w:val="true"/>
              </w:rPr>
              <w:tab/>
            </w:r>
            <w:r>
              <w:rPr>
                <w:rStyle w:val="IndexLink"/>
              </w:rPr>
              <w:t>50</w:t>
            </w:r>
          </w:hyperlink>
        </w:p>
        <w:p>
          <w:pPr>
            <w:pStyle w:val="Contents3"/>
            <w:tabs>
              <w:tab w:val="clear" w:pos="8459"/>
              <w:tab w:val="right" w:pos="9026" w:leader="dot"/>
            </w:tabs>
            <w:rPr/>
          </w:pPr>
          <w:hyperlink w:anchor="__RefHeading___Toc7543369_105122903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7543371_1051229030">
            <w:r>
              <w:rPr>
                <w:webHidden/>
                <w:rStyle w:val="IndexLink"/>
                <w:rtl w:val="true"/>
              </w:rPr>
              <w:t xml:space="preserve">أصل </w:t>
            </w:r>
            <w:r>
              <w:rPr>
                <w:rStyle w:val="IndexLink"/>
                <w:rtl w:val="true"/>
              </w:rPr>
              <w:t xml:space="preserve">[ </w:t>
            </w:r>
            <w:r>
              <w:rPr>
                <w:rStyle w:val="IndexLink"/>
                <w:rtl w:val="true"/>
              </w:rPr>
              <w:t xml:space="preserve">في أقسام الموجود والمعدوم </w:t>
            </w:r>
            <w:r>
              <w:rPr>
                <w:rStyle w:val="IndexLink"/>
                <w:rtl w:val="true"/>
              </w:rPr>
              <w:t>]</w:t>
              <w:tab/>
            </w:r>
            <w:r>
              <w:rPr>
                <w:rStyle w:val="IndexLink"/>
              </w:rPr>
              <w:t>52</w:t>
            </w:r>
          </w:hyperlink>
        </w:p>
        <w:p>
          <w:pPr>
            <w:pStyle w:val="Contents3"/>
            <w:tabs>
              <w:tab w:val="clear" w:pos="8459"/>
              <w:tab w:val="right" w:pos="9026" w:leader="dot"/>
            </w:tabs>
            <w:rPr/>
          </w:pPr>
          <w:hyperlink w:anchor="__RefHeading___Toc7543373_1051229030">
            <w:r>
              <w:rPr>
                <w:webHidden/>
                <w:rStyle w:val="IndexLink"/>
                <w:rtl w:val="true"/>
              </w:rPr>
              <w:t xml:space="preserve">أصل </w:t>
            </w:r>
            <w:r>
              <w:rPr>
                <w:rStyle w:val="IndexLink"/>
                <w:rtl w:val="true"/>
              </w:rPr>
              <w:t xml:space="preserve">[ </w:t>
            </w:r>
            <w:r>
              <w:rPr>
                <w:rStyle w:val="IndexLink"/>
                <w:rtl w:val="true"/>
              </w:rPr>
              <w:t xml:space="preserve">في بداهة الوجود </w:t>
            </w:r>
            <w:r>
              <w:rPr>
                <w:rStyle w:val="IndexLink"/>
                <w:rtl w:val="true"/>
              </w:rPr>
              <w:t>]</w:t>
              <w:tab/>
            </w:r>
            <w:r>
              <w:rPr>
                <w:rStyle w:val="IndexLink"/>
              </w:rPr>
              <w:t>53</w:t>
            </w:r>
          </w:hyperlink>
        </w:p>
        <w:p>
          <w:pPr>
            <w:pStyle w:val="Contents3"/>
            <w:tabs>
              <w:tab w:val="clear" w:pos="8459"/>
              <w:tab w:val="right" w:pos="9026" w:leader="dot"/>
            </w:tabs>
            <w:rPr/>
          </w:pPr>
          <w:hyperlink w:anchor="__RefHeading___Toc7543375_1051229030">
            <w:r>
              <w:rPr>
                <w:webHidden/>
                <w:rStyle w:val="IndexLink"/>
                <w:rtl w:val="true"/>
              </w:rPr>
              <w:t xml:space="preserve">أصل </w:t>
            </w:r>
            <w:r>
              <w:rPr>
                <w:rStyle w:val="IndexLink"/>
                <w:rtl w:val="true"/>
              </w:rPr>
              <w:t xml:space="preserve">[ </w:t>
            </w:r>
            <w:r>
              <w:rPr>
                <w:rStyle w:val="IndexLink"/>
                <w:rtl w:val="true"/>
              </w:rPr>
              <w:t xml:space="preserve">في اشتراك الوجود معنويّاً </w:t>
            </w:r>
            <w:r>
              <w:rPr>
                <w:rStyle w:val="IndexLink"/>
                <w:rtl w:val="true"/>
              </w:rPr>
              <w:t>]</w:t>
              <w:tab/>
            </w:r>
            <w:r>
              <w:rPr>
                <w:rStyle w:val="IndexLink"/>
              </w:rPr>
              <w:t>53</w:t>
            </w:r>
          </w:hyperlink>
        </w:p>
        <w:p>
          <w:pPr>
            <w:pStyle w:val="Contents3"/>
            <w:tabs>
              <w:tab w:val="clear" w:pos="8459"/>
              <w:tab w:val="right" w:pos="9026" w:leader="dot"/>
            </w:tabs>
            <w:rPr/>
          </w:pPr>
          <w:hyperlink w:anchor="__RefHeading___Toc7543377_1051229030">
            <w:r>
              <w:rPr>
                <w:webHidden/>
                <w:rStyle w:val="IndexLink"/>
                <w:rtl w:val="true"/>
              </w:rPr>
              <w:t xml:space="preserve">أصل </w:t>
            </w:r>
            <w:r>
              <w:rPr>
                <w:rStyle w:val="IndexLink"/>
                <w:rtl w:val="true"/>
              </w:rPr>
              <w:t xml:space="preserve">[ </w:t>
            </w:r>
            <w:r>
              <w:rPr>
                <w:rStyle w:val="IndexLink"/>
                <w:rtl w:val="true"/>
              </w:rPr>
              <w:t xml:space="preserve">في زيادة الوجود على الماهيّة </w:t>
            </w:r>
            <w:r>
              <w:rPr>
                <w:rStyle w:val="IndexLink"/>
                <w:rtl w:val="true"/>
              </w:rPr>
              <w:t>]</w:t>
              <w:tab/>
            </w:r>
            <w:r>
              <w:rPr>
                <w:rStyle w:val="IndexLink"/>
              </w:rPr>
              <w:t>53</w:t>
            </w:r>
          </w:hyperlink>
        </w:p>
        <w:p>
          <w:pPr>
            <w:pStyle w:val="Contents3"/>
            <w:tabs>
              <w:tab w:val="clear" w:pos="8459"/>
              <w:tab w:val="right" w:pos="9026" w:leader="dot"/>
            </w:tabs>
            <w:rPr/>
          </w:pPr>
          <w:hyperlink w:anchor="__RefHeading___Toc7543379_1051229030">
            <w:r>
              <w:rPr>
                <w:webHidden/>
                <w:rStyle w:val="IndexLink"/>
                <w:rtl w:val="true"/>
              </w:rPr>
              <w:t xml:space="preserve">أصل </w:t>
            </w:r>
            <w:r>
              <w:rPr>
                <w:rStyle w:val="IndexLink"/>
                <w:rtl w:val="true"/>
              </w:rPr>
              <w:t xml:space="preserve">[ </w:t>
            </w:r>
            <w:r>
              <w:rPr>
                <w:rStyle w:val="IndexLink"/>
                <w:rtl w:val="true"/>
              </w:rPr>
              <w:t xml:space="preserve">في الوجود الذهني </w:t>
            </w:r>
            <w:r>
              <w:rPr>
                <w:rStyle w:val="IndexLink"/>
                <w:rtl w:val="true"/>
              </w:rPr>
              <w:t>]</w:t>
              <w:tab/>
            </w:r>
            <w:r>
              <w:rPr>
                <w:rStyle w:val="IndexLink"/>
              </w:rPr>
              <w:t>54</w:t>
            </w:r>
          </w:hyperlink>
        </w:p>
        <w:p>
          <w:pPr>
            <w:pStyle w:val="Contents3"/>
            <w:tabs>
              <w:tab w:val="clear" w:pos="8459"/>
              <w:tab w:val="right" w:pos="9026" w:leader="dot"/>
            </w:tabs>
            <w:rPr/>
          </w:pPr>
          <w:hyperlink w:anchor="__RefHeading___Toc7543381_1051229030">
            <w:r>
              <w:rPr>
                <w:webHidden/>
                <w:rStyle w:val="IndexLink"/>
                <w:rtl w:val="true"/>
              </w:rPr>
              <w:t xml:space="preserve">أصل </w:t>
            </w:r>
            <w:r>
              <w:rPr>
                <w:rStyle w:val="IndexLink"/>
                <w:rtl w:val="true"/>
              </w:rPr>
              <w:t>[</w:t>
            </w:r>
            <w:r>
              <w:rPr>
                <w:rStyle w:val="IndexLink"/>
                <w:rtl w:val="true"/>
              </w:rPr>
              <w:t xml:space="preserve">في الوجوب والإمكان والامتناع </w:t>
            </w:r>
            <w:r>
              <w:rPr>
                <w:rStyle w:val="IndexLink"/>
                <w:rtl w:val="true"/>
              </w:rPr>
              <w:t>]</w:t>
              <w:tab/>
            </w:r>
            <w:r>
              <w:rPr>
                <w:rStyle w:val="IndexLink"/>
              </w:rPr>
              <w:t>54</w:t>
            </w:r>
          </w:hyperlink>
        </w:p>
        <w:p>
          <w:pPr>
            <w:pStyle w:val="Contents3"/>
            <w:tabs>
              <w:tab w:val="clear" w:pos="8459"/>
              <w:tab w:val="right" w:pos="9026" w:leader="dot"/>
            </w:tabs>
            <w:rPr/>
          </w:pPr>
          <w:hyperlink w:anchor="__RefHeading___Toc7543383_1051229030">
            <w:r>
              <w:rPr>
                <w:webHidden/>
                <w:rStyle w:val="IndexLink"/>
                <w:rtl w:val="true"/>
              </w:rPr>
              <w:t xml:space="preserve">أصل </w:t>
            </w:r>
            <w:r>
              <w:rPr>
                <w:rStyle w:val="IndexLink"/>
                <w:rtl w:val="true"/>
              </w:rPr>
              <w:t xml:space="preserve">[ </w:t>
            </w:r>
            <w:r>
              <w:rPr>
                <w:rStyle w:val="IndexLink"/>
                <w:rtl w:val="true"/>
              </w:rPr>
              <w:t xml:space="preserve">في خواص الواجب </w:t>
            </w:r>
            <w:r>
              <w:rPr>
                <w:rStyle w:val="IndexLink"/>
                <w:rtl w:val="true"/>
              </w:rPr>
              <w:t>]</w:t>
              <w:tab/>
            </w:r>
            <w:r>
              <w:rPr>
                <w:rStyle w:val="IndexLink"/>
              </w:rPr>
              <w:t>55</w:t>
            </w:r>
          </w:hyperlink>
        </w:p>
        <w:p>
          <w:pPr>
            <w:pStyle w:val="Contents3"/>
            <w:tabs>
              <w:tab w:val="clear" w:pos="8459"/>
              <w:tab w:val="right" w:pos="9026" w:leader="dot"/>
            </w:tabs>
            <w:rPr/>
          </w:pPr>
          <w:hyperlink w:anchor="__RefHeading___Toc7543385_1051229030">
            <w:r>
              <w:rPr>
                <w:webHidden/>
                <w:rStyle w:val="IndexLink"/>
                <w:rtl w:val="true"/>
              </w:rPr>
              <w:t>أصل في خواص الممكن</w:t>
            </w:r>
            <w:r>
              <w:rPr>
                <w:rStyle w:val="IndexLink"/>
                <w:rtl w:val="true"/>
              </w:rPr>
              <w:tab/>
            </w:r>
            <w:r>
              <w:rPr>
                <w:rStyle w:val="IndexLink"/>
              </w:rPr>
              <w:t>55</w:t>
            </w:r>
          </w:hyperlink>
        </w:p>
        <w:p>
          <w:pPr>
            <w:pStyle w:val="Contents3"/>
            <w:tabs>
              <w:tab w:val="clear" w:pos="8459"/>
              <w:tab w:val="right" w:pos="9026" w:leader="dot"/>
            </w:tabs>
            <w:rPr/>
          </w:pPr>
          <w:hyperlink w:anchor="__RefHeading___Toc7543387_1051229030">
            <w:r>
              <w:rPr>
                <w:webHidden/>
                <w:rStyle w:val="IndexLink"/>
                <w:rtl w:val="true"/>
              </w:rPr>
              <w:t xml:space="preserve">أصل </w:t>
            </w:r>
            <w:r>
              <w:rPr>
                <w:rStyle w:val="IndexLink"/>
                <w:rtl w:val="true"/>
              </w:rPr>
              <w:t xml:space="preserve">[ </w:t>
            </w:r>
            <w:r>
              <w:rPr>
                <w:rStyle w:val="IndexLink"/>
                <w:rtl w:val="true"/>
              </w:rPr>
              <w:t xml:space="preserve">النظر </w:t>
            </w:r>
            <w:r>
              <w:rPr>
                <w:rStyle w:val="IndexLink"/>
                <w:rtl w:val="true"/>
              </w:rPr>
              <w:t>]</w:t>
              <w:tab/>
            </w:r>
            <w:r>
              <w:rPr>
                <w:rStyle w:val="IndexLink"/>
              </w:rPr>
              <w:t>57</w:t>
            </w:r>
          </w:hyperlink>
        </w:p>
        <w:p>
          <w:pPr>
            <w:pStyle w:val="Contents3"/>
            <w:tabs>
              <w:tab w:val="clear" w:pos="8459"/>
              <w:tab w:val="right" w:pos="9026" w:leader="dot"/>
            </w:tabs>
            <w:rPr/>
          </w:pPr>
          <w:hyperlink w:anchor="__RefHeading___Toc7543389_1051229030">
            <w:r>
              <w:rPr>
                <w:webHidden/>
                <w:rStyle w:val="IndexLink"/>
                <w:rtl w:val="true"/>
              </w:rPr>
              <w:t xml:space="preserve">أصل </w:t>
            </w:r>
            <w:r>
              <w:rPr>
                <w:rStyle w:val="IndexLink"/>
                <w:rtl w:val="true"/>
              </w:rPr>
              <w:t xml:space="preserve">[ </w:t>
            </w:r>
            <w:r>
              <w:rPr>
                <w:rStyle w:val="IndexLink"/>
                <w:rtl w:val="true"/>
              </w:rPr>
              <w:t xml:space="preserve">في تعريف النظر </w:t>
            </w:r>
            <w:r>
              <w:rPr>
                <w:rStyle w:val="IndexLink"/>
                <w:rtl w:val="true"/>
              </w:rPr>
              <w:t>]</w:t>
              <w:tab/>
            </w:r>
            <w:r>
              <w:rPr>
                <w:rStyle w:val="IndexLink"/>
              </w:rPr>
              <w:t>57</w:t>
            </w:r>
          </w:hyperlink>
        </w:p>
        <w:p>
          <w:pPr>
            <w:pStyle w:val="Contents3"/>
            <w:tabs>
              <w:tab w:val="clear" w:pos="8459"/>
              <w:tab w:val="right" w:pos="9026" w:leader="dot"/>
            </w:tabs>
            <w:rPr/>
          </w:pPr>
          <w:hyperlink w:anchor="__RefHeading___Toc7543391_1051229030">
            <w:r>
              <w:rPr>
                <w:webHidden/>
                <w:rStyle w:val="IndexLink"/>
                <w:rtl w:val="true"/>
              </w:rPr>
              <w:t xml:space="preserve">أصل </w:t>
            </w:r>
            <w:r>
              <w:rPr>
                <w:rStyle w:val="IndexLink"/>
                <w:rtl w:val="true"/>
              </w:rPr>
              <w:t xml:space="preserve">[ </w:t>
            </w:r>
            <w:r>
              <w:rPr>
                <w:rStyle w:val="IndexLink"/>
                <w:rtl w:val="true"/>
              </w:rPr>
              <w:t xml:space="preserve">في أنّ العلم عقيب النظر </w:t>
            </w:r>
            <w:r>
              <w:rPr>
                <w:rStyle w:val="IndexLink"/>
                <w:rtl w:val="true"/>
              </w:rPr>
              <w:t>]</w:t>
              <w:tab/>
            </w:r>
            <w:r>
              <w:rPr>
                <w:rStyle w:val="IndexLink"/>
              </w:rPr>
              <w:t>58</w:t>
            </w:r>
          </w:hyperlink>
        </w:p>
        <w:p>
          <w:pPr>
            <w:pStyle w:val="Contents3"/>
            <w:tabs>
              <w:tab w:val="clear" w:pos="8459"/>
              <w:tab w:val="right" w:pos="9026" w:leader="dot"/>
            </w:tabs>
            <w:rPr/>
          </w:pPr>
          <w:hyperlink w:anchor="__RefHeading___Toc7543393_1051229030">
            <w:r>
              <w:rPr>
                <w:webHidden/>
                <w:rStyle w:val="IndexLink"/>
                <w:rtl w:val="true"/>
              </w:rPr>
              <w:t xml:space="preserve">أصل </w:t>
            </w:r>
            <w:r>
              <w:rPr>
                <w:rStyle w:val="IndexLink"/>
                <w:rtl w:val="true"/>
              </w:rPr>
              <w:t xml:space="preserve">[ </w:t>
            </w:r>
            <w:r>
              <w:rPr>
                <w:rStyle w:val="IndexLink"/>
                <w:rtl w:val="true"/>
              </w:rPr>
              <w:t xml:space="preserve">وجوب النظر عقلي </w:t>
            </w:r>
            <w:r>
              <w:rPr>
                <w:rStyle w:val="IndexLink"/>
                <w:rtl w:val="true"/>
              </w:rPr>
              <w:t>]</w:t>
              <w:tab/>
            </w:r>
            <w:r>
              <w:rPr>
                <w:rStyle w:val="IndexLink"/>
              </w:rPr>
              <w:t>58</w:t>
            </w:r>
          </w:hyperlink>
        </w:p>
        <w:p>
          <w:pPr>
            <w:pStyle w:val="Contents3"/>
            <w:tabs>
              <w:tab w:val="clear" w:pos="8459"/>
              <w:tab w:val="right" w:pos="9026" w:leader="dot"/>
            </w:tabs>
            <w:rPr/>
          </w:pPr>
          <w:hyperlink w:anchor="__RefHeading___Toc7543395_1051229030">
            <w:r>
              <w:rPr>
                <w:webHidden/>
                <w:rStyle w:val="IndexLink"/>
                <w:rtl w:val="true"/>
              </w:rPr>
              <w:t xml:space="preserve">أصل </w:t>
            </w:r>
            <w:r>
              <w:rPr>
                <w:rStyle w:val="IndexLink"/>
                <w:rtl w:val="true"/>
              </w:rPr>
              <w:t xml:space="preserve">[ </w:t>
            </w:r>
            <w:r>
              <w:rPr>
                <w:rStyle w:val="IndexLink"/>
                <w:rtl w:val="true"/>
              </w:rPr>
              <w:t xml:space="preserve">الدليل قطعي وظنّي </w:t>
            </w:r>
            <w:r>
              <w:rPr>
                <w:rStyle w:val="IndexLink"/>
                <w:rtl w:val="true"/>
              </w:rPr>
              <w:t>]</w:t>
              <w:tab/>
            </w:r>
            <w:r>
              <w:rPr>
                <w:rStyle w:val="IndexLink"/>
              </w:rPr>
              <w:t>58</w:t>
            </w:r>
          </w:hyperlink>
        </w:p>
        <w:p>
          <w:pPr>
            <w:pStyle w:val="Contents3"/>
            <w:tabs>
              <w:tab w:val="clear" w:pos="8459"/>
              <w:tab w:val="right" w:pos="9026" w:leader="dot"/>
            </w:tabs>
            <w:rPr/>
          </w:pPr>
          <w:hyperlink w:anchor="__RefHeading___Toc7543397_1051229030">
            <w:r>
              <w:rPr>
                <w:webHidden/>
                <w:rStyle w:val="IndexLink"/>
                <w:rtl w:val="true"/>
              </w:rPr>
              <w:t xml:space="preserve">أصل </w:t>
            </w:r>
            <w:r>
              <w:rPr>
                <w:rStyle w:val="IndexLink"/>
                <w:rtl w:val="true"/>
              </w:rPr>
              <w:t xml:space="preserve">[ </w:t>
            </w:r>
            <w:r>
              <w:rPr>
                <w:rStyle w:val="IndexLink"/>
                <w:rtl w:val="true"/>
              </w:rPr>
              <w:t xml:space="preserve">في أنواع القديم </w:t>
            </w:r>
            <w:r>
              <w:rPr>
                <w:rStyle w:val="IndexLink"/>
                <w:rtl w:val="true"/>
              </w:rPr>
              <w:t>]</w:t>
              <w:tab/>
            </w:r>
            <w:r>
              <w:rPr>
                <w:rStyle w:val="IndexLink"/>
              </w:rPr>
              <w:t>59</w:t>
            </w:r>
          </w:hyperlink>
        </w:p>
        <w:p>
          <w:pPr>
            <w:pStyle w:val="Contents3"/>
            <w:tabs>
              <w:tab w:val="clear" w:pos="8459"/>
              <w:tab w:val="right" w:pos="9026" w:leader="dot"/>
            </w:tabs>
            <w:rPr/>
          </w:pPr>
          <w:hyperlink w:anchor="__RefHeading___Toc7543399_1051229030">
            <w:r>
              <w:rPr>
                <w:webHidden/>
                <w:rStyle w:val="IndexLink"/>
                <w:rtl w:val="true"/>
              </w:rPr>
              <w:t xml:space="preserve">أصل </w:t>
            </w:r>
            <w:r>
              <w:rPr>
                <w:rStyle w:val="IndexLink"/>
                <w:rtl w:val="true"/>
              </w:rPr>
              <w:t xml:space="preserve">[ </w:t>
            </w:r>
            <w:r>
              <w:rPr>
                <w:rStyle w:val="IndexLink"/>
                <w:rtl w:val="true"/>
              </w:rPr>
              <w:t xml:space="preserve">في أنّه لا علّة للقديم </w:t>
            </w:r>
            <w:r>
              <w:rPr>
                <w:rStyle w:val="IndexLink"/>
                <w:rtl w:val="true"/>
              </w:rPr>
              <w:t>]</w:t>
              <w:tab/>
            </w:r>
            <w:r>
              <w:rPr>
                <w:rStyle w:val="IndexLink"/>
              </w:rPr>
              <w:t>59</w:t>
            </w:r>
          </w:hyperlink>
        </w:p>
        <w:p>
          <w:pPr>
            <w:pStyle w:val="Contents3"/>
            <w:tabs>
              <w:tab w:val="clear" w:pos="8459"/>
              <w:tab w:val="right" w:pos="9026" w:leader="dot"/>
            </w:tabs>
            <w:rPr/>
          </w:pPr>
          <w:hyperlink w:anchor="__RefHeading___Toc7543401_1051229030">
            <w:r>
              <w:rPr>
                <w:webHidden/>
                <w:rStyle w:val="IndexLink"/>
                <w:rtl w:val="true"/>
              </w:rPr>
              <w:t xml:space="preserve">أصل </w:t>
            </w:r>
            <w:r>
              <w:rPr>
                <w:rStyle w:val="IndexLink"/>
                <w:rtl w:val="true"/>
              </w:rPr>
              <w:t xml:space="preserve">[ </w:t>
            </w:r>
            <w:r>
              <w:rPr>
                <w:rStyle w:val="IndexLink"/>
                <w:rtl w:val="true"/>
              </w:rPr>
              <w:t xml:space="preserve">في أنّ القديم لا يعدم </w:t>
            </w:r>
            <w:r>
              <w:rPr>
                <w:rStyle w:val="IndexLink"/>
                <w:rtl w:val="true"/>
              </w:rPr>
              <w:t>]</w:t>
              <w:tab/>
            </w:r>
            <w:r>
              <w:rPr>
                <w:rStyle w:val="IndexLink"/>
              </w:rPr>
              <w:t>60</w:t>
            </w:r>
          </w:hyperlink>
        </w:p>
        <w:p>
          <w:pPr>
            <w:pStyle w:val="Contents3"/>
            <w:tabs>
              <w:tab w:val="clear" w:pos="8459"/>
              <w:tab w:val="right" w:pos="9026" w:leader="dot"/>
            </w:tabs>
            <w:rPr/>
          </w:pPr>
          <w:hyperlink w:anchor="__RefHeading___Toc7543403_1051229030">
            <w:r>
              <w:rPr>
                <w:webHidden/>
                <w:rStyle w:val="IndexLink"/>
                <w:rtl w:val="true"/>
              </w:rPr>
              <w:t xml:space="preserve">أصل </w:t>
            </w:r>
            <w:r>
              <w:rPr>
                <w:rStyle w:val="IndexLink"/>
                <w:rtl w:val="true"/>
              </w:rPr>
              <w:t xml:space="preserve">[ </w:t>
            </w:r>
            <w:r>
              <w:rPr>
                <w:rStyle w:val="IndexLink"/>
                <w:rtl w:val="true"/>
              </w:rPr>
              <w:t xml:space="preserve">في الوحدة والكثرة </w:t>
            </w:r>
            <w:r>
              <w:rPr>
                <w:rStyle w:val="IndexLink"/>
                <w:rtl w:val="true"/>
              </w:rPr>
              <w:t>]</w:t>
              <w:tab/>
            </w:r>
            <w:r>
              <w:rPr>
                <w:rStyle w:val="IndexLink"/>
              </w:rPr>
              <w:t>60</w:t>
            </w:r>
          </w:hyperlink>
        </w:p>
        <w:p>
          <w:pPr>
            <w:pStyle w:val="Contents3"/>
            <w:tabs>
              <w:tab w:val="clear" w:pos="8459"/>
              <w:tab w:val="right" w:pos="9026" w:leader="dot"/>
            </w:tabs>
            <w:rPr/>
          </w:pPr>
          <w:hyperlink w:anchor="__RefHeading___Toc7543405_1051229030">
            <w:r>
              <w:rPr>
                <w:webHidden/>
                <w:rStyle w:val="IndexLink"/>
                <w:rtl w:val="true"/>
              </w:rPr>
              <w:t xml:space="preserve">أصل </w:t>
            </w:r>
            <w:r>
              <w:rPr>
                <w:rStyle w:val="IndexLink"/>
                <w:rtl w:val="true"/>
              </w:rPr>
              <w:t xml:space="preserve">[ </w:t>
            </w:r>
            <w:r>
              <w:rPr>
                <w:rStyle w:val="IndexLink"/>
                <w:rtl w:val="true"/>
              </w:rPr>
              <w:t xml:space="preserve">في أنواع العلة </w:t>
            </w:r>
            <w:r>
              <w:rPr>
                <w:rStyle w:val="IndexLink"/>
                <w:rtl w:val="true"/>
              </w:rPr>
              <w:t>]</w:t>
              <w:tab/>
            </w:r>
            <w:r>
              <w:rPr>
                <w:rStyle w:val="IndexLink"/>
              </w:rPr>
              <w:t>61</w:t>
            </w:r>
          </w:hyperlink>
        </w:p>
        <w:p>
          <w:pPr>
            <w:pStyle w:val="Contents3"/>
            <w:tabs>
              <w:tab w:val="clear" w:pos="8459"/>
              <w:tab w:val="right" w:pos="9026" w:leader="dot"/>
            </w:tabs>
            <w:rPr/>
          </w:pPr>
          <w:hyperlink w:anchor="__RefHeading___Toc7543407_1051229030">
            <w:r>
              <w:rPr>
                <w:webHidden/>
                <w:rStyle w:val="IndexLink"/>
                <w:rtl w:val="true"/>
              </w:rPr>
              <w:t xml:space="preserve">أصل </w:t>
            </w:r>
            <w:r>
              <w:rPr>
                <w:rStyle w:val="IndexLink"/>
                <w:rtl w:val="true"/>
              </w:rPr>
              <w:t xml:space="preserve">[ </w:t>
            </w:r>
            <w:r>
              <w:rPr>
                <w:rStyle w:val="IndexLink"/>
                <w:rtl w:val="true"/>
              </w:rPr>
              <w:t xml:space="preserve">في العلة التامة </w:t>
            </w:r>
            <w:r>
              <w:rPr>
                <w:rStyle w:val="IndexLink"/>
                <w:rtl w:val="true"/>
              </w:rPr>
              <w:t>]</w:t>
              <w:tab/>
            </w:r>
            <w:r>
              <w:rPr>
                <w:rStyle w:val="IndexLink"/>
              </w:rPr>
              <w:t>61</w:t>
            </w:r>
          </w:hyperlink>
        </w:p>
        <w:p>
          <w:pPr>
            <w:pStyle w:val="Contents3"/>
            <w:tabs>
              <w:tab w:val="clear" w:pos="8459"/>
              <w:tab w:val="right" w:pos="9026" w:leader="dot"/>
            </w:tabs>
            <w:rPr/>
          </w:pPr>
          <w:hyperlink w:anchor="__RefHeading___Toc7543409_1051229030">
            <w:r>
              <w:rPr>
                <w:webHidden/>
                <w:rStyle w:val="IndexLink"/>
                <w:rtl w:val="true"/>
              </w:rPr>
              <w:t xml:space="preserve">أصل </w:t>
            </w:r>
            <w:r>
              <w:rPr>
                <w:rStyle w:val="IndexLink"/>
                <w:rtl w:val="true"/>
              </w:rPr>
              <w:t xml:space="preserve">[ </w:t>
            </w:r>
            <w:r>
              <w:rPr>
                <w:rStyle w:val="IndexLink"/>
                <w:rtl w:val="true"/>
              </w:rPr>
              <w:t xml:space="preserve">في أنّ العلّة مركبة وبسيطة </w:t>
            </w:r>
            <w:r>
              <w:rPr>
                <w:rStyle w:val="IndexLink"/>
                <w:rtl w:val="true"/>
              </w:rPr>
              <w:t>]</w:t>
              <w:tab/>
            </w:r>
            <w:r>
              <w:rPr>
                <w:rStyle w:val="IndexLink"/>
              </w:rPr>
              <w:t>61</w:t>
            </w:r>
          </w:hyperlink>
        </w:p>
        <w:p>
          <w:pPr>
            <w:pStyle w:val="Contents3"/>
            <w:tabs>
              <w:tab w:val="clear" w:pos="8459"/>
              <w:tab w:val="right" w:pos="9026" w:leader="dot"/>
            </w:tabs>
            <w:rPr/>
          </w:pPr>
          <w:hyperlink w:anchor="__RefHeading___Toc7543411_1051229030">
            <w:r>
              <w:rPr>
                <w:webHidden/>
                <w:rStyle w:val="IndexLink"/>
                <w:rtl w:val="true"/>
              </w:rPr>
              <w:t xml:space="preserve">أصل </w:t>
            </w:r>
            <w:r>
              <w:rPr>
                <w:rStyle w:val="IndexLink"/>
                <w:rtl w:val="true"/>
              </w:rPr>
              <w:t xml:space="preserve">[ </w:t>
            </w:r>
            <w:r>
              <w:rPr>
                <w:rStyle w:val="IndexLink"/>
                <w:rtl w:val="true"/>
              </w:rPr>
              <w:t xml:space="preserve">في أنّه لا يكون للمعلول الواحد علّة مركبة </w:t>
            </w:r>
            <w:r>
              <w:rPr>
                <w:rStyle w:val="IndexLink"/>
                <w:rtl w:val="true"/>
              </w:rPr>
              <w:t>]</w:t>
              <w:tab/>
            </w:r>
            <w:r>
              <w:rPr>
                <w:rStyle w:val="IndexLink"/>
              </w:rPr>
              <w:t>62</w:t>
            </w:r>
          </w:hyperlink>
        </w:p>
        <w:p>
          <w:pPr>
            <w:pStyle w:val="Contents3"/>
            <w:tabs>
              <w:tab w:val="clear" w:pos="8459"/>
              <w:tab w:val="right" w:pos="9026" w:leader="dot"/>
            </w:tabs>
            <w:rPr/>
          </w:pPr>
          <w:hyperlink w:anchor="__RefHeading___Toc7543413_1051229030">
            <w:r>
              <w:rPr>
                <w:webHidden/>
                <w:rStyle w:val="IndexLink"/>
                <w:rtl w:val="true"/>
              </w:rPr>
              <w:t xml:space="preserve">أصل </w:t>
            </w:r>
            <w:r>
              <w:rPr>
                <w:rStyle w:val="IndexLink"/>
                <w:rtl w:val="true"/>
              </w:rPr>
              <w:t xml:space="preserve">[ </w:t>
            </w:r>
            <w:r>
              <w:rPr>
                <w:rStyle w:val="IndexLink"/>
                <w:rtl w:val="true"/>
              </w:rPr>
              <w:t xml:space="preserve">في عدم تعاكس العلل وعدم تراميها </w:t>
            </w:r>
            <w:r>
              <w:rPr>
                <w:rStyle w:val="IndexLink"/>
                <w:rtl w:val="true"/>
              </w:rPr>
              <w:t>]</w:t>
              <w:tab/>
            </w:r>
            <w:r>
              <w:rPr>
                <w:rStyle w:val="IndexLink"/>
              </w:rPr>
              <w:t>62</w:t>
            </w:r>
          </w:hyperlink>
        </w:p>
        <w:p>
          <w:pPr>
            <w:pStyle w:val="Contents3"/>
            <w:tabs>
              <w:tab w:val="clear" w:pos="8459"/>
              <w:tab w:val="right" w:pos="9026" w:leader="dot"/>
            </w:tabs>
            <w:rPr/>
          </w:pPr>
          <w:hyperlink w:anchor="__RefHeading___Toc7543415_1051229030">
            <w:r>
              <w:rPr>
                <w:webHidden/>
                <w:rStyle w:val="IndexLink"/>
                <w:rtl w:val="true"/>
              </w:rPr>
              <w:t xml:space="preserve">أصل </w:t>
            </w:r>
            <w:r>
              <w:rPr>
                <w:rStyle w:val="IndexLink"/>
                <w:rtl w:val="true"/>
              </w:rPr>
              <w:t xml:space="preserve">[ </w:t>
            </w:r>
            <w:r>
              <w:rPr>
                <w:rStyle w:val="IndexLink"/>
                <w:rtl w:val="true"/>
              </w:rPr>
              <w:t xml:space="preserve">في الجوهر والعرض </w:t>
            </w:r>
            <w:r>
              <w:rPr>
                <w:rStyle w:val="IndexLink"/>
                <w:rtl w:val="true"/>
              </w:rPr>
              <w:t>]</w:t>
              <w:tab/>
            </w:r>
            <w:r>
              <w:rPr>
                <w:rStyle w:val="IndexLink"/>
              </w:rPr>
              <w:t>63</w:t>
            </w:r>
          </w:hyperlink>
        </w:p>
        <w:p>
          <w:pPr>
            <w:pStyle w:val="Contents3"/>
            <w:tabs>
              <w:tab w:val="clear" w:pos="8459"/>
              <w:tab w:val="right" w:pos="9026" w:leader="dot"/>
            </w:tabs>
            <w:rPr/>
          </w:pPr>
          <w:hyperlink w:anchor="__RefHeading___Toc7543417_1051229030">
            <w:r>
              <w:rPr>
                <w:webHidden/>
                <w:rStyle w:val="IndexLink"/>
                <w:rtl w:val="true"/>
              </w:rPr>
              <w:t>أصل في أحكام الجواهر</w:t>
            </w:r>
            <w:r>
              <w:rPr>
                <w:rStyle w:val="IndexLink"/>
                <w:rtl w:val="true"/>
              </w:rPr>
              <w:tab/>
            </w:r>
            <w:r>
              <w:rPr>
                <w:rStyle w:val="IndexLink"/>
              </w:rPr>
              <w:t>64</w:t>
            </w:r>
          </w:hyperlink>
        </w:p>
        <w:p>
          <w:pPr>
            <w:pStyle w:val="Contents3"/>
            <w:tabs>
              <w:tab w:val="clear" w:pos="8459"/>
              <w:tab w:val="right" w:pos="9026" w:leader="dot"/>
            </w:tabs>
            <w:rPr/>
          </w:pPr>
          <w:hyperlink w:anchor="__RefHeading___Toc7543419_1051229030">
            <w:r>
              <w:rPr>
                <w:webHidden/>
                <w:rStyle w:val="IndexLink"/>
                <w:rtl w:val="true"/>
              </w:rPr>
              <w:t>أصل في خواصّ الأعراض</w:t>
            </w:r>
            <w:r>
              <w:rPr>
                <w:rStyle w:val="IndexLink"/>
                <w:rtl w:val="true"/>
              </w:rPr>
              <w:tab/>
            </w:r>
            <w:r>
              <w:rPr>
                <w:rStyle w:val="IndexLink"/>
              </w:rPr>
              <w:t>64</w:t>
            </w:r>
          </w:hyperlink>
        </w:p>
        <w:p>
          <w:pPr>
            <w:pStyle w:val="Contents3"/>
            <w:tabs>
              <w:tab w:val="clear" w:pos="8459"/>
              <w:tab w:val="right" w:pos="9026" w:leader="dot"/>
            </w:tabs>
            <w:rPr/>
          </w:pPr>
          <w:hyperlink w:anchor="__RefHeading___Toc7543421_1051229030">
            <w:r>
              <w:rPr>
                <w:webHidden/>
                <w:rStyle w:val="IndexLink"/>
                <w:rtl w:val="true"/>
              </w:rPr>
              <w:t xml:space="preserve">أصل </w:t>
            </w:r>
            <w:r>
              <w:rPr>
                <w:rStyle w:val="IndexLink"/>
                <w:rtl w:val="true"/>
              </w:rPr>
              <w:t xml:space="preserve">[ </w:t>
            </w:r>
            <w:r>
              <w:rPr>
                <w:rStyle w:val="IndexLink"/>
                <w:rtl w:val="true"/>
              </w:rPr>
              <w:t xml:space="preserve">ما سوى الواجب ممكن </w:t>
            </w:r>
            <w:r>
              <w:rPr>
                <w:rStyle w:val="IndexLink"/>
                <w:rtl w:val="true"/>
              </w:rPr>
              <w:t>]</w:t>
              <w:tab/>
            </w:r>
            <w:r>
              <w:rPr>
                <w:rStyle w:val="IndexLink"/>
              </w:rPr>
              <w:t>66</w:t>
            </w:r>
          </w:hyperlink>
        </w:p>
        <w:p>
          <w:pPr>
            <w:pStyle w:val="Contents2"/>
            <w:tabs>
              <w:tab w:val="clear" w:pos="8743"/>
              <w:tab w:val="right" w:pos="9026" w:leader="dot"/>
            </w:tabs>
            <w:rPr/>
          </w:pPr>
          <w:hyperlink w:anchor="__RefHeading___Toc7543423_1051229030">
            <w:r>
              <w:rPr>
                <w:webHidden/>
                <w:rStyle w:val="IndexLink"/>
                <w:rtl w:val="true"/>
              </w:rPr>
              <w:t>المقصد الأول</w:t>
            </w:r>
            <w:r>
              <w:rPr>
                <w:rStyle w:val="IndexLink"/>
                <w:rtl w:val="true"/>
              </w:rPr>
              <w:t xml:space="preserve">: </w:t>
            </w:r>
            <w:r>
              <w:rPr>
                <w:rStyle w:val="IndexLink"/>
                <w:rtl w:val="true"/>
              </w:rPr>
              <w:t>فى إثبات الصانع وصفاته الثبوتيّة</w:t>
            </w:r>
            <w:r>
              <w:rPr>
                <w:rStyle w:val="IndexLink"/>
                <w:rtl w:val="true"/>
              </w:rPr>
              <w:tab/>
            </w:r>
            <w:r>
              <w:rPr>
                <w:rStyle w:val="IndexLink"/>
              </w:rPr>
              <w:t>67</w:t>
            </w:r>
          </w:hyperlink>
        </w:p>
        <w:p>
          <w:pPr>
            <w:pStyle w:val="Contents3"/>
            <w:tabs>
              <w:tab w:val="clear" w:pos="8459"/>
              <w:tab w:val="right" w:pos="9026" w:leader="dot"/>
            </w:tabs>
            <w:rPr/>
          </w:pPr>
          <w:hyperlink w:anchor="__RefHeading___Toc7543425_105122903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7543427_1051229030">
            <w:r>
              <w:rPr>
                <w:webHidden/>
                <w:rStyle w:val="IndexLink"/>
                <w:rtl w:val="true"/>
              </w:rPr>
              <w:t xml:space="preserve">أصل </w:t>
            </w:r>
            <w:r>
              <w:rPr>
                <w:rStyle w:val="IndexLink"/>
                <w:rtl w:val="true"/>
              </w:rPr>
              <w:t xml:space="preserve">[ </w:t>
            </w:r>
            <w:r>
              <w:rPr>
                <w:rStyle w:val="IndexLink"/>
                <w:rtl w:val="true"/>
              </w:rPr>
              <w:t xml:space="preserve">في وجوده تعالى </w:t>
            </w:r>
            <w:r>
              <w:rPr>
                <w:rStyle w:val="IndexLink"/>
                <w:rtl w:val="true"/>
              </w:rPr>
              <w:t>]</w:t>
              <w:tab/>
            </w:r>
            <w:r>
              <w:rPr>
                <w:rStyle w:val="IndexLink"/>
              </w:rPr>
              <w:t>67</w:t>
            </w:r>
          </w:hyperlink>
        </w:p>
        <w:p>
          <w:pPr>
            <w:pStyle w:val="Contents3"/>
            <w:tabs>
              <w:tab w:val="clear" w:pos="8459"/>
              <w:tab w:val="right" w:pos="9026" w:leader="dot"/>
            </w:tabs>
            <w:rPr/>
          </w:pPr>
          <w:hyperlink w:anchor="__RefHeading___Toc7543429_1051229030">
            <w:r>
              <w:rPr>
                <w:webHidden/>
                <w:rStyle w:val="IndexLink"/>
                <w:rtl w:val="true"/>
              </w:rPr>
              <w:t xml:space="preserve">أصل </w:t>
            </w:r>
            <w:r>
              <w:rPr>
                <w:rStyle w:val="IndexLink"/>
                <w:rtl w:val="true"/>
              </w:rPr>
              <w:t xml:space="preserve">[ </w:t>
            </w:r>
            <w:r>
              <w:rPr>
                <w:rStyle w:val="IndexLink"/>
                <w:rtl w:val="true"/>
              </w:rPr>
              <w:t xml:space="preserve">في قدمه تعالى وأزليّته </w:t>
            </w:r>
            <w:r>
              <w:rPr>
                <w:rStyle w:val="IndexLink"/>
                <w:rtl w:val="true"/>
              </w:rPr>
              <w:t>]</w:t>
              <w:tab/>
            </w:r>
            <w:r>
              <w:rPr>
                <w:rStyle w:val="IndexLink"/>
              </w:rPr>
              <w:t>68</w:t>
            </w:r>
          </w:hyperlink>
        </w:p>
        <w:p>
          <w:pPr>
            <w:pStyle w:val="Contents3"/>
            <w:tabs>
              <w:tab w:val="clear" w:pos="8459"/>
              <w:tab w:val="right" w:pos="9026" w:leader="dot"/>
            </w:tabs>
            <w:rPr/>
          </w:pPr>
          <w:hyperlink w:anchor="__RefHeading___Toc7543431_1051229030">
            <w:r>
              <w:rPr>
                <w:webHidden/>
                <w:rStyle w:val="IndexLink"/>
                <w:rtl w:val="true"/>
              </w:rPr>
              <w:t xml:space="preserve">أصل </w:t>
            </w:r>
            <w:r>
              <w:rPr>
                <w:rStyle w:val="IndexLink"/>
                <w:rtl w:val="true"/>
              </w:rPr>
              <w:t xml:space="preserve">[ </w:t>
            </w:r>
            <w:r>
              <w:rPr>
                <w:rStyle w:val="IndexLink"/>
                <w:rtl w:val="true"/>
              </w:rPr>
              <w:t xml:space="preserve">في قدرته تعالى الذاتيّة </w:t>
            </w:r>
            <w:r>
              <w:rPr>
                <w:rStyle w:val="IndexLink"/>
                <w:rtl w:val="true"/>
              </w:rPr>
              <w:t>]</w:t>
              <w:tab/>
            </w:r>
            <w:r>
              <w:rPr>
                <w:rStyle w:val="IndexLink"/>
              </w:rPr>
              <w:t>68</w:t>
            </w:r>
          </w:hyperlink>
        </w:p>
        <w:p>
          <w:pPr>
            <w:pStyle w:val="Contents3"/>
            <w:tabs>
              <w:tab w:val="clear" w:pos="8459"/>
              <w:tab w:val="right" w:pos="9026" w:leader="dot"/>
            </w:tabs>
            <w:rPr/>
          </w:pPr>
          <w:hyperlink w:anchor="__RefHeading___Toc7543433_1051229030">
            <w:r>
              <w:rPr>
                <w:webHidden/>
                <w:rStyle w:val="IndexLink"/>
                <w:rtl w:val="true"/>
              </w:rPr>
              <w:t xml:space="preserve">أصل </w:t>
            </w:r>
            <w:r>
              <w:rPr>
                <w:rStyle w:val="IndexLink"/>
                <w:rtl w:val="true"/>
              </w:rPr>
              <w:t xml:space="preserve">[ </w:t>
            </w:r>
            <w:r>
              <w:rPr>
                <w:rStyle w:val="IndexLink"/>
                <w:rtl w:val="true"/>
              </w:rPr>
              <w:t xml:space="preserve">في قدرته تعالى على كلّ مقدور </w:t>
            </w:r>
            <w:r>
              <w:rPr>
                <w:rStyle w:val="IndexLink"/>
                <w:rtl w:val="true"/>
              </w:rPr>
              <w:t>]</w:t>
              <w:tab/>
            </w:r>
            <w:r>
              <w:rPr>
                <w:rStyle w:val="IndexLink"/>
              </w:rPr>
              <w:t>69</w:t>
            </w:r>
          </w:hyperlink>
        </w:p>
        <w:p>
          <w:pPr>
            <w:pStyle w:val="Contents3"/>
            <w:tabs>
              <w:tab w:val="clear" w:pos="8459"/>
              <w:tab w:val="right" w:pos="9026" w:leader="dot"/>
            </w:tabs>
            <w:rPr/>
          </w:pPr>
          <w:hyperlink w:anchor="__RefHeading___Toc7543435_1051229030">
            <w:r>
              <w:rPr>
                <w:webHidden/>
                <w:rStyle w:val="IndexLink"/>
                <w:rtl w:val="true"/>
              </w:rPr>
              <w:t xml:space="preserve">أصل </w:t>
            </w:r>
            <w:r>
              <w:rPr>
                <w:rStyle w:val="IndexLink"/>
                <w:rtl w:val="true"/>
              </w:rPr>
              <w:t xml:space="preserve">[ </w:t>
            </w:r>
            <w:r>
              <w:rPr>
                <w:rStyle w:val="IndexLink"/>
                <w:rtl w:val="true"/>
              </w:rPr>
              <w:t xml:space="preserve">في علمه تعالى </w:t>
            </w:r>
            <w:r>
              <w:rPr>
                <w:rStyle w:val="IndexLink"/>
                <w:rtl w:val="true"/>
              </w:rPr>
              <w:t>]</w:t>
              <w:tab/>
            </w:r>
            <w:r>
              <w:rPr>
                <w:rStyle w:val="IndexLink"/>
              </w:rPr>
              <w:t>71</w:t>
            </w:r>
          </w:hyperlink>
        </w:p>
        <w:p>
          <w:pPr>
            <w:pStyle w:val="Contents3"/>
            <w:tabs>
              <w:tab w:val="clear" w:pos="8459"/>
              <w:tab w:val="right" w:pos="9026" w:leader="dot"/>
            </w:tabs>
            <w:rPr/>
          </w:pPr>
          <w:hyperlink w:anchor="__RefHeading___Toc7543437_1051229030">
            <w:r>
              <w:rPr>
                <w:webHidden/>
                <w:rStyle w:val="IndexLink"/>
                <w:rtl w:val="true"/>
              </w:rPr>
              <w:t xml:space="preserve">أصل </w:t>
            </w:r>
            <w:r>
              <w:rPr>
                <w:rStyle w:val="IndexLink"/>
                <w:rtl w:val="true"/>
              </w:rPr>
              <w:t xml:space="preserve">[ </w:t>
            </w:r>
            <w:r>
              <w:rPr>
                <w:rStyle w:val="IndexLink"/>
                <w:rtl w:val="true"/>
              </w:rPr>
              <w:t xml:space="preserve">في أنّه تعالى عالم بكلّ معلوم </w:t>
            </w:r>
            <w:r>
              <w:rPr>
                <w:rStyle w:val="IndexLink"/>
                <w:rtl w:val="true"/>
              </w:rPr>
              <w:t>]</w:t>
              <w:tab/>
            </w:r>
            <w:r>
              <w:rPr>
                <w:rStyle w:val="IndexLink"/>
              </w:rPr>
              <w:t>72</w:t>
            </w:r>
          </w:hyperlink>
        </w:p>
        <w:p>
          <w:pPr>
            <w:pStyle w:val="Contents3"/>
            <w:tabs>
              <w:tab w:val="clear" w:pos="8459"/>
              <w:tab w:val="right" w:pos="9026" w:leader="dot"/>
            </w:tabs>
            <w:rPr/>
          </w:pPr>
          <w:hyperlink w:anchor="__RefHeading___Toc7543439_1051229030">
            <w:r>
              <w:rPr>
                <w:webHidden/>
                <w:rStyle w:val="IndexLink"/>
                <w:rtl w:val="true"/>
              </w:rPr>
              <w:t xml:space="preserve">أصل </w:t>
            </w:r>
            <w:r>
              <w:rPr>
                <w:rStyle w:val="IndexLink"/>
                <w:rtl w:val="true"/>
              </w:rPr>
              <w:t xml:space="preserve">[ </w:t>
            </w:r>
            <w:r>
              <w:rPr>
                <w:rStyle w:val="IndexLink"/>
                <w:rtl w:val="true"/>
              </w:rPr>
              <w:t xml:space="preserve">في أنّه تعالى عالم بذاته </w:t>
            </w:r>
            <w:r>
              <w:rPr>
                <w:rStyle w:val="IndexLink"/>
                <w:rtl w:val="true"/>
              </w:rPr>
              <w:t>]</w:t>
              <w:tab/>
            </w:r>
            <w:r>
              <w:rPr>
                <w:rStyle w:val="IndexLink"/>
              </w:rPr>
              <w:t>72</w:t>
            </w:r>
          </w:hyperlink>
        </w:p>
        <w:p>
          <w:pPr>
            <w:pStyle w:val="Contents3"/>
            <w:tabs>
              <w:tab w:val="clear" w:pos="8459"/>
              <w:tab w:val="right" w:pos="9026" w:leader="dot"/>
            </w:tabs>
            <w:rPr/>
          </w:pPr>
          <w:hyperlink w:anchor="__RefHeading___Toc7543441_1051229030">
            <w:r>
              <w:rPr>
                <w:webHidden/>
                <w:rStyle w:val="IndexLink"/>
                <w:rtl w:val="true"/>
              </w:rPr>
              <w:t xml:space="preserve">أصل </w:t>
            </w:r>
            <w:r>
              <w:rPr>
                <w:rStyle w:val="IndexLink"/>
                <w:rtl w:val="true"/>
              </w:rPr>
              <w:t xml:space="preserve">[ </w:t>
            </w:r>
            <w:r>
              <w:rPr>
                <w:rStyle w:val="IndexLink"/>
                <w:rtl w:val="true"/>
              </w:rPr>
              <w:t xml:space="preserve">في أنّه تعالى حيّ </w:t>
            </w:r>
            <w:r>
              <w:rPr>
                <w:rStyle w:val="IndexLink"/>
                <w:rtl w:val="true"/>
              </w:rPr>
              <w:t>]</w:t>
              <w:tab/>
            </w:r>
            <w:r>
              <w:rPr>
                <w:rStyle w:val="IndexLink"/>
              </w:rPr>
              <w:t>72</w:t>
            </w:r>
          </w:hyperlink>
        </w:p>
        <w:p>
          <w:pPr>
            <w:pStyle w:val="Contents3"/>
            <w:tabs>
              <w:tab w:val="clear" w:pos="8459"/>
              <w:tab w:val="right" w:pos="9026" w:leader="dot"/>
            </w:tabs>
            <w:rPr/>
          </w:pPr>
          <w:hyperlink w:anchor="__RefHeading___Toc7543443_1051229030">
            <w:r>
              <w:rPr>
                <w:webHidden/>
                <w:rStyle w:val="IndexLink"/>
                <w:rtl w:val="true"/>
              </w:rPr>
              <w:t xml:space="preserve">أصل </w:t>
            </w:r>
            <w:r>
              <w:rPr>
                <w:rStyle w:val="IndexLink"/>
                <w:rtl w:val="true"/>
              </w:rPr>
              <w:t xml:space="preserve">[ </w:t>
            </w:r>
            <w:r>
              <w:rPr>
                <w:rStyle w:val="IndexLink"/>
                <w:rtl w:val="true"/>
              </w:rPr>
              <w:t xml:space="preserve">في إرادته تعالى </w:t>
            </w:r>
            <w:r>
              <w:rPr>
                <w:rStyle w:val="IndexLink"/>
                <w:rtl w:val="true"/>
              </w:rPr>
              <w:t>]</w:t>
              <w:tab/>
            </w:r>
            <w:r>
              <w:rPr>
                <w:rStyle w:val="IndexLink"/>
              </w:rPr>
              <w:t>73</w:t>
            </w:r>
          </w:hyperlink>
        </w:p>
        <w:p>
          <w:pPr>
            <w:pStyle w:val="Contents3"/>
            <w:tabs>
              <w:tab w:val="clear" w:pos="8459"/>
              <w:tab w:val="right" w:pos="9026" w:leader="dot"/>
            </w:tabs>
            <w:rPr/>
          </w:pPr>
          <w:hyperlink w:anchor="__RefHeading___Toc7543445_1051229030">
            <w:r>
              <w:rPr>
                <w:webHidden/>
                <w:rStyle w:val="IndexLink"/>
                <w:rtl w:val="true"/>
              </w:rPr>
              <w:t xml:space="preserve">أصل </w:t>
            </w:r>
            <w:r>
              <w:rPr>
                <w:rStyle w:val="IndexLink"/>
                <w:rtl w:val="true"/>
              </w:rPr>
              <w:t xml:space="preserve">[ </w:t>
            </w:r>
            <w:r>
              <w:rPr>
                <w:rStyle w:val="IndexLink"/>
                <w:rtl w:val="true"/>
              </w:rPr>
              <w:t xml:space="preserve">في أنّه تعالى سميع بصير </w:t>
            </w:r>
            <w:r>
              <w:rPr>
                <w:rStyle w:val="IndexLink"/>
                <w:rtl w:val="true"/>
              </w:rPr>
              <w:t>]</w:t>
              <w:tab/>
            </w:r>
            <w:r>
              <w:rPr>
                <w:rStyle w:val="IndexLink"/>
              </w:rPr>
              <w:t>74</w:t>
            </w:r>
          </w:hyperlink>
        </w:p>
        <w:p>
          <w:pPr>
            <w:pStyle w:val="Contents3"/>
            <w:tabs>
              <w:tab w:val="clear" w:pos="8459"/>
              <w:tab w:val="right" w:pos="9026" w:leader="dot"/>
            </w:tabs>
            <w:rPr/>
          </w:pPr>
          <w:hyperlink w:anchor="__RefHeading___Toc7543447_1051229030">
            <w:r>
              <w:rPr>
                <w:webHidden/>
                <w:rStyle w:val="IndexLink"/>
                <w:rtl w:val="true"/>
              </w:rPr>
              <w:t xml:space="preserve">أصل </w:t>
            </w:r>
            <w:r>
              <w:rPr>
                <w:rStyle w:val="IndexLink"/>
                <w:rtl w:val="true"/>
              </w:rPr>
              <w:t xml:space="preserve">[ </w:t>
            </w:r>
            <w:r>
              <w:rPr>
                <w:rStyle w:val="IndexLink"/>
                <w:rtl w:val="true"/>
              </w:rPr>
              <w:t xml:space="preserve">في أنّه تعالى متكلّم </w:t>
            </w:r>
            <w:r>
              <w:rPr>
                <w:rStyle w:val="IndexLink"/>
                <w:rtl w:val="true"/>
              </w:rPr>
              <w:t>]</w:t>
              <w:tab/>
            </w:r>
            <w:r>
              <w:rPr>
                <w:rStyle w:val="IndexLink"/>
              </w:rPr>
              <w:t>75</w:t>
            </w:r>
          </w:hyperlink>
        </w:p>
        <w:p>
          <w:pPr>
            <w:pStyle w:val="Contents3"/>
            <w:tabs>
              <w:tab w:val="clear" w:pos="8459"/>
              <w:tab w:val="right" w:pos="9026" w:leader="dot"/>
            </w:tabs>
            <w:rPr/>
          </w:pPr>
          <w:hyperlink w:anchor="__RefHeading___Toc7543449_1051229030">
            <w:r>
              <w:rPr>
                <w:webHidden/>
                <w:rStyle w:val="IndexLink"/>
                <w:rtl w:val="true"/>
              </w:rPr>
              <w:t xml:space="preserve">أصل </w:t>
            </w:r>
            <w:r>
              <w:rPr>
                <w:rStyle w:val="IndexLink"/>
                <w:rtl w:val="true"/>
              </w:rPr>
              <w:t xml:space="preserve">[ </w:t>
            </w:r>
            <w:r>
              <w:rPr>
                <w:rStyle w:val="IndexLink"/>
                <w:rtl w:val="true"/>
              </w:rPr>
              <w:t xml:space="preserve">في حدوث الكلام </w:t>
            </w:r>
            <w:r>
              <w:rPr>
                <w:rStyle w:val="IndexLink"/>
                <w:rtl w:val="true"/>
              </w:rPr>
              <w:t>]</w:t>
              <w:tab/>
            </w:r>
            <w:r>
              <w:rPr>
                <w:rStyle w:val="IndexLink"/>
              </w:rPr>
              <w:t>75</w:t>
            </w:r>
          </w:hyperlink>
        </w:p>
        <w:p>
          <w:pPr>
            <w:pStyle w:val="Contents3"/>
            <w:tabs>
              <w:tab w:val="clear" w:pos="8459"/>
              <w:tab w:val="right" w:pos="9026" w:leader="dot"/>
            </w:tabs>
            <w:rPr/>
          </w:pPr>
          <w:hyperlink w:anchor="__RefHeading___Toc7543451_1051229030">
            <w:r>
              <w:rPr>
                <w:webHidden/>
                <w:rStyle w:val="IndexLink"/>
                <w:rtl w:val="true"/>
              </w:rPr>
              <w:t xml:space="preserve">أصل </w:t>
            </w:r>
            <w:r>
              <w:rPr>
                <w:rStyle w:val="IndexLink"/>
                <w:rtl w:val="true"/>
              </w:rPr>
              <w:t xml:space="preserve">[ </w:t>
            </w:r>
            <w:r>
              <w:rPr>
                <w:rStyle w:val="IndexLink"/>
                <w:rtl w:val="true"/>
              </w:rPr>
              <w:t xml:space="preserve">فى أنّه تعالى صادق </w:t>
            </w:r>
            <w:r>
              <w:rPr>
                <w:rStyle w:val="IndexLink"/>
                <w:rtl w:val="true"/>
              </w:rPr>
              <w:t>]</w:t>
              <w:tab/>
            </w:r>
            <w:r>
              <w:rPr>
                <w:rStyle w:val="IndexLink"/>
              </w:rPr>
              <w:t>76</w:t>
            </w:r>
          </w:hyperlink>
        </w:p>
        <w:p>
          <w:pPr>
            <w:pStyle w:val="Contents3"/>
            <w:tabs>
              <w:tab w:val="clear" w:pos="8459"/>
              <w:tab w:val="right" w:pos="9026" w:leader="dot"/>
            </w:tabs>
            <w:rPr/>
          </w:pPr>
          <w:hyperlink w:anchor="__RefHeading___Toc7543453_1051229030">
            <w:r>
              <w:rPr>
                <w:webHidden/>
                <w:rStyle w:val="IndexLink"/>
                <w:rtl w:val="true"/>
              </w:rPr>
              <w:t xml:space="preserve">أصل </w:t>
            </w:r>
            <w:r>
              <w:rPr>
                <w:rStyle w:val="IndexLink"/>
                <w:rtl w:val="true"/>
              </w:rPr>
              <w:t xml:space="preserve">[ </w:t>
            </w:r>
            <w:r>
              <w:rPr>
                <w:rStyle w:val="IndexLink"/>
                <w:rtl w:val="true"/>
              </w:rPr>
              <w:t xml:space="preserve">الله تعالى واحد </w:t>
            </w:r>
            <w:r>
              <w:rPr>
                <w:rStyle w:val="IndexLink"/>
                <w:rtl w:val="true"/>
              </w:rPr>
              <w:t>]</w:t>
              <w:tab/>
            </w:r>
            <w:r>
              <w:rPr>
                <w:rStyle w:val="IndexLink"/>
              </w:rPr>
              <w:t>76</w:t>
            </w:r>
          </w:hyperlink>
        </w:p>
        <w:p>
          <w:pPr>
            <w:pStyle w:val="Contents3"/>
            <w:tabs>
              <w:tab w:val="clear" w:pos="8459"/>
              <w:tab w:val="right" w:pos="9026" w:leader="dot"/>
            </w:tabs>
            <w:rPr/>
          </w:pPr>
          <w:hyperlink w:anchor="__RefHeading___Toc7543455_1051229030">
            <w:r>
              <w:rPr>
                <w:webHidden/>
                <w:rStyle w:val="IndexLink"/>
                <w:rtl w:val="true"/>
              </w:rPr>
              <w:t xml:space="preserve">أصل </w:t>
            </w:r>
            <w:r>
              <w:rPr>
                <w:rStyle w:val="IndexLink"/>
                <w:rtl w:val="true"/>
              </w:rPr>
              <w:t xml:space="preserve">[ </w:t>
            </w:r>
            <w:r>
              <w:rPr>
                <w:rStyle w:val="IndexLink"/>
                <w:rtl w:val="true"/>
              </w:rPr>
              <w:t xml:space="preserve">فى صفاته تعالى عند الحكماء </w:t>
            </w:r>
            <w:r>
              <w:rPr>
                <w:rStyle w:val="IndexLink"/>
                <w:rtl w:val="true"/>
              </w:rPr>
              <w:t>]</w:t>
              <w:tab/>
            </w:r>
            <w:r>
              <w:rPr>
                <w:rStyle w:val="IndexLink"/>
              </w:rPr>
              <w:t>77</w:t>
            </w:r>
          </w:hyperlink>
        </w:p>
        <w:p>
          <w:pPr>
            <w:pStyle w:val="Contents2"/>
            <w:tabs>
              <w:tab w:val="clear" w:pos="8743"/>
              <w:tab w:val="right" w:pos="9026" w:leader="dot"/>
            </w:tabs>
            <w:rPr/>
          </w:pPr>
          <w:hyperlink w:anchor="__RefHeading___Toc7543457_1051229030">
            <w:r>
              <w:rPr>
                <w:webHidden/>
                <w:rStyle w:val="IndexLink"/>
                <w:rtl w:val="true"/>
              </w:rPr>
              <w:t>المقصد الثاني</w:t>
            </w:r>
            <w:r>
              <w:rPr>
                <w:rStyle w:val="IndexLink"/>
                <w:rtl w:val="true"/>
              </w:rPr>
              <w:t xml:space="preserve">: </w:t>
            </w:r>
            <w:r>
              <w:rPr>
                <w:rStyle w:val="IndexLink"/>
                <w:rtl w:val="true"/>
              </w:rPr>
              <w:t>فی الصفات الحلالیّة</w:t>
            </w:r>
            <w:r>
              <w:rPr>
                <w:rStyle w:val="IndexLink"/>
                <w:rtl w:val="true"/>
              </w:rPr>
              <w:tab/>
            </w:r>
            <w:r>
              <w:rPr>
                <w:rStyle w:val="IndexLink"/>
              </w:rPr>
              <w:t>79</w:t>
            </w:r>
          </w:hyperlink>
        </w:p>
        <w:p>
          <w:pPr>
            <w:pStyle w:val="Contents3"/>
            <w:tabs>
              <w:tab w:val="clear" w:pos="8459"/>
              <w:tab w:val="right" w:pos="9026" w:leader="dot"/>
            </w:tabs>
            <w:rPr/>
          </w:pPr>
          <w:hyperlink w:anchor="__RefHeading___Toc7543459_1051229030">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7543461_1051229030">
            <w:r>
              <w:rPr>
                <w:webHidden/>
                <w:rStyle w:val="IndexLink"/>
                <w:rtl w:val="true"/>
              </w:rPr>
              <w:t xml:space="preserve">أصل </w:t>
            </w:r>
            <w:r>
              <w:rPr>
                <w:rStyle w:val="IndexLink"/>
                <w:rtl w:val="true"/>
              </w:rPr>
              <w:t>[</w:t>
            </w:r>
            <w:r>
              <w:rPr>
                <w:rStyle w:val="IndexLink"/>
                <w:rtl w:val="true"/>
              </w:rPr>
              <w:t xml:space="preserve">في أنّ حقيقته تعالى غير معلومة </w:t>
            </w:r>
            <w:r>
              <w:rPr>
                <w:rStyle w:val="IndexLink"/>
                <w:rtl w:val="true"/>
              </w:rPr>
              <w:t>]</w:t>
              <w:tab/>
            </w:r>
            <w:r>
              <w:rPr>
                <w:rStyle w:val="IndexLink"/>
              </w:rPr>
              <w:t>79</w:t>
            </w:r>
          </w:hyperlink>
        </w:p>
        <w:p>
          <w:pPr>
            <w:pStyle w:val="Contents3"/>
            <w:tabs>
              <w:tab w:val="clear" w:pos="8459"/>
              <w:tab w:val="right" w:pos="9026" w:leader="dot"/>
            </w:tabs>
            <w:rPr/>
          </w:pPr>
          <w:hyperlink w:anchor="__RefHeading___Toc7543463_1051229030">
            <w:r>
              <w:rPr>
                <w:webHidden/>
                <w:rStyle w:val="IndexLink"/>
                <w:rtl w:val="true"/>
              </w:rPr>
              <w:t xml:space="preserve">أصل </w:t>
            </w:r>
            <w:r>
              <w:rPr>
                <w:rStyle w:val="IndexLink"/>
                <w:rtl w:val="true"/>
              </w:rPr>
              <w:t xml:space="preserve">[ </w:t>
            </w:r>
            <w:r>
              <w:rPr>
                <w:rStyle w:val="IndexLink"/>
                <w:rtl w:val="true"/>
              </w:rPr>
              <w:t xml:space="preserve">في أنّ حقيقته تعالى ليست مماثلة لغيره </w:t>
            </w:r>
            <w:r>
              <w:rPr>
                <w:rStyle w:val="IndexLink"/>
                <w:rtl w:val="true"/>
              </w:rPr>
              <w:t>]</w:t>
              <w:tab/>
            </w:r>
            <w:r>
              <w:rPr>
                <w:rStyle w:val="IndexLink"/>
              </w:rPr>
              <w:t>80</w:t>
            </w:r>
          </w:hyperlink>
        </w:p>
        <w:p>
          <w:pPr>
            <w:pStyle w:val="Contents3"/>
            <w:tabs>
              <w:tab w:val="clear" w:pos="8459"/>
              <w:tab w:val="right" w:pos="9026" w:leader="dot"/>
            </w:tabs>
            <w:rPr/>
          </w:pPr>
          <w:hyperlink w:anchor="__RefHeading___Toc7543465_1051229030">
            <w:r>
              <w:rPr>
                <w:webHidden/>
                <w:rStyle w:val="IndexLink"/>
                <w:rtl w:val="true"/>
              </w:rPr>
              <w:t xml:space="preserve">أصل </w:t>
            </w:r>
            <w:r>
              <w:rPr>
                <w:rStyle w:val="IndexLink"/>
                <w:rtl w:val="true"/>
              </w:rPr>
              <w:t xml:space="preserve">[ </w:t>
            </w:r>
            <w:r>
              <w:rPr>
                <w:rStyle w:val="IndexLink"/>
                <w:rtl w:val="true"/>
              </w:rPr>
              <w:t xml:space="preserve">في أنّه تعالى لا ضد له </w:t>
            </w:r>
            <w:r>
              <w:rPr>
                <w:rStyle w:val="IndexLink"/>
                <w:rtl w:val="true"/>
              </w:rPr>
              <w:t>]</w:t>
              <w:tab/>
            </w:r>
            <w:r>
              <w:rPr>
                <w:rStyle w:val="IndexLink"/>
              </w:rPr>
              <w:t>80</w:t>
            </w:r>
          </w:hyperlink>
        </w:p>
        <w:p>
          <w:pPr>
            <w:pStyle w:val="Contents3"/>
            <w:tabs>
              <w:tab w:val="clear" w:pos="8459"/>
              <w:tab w:val="right" w:pos="9026" w:leader="dot"/>
            </w:tabs>
            <w:rPr/>
          </w:pPr>
          <w:hyperlink w:anchor="__RefHeading___Toc7543467_1051229030">
            <w:r>
              <w:rPr>
                <w:webHidden/>
                <w:rStyle w:val="IndexLink"/>
                <w:rtl w:val="true"/>
              </w:rPr>
              <w:t xml:space="preserve">أصل </w:t>
            </w:r>
            <w:r>
              <w:rPr>
                <w:rStyle w:val="IndexLink"/>
                <w:rtl w:val="true"/>
              </w:rPr>
              <w:t xml:space="preserve">[ </w:t>
            </w:r>
            <w:r>
              <w:rPr>
                <w:rStyle w:val="IndexLink"/>
                <w:rtl w:val="true"/>
              </w:rPr>
              <w:t xml:space="preserve">في أنّه تعالى غير محتاج </w:t>
            </w:r>
            <w:r>
              <w:rPr>
                <w:rStyle w:val="IndexLink"/>
                <w:rtl w:val="true"/>
              </w:rPr>
              <w:t>]</w:t>
              <w:tab/>
            </w:r>
            <w:r>
              <w:rPr>
                <w:rStyle w:val="IndexLink"/>
              </w:rPr>
              <w:t>81</w:t>
            </w:r>
          </w:hyperlink>
        </w:p>
        <w:p>
          <w:pPr>
            <w:pStyle w:val="Contents3"/>
            <w:tabs>
              <w:tab w:val="clear" w:pos="8459"/>
              <w:tab w:val="right" w:pos="9026" w:leader="dot"/>
            </w:tabs>
            <w:rPr/>
          </w:pPr>
          <w:hyperlink w:anchor="__RefHeading___Toc7543469_1051229030">
            <w:r>
              <w:rPr>
                <w:webHidden/>
                <w:rStyle w:val="IndexLink"/>
                <w:rtl w:val="true"/>
              </w:rPr>
              <w:t xml:space="preserve">أصل </w:t>
            </w:r>
            <w:r>
              <w:rPr>
                <w:rStyle w:val="IndexLink"/>
                <w:rtl w:val="true"/>
              </w:rPr>
              <w:t xml:space="preserve">[ </w:t>
            </w:r>
            <w:r>
              <w:rPr>
                <w:rStyle w:val="IndexLink"/>
                <w:rtl w:val="true"/>
              </w:rPr>
              <w:t xml:space="preserve">في أنّه غير متّحد بغيره </w:t>
            </w:r>
            <w:r>
              <w:rPr>
                <w:rStyle w:val="IndexLink"/>
                <w:rtl w:val="true"/>
              </w:rPr>
              <w:t>]</w:t>
              <w:tab/>
            </w:r>
            <w:r>
              <w:rPr>
                <w:rStyle w:val="IndexLink"/>
              </w:rPr>
              <w:t>81</w:t>
            </w:r>
          </w:hyperlink>
        </w:p>
        <w:p>
          <w:pPr>
            <w:pStyle w:val="Contents3"/>
            <w:tabs>
              <w:tab w:val="clear" w:pos="8459"/>
              <w:tab w:val="right" w:pos="9026" w:leader="dot"/>
            </w:tabs>
            <w:rPr/>
          </w:pPr>
          <w:hyperlink w:anchor="__RefHeading___Toc7543471_1051229030">
            <w:r>
              <w:rPr>
                <w:webHidden/>
                <w:rStyle w:val="IndexLink"/>
                <w:rtl w:val="true"/>
              </w:rPr>
              <w:t xml:space="preserve">أصل </w:t>
            </w:r>
            <w:r>
              <w:rPr>
                <w:rStyle w:val="IndexLink"/>
                <w:rtl w:val="true"/>
              </w:rPr>
              <w:t xml:space="preserve">[ </w:t>
            </w:r>
            <w:r>
              <w:rPr>
                <w:rStyle w:val="IndexLink"/>
                <w:rtl w:val="true"/>
              </w:rPr>
              <w:t xml:space="preserve">في أنّه تعالى غير حالّ في شيء </w:t>
            </w:r>
            <w:r>
              <w:rPr>
                <w:rStyle w:val="IndexLink"/>
                <w:rtl w:val="true"/>
              </w:rPr>
              <w:t>]</w:t>
              <w:tab/>
            </w:r>
            <w:r>
              <w:rPr>
                <w:rStyle w:val="IndexLink"/>
              </w:rPr>
              <w:t>82</w:t>
            </w:r>
          </w:hyperlink>
        </w:p>
        <w:p>
          <w:pPr>
            <w:pStyle w:val="Contents3"/>
            <w:tabs>
              <w:tab w:val="clear" w:pos="8459"/>
              <w:tab w:val="right" w:pos="9026" w:leader="dot"/>
            </w:tabs>
            <w:rPr/>
          </w:pPr>
          <w:hyperlink w:anchor="__RefHeading___Toc7543473_1051229030">
            <w:r>
              <w:rPr>
                <w:webHidden/>
                <w:rStyle w:val="IndexLink"/>
                <w:rtl w:val="true"/>
              </w:rPr>
              <w:t xml:space="preserve">أصل </w:t>
            </w:r>
            <w:r>
              <w:rPr>
                <w:rStyle w:val="IndexLink"/>
                <w:rtl w:val="true"/>
              </w:rPr>
              <w:t xml:space="preserve">[ </w:t>
            </w:r>
            <w:r>
              <w:rPr>
                <w:rStyle w:val="IndexLink"/>
                <w:rtl w:val="true"/>
              </w:rPr>
              <w:t xml:space="preserve">في أنّه تعالى لا يقوم به شيء من الحوادث </w:t>
            </w:r>
            <w:r>
              <w:rPr>
                <w:rStyle w:val="IndexLink"/>
                <w:rtl w:val="true"/>
              </w:rPr>
              <w:t>]</w:t>
              <w:tab/>
            </w:r>
            <w:r>
              <w:rPr>
                <w:rStyle w:val="IndexLink"/>
              </w:rPr>
              <w:t>82</w:t>
            </w:r>
          </w:hyperlink>
        </w:p>
        <w:p>
          <w:pPr>
            <w:pStyle w:val="Contents3"/>
            <w:tabs>
              <w:tab w:val="clear" w:pos="8459"/>
              <w:tab w:val="right" w:pos="9026" w:leader="dot"/>
            </w:tabs>
            <w:rPr/>
          </w:pPr>
          <w:hyperlink w:anchor="__RefHeading___Toc7543475_1051229030">
            <w:r>
              <w:rPr>
                <w:webHidden/>
                <w:rStyle w:val="IndexLink"/>
                <w:rtl w:val="true"/>
              </w:rPr>
              <w:t xml:space="preserve">أصل </w:t>
            </w:r>
            <w:r>
              <w:rPr>
                <w:rStyle w:val="IndexLink"/>
                <w:rtl w:val="true"/>
              </w:rPr>
              <w:t xml:space="preserve">[ </w:t>
            </w:r>
            <w:r>
              <w:rPr>
                <w:rStyle w:val="IndexLink"/>
                <w:rtl w:val="true"/>
              </w:rPr>
              <w:t xml:space="preserve">في سلب الأعراض عنه تعالى </w:t>
            </w:r>
            <w:r>
              <w:rPr>
                <w:rStyle w:val="IndexLink"/>
                <w:rtl w:val="true"/>
              </w:rPr>
              <w:t>]</w:t>
              <w:tab/>
            </w:r>
            <w:r>
              <w:rPr>
                <w:rStyle w:val="IndexLink"/>
              </w:rPr>
              <w:t>82</w:t>
            </w:r>
          </w:hyperlink>
        </w:p>
        <w:p>
          <w:pPr>
            <w:pStyle w:val="Contents3"/>
            <w:tabs>
              <w:tab w:val="clear" w:pos="8459"/>
              <w:tab w:val="right" w:pos="9026" w:leader="dot"/>
            </w:tabs>
            <w:rPr/>
          </w:pPr>
          <w:hyperlink w:anchor="__RefHeading___Toc7543477_1051229030">
            <w:r>
              <w:rPr>
                <w:webHidden/>
                <w:rStyle w:val="IndexLink"/>
                <w:rtl w:val="true"/>
              </w:rPr>
              <w:t xml:space="preserve">أصل </w:t>
            </w:r>
            <w:r>
              <w:rPr>
                <w:rStyle w:val="IndexLink"/>
                <w:rtl w:val="true"/>
              </w:rPr>
              <w:t>[</w:t>
            </w:r>
            <w:r>
              <w:rPr>
                <w:rStyle w:val="IndexLink"/>
                <w:rtl w:val="true"/>
              </w:rPr>
              <w:t xml:space="preserve">في أنّه تعالى لا مكان له </w:t>
            </w:r>
            <w:r>
              <w:rPr>
                <w:rStyle w:val="IndexLink"/>
                <w:rtl w:val="true"/>
              </w:rPr>
              <w:t>]</w:t>
              <w:tab/>
            </w:r>
            <w:r>
              <w:rPr>
                <w:rStyle w:val="IndexLink"/>
              </w:rPr>
              <w:t>83</w:t>
            </w:r>
          </w:hyperlink>
        </w:p>
        <w:p>
          <w:pPr>
            <w:pStyle w:val="Contents3"/>
            <w:tabs>
              <w:tab w:val="clear" w:pos="8459"/>
              <w:tab w:val="right" w:pos="9026" w:leader="dot"/>
            </w:tabs>
            <w:rPr/>
          </w:pPr>
          <w:hyperlink w:anchor="__RefHeading___Toc7543479_1051229030">
            <w:r>
              <w:rPr>
                <w:webHidden/>
                <w:rStyle w:val="IndexLink"/>
                <w:rtl w:val="true"/>
              </w:rPr>
              <w:t xml:space="preserve">أصل </w:t>
            </w:r>
            <w:r>
              <w:rPr>
                <w:rStyle w:val="IndexLink"/>
                <w:rtl w:val="true"/>
              </w:rPr>
              <w:t xml:space="preserve">[ </w:t>
            </w:r>
            <w:r>
              <w:rPr>
                <w:rStyle w:val="IndexLink"/>
                <w:rtl w:val="true"/>
              </w:rPr>
              <w:t xml:space="preserve">فى أنّه تعالى ليس بجسم </w:t>
            </w:r>
            <w:r>
              <w:rPr>
                <w:rStyle w:val="IndexLink"/>
                <w:rtl w:val="true"/>
              </w:rPr>
              <w:t>]</w:t>
              <w:tab/>
            </w:r>
            <w:r>
              <w:rPr>
                <w:rStyle w:val="IndexLink"/>
              </w:rPr>
              <w:t>84</w:t>
            </w:r>
          </w:hyperlink>
        </w:p>
        <w:p>
          <w:pPr>
            <w:pStyle w:val="Contents3"/>
            <w:tabs>
              <w:tab w:val="clear" w:pos="8459"/>
              <w:tab w:val="right" w:pos="9026" w:leader="dot"/>
            </w:tabs>
            <w:rPr/>
          </w:pPr>
          <w:hyperlink w:anchor="__RefHeading___Toc7543481_1051229030">
            <w:r>
              <w:rPr>
                <w:webHidden/>
                <w:rStyle w:val="IndexLink"/>
                <w:rtl w:val="true"/>
              </w:rPr>
              <w:t xml:space="preserve">أصل </w:t>
            </w:r>
            <w:r>
              <w:rPr>
                <w:rStyle w:val="IndexLink"/>
                <w:rtl w:val="true"/>
              </w:rPr>
              <w:t xml:space="preserve">[ </w:t>
            </w:r>
            <w:r>
              <w:rPr>
                <w:rStyle w:val="IndexLink"/>
                <w:rtl w:val="true"/>
              </w:rPr>
              <w:t xml:space="preserve">في أنّه ليس حال في المتحيّز </w:t>
            </w:r>
            <w:r>
              <w:rPr>
                <w:rStyle w:val="IndexLink"/>
                <w:rtl w:val="true"/>
              </w:rPr>
              <w:t>]</w:t>
              <w:tab/>
            </w:r>
            <w:r>
              <w:rPr>
                <w:rStyle w:val="IndexLink"/>
              </w:rPr>
              <w:t>84</w:t>
            </w:r>
          </w:hyperlink>
        </w:p>
        <w:p>
          <w:pPr>
            <w:pStyle w:val="Contents3"/>
            <w:tabs>
              <w:tab w:val="clear" w:pos="8459"/>
              <w:tab w:val="right" w:pos="9026" w:leader="dot"/>
            </w:tabs>
            <w:rPr/>
          </w:pPr>
          <w:hyperlink w:anchor="__RefHeading___Toc7543483_1051229030">
            <w:r>
              <w:rPr>
                <w:webHidden/>
                <w:rStyle w:val="IndexLink"/>
                <w:rtl w:val="true"/>
              </w:rPr>
              <w:t xml:space="preserve">أصل </w:t>
            </w:r>
            <w:r>
              <w:rPr>
                <w:rStyle w:val="IndexLink"/>
                <w:rtl w:val="true"/>
              </w:rPr>
              <w:t xml:space="preserve">[ </w:t>
            </w:r>
            <w:r>
              <w:rPr>
                <w:rStyle w:val="IndexLink"/>
                <w:rtl w:val="true"/>
              </w:rPr>
              <w:t xml:space="preserve">فى أنّه تعالى ليس بمرئي </w:t>
            </w:r>
            <w:r>
              <w:rPr>
                <w:rStyle w:val="IndexLink"/>
                <w:rtl w:val="true"/>
              </w:rPr>
              <w:t>]</w:t>
              <w:tab/>
            </w:r>
            <w:r>
              <w:rPr>
                <w:rStyle w:val="IndexLink"/>
              </w:rPr>
              <w:t>84</w:t>
            </w:r>
          </w:hyperlink>
        </w:p>
        <w:p>
          <w:pPr>
            <w:pStyle w:val="Contents2"/>
            <w:tabs>
              <w:tab w:val="clear" w:pos="8743"/>
              <w:tab w:val="right" w:pos="9026" w:leader="dot"/>
            </w:tabs>
            <w:rPr/>
          </w:pPr>
          <w:hyperlink w:anchor="__RefHeading___Toc7543485_1051229030">
            <w:r>
              <w:rPr>
                <w:webHidden/>
                <w:rStyle w:val="IndexLink"/>
                <w:rtl w:val="true"/>
              </w:rPr>
              <w:t>المعراج الثاني في العدل</w:t>
            </w:r>
            <w:r>
              <w:rPr>
                <w:rStyle w:val="IndexLink"/>
                <w:rtl w:val="true"/>
              </w:rPr>
              <w:tab/>
            </w:r>
            <w:r>
              <w:rPr>
                <w:rStyle w:val="IndexLink"/>
              </w:rPr>
              <w:t>88</w:t>
            </w:r>
          </w:hyperlink>
        </w:p>
        <w:p>
          <w:pPr>
            <w:pStyle w:val="Contents3"/>
            <w:tabs>
              <w:tab w:val="clear" w:pos="8459"/>
              <w:tab w:val="right" w:pos="9026" w:leader="dot"/>
            </w:tabs>
            <w:rPr/>
          </w:pPr>
          <w:hyperlink w:anchor="__RefHeading___Toc7543487_105122903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7543489_1051229030">
            <w:r>
              <w:rPr>
                <w:webHidden/>
                <w:rStyle w:val="IndexLink"/>
                <w:rtl w:val="true"/>
              </w:rPr>
              <w:t xml:space="preserve">أصل </w:t>
            </w:r>
            <w:r>
              <w:rPr>
                <w:rStyle w:val="IndexLink"/>
                <w:rtl w:val="true"/>
              </w:rPr>
              <w:t xml:space="preserve">[ </w:t>
            </w:r>
            <w:r>
              <w:rPr>
                <w:rStyle w:val="IndexLink"/>
                <w:rtl w:val="true"/>
              </w:rPr>
              <w:t xml:space="preserve">في تقسيم الفعل </w:t>
            </w:r>
            <w:r>
              <w:rPr>
                <w:rStyle w:val="IndexLink"/>
                <w:rtl w:val="true"/>
              </w:rPr>
              <w:t>]</w:t>
              <w:tab/>
            </w:r>
            <w:r>
              <w:rPr>
                <w:rStyle w:val="IndexLink"/>
              </w:rPr>
              <w:t>90</w:t>
            </w:r>
          </w:hyperlink>
        </w:p>
        <w:p>
          <w:pPr>
            <w:pStyle w:val="Contents3"/>
            <w:tabs>
              <w:tab w:val="clear" w:pos="8459"/>
              <w:tab w:val="right" w:pos="9026" w:leader="dot"/>
            </w:tabs>
            <w:rPr/>
          </w:pPr>
          <w:hyperlink w:anchor="__RefHeading___Toc7543491_1051229030">
            <w:r>
              <w:rPr>
                <w:webHidden/>
                <w:rStyle w:val="IndexLink"/>
                <w:rtl w:val="true"/>
              </w:rPr>
              <w:t xml:space="preserve">أصل </w:t>
            </w:r>
            <w:r>
              <w:rPr>
                <w:rStyle w:val="IndexLink"/>
                <w:rtl w:val="true"/>
              </w:rPr>
              <w:t xml:space="preserve">[ </w:t>
            </w:r>
            <w:r>
              <w:rPr>
                <w:rStyle w:val="IndexLink"/>
                <w:rtl w:val="true"/>
              </w:rPr>
              <w:t xml:space="preserve">في الحسن و القبح </w:t>
            </w:r>
            <w:r>
              <w:rPr>
                <w:rStyle w:val="IndexLink"/>
                <w:rtl w:val="true"/>
              </w:rPr>
              <w:t>]</w:t>
              <w:tab/>
            </w:r>
            <w:r>
              <w:rPr>
                <w:rStyle w:val="IndexLink"/>
              </w:rPr>
              <w:t>90</w:t>
            </w:r>
          </w:hyperlink>
        </w:p>
        <w:p>
          <w:pPr>
            <w:pStyle w:val="Contents3"/>
            <w:tabs>
              <w:tab w:val="clear" w:pos="8459"/>
              <w:tab w:val="right" w:pos="9026" w:leader="dot"/>
            </w:tabs>
            <w:rPr/>
          </w:pPr>
          <w:hyperlink w:anchor="__RefHeading___Toc7543493_1051229030">
            <w:r>
              <w:rPr>
                <w:webHidden/>
                <w:rStyle w:val="IndexLink"/>
                <w:rtl w:val="true"/>
              </w:rPr>
              <w:t xml:space="preserve">أصل </w:t>
            </w:r>
            <w:r>
              <w:rPr>
                <w:rStyle w:val="IndexLink"/>
                <w:rtl w:val="true"/>
              </w:rPr>
              <w:t xml:space="preserve">[ </w:t>
            </w:r>
            <w:r>
              <w:rPr>
                <w:rStyle w:val="IndexLink"/>
                <w:rtl w:val="true"/>
              </w:rPr>
              <w:t xml:space="preserve">في أفعال العباد </w:t>
            </w:r>
            <w:r>
              <w:rPr>
                <w:rStyle w:val="IndexLink"/>
                <w:rtl w:val="true"/>
              </w:rPr>
              <w:t>]</w:t>
              <w:tab/>
            </w:r>
            <w:r>
              <w:rPr>
                <w:rStyle w:val="IndexLink"/>
              </w:rPr>
              <w:t>92</w:t>
            </w:r>
          </w:hyperlink>
        </w:p>
        <w:p>
          <w:pPr>
            <w:pStyle w:val="Contents3"/>
            <w:tabs>
              <w:tab w:val="clear" w:pos="8459"/>
              <w:tab w:val="right" w:pos="9026" w:leader="dot"/>
            </w:tabs>
            <w:rPr/>
          </w:pPr>
          <w:hyperlink w:anchor="__RefHeading___Toc7543495_1051229030">
            <w:r>
              <w:rPr>
                <w:webHidden/>
                <w:rStyle w:val="IndexLink"/>
                <w:rtl w:val="true"/>
              </w:rPr>
              <w:t xml:space="preserve">أصل </w:t>
            </w:r>
            <w:r>
              <w:rPr>
                <w:rStyle w:val="IndexLink"/>
                <w:rtl w:val="true"/>
              </w:rPr>
              <w:t xml:space="preserve">[ </w:t>
            </w:r>
            <w:r>
              <w:rPr>
                <w:rStyle w:val="IndexLink"/>
                <w:rtl w:val="true"/>
              </w:rPr>
              <w:t xml:space="preserve">في القضاء والقدر </w:t>
            </w:r>
            <w:r>
              <w:rPr>
                <w:rStyle w:val="IndexLink"/>
                <w:rtl w:val="true"/>
              </w:rPr>
              <w:t>]</w:t>
              <w:tab/>
            </w:r>
            <w:r>
              <w:rPr>
                <w:rStyle w:val="IndexLink"/>
              </w:rPr>
              <w:t>94</w:t>
            </w:r>
          </w:hyperlink>
        </w:p>
        <w:p>
          <w:pPr>
            <w:pStyle w:val="Contents3"/>
            <w:tabs>
              <w:tab w:val="clear" w:pos="8459"/>
              <w:tab w:val="right" w:pos="9026" w:leader="dot"/>
            </w:tabs>
            <w:rPr/>
          </w:pPr>
          <w:hyperlink w:anchor="__RefHeading___Toc7543497_1051229030">
            <w:r>
              <w:rPr>
                <w:webHidden/>
                <w:rStyle w:val="IndexLink"/>
                <w:rtl w:val="true"/>
              </w:rPr>
              <w:t xml:space="preserve">أصل </w:t>
            </w:r>
            <w:r>
              <w:rPr>
                <w:rStyle w:val="IndexLink"/>
                <w:rtl w:val="true"/>
              </w:rPr>
              <w:t xml:space="preserve">[ </w:t>
            </w:r>
            <w:r>
              <w:rPr>
                <w:rStyle w:val="IndexLink"/>
                <w:rtl w:val="true"/>
              </w:rPr>
              <w:t xml:space="preserve">الهداية والضلال </w:t>
            </w:r>
            <w:r>
              <w:rPr>
                <w:rStyle w:val="IndexLink"/>
                <w:rtl w:val="true"/>
              </w:rPr>
              <w:t>]</w:t>
              <w:tab/>
            </w:r>
            <w:r>
              <w:rPr>
                <w:rStyle w:val="IndexLink"/>
              </w:rPr>
              <w:t>95</w:t>
            </w:r>
          </w:hyperlink>
        </w:p>
        <w:p>
          <w:pPr>
            <w:pStyle w:val="Contents3"/>
            <w:tabs>
              <w:tab w:val="clear" w:pos="8459"/>
              <w:tab w:val="right" w:pos="9026" w:leader="dot"/>
            </w:tabs>
            <w:rPr/>
          </w:pPr>
          <w:hyperlink w:anchor="__RefHeading___Toc7543499_1051229030">
            <w:r>
              <w:rPr>
                <w:webHidden/>
                <w:rStyle w:val="IndexLink"/>
                <w:rtl w:val="true"/>
              </w:rPr>
              <w:t xml:space="preserve">أصل </w:t>
            </w:r>
            <w:r>
              <w:rPr>
                <w:rStyle w:val="IndexLink"/>
                <w:rtl w:val="true"/>
              </w:rPr>
              <w:t xml:space="preserve">[ </w:t>
            </w:r>
            <w:r>
              <w:rPr>
                <w:rStyle w:val="IndexLink"/>
                <w:rtl w:val="true"/>
              </w:rPr>
              <w:t xml:space="preserve">في أنه تعالى لا يفعل القبيح </w:t>
            </w:r>
            <w:r>
              <w:rPr>
                <w:rStyle w:val="IndexLink"/>
                <w:rtl w:val="true"/>
              </w:rPr>
              <w:t>]</w:t>
              <w:tab/>
            </w:r>
            <w:r>
              <w:rPr>
                <w:rStyle w:val="IndexLink"/>
              </w:rPr>
              <w:t>96</w:t>
            </w:r>
          </w:hyperlink>
        </w:p>
        <w:p>
          <w:pPr>
            <w:pStyle w:val="Contents3"/>
            <w:tabs>
              <w:tab w:val="clear" w:pos="8459"/>
              <w:tab w:val="right" w:pos="9026" w:leader="dot"/>
            </w:tabs>
            <w:rPr/>
          </w:pPr>
          <w:hyperlink w:anchor="__RefHeading___Toc7543501_1051229030">
            <w:r>
              <w:rPr>
                <w:webHidden/>
                <w:rStyle w:val="IndexLink"/>
                <w:rtl w:val="true"/>
              </w:rPr>
              <w:t xml:space="preserve">أصل </w:t>
            </w:r>
            <w:r>
              <w:rPr>
                <w:rStyle w:val="IndexLink"/>
                <w:rtl w:val="true"/>
              </w:rPr>
              <w:t xml:space="preserve">[ </w:t>
            </w:r>
            <w:r>
              <w:rPr>
                <w:rStyle w:val="IndexLink"/>
                <w:rtl w:val="true"/>
              </w:rPr>
              <w:t xml:space="preserve">في أنّ إرادة القبيح قبيحة </w:t>
            </w:r>
            <w:r>
              <w:rPr>
                <w:rStyle w:val="IndexLink"/>
                <w:rtl w:val="true"/>
              </w:rPr>
              <w:t>]</w:t>
              <w:tab/>
            </w:r>
            <w:r>
              <w:rPr>
                <w:rStyle w:val="IndexLink"/>
              </w:rPr>
              <w:t>96</w:t>
            </w:r>
          </w:hyperlink>
        </w:p>
        <w:p>
          <w:pPr>
            <w:pStyle w:val="Contents3"/>
            <w:tabs>
              <w:tab w:val="clear" w:pos="8459"/>
              <w:tab w:val="right" w:pos="9026" w:leader="dot"/>
            </w:tabs>
            <w:rPr/>
          </w:pPr>
          <w:hyperlink w:anchor="__RefHeading___Toc7543503_1051229030">
            <w:r>
              <w:rPr>
                <w:webHidden/>
                <w:rStyle w:val="IndexLink"/>
                <w:rtl w:val="true"/>
              </w:rPr>
              <w:t xml:space="preserve">أصل </w:t>
            </w:r>
            <w:r>
              <w:rPr>
                <w:rStyle w:val="IndexLink"/>
                <w:rtl w:val="true"/>
              </w:rPr>
              <w:t xml:space="preserve">[ </w:t>
            </w:r>
            <w:r>
              <w:rPr>
                <w:rStyle w:val="IndexLink"/>
                <w:rtl w:val="true"/>
              </w:rPr>
              <w:t xml:space="preserve">فى التكليف </w:t>
            </w:r>
            <w:r>
              <w:rPr>
                <w:rStyle w:val="IndexLink"/>
                <w:rtl w:val="true"/>
              </w:rPr>
              <w:t>]</w:t>
              <w:tab/>
            </w:r>
            <w:r>
              <w:rPr>
                <w:rStyle w:val="IndexLink"/>
              </w:rPr>
              <w:t>97</w:t>
            </w:r>
          </w:hyperlink>
        </w:p>
        <w:p>
          <w:pPr>
            <w:pStyle w:val="Contents3"/>
            <w:tabs>
              <w:tab w:val="clear" w:pos="8459"/>
              <w:tab w:val="right" w:pos="9026" w:leader="dot"/>
            </w:tabs>
            <w:rPr/>
          </w:pPr>
          <w:hyperlink w:anchor="__RefHeading___Toc7543505_1051229030">
            <w:r>
              <w:rPr>
                <w:webHidden/>
                <w:rStyle w:val="IndexLink"/>
                <w:rtl w:val="true"/>
              </w:rPr>
              <w:t xml:space="preserve">أصل </w:t>
            </w:r>
            <w:r>
              <w:rPr>
                <w:rStyle w:val="IndexLink"/>
                <w:rtl w:val="true"/>
              </w:rPr>
              <w:t xml:space="preserve">[ </w:t>
            </w:r>
            <w:r>
              <w:rPr>
                <w:rStyle w:val="IndexLink"/>
                <w:rtl w:val="true"/>
              </w:rPr>
              <w:t xml:space="preserve">في أقسام التكليف </w:t>
            </w:r>
            <w:r>
              <w:rPr>
                <w:rStyle w:val="IndexLink"/>
                <w:rtl w:val="true"/>
              </w:rPr>
              <w:t>]</w:t>
              <w:tab/>
            </w:r>
            <w:r>
              <w:rPr>
                <w:rStyle w:val="IndexLink"/>
              </w:rPr>
              <w:t>97</w:t>
            </w:r>
          </w:hyperlink>
        </w:p>
        <w:p>
          <w:pPr>
            <w:pStyle w:val="Contents3"/>
            <w:tabs>
              <w:tab w:val="clear" w:pos="8459"/>
              <w:tab w:val="right" w:pos="9026" w:leader="dot"/>
            </w:tabs>
            <w:rPr/>
          </w:pPr>
          <w:hyperlink w:anchor="__RefHeading___Toc7543507_1051229030">
            <w:r>
              <w:rPr>
                <w:webHidden/>
                <w:rStyle w:val="IndexLink"/>
                <w:rtl w:val="true"/>
              </w:rPr>
              <w:t xml:space="preserve">أصل </w:t>
            </w:r>
            <w:r>
              <w:rPr>
                <w:rStyle w:val="IndexLink"/>
                <w:rtl w:val="true"/>
              </w:rPr>
              <w:t xml:space="preserve">[ </w:t>
            </w:r>
            <w:r>
              <w:rPr>
                <w:rStyle w:val="IndexLink"/>
                <w:rtl w:val="true"/>
              </w:rPr>
              <w:t xml:space="preserve">في شرائط التكليف </w:t>
            </w:r>
            <w:r>
              <w:rPr>
                <w:rStyle w:val="IndexLink"/>
                <w:rtl w:val="true"/>
              </w:rPr>
              <w:t>]</w:t>
              <w:tab/>
            </w:r>
            <w:r>
              <w:rPr>
                <w:rStyle w:val="IndexLink"/>
              </w:rPr>
              <w:t>97</w:t>
            </w:r>
          </w:hyperlink>
        </w:p>
        <w:p>
          <w:pPr>
            <w:pStyle w:val="Contents3"/>
            <w:tabs>
              <w:tab w:val="clear" w:pos="8459"/>
              <w:tab w:val="right" w:pos="9026" w:leader="dot"/>
            </w:tabs>
            <w:rPr/>
          </w:pPr>
          <w:hyperlink w:anchor="__RefHeading___Toc7543509_1051229030">
            <w:r>
              <w:rPr>
                <w:webHidden/>
                <w:rStyle w:val="IndexLink"/>
                <w:rtl w:val="true"/>
              </w:rPr>
              <w:t xml:space="preserve">أصل </w:t>
            </w:r>
            <w:r>
              <w:rPr>
                <w:rStyle w:val="IndexLink"/>
                <w:rtl w:val="true"/>
              </w:rPr>
              <w:t xml:space="preserve">[ </w:t>
            </w:r>
            <w:r>
              <w:rPr>
                <w:rStyle w:val="IndexLink"/>
                <w:rtl w:val="true"/>
              </w:rPr>
              <w:t xml:space="preserve">في حسن التكليف </w:t>
            </w:r>
            <w:r>
              <w:rPr>
                <w:rStyle w:val="IndexLink"/>
                <w:rtl w:val="true"/>
              </w:rPr>
              <w:t>]</w:t>
              <w:tab/>
            </w:r>
            <w:r>
              <w:rPr>
                <w:rStyle w:val="IndexLink"/>
              </w:rPr>
              <w:t>98</w:t>
            </w:r>
          </w:hyperlink>
        </w:p>
        <w:p>
          <w:pPr>
            <w:pStyle w:val="Contents3"/>
            <w:tabs>
              <w:tab w:val="clear" w:pos="8459"/>
              <w:tab w:val="right" w:pos="9026" w:leader="dot"/>
            </w:tabs>
            <w:rPr/>
          </w:pPr>
          <w:hyperlink w:anchor="__RefHeading___Toc7543511_1051229030">
            <w:r>
              <w:rPr>
                <w:webHidden/>
                <w:rStyle w:val="IndexLink"/>
                <w:rtl w:val="true"/>
              </w:rPr>
              <w:t xml:space="preserve">أصل </w:t>
            </w:r>
            <w:r>
              <w:rPr>
                <w:rStyle w:val="IndexLink"/>
                <w:rtl w:val="true"/>
              </w:rPr>
              <w:t xml:space="preserve">[ </w:t>
            </w:r>
            <w:r>
              <w:rPr>
                <w:rStyle w:val="IndexLink"/>
                <w:rtl w:val="true"/>
              </w:rPr>
              <w:t xml:space="preserve">في عموم التكليف </w:t>
            </w:r>
            <w:r>
              <w:rPr>
                <w:rStyle w:val="IndexLink"/>
                <w:rtl w:val="true"/>
              </w:rPr>
              <w:t>]</w:t>
              <w:tab/>
            </w:r>
            <w:r>
              <w:rPr>
                <w:rStyle w:val="IndexLink"/>
              </w:rPr>
              <w:t>99</w:t>
            </w:r>
          </w:hyperlink>
        </w:p>
        <w:p>
          <w:pPr>
            <w:pStyle w:val="Contents3"/>
            <w:tabs>
              <w:tab w:val="clear" w:pos="8459"/>
              <w:tab w:val="right" w:pos="9026" w:leader="dot"/>
            </w:tabs>
            <w:rPr/>
          </w:pPr>
          <w:hyperlink w:anchor="__RefHeading___Toc7543513_1051229030">
            <w:r>
              <w:rPr>
                <w:webHidden/>
                <w:rStyle w:val="IndexLink"/>
                <w:rtl w:val="true"/>
              </w:rPr>
              <w:t xml:space="preserve">أصل </w:t>
            </w:r>
            <w:r>
              <w:rPr>
                <w:rStyle w:val="IndexLink"/>
                <w:rtl w:val="true"/>
              </w:rPr>
              <w:t xml:space="preserve">[ </w:t>
            </w:r>
            <w:r>
              <w:rPr>
                <w:rStyle w:val="IndexLink"/>
                <w:rtl w:val="true"/>
              </w:rPr>
              <w:t xml:space="preserve">في انقطاع التكليف </w:t>
            </w:r>
            <w:r>
              <w:rPr>
                <w:rStyle w:val="IndexLink"/>
                <w:rtl w:val="true"/>
              </w:rPr>
              <w:t>]</w:t>
              <w:tab/>
            </w:r>
            <w:r>
              <w:rPr>
                <w:rStyle w:val="IndexLink"/>
              </w:rPr>
              <w:t>100</w:t>
            </w:r>
          </w:hyperlink>
        </w:p>
        <w:p>
          <w:pPr>
            <w:pStyle w:val="Contents3"/>
            <w:tabs>
              <w:tab w:val="clear" w:pos="8459"/>
              <w:tab w:val="right" w:pos="9026" w:leader="dot"/>
            </w:tabs>
            <w:rPr/>
          </w:pPr>
          <w:hyperlink w:anchor="__RefHeading___Toc7543515_1051229030">
            <w:r>
              <w:rPr>
                <w:webHidden/>
                <w:rStyle w:val="IndexLink"/>
                <w:rtl w:val="true"/>
              </w:rPr>
              <w:t xml:space="preserve">أصل </w:t>
            </w:r>
            <w:r>
              <w:rPr>
                <w:rStyle w:val="IndexLink"/>
                <w:rtl w:val="true"/>
              </w:rPr>
              <w:t xml:space="preserve">[ </w:t>
            </w:r>
            <w:r>
              <w:rPr>
                <w:rStyle w:val="IndexLink"/>
                <w:rtl w:val="true"/>
              </w:rPr>
              <w:t xml:space="preserve">في اللُّطف </w:t>
            </w:r>
            <w:r>
              <w:rPr>
                <w:rStyle w:val="IndexLink"/>
                <w:rtl w:val="true"/>
              </w:rPr>
              <w:t>]</w:t>
              <w:tab/>
            </w:r>
            <w:r>
              <w:rPr>
                <w:rStyle w:val="IndexLink"/>
              </w:rPr>
              <w:t>100</w:t>
            </w:r>
          </w:hyperlink>
        </w:p>
        <w:p>
          <w:pPr>
            <w:pStyle w:val="Contents3"/>
            <w:tabs>
              <w:tab w:val="clear" w:pos="8459"/>
              <w:tab w:val="right" w:pos="9026" w:leader="dot"/>
            </w:tabs>
            <w:rPr/>
          </w:pPr>
          <w:hyperlink w:anchor="__RefHeading___Toc7543517_1051229030">
            <w:r>
              <w:rPr>
                <w:webHidden/>
                <w:rStyle w:val="IndexLink"/>
                <w:rtl w:val="true"/>
              </w:rPr>
              <w:t xml:space="preserve">أصل </w:t>
            </w:r>
            <w:r>
              <w:rPr>
                <w:rStyle w:val="IndexLink"/>
                <w:rtl w:val="true"/>
              </w:rPr>
              <w:t xml:space="preserve">[ </w:t>
            </w:r>
            <w:r>
              <w:rPr>
                <w:rStyle w:val="IndexLink"/>
                <w:rtl w:val="true"/>
              </w:rPr>
              <w:t xml:space="preserve">في أنواع اللطف </w:t>
            </w:r>
            <w:r>
              <w:rPr>
                <w:rStyle w:val="IndexLink"/>
                <w:rtl w:val="true"/>
              </w:rPr>
              <w:t>]</w:t>
              <w:tab/>
            </w:r>
            <w:r>
              <w:rPr>
                <w:rStyle w:val="IndexLink"/>
              </w:rPr>
              <w:t>101</w:t>
            </w:r>
          </w:hyperlink>
        </w:p>
        <w:p>
          <w:pPr>
            <w:pStyle w:val="Contents3"/>
            <w:tabs>
              <w:tab w:val="clear" w:pos="8459"/>
              <w:tab w:val="right" w:pos="9026" w:leader="dot"/>
            </w:tabs>
            <w:rPr/>
          </w:pPr>
          <w:hyperlink w:anchor="__RefHeading___Toc7543519_1051229030">
            <w:r>
              <w:rPr>
                <w:webHidden/>
                <w:rStyle w:val="IndexLink"/>
                <w:rtl w:val="true"/>
              </w:rPr>
              <w:t xml:space="preserve">أصل </w:t>
            </w:r>
            <w:r>
              <w:rPr>
                <w:rStyle w:val="IndexLink"/>
                <w:rtl w:val="true"/>
              </w:rPr>
              <w:t xml:space="preserve">[ </w:t>
            </w:r>
            <w:r>
              <w:rPr>
                <w:rStyle w:val="IndexLink"/>
                <w:rtl w:val="true"/>
              </w:rPr>
              <w:t xml:space="preserve">في أنّ اللطف للمسلم والكافر </w:t>
            </w:r>
            <w:r>
              <w:rPr>
                <w:rStyle w:val="IndexLink"/>
                <w:rtl w:val="true"/>
              </w:rPr>
              <w:t>]</w:t>
              <w:tab/>
            </w:r>
            <w:r>
              <w:rPr>
                <w:rStyle w:val="IndexLink"/>
              </w:rPr>
              <w:t>101</w:t>
            </w:r>
          </w:hyperlink>
        </w:p>
        <w:p>
          <w:pPr>
            <w:pStyle w:val="Contents3"/>
            <w:tabs>
              <w:tab w:val="clear" w:pos="8459"/>
              <w:tab w:val="right" w:pos="9026" w:leader="dot"/>
            </w:tabs>
            <w:rPr/>
          </w:pPr>
          <w:hyperlink w:anchor="__RefHeading___Toc7543521_1051229030">
            <w:r>
              <w:rPr>
                <w:webHidden/>
                <w:rStyle w:val="IndexLink"/>
                <w:rtl w:val="true"/>
              </w:rPr>
              <w:t xml:space="preserve">أصل </w:t>
            </w:r>
            <w:r>
              <w:rPr>
                <w:rStyle w:val="IndexLink"/>
                <w:rtl w:val="true"/>
              </w:rPr>
              <w:t xml:space="preserve">[ </w:t>
            </w:r>
            <w:r>
              <w:rPr>
                <w:rStyle w:val="IndexLink"/>
                <w:rtl w:val="true"/>
              </w:rPr>
              <w:t xml:space="preserve">فى الامر بالمعروف والنهي عن المنكر </w:t>
            </w:r>
            <w:r>
              <w:rPr>
                <w:rStyle w:val="IndexLink"/>
                <w:rtl w:val="true"/>
              </w:rPr>
              <w:t>]</w:t>
              <w:tab/>
            </w:r>
            <w:r>
              <w:rPr>
                <w:rStyle w:val="IndexLink"/>
              </w:rPr>
              <w:t>102</w:t>
            </w:r>
          </w:hyperlink>
        </w:p>
        <w:p>
          <w:pPr>
            <w:pStyle w:val="Contents3"/>
            <w:tabs>
              <w:tab w:val="clear" w:pos="8459"/>
              <w:tab w:val="right" w:pos="9026" w:leader="dot"/>
            </w:tabs>
            <w:rPr/>
          </w:pPr>
          <w:hyperlink w:anchor="__RefHeading___Toc7543523_1051229030">
            <w:r>
              <w:rPr>
                <w:webHidden/>
                <w:rStyle w:val="IndexLink"/>
                <w:rtl w:val="true"/>
              </w:rPr>
              <w:t xml:space="preserve">اصل </w:t>
            </w:r>
            <w:r>
              <w:rPr>
                <w:rStyle w:val="IndexLink"/>
                <w:rtl w:val="true"/>
              </w:rPr>
              <w:t xml:space="preserve">[ </w:t>
            </w:r>
            <w:r>
              <w:rPr>
                <w:rStyle w:val="IndexLink"/>
                <w:rtl w:val="true"/>
              </w:rPr>
              <w:t xml:space="preserve">في الرزق </w:t>
            </w:r>
            <w:r>
              <w:rPr>
                <w:rStyle w:val="IndexLink"/>
                <w:rtl w:val="true"/>
              </w:rPr>
              <w:t>]</w:t>
              <w:tab/>
            </w:r>
            <w:r>
              <w:rPr>
                <w:rStyle w:val="IndexLink"/>
              </w:rPr>
              <w:t>102</w:t>
            </w:r>
          </w:hyperlink>
        </w:p>
        <w:p>
          <w:pPr>
            <w:pStyle w:val="Contents3"/>
            <w:tabs>
              <w:tab w:val="clear" w:pos="8459"/>
              <w:tab w:val="right" w:pos="9026" w:leader="dot"/>
            </w:tabs>
            <w:rPr/>
          </w:pPr>
          <w:hyperlink w:anchor="__RefHeading___Toc7543525_1051229030">
            <w:r>
              <w:rPr>
                <w:webHidden/>
                <w:rStyle w:val="IndexLink"/>
                <w:rtl w:val="true"/>
              </w:rPr>
              <w:t xml:space="preserve">أصل </w:t>
            </w:r>
            <w:r>
              <w:rPr>
                <w:rStyle w:val="IndexLink"/>
                <w:rtl w:val="true"/>
              </w:rPr>
              <w:t xml:space="preserve">[ </w:t>
            </w:r>
            <w:r>
              <w:rPr>
                <w:rStyle w:val="IndexLink"/>
                <w:rtl w:val="true"/>
              </w:rPr>
              <w:t xml:space="preserve">في الأسعار </w:t>
            </w:r>
            <w:r>
              <w:rPr>
                <w:rStyle w:val="IndexLink"/>
                <w:rtl w:val="true"/>
              </w:rPr>
              <w:t>]</w:t>
              <w:tab/>
            </w:r>
            <w:r>
              <w:rPr>
                <w:rStyle w:val="IndexLink"/>
              </w:rPr>
              <w:t>103</w:t>
            </w:r>
          </w:hyperlink>
        </w:p>
        <w:p>
          <w:pPr>
            <w:pStyle w:val="Contents3"/>
            <w:tabs>
              <w:tab w:val="clear" w:pos="8459"/>
              <w:tab w:val="right" w:pos="9026" w:leader="dot"/>
            </w:tabs>
            <w:rPr/>
          </w:pPr>
          <w:hyperlink w:anchor="__RefHeading___Toc7543527_1051229030">
            <w:r>
              <w:rPr>
                <w:webHidden/>
                <w:rStyle w:val="IndexLink"/>
                <w:rtl w:val="true"/>
              </w:rPr>
              <w:t xml:space="preserve">أصل </w:t>
            </w:r>
            <w:r>
              <w:rPr>
                <w:rStyle w:val="IndexLink"/>
                <w:rtl w:val="true"/>
              </w:rPr>
              <w:t xml:space="preserve">[ </w:t>
            </w:r>
            <w:r>
              <w:rPr>
                <w:rStyle w:val="IndexLink"/>
                <w:rtl w:val="true"/>
              </w:rPr>
              <w:t xml:space="preserve">في الأَجَل </w:t>
            </w:r>
            <w:r>
              <w:rPr>
                <w:rStyle w:val="IndexLink"/>
                <w:rtl w:val="true"/>
              </w:rPr>
              <w:t>]</w:t>
              <w:tab/>
            </w:r>
            <w:r>
              <w:rPr>
                <w:rStyle w:val="IndexLink"/>
              </w:rPr>
              <w:t>103</w:t>
            </w:r>
          </w:hyperlink>
        </w:p>
        <w:p>
          <w:pPr>
            <w:pStyle w:val="Contents3"/>
            <w:tabs>
              <w:tab w:val="clear" w:pos="8459"/>
              <w:tab w:val="right" w:pos="9026" w:leader="dot"/>
            </w:tabs>
            <w:rPr/>
          </w:pPr>
          <w:hyperlink w:anchor="__RefHeading___Toc7543529_1051229030">
            <w:r>
              <w:rPr>
                <w:webHidden/>
                <w:rStyle w:val="IndexLink"/>
                <w:rtl w:val="true"/>
              </w:rPr>
              <w:t xml:space="preserve">أصل </w:t>
            </w:r>
            <w:r>
              <w:rPr>
                <w:rStyle w:val="IndexLink"/>
                <w:rtl w:val="true"/>
              </w:rPr>
              <w:t xml:space="preserve">[ </w:t>
            </w:r>
            <w:r>
              <w:rPr>
                <w:rStyle w:val="IndexLink"/>
                <w:rtl w:val="true"/>
              </w:rPr>
              <w:t xml:space="preserve">في العوض </w:t>
            </w:r>
            <w:r>
              <w:rPr>
                <w:rStyle w:val="IndexLink"/>
                <w:rtl w:val="true"/>
              </w:rPr>
              <w:t>]</w:t>
              <w:tab/>
            </w:r>
            <w:r>
              <w:rPr>
                <w:rStyle w:val="IndexLink"/>
              </w:rPr>
              <w:t>105</w:t>
            </w:r>
          </w:hyperlink>
        </w:p>
        <w:p>
          <w:pPr>
            <w:pStyle w:val="Contents3"/>
            <w:tabs>
              <w:tab w:val="clear" w:pos="8459"/>
              <w:tab w:val="right" w:pos="9026" w:leader="dot"/>
            </w:tabs>
            <w:rPr/>
          </w:pPr>
          <w:hyperlink w:anchor="__RefHeading___Toc7543531_1051229030">
            <w:r>
              <w:rPr>
                <w:webHidden/>
                <w:rStyle w:val="IndexLink"/>
                <w:rtl w:val="true"/>
              </w:rPr>
              <w:t xml:space="preserve">أصل </w:t>
            </w:r>
            <w:r>
              <w:rPr>
                <w:rStyle w:val="IndexLink"/>
                <w:rtl w:val="true"/>
              </w:rPr>
              <w:t xml:space="preserve">[ </w:t>
            </w:r>
            <w:r>
              <w:rPr>
                <w:rStyle w:val="IndexLink"/>
                <w:rtl w:val="true"/>
              </w:rPr>
              <w:t xml:space="preserve">في الألم </w:t>
            </w:r>
            <w:r>
              <w:rPr>
                <w:rStyle w:val="IndexLink"/>
                <w:rtl w:val="true"/>
              </w:rPr>
              <w:t>]</w:t>
              <w:tab/>
            </w:r>
            <w:r>
              <w:rPr>
                <w:rStyle w:val="IndexLink"/>
              </w:rPr>
              <w:t>106</w:t>
            </w:r>
          </w:hyperlink>
        </w:p>
        <w:p>
          <w:pPr>
            <w:pStyle w:val="Contents3"/>
            <w:tabs>
              <w:tab w:val="clear" w:pos="8459"/>
              <w:tab w:val="right" w:pos="9026" w:leader="dot"/>
            </w:tabs>
            <w:rPr/>
          </w:pPr>
          <w:hyperlink w:anchor="__RefHeading___Toc7543533_1051229030">
            <w:r>
              <w:rPr>
                <w:webHidden/>
                <w:rStyle w:val="IndexLink"/>
                <w:rtl w:val="true"/>
              </w:rPr>
              <w:t xml:space="preserve">أصل </w:t>
            </w:r>
            <w:r>
              <w:rPr>
                <w:rStyle w:val="IndexLink"/>
                <w:rtl w:val="true"/>
              </w:rPr>
              <w:t xml:space="preserve">[ </w:t>
            </w:r>
            <w:r>
              <w:rPr>
                <w:rStyle w:val="IndexLink"/>
                <w:rtl w:val="true"/>
              </w:rPr>
              <w:t xml:space="preserve">في الانتصاف للمظلوم </w:t>
            </w:r>
            <w:r>
              <w:rPr>
                <w:rStyle w:val="IndexLink"/>
                <w:rtl w:val="true"/>
              </w:rPr>
              <w:t>]</w:t>
              <w:tab/>
            </w:r>
            <w:r>
              <w:rPr>
                <w:rStyle w:val="IndexLink"/>
              </w:rPr>
              <w:t>107</w:t>
            </w:r>
          </w:hyperlink>
        </w:p>
        <w:p>
          <w:pPr>
            <w:pStyle w:val="Contents3"/>
            <w:tabs>
              <w:tab w:val="clear" w:pos="8459"/>
              <w:tab w:val="right" w:pos="9026" w:leader="dot"/>
            </w:tabs>
            <w:rPr/>
          </w:pPr>
          <w:hyperlink w:anchor="__RefHeading___Toc7543535_1051229030">
            <w:r>
              <w:rPr>
                <w:webHidden/>
                <w:rStyle w:val="IndexLink"/>
                <w:rtl w:val="true"/>
              </w:rPr>
              <w:t xml:space="preserve">أصل </w:t>
            </w:r>
            <w:r>
              <w:rPr>
                <w:rStyle w:val="IndexLink"/>
                <w:rtl w:val="true"/>
              </w:rPr>
              <w:t xml:space="preserve">[ </w:t>
            </w:r>
            <w:r>
              <w:rPr>
                <w:rStyle w:val="IndexLink"/>
                <w:rtl w:val="true"/>
              </w:rPr>
              <w:t xml:space="preserve">في دوام العوض </w:t>
            </w:r>
            <w:r>
              <w:rPr>
                <w:rStyle w:val="IndexLink"/>
                <w:rtl w:val="true"/>
              </w:rPr>
              <w:t>]</w:t>
              <w:tab/>
            </w:r>
            <w:r>
              <w:rPr>
                <w:rStyle w:val="IndexLink"/>
              </w:rPr>
              <w:t>108</w:t>
            </w:r>
          </w:hyperlink>
        </w:p>
        <w:p>
          <w:pPr>
            <w:pStyle w:val="Contents3"/>
            <w:tabs>
              <w:tab w:val="clear" w:pos="8459"/>
              <w:tab w:val="right" w:pos="9026" w:leader="dot"/>
            </w:tabs>
            <w:rPr/>
          </w:pPr>
          <w:hyperlink w:anchor="__RefHeading___Toc7543537_1051229030">
            <w:r>
              <w:rPr>
                <w:webHidden/>
                <w:rStyle w:val="IndexLink"/>
                <w:rtl w:val="true"/>
              </w:rPr>
              <w:t xml:space="preserve">أصل </w:t>
            </w:r>
            <w:r>
              <w:rPr>
                <w:rStyle w:val="IndexLink"/>
                <w:rtl w:val="true"/>
              </w:rPr>
              <w:t>[</w:t>
            </w:r>
            <w:r>
              <w:rPr>
                <w:rStyle w:val="IndexLink"/>
                <w:rtl w:val="true"/>
              </w:rPr>
              <w:t xml:space="preserve">في فعل الأصلح </w:t>
            </w:r>
            <w:r>
              <w:rPr>
                <w:rStyle w:val="IndexLink"/>
                <w:rtl w:val="true"/>
              </w:rPr>
              <w:t>]</w:t>
              <w:tab/>
            </w:r>
            <w:r>
              <w:rPr>
                <w:rStyle w:val="IndexLink"/>
              </w:rPr>
              <w:t>109</w:t>
            </w:r>
          </w:hyperlink>
        </w:p>
        <w:p>
          <w:pPr>
            <w:pStyle w:val="Contents2"/>
            <w:tabs>
              <w:tab w:val="clear" w:pos="8743"/>
              <w:tab w:val="right" w:pos="9026" w:leader="dot"/>
            </w:tabs>
            <w:rPr/>
          </w:pPr>
          <w:hyperlink w:anchor="__RefHeading___Toc7543539_1051229030">
            <w:r>
              <w:rPr>
                <w:webHidden/>
                <w:rStyle w:val="IndexLink"/>
                <w:rtl w:val="true"/>
              </w:rPr>
              <w:t>المعراج الثالث في النبوة</w:t>
            </w:r>
            <w:r>
              <w:rPr>
                <w:rStyle w:val="IndexLink"/>
                <w:rtl w:val="true"/>
              </w:rPr>
              <w:tab/>
            </w:r>
            <w:r>
              <w:rPr>
                <w:rStyle w:val="IndexLink"/>
              </w:rPr>
              <w:t>110</w:t>
            </w:r>
          </w:hyperlink>
        </w:p>
        <w:p>
          <w:pPr>
            <w:pStyle w:val="Contents3"/>
            <w:tabs>
              <w:tab w:val="clear" w:pos="8459"/>
              <w:tab w:val="right" w:pos="9026" w:leader="dot"/>
            </w:tabs>
            <w:rPr/>
          </w:pPr>
          <w:hyperlink w:anchor="__RefHeading___Toc7543541_1051229030">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7543543_1051229030">
            <w:r>
              <w:rPr>
                <w:webHidden/>
                <w:rStyle w:val="IndexLink"/>
                <w:rtl w:val="true"/>
              </w:rPr>
              <w:t xml:space="preserve">أصل </w:t>
            </w:r>
            <w:r>
              <w:rPr>
                <w:rStyle w:val="IndexLink"/>
                <w:rtl w:val="true"/>
              </w:rPr>
              <w:t xml:space="preserve">[ </w:t>
            </w:r>
            <w:r>
              <w:rPr>
                <w:rStyle w:val="IndexLink"/>
                <w:rtl w:val="true"/>
              </w:rPr>
              <w:t xml:space="preserve">فى النبوّة وفوائدها </w:t>
            </w:r>
            <w:r>
              <w:rPr>
                <w:rStyle w:val="IndexLink"/>
                <w:rtl w:val="true"/>
              </w:rPr>
              <w:t>]</w:t>
              <w:tab/>
            </w:r>
            <w:r>
              <w:rPr>
                <w:rStyle w:val="IndexLink"/>
              </w:rPr>
              <w:t>112</w:t>
            </w:r>
          </w:hyperlink>
        </w:p>
        <w:p>
          <w:pPr>
            <w:pStyle w:val="Contents3"/>
            <w:tabs>
              <w:tab w:val="clear" w:pos="8459"/>
              <w:tab w:val="right" w:pos="9026" w:leader="dot"/>
            </w:tabs>
            <w:rPr/>
          </w:pPr>
          <w:hyperlink w:anchor="__RefHeading___Toc7543545_1051229030">
            <w:r>
              <w:rPr>
                <w:webHidden/>
                <w:rStyle w:val="IndexLink"/>
                <w:rtl w:val="true"/>
              </w:rPr>
              <w:t xml:space="preserve">أصل </w:t>
            </w:r>
            <w:r>
              <w:rPr>
                <w:rStyle w:val="IndexLink"/>
                <w:rtl w:val="true"/>
              </w:rPr>
              <w:t xml:space="preserve">[ </w:t>
            </w:r>
            <w:r>
              <w:rPr>
                <w:rStyle w:val="IndexLink"/>
                <w:rtl w:val="true"/>
              </w:rPr>
              <w:t xml:space="preserve">فى النبوّة وفوائدها </w:t>
            </w:r>
            <w:r>
              <w:rPr>
                <w:rStyle w:val="IndexLink"/>
                <w:rtl w:val="true"/>
              </w:rPr>
              <w:t>]</w:t>
              <w:tab/>
            </w:r>
            <w:r>
              <w:rPr>
                <w:rStyle w:val="IndexLink"/>
              </w:rPr>
              <w:t>112</w:t>
            </w:r>
          </w:hyperlink>
        </w:p>
        <w:p>
          <w:pPr>
            <w:pStyle w:val="Contents3"/>
            <w:tabs>
              <w:tab w:val="clear" w:pos="8459"/>
              <w:tab w:val="right" w:pos="9026" w:leader="dot"/>
            </w:tabs>
            <w:rPr/>
          </w:pPr>
          <w:hyperlink w:anchor="__RefHeading___Toc7543547_1051229030">
            <w:r>
              <w:rPr>
                <w:webHidden/>
                <w:rStyle w:val="IndexLink"/>
                <w:rtl w:val="true"/>
              </w:rPr>
              <w:t xml:space="preserve">أصل </w:t>
            </w:r>
            <w:r>
              <w:rPr>
                <w:rStyle w:val="IndexLink"/>
                <w:rtl w:val="true"/>
              </w:rPr>
              <w:t xml:space="preserve">[ </w:t>
            </w:r>
            <w:r>
              <w:rPr>
                <w:rStyle w:val="IndexLink"/>
                <w:rtl w:val="true"/>
              </w:rPr>
              <w:t xml:space="preserve">في وجوب البعثة </w:t>
            </w:r>
            <w:r>
              <w:rPr>
                <w:rStyle w:val="IndexLink"/>
                <w:rtl w:val="true"/>
              </w:rPr>
              <w:t>]</w:t>
              <w:tab/>
            </w:r>
            <w:r>
              <w:rPr>
                <w:rStyle w:val="IndexLink"/>
              </w:rPr>
              <w:t>113</w:t>
            </w:r>
          </w:hyperlink>
        </w:p>
        <w:p>
          <w:pPr>
            <w:pStyle w:val="Contents3"/>
            <w:tabs>
              <w:tab w:val="clear" w:pos="8459"/>
              <w:tab w:val="right" w:pos="9026" w:leader="dot"/>
            </w:tabs>
            <w:rPr/>
          </w:pPr>
          <w:hyperlink w:anchor="__RefHeading___Toc7543549_1051229030">
            <w:r>
              <w:rPr>
                <w:webHidden/>
                <w:rStyle w:val="IndexLink"/>
                <w:rtl w:val="true"/>
              </w:rPr>
              <w:t xml:space="preserve">أصل </w:t>
            </w:r>
            <w:r>
              <w:rPr>
                <w:rStyle w:val="IndexLink"/>
                <w:rtl w:val="true"/>
              </w:rPr>
              <w:t xml:space="preserve">[ </w:t>
            </w:r>
            <w:r>
              <w:rPr>
                <w:rStyle w:val="IndexLink"/>
                <w:rtl w:val="true"/>
              </w:rPr>
              <w:t xml:space="preserve">في العصمة </w:t>
            </w:r>
            <w:r>
              <w:rPr>
                <w:rStyle w:val="IndexLink"/>
                <w:rtl w:val="true"/>
              </w:rPr>
              <w:t>]</w:t>
              <w:tab/>
            </w:r>
            <w:r>
              <w:rPr>
                <w:rStyle w:val="IndexLink"/>
              </w:rPr>
              <w:t>114</w:t>
            </w:r>
          </w:hyperlink>
        </w:p>
        <w:p>
          <w:pPr>
            <w:pStyle w:val="Contents3"/>
            <w:tabs>
              <w:tab w:val="clear" w:pos="8459"/>
              <w:tab w:val="right" w:pos="9026" w:leader="dot"/>
            </w:tabs>
            <w:rPr/>
          </w:pPr>
          <w:hyperlink w:anchor="__RefHeading___Toc7543551_1051229030">
            <w:r>
              <w:rPr>
                <w:webHidden/>
                <w:rStyle w:val="IndexLink"/>
                <w:rtl w:val="true"/>
              </w:rPr>
              <w:t xml:space="preserve">أصل </w:t>
            </w:r>
            <w:r>
              <w:rPr>
                <w:rStyle w:val="IndexLink"/>
                <w:rtl w:val="true"/>
              </w:rPr>
              <w:t xml:space="preserve">[ </w:t>
            </w:r>
            <w:r>
              <w:rPr>
                <w:rStyle w:val="IndexLink"/>
                <w:rtl w:val="true"/>
              </w:rPr>
              <w:t xml:space="preserve">في المعجز </w:t>
            </w:r>
            <w:r>
              <w:rPr>
                <w:rStyle w:val="IndexLink"/>
                <w:rtl w:val="true"/>
              </w:rPr>
              <w:t>]</w:t>
              <w:tab/>
            </w:r>
            <w:r>
              <w:rPr>
                <w:rStyle w:val="IndexLink"/>
              </w:rPr>
              <w:t>115</w:t>
            </w:r>
          </w:hyperlink>
        </w:p>
        <w:p>
          <w:pPr>
            <w:pStyle w:val="Contents3"/>
            <w:tabs>
              <w:tab w:val="clear" w:pos="8459"/>
              <w:tab w:val="right" w:pos="9026" w:leader="dot"/>
            </w:tabs>
            <w:rPr/>
          </w:pPr>
          <w:hyperlink w:anchor="__RefHeading___Toc7543553_1051229030">
            <w:r>
              <w:rPr>
                <w:webHidden/>
                <w:rStyle w:val="IndexLink"/>
                <w:rtl w:val="true"/>
              </w:rPr>
              <w:t xml:space="preserve">أصل </w:t>
            </w:r>
            <w:r>
              <w:rPr>
                <w:rStyle w:val="IndexLink"/>
                <w:rtl w:val="true"/>
              </w:rPr>
              <w:t xml:space="preserve">[ </w:t>
            </w:r>
            <w:r>
              <w:rPr>
                <w:rStyle w:val="IndexLink"/>
                <w:rtl w:val="true"/>
              </w:rPr>
              <w:t>في نبوّة نبيّنا صلّی الله علیه و آله</w:t>
            </w:r>
            <w:r>
              <w:rPr>
                <w:rStyle w:val="IndexLink"/>
                <w:rtl w:val="true"/>
              </w:rPr>
              <w:t>]</w:t>
              <w:tab/>
            </w:r>
            <w:r>
              <w:rPr>
                <w:rStyle w:val="IndexLink"/>
              </w:rPr>
              <w:t>116</w:t>
            </w:r>
          </w:hyperlink>
        </w:p>
        <w:p>
          <w:pPr>
            <w:pStyle w:val="Contents3"/>
            <w:tabs>
              <w:tab w:val="clear" w:pos="8459"/>
              <w:tab w:val="right" w:pos="9026" w:leader="dot"/>
            </w:tabs>
            <w:rPr/>
          </w:pPr>
          <w:hyperlink w:anchor="__RefHeading___Toc7543555_1051229030">
            <w:r>
              <w:rPr>
                <w:webHidden/>
                <w:rStyle w:val="IndexLink"/>
                <w:rtl w:val="true"/>
              </w:rPr>
              <w:t xml:space="preserve">أصل </w:t>
            </w:r>
            <w:r>
              <w:rPr>
                <w:rStyle w:val="IndexLink"/>
                <w:rtl w:val="true"/>
              </w:rPr>
              <w:t xml:space="preserve">[ </w:t>
            </w:r>
            <w:r>
              <w:rPr>
                <w:rStyle w:val="IndexLink"/>
                <w:rtl w:val="true"/>
              </w:rPr>
              <w:t xml:space="preserve">في البعثة للعالمين </w:t>
            </w:r>
            <w:r>
              <w:rPr>
                <w:rStyle w:val="IndexLink"/>
                <w:rtl w:val="true"/>
              </w:rPr>
              <w:t>]</w:t>
              <w:tab/>
            </w:r>
            <w:r>
              <w:rPr>
                <w:rStyle w:val="IndexLink"/>
              </w:rPr>
              <w:t>118</w:t>
            </w:r>
          </w:hyperlink>
        </w:p>
        <w:p>
          <w:pPr>
            <w:pStyle w:val="Contents3"/>
            <w:tabs>
              <w:tab w:val="clear" w:pos="8459"/>
              <w:tab w:val="right" w:pos="9026" w:leader="dot"/>
            </w:tabs>
            <w:rPr/>
          </w:pPr>
          <w:hyperlink w:anchor="__RefHeading___Toc7543557_1051229030">
            <w:r>
              <w:rPr>
                <w:webHidden/>
                <w:rStyle w:val="IndexLink"/>
                <w:rtl w:val="true"/>
              </w:rPr>
              <w:t xml:space="preserve">أصل </w:t>
            </w:r>
            <w:r>
              <w:rPr>
                <w:rStyle w:val="IndexLink"/>
                <w:rtl w:val="true"/>
              </w:rPr>
              <w:t>[</w:t>
            </w:r>
            <w:r>
              <w:rPr>
                <w:rStyle w:val="IndexLink"/>
                <w:rtl w:val="true"/>
              </w:rPr>
              <w:t xml:space="preserve">نبيّنا صلّی الله علیه و آله بين أفضل الأنبياء </w:t>
            </w:r>
            <w:r>
              <w:rPr>
                <w:rStyle w:val="IndexLink"/>
                <w:rtl w:val="true"/>
              </w:rPr>
              <w:t>]</w:t>
              <w:tab/>
            </w:r>
            <w:r>
              <w:rPr>
                <w:rStyle w:val="IndexLink"/>
              </w:rPr>
              <w:t>119</w:t>
            </w:r>
          </w:hyperlink>
        </w:p>
        <w:p>
          <w:pPr>
            <w:pStyle w:val="Contents3"/>
            <w:tabs>
              <w:tab w:val="clear" w:pos="8459"/>
              <w:tab w:val="right" w:pos="9026" w:leader="dot"/>
            </w:tabs>
            <w:rPr/>
          </w:pPr>
          <w:hyperlink w:anchor="__RefHeading___Toc7543559_1051229030">
            <w:r>
              <w:rPr>
                <w:webHidden/>
                <w:rStyle w:val="IndexLink"/>
                <w:rtl w:val="true"/>
              </w:rPr>
              <w:t xml:space="preserve">أصل </w:t>
            </w:r>
            <w:r>
              <w:rPr>
                <w:rStyle w:val="IndexLink"/>
                <w:rtl w:val="true"/>
              </w:rPr>
              <w:t xml:space="preserve">[ </w:t>
            </w:r>
            <w:r>
              <w:rPr>
                <w:rStyle w:val="IndexLink"/>
                <w:rtl w:val="true"/>
              </w:rPr>
              <w:t xml:space="preserve">في تعبّده صلّی الله علیه و آله بالشرائع السابقة وعدمه </w:t>
            </w:r>
            <w:r>
              <w:rPr>
                <w:rStyle w:val="IndexLink"/>
                <w:rtl w:val="true"/>
              </w:rPr>
              <w:t>]</w:t>
              <w:tab/>
            </w:r>
            <w:r>
              <w:rPr>
                <w:rStyle w:val="IndexLink"/>
              </w:rPr>
              <w:t>119</w:t>
            </w:r>
          </w:hyperlink>
        </w:p>
        <w:p>
          <w:pPr>
            <w:pStyle w:val="Contents3"/>
            <w:tabs>
              <w:tab w:val="clear" w:pos="8459"/>
              <w:tab w:val="right" w:pos="9026" w:leader="dot"/>
            </w:tabs>
            <w:rPr/>
          </w:pPr>
          <w:hyperlink w:anchor="__RefHeading___Toc7543561_1051229030">
            <w:r>
              <w:rPr>
                <w:webHidden/>
                <w:rStyle w:val="IndexLink"/>
                <w:rtl w:val="true"/>
              </w:rPr>
              <w:t xml:space="preserve">أصل </w:t>
            </w:r>
            <w:r>
              <w:rPr>
                <w:rStyle w:val="IndexLink"/>
                <w:rtl w:val="true"/>
              </w:rPr>
              <w:t xml:space="preserve">[ </w:t>
            </w:r>
            <w:r>
              <w:rPr>
                <w:rStyle w:val="IndexLink"/>
                <w:rtl w:val="true"/>
              </w:rPr>
              <w:t xml:space="preserve">في وجوب قبول كلامه </w:t>
            </w:r>
            <w:r>
              <w:rPr>
                <w:rStyle w:val="IndexLink"/>
                <w:rtl w:val="true"/>
              </w:rPr>
              <w:t>]</w:t>
              <w:tab/>
            </w:r>
            <w:r>
              <w:rPr>
                <w:rStyle w:val="IndexLink"/>
              </w:rPr>
              <w:t>120</w:t>
            </w:r>
          </w:hyperlink>
        </w:p>
        <w:p>
          <w:pPr>
            <w:pStyle w:val="Contents3"/>
            <w:tabs>
              <w:tab w:val="clear" w:pos="8459"/>
              <w:tab w:val="right" w:pos="9026" w:leader="dot"/>
            </w:tabs>
            <w:rPr/>
          </w:pPr>
          <w:hyperlink w:anchor="__RefHeading___Toc7543563_1051229030">
            <w:r>
              <w:rPr>
                <w:webHidden/>
                <w:rStyle w:val="IndexLink"/>
                <w:rtl w:val="true"/>
              </w:rPr>
              <w:t xml:space="preserve">أصل </w:t>
            </w:r>
            <w:r>
              <w:rPr>
                <w:rStyle w:val="IndexLink"/>
                <w:rtl w:val="true"/>
              </w:rPr>
              <w:t xml:space="preserve">[ </w:t>
            </w:r>
            <w:r>
              <w:rPr>
                <w:rStyle w:val="IndexLink"/>
                <w:rtl w:val="true"/>
              </w:rPr>
              <w:t xml:space="preserve">الأنبياء علیهم السّلام أفضل من الملائكة </w:t>
            </w:r>
            <w:r>
              <w:rPr>
                <w:rStyle w:val="IndexLink"/>
                <w:rtl w:val="true"/>
              </w:rPr>
              <w:t>]</w:t>
              <w:tab/>
            </w:r>
            <w:r>
              <w:rPr>
                <w:rStyle w:val="IndexLink"/>
              </w:rPr>
              <w:t>121</w:t>
            </w:r>
          </w:hyperlink>
        </w:p>
        <w:p>
          <w:pPr>
            <w:pStyle w:val="Contents3"/>
            <w:tabs>
              <w:tab w:val="clear" w:pos="8459"/>
              <w:tab w:val="right" w:pos="9026" w:leader="dot"/>
            </w:tabs>
            <w:rPr/>
          </w:pPr>
          <w:hyperlink w:anchor="__RefHeading___Toc7543565_1051229030">
            <w:r>
              <w:rPr>
                <w:webHidden/>
                <w:rStyle w:val="IndexLink"/>
                <w:rtl w:val="true"/>
              </w:rPr>
              <w:t xml:space="preserve">أصل </w:t>
            </w:r>
            <w:r>
              <w:rPr>
                <w:rStyle w:val="IndexLink"/>
                <w:rtl w:val="true"/>
              </w:rPr>
              <w:t xml:space="preserve">[ </w:t>
            </w:r>
            <w:r>
              <w:rPr>
                <w:rStyle w:val="IndexLink"/>
                <w:rtl w:val="true"/>
              </w:rPr>
              <w:t xml:space="preserve">النسخ </w:t>
            </w:r>
            <w:r>
              <w:rPr>
                <w:rStyle w:val="IndexLink"/>
                <w:rtl w:val="true"/>
              </w:rPr>
              <w:t>]</w:t>
              <w:tab/>
            </w:r>
            <w:r>
              <w:rPr>
                <w:rStyle w:val="IndexLink"/>
              </w:rPr>
              <w:t>122</w:t>
            </w:r>
          </w:hyperlink>
        </w:p>
        <w:p>
          <w:pPr>
            <w:pStyle w:val="Contents2"/>
            <w:tabs>
              <w:tab w:val="clear" w:pos="8743"/>
              <w:tab w:val="right" w:pos="9026" w:leader="dot"/>
            </w:tabs>
            <w:rPr/>
          </w:pPr>
          <w:hyperlink w:anchor="__RefHeading___Toc7543567_1051229030">
            <w:r>
              <w:rPr>
                <w:webHidden/>
                <w:rStyle w:val="IndexLink"/>
                <w:rtl w:val="true"/>
              </w:rPr>
              <w:t>المعراج الرابع في الإمامة</w:t>
            </w:r>
            <w:r>
              <w:rPr>
                <w:rStyle w:val="IndexLink"/>
                <w:rtl w:val="true"/>
              </w:rPr>
              <w:tab/>
            </w:r>
            <w:r>
              <w:rPr>
                <w:rStyle w:val="IndexLink"/>
              </w:rPr>
              <w:t>124</w:t>
            </w:r>
          </w:hyperlink>
        </w:p>
        <w:p>
          <w:pPr>
            <w:pStyle w:val="Contents3"/>
            <w:tabs>
              <w:tab w:val="clear" w:pos="8459"/>
              <w:tab w:val="right" w:pos="9026" w:leader="dot"/>
            </w:tabs>
            <w:rPr/>
          </w:pPr>
          <w:hyperlink w:anchor="__RefHeading___Toc7543569_1051229030">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7543571_1051229030">
            <w:r>
              <w:rPr>
                <w:webHidden/>
                <w:rStyle w:val="IndexLink"/>
                <w:rtl w:val="true"/>
              </w:rPr>
              <w:t xml:space="preserve">أصل </w:t>
            </w:r>
            <w:r>
              <w:rPr>
                <w:rStyle w:val="IndexLink"/>
                <w:rtl w:val="true"/>
              </w:rPr>
              <w:t xml:space="preserve">[ </w:t>
            </w:r>
            <w:r>
              <w:rPr>
                <w:rStyle w:val="IndexLink"/>
                <w:rtl w:val="true"/>
              </w:rPr>
              <w:t xml:space="preserve">تعريف الإمامة ووجوبها </w:t>
            </w:r>
            <w:r>
              <w:rPr>
                <w:rStyle w:val="IndexLink"/>
                <w:rtl w:val="true"/>
              </w:rPr>
              <w:t>]</w:t>
              <w:tab/>
            </w:r>
            <w:r>
              <w:rPr>
                <w:rStyle w:val="IndexLink"/>
              </w:rPr>
              <w:t>126</w:t>
            </w:r>
          </w:hyperlink>
        </w:p>
        <w:p>
          <w:pPr>
            <w:pStyle w:val="Contents3"/>
            <w:tabs>
              <w:tab w:val="clear" w:pos="8459"/>
              <w:tab w:val="right" w:pos="9026" w:leader="dot"/>
            </w:tabs>
            <w:rPr/>
          </w:pPr>
          <w:hyperlink w:anchor="__RefHeading___Toc7543573_1051229030">
            <w:r>
              <w:rPr>
                <w:webHidden/>
                <w:rStyle w:val="IndexLink"/>
                <w:rtl w:val="true"/>
              </w:rPr>
              <w:t xml:space="preserve">أصل </w:t>
            </w:r>
            <w:r>
              <w:rPr>
                <w:rStyle w:val="IndexLink"/>
                <w:rtl w:val="true"/>
              </w:rPr>
              <w:t xml:space="preserve">[ </w:t>
            </w:r>
            <w:r>
              <w:rPr>
                <w:rStyle w:val="IndexLink"/>
                <w:rtl w:val="true"/>
              </w:rPr>
              <w:t xml:space="preserve">في طريق تعيين الإمام </w:t>
            </w:r>
            <w:r>
              <w:rPr>
                <w:rStyle w:val="IndexLink"/>
                <w:rtl w:val="true"/>
              </w:rPr>
              <w:t>]</w:t>
              <w:tab/>
            </w:r>
            <w:r>
              <w:rPr>
                <w:rStyle w:val="IndexLink"/>
              </w:rPr>
              <w:t>127</w:t>
            </w:r>
          </w:hyperlink>
        </w:p>
        <w:p>
          <w:pPr>
            <w:pStyle w:val="Contents3"/>
            <w:tabs>
              <w:tab w:val="clear" w:pos="8459"/>
              <w:tab w:val="right" w:pos="9026" w:leader="dot"/>
            </w:tabs>
            <w:rPr/>
          </w:pPr>
          <w:hyperlink w:anchor="__RefHeading___Toc7543575_1051229030">
            <w:r>
              <w:rPr>
                <w:webHidden/>
                <w:rStyle w:val="IndexLink"/>
                <w:rtl w:val="true"/>
              </w:rPr>
              <w:t xml:space="preserve">أصل </w:t>
            </w:r>
            <w:r>
              <w:rPr>
                <w:rStyle w:val="IndexLink"/>
                <w:rtl w:val="true"/>
              </w:rPr>
              <w:t xml:space="preserve">[ </w:t>
            </w:r>
            <w:r>
              <w:rPr>
                <w:rStyle w:val="IndexLink"/>
                <w:rtl w:val="true"/>
              </w:rPr>
              <w:t xml:space="preserve">في أنّ الإمامة لطف </w:t>
            </w:r>
            <w:r>
              <w:rPr>
                <w:rStyle w:val="IndexLink"/>
                <w:rtl w:val="true"/>
              </w:rPr>
              <w:t>]</w:t>
              <w:tab/>
            </w:r>
            <w:r>
              <w:rPr>
                <w:rStyle w:val="IndexLink"/>
              </w:rPr>
              <w:t>127</w:t>
            </w:r>
          </w:hyperlink>
        </w:p>
        <w:p>
          <w:pPr>
            <w:pStyle w:val="Contents3"/>
            <w:tabs>
              <w:tab w:val="clear" w:pos="8459"/>
              <w:tab w:val="right" w:pos="9026" w:leader="dot"/>
            </w:tabs>
            <w:rPr/>
          </w:pPr>
          <w:hyperlink w:anchor="__RefHeading___Toc7543577_1051229030">
            <w:r>
              <w:rPr>
                <w:webHidden/>
                <w:rStyle w:val="IndexLink"/>
                <w:rtl w:val="true"/>
              </w:rPr>
              <w:t xml:space="preserve">أصل </w:t>
            </w:r>
            <w:r>
              <w:rPr>
                <w:rStyle w:val="IndexLink"/>
                <w:rtl w:val="true"/>
              </w:rPr>
              <w:t xml:space="preserve">[ </w:t>
            </w:r>
            <w:r>
              <w:rPr>
                <w:rStyle w:val="IndexLink"/>
                <w:rtl w:val="true"/>
              </w:rPr>
              <w:t xml:space="preserve">في شرطيّة العصمة للإمام </w:t>
            </w:r>
            <w:r>
              <w:rPr>
                <w:rStyle w:val="IndexLink"/>
                <w:rtl w:val="true"/>
              </w:rPr>
              <w:t>]</w:t>
              <w:tab/>
            </w:r>
            <w:r>
              <w:rPr>
                <w:rStyle w:val="IndexLink"/>
              </w:rPr>
              <w:t>128</w:t>
            </w:r>
          </w:hyperlink>
        </w:p>
        <w:p>
          <w:pPr>
            <w:pStyle w:val="Contents3"/>
            <w:tabs>
              <w:tab w:val="clear" w:pos="8459"/>
              <w:tab w:val="right" w:pos="9026" w:leader="dot"/>
            </w:tabs>
            <w:rPr/>
          </w:pPr>
          <w:hyperlink w:anchor="__RefHeading___Toc7543579_1051229030">
            <w:r>
              <w:rPr>
                <w:webHidden/>
                <w:rStyle w:val="IndexLink"/>
                <w:rtl w:val="true"/>
              </w:rPr>
              <w:t xml:space="preserve">أصل </w:t>
            </w:r>
            <w:r>
              <w:rPr>
                <w:rStyle w:val="IndexLink"/>
                <w:rtl w:val="true"/>
              </w:rPr>
              <w:t xml:space="preserve">[ </w:t>
            </w:r>
            <w:r>
              <w:rPr>
                <w:rStyle w:val="IndexLink"/>
                <w:rtl w:val="true"/>
              </w:rPr>
              <w:t xml:space="preserve">الإمام أكمل أهل زمانه </w:t>
            </w:r>
            <w:r>
              <w:rPr>
                <w:rStyle w:val="IndexLink"/>
                <w:rtl w:val="true"/>
              </w:rPr>
              <w:t>]</w:t>
              <w:tab/>
            </w:r>
            <w:r>
              <w:rPr>
                <w:rStyle w:val="IndexLink"/>
              </w:rPr>
              <w:t>129</w:t>
            </w:r>
          </w:hyperlink>
        </w:p>
        <w:p>
          <w:pPr>
            <w:pStyle w:val="Contents3"/>
            <w:tabs>
              <w:tab w:val="clear" w:pos="8459"/>
              <w:tab w:val="right" w:pos="9026" w:leader="dot"/>
            </w:tabs>
            <w:rPr/>
          </w:pPr>
          <w:hyperlink w:anchor="__RefHeading___Toc7543581_1051229030">
            <w:r>
              <w:rPr>
                <w:webHidden/>
                <w:rStyle w:val="IndexLink"/>
                <w:rtl w:val="true"/>
              </w:rPr>
              <w:t>أصل في إثبات إمامة عليّ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7543583_1051229030">
            <w:r>
              <w:rPr>
                <w:webHidden/>
                <w:rStyle w:val="IndexLink"/>
                <w:rtl w:val="true"/>
              </w:rPr>
              <w:t xml:space="preserve">أصل </w:t>
            </w:r>
            <w:r>
              <w:rPr>
                <w:rStyle w:val="IndexLink"/>
                <w:rtl w:val="true"/>
              </w:rPr>
              <w:t xml:space="preserve">[ </w:t>
            </w:r>
            <w:r>
              <w:rPr>
                <w:rStyle w:val="IndexLink"/>
                <w:rtl w:val="true"/>
              </w:rPr>
              <w:t xml:space="preserve">في إمامة أولاد علي </w:t>
            </w:r>
            <w:r>
              <w:rPr>
                <w:rStyle w:val="IndexLink"/>
                <w:rtl w:val="true"/>
              </w:rPr>
              <w:t>]</w:t>
              <w:tab/>
            </w:r>
            <w:r>
              <w:rPr>
                <w:rStyle w:val="IndexLink"/>
              </w:rPr>
              <w:t>133</w:t>
            </w:r>
          </w:hyperlink>
        </w:p>
        <w:p>
          <w:pPr>
            <w:pStyle w:val="Contents3"/>
            <w:tabs>
              <w:tab w:val="clear" w:pos="8459"/>
              <w:tab w:val="right" w:pos="9026" w:leader="dot"/>
            </w:tabs>
            <w:rPr/>
          </w:pPr>
          <w:hyperlink w:anchor="__RefHeading___Toc7543585_1051229030">
            <w:r>
              <w:rPr>
                <w:webHidden/>
                <w:rStyle w:val="IndexLink"/>
                <w:rtl w:val="true"/>
              </w:rPr>
              <w:t xml:space="preserve">أصل </w:t>
            </w:r>
            <w:r>
              <w:rPr>
                <w:rStyle w:val="IndexLink"/>
                <w:rtl w:val="true"/>
              </w:rPr>
              <w:t xml:space="preserve">[ </w:t>
            </w:r>
            <w:r>
              <w:rPr>
                <w:rStyle w:val="IndexLink"/>
                <w:rtl w:val="true"/>
              </w:rPr>
              <w:t xml:space="preserve">في إمامة المهدي علیه السّلام </w:t>
            </w:r>
            <w:r>
              <w:rPr>
                <w:rStyle w:val="IndexLink"/>
                <w:rtl w:val="true"/>
              </w:rPr>
              <w:t>]</w:t>
              <w:tab/>
            </w:r>
            <w:r>
              <w:rPr>
                <w:rStyle w:val="IndexLink"/>
              </w:rPr>
              <w:t>134</w:t>
            </w:r>
          </w:hyperlink>
        </w:p>
        <w:p>
          <w:pPr>
            <w:pStyle w:val="Contents3"/>
            <w:tabs>
              <w:tab w:val="clear" w:pos="8459"/>
              <w:tab w:val="right" w:pos="9026" w:leader="dot"/>
            </w:tabs>
            <w:rPr/>
          </w:pPr>
          <w:hyperlink w:anchor="__RefHeading___Toc7543587_1051229030">
            <w:r>
              <w:rPr>
                <w:webHidden/>
                <w:rStyle w:val="IndexLink"/>
                <w:rtl w:val="true"/>
              </w:rPr>
              <w:t xml:space="preserve">أصل </w:t>
            </w:r>
            <w:r>
              <w:rPr>
                <w:rStyle w:val="IndexLink"/>
                <w:rtl w:val="true"/>
              </w:rPr>
              <w:t xml:space="preserve">[ </w:t>
            </w:r>
            <w:r>
              <w:rPr>
                <w:rStyle w:val="IndexLink"/>
                <w:rtl w:val="true"/>
              </w:rPr>
              <w:t xml:space="preserve">بطلان إمامة غيرهم علیهم السّلام </w:t>
            </w:r>
            <w:r>
              <w:rPr>
                <w:rStyle w:val="IndexLink"/>
                <w:rtl w:val="true"/>
              </w:rPr>
              <w:t>]</w:t>
              <w:tab/>
            </w:r>
            <w:r>
              <w:rPr>
                <w:rStyle w:val="IndexLink"/>
              </w:rPr>
              <w:t>136</w:t>
            </w:r>
          </w:hyperlink>
        </w:p>
        <w:p>
          <w:pPr>
            <w:pStyle w:val="Contents2"/>
            <w:tabs>
              <w:tab w:val="clear" w:pos="8743"/>
              <w:tab w:val="right" w:pos="9026" w:leader="dot"/>
            </w:tabs>
            <w:rPr/>
          </w:pPr>
          <w:hyperlink w:anchor="__RefHeading___Toc7543589_1051229030">
            <w:r>
              <w:rPr>
                <w:webHidden/>
                <w:rStyle w:val="IndexLink"/>
                <w:rtl w:val="true"/>
              </w:rPr>
              <w:t>المعراج الخامس في المعاد</w:t>
            </w:r>
            <w:r>
              <w:rPr>
                <w:rStyle w:val="IndexLink"/>
                <w:rtl w:val="true"/>
              </w:rPr>
              <w:tab/>
            </w:r>
            <w:r>
              <w:rPr>
                <w:rStyle w:val="IndexLink"/>
              </w:rPr>
              <w:t>147</w:t>
            </w:r>
          </w:hyperlink>
        </w:p>
        <w:p>
          <w:pPr>
            <w:pStyle w:val="Contents3"/>
            <w:tabs>
              <w:tab w:val="clear" w:pos="8459"/>
              <w:tab w:val="right" w:pos="9026" w:leader="dot"/>
            </w:tabs>
            <w:rPr/>
          </w:pPr>
          <w:hyperlink w:anchor="__RefHeading___Toc7543591_105122903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7543593_1051229030">
            <w:r>
              <w:rPr>
                <w:webHidden/>
                <w:rStyle w:val="IndexLink"/>
                <w:rtl w:val="true"/>
              </w:rPr>
              <w:t xml:space="preserve">أصل </w:t>
            </w:r>
            <w:r>
              <w:rPr>
                <w:rStyle w:val="IndexLink"/>
                <w:rtl w:val="true"/>
              </w:rPr>
              <w:t xml:space="preserve">[ </w:t>
            </w:r>
            <w:r>
              <w:rPr>
                <w:rStyle w:val="IndexLink"/>
                <w:rtl w:val="true"/>
              </w:rPr>
              <w:t xml:space="preserve">في إمكان إعدام العالم </w:t>
            </w:r>
            <w:r>
              <w:rPr>
                <w:rStyle w:val="IndexLink"/>
                <w:rtl w:val="true"/>
              </w:rPr>
              <w:t>]</w:t>
              <w:tab/>
            </w:r>
            <w:r>
              <w:rPr>
                <w:rStyle w:val="IndexLink"/>
              </w:rPr>
              <w:t>149</w:t>
            </w:r>
          </w:hyperlink>
        </w:p>
        <w:p>
          <w:pPr>
            <w:pStyle w:val="Contents3"/>
            <w:tabs>
              <w:tab w:val="clear" w:pos="8459"/>
              <w:tab w:val="right" w:pos="9026" w:leader="dot"/>
            </w:tabs>
            <w:rPr/>
          </w:pPr>
          <w:hyperlink w:anchor="__RefHeading___Toc7543595_1051229030">
            <w:r>
              <w:rPr>
                <w:webHidden/>
                <w:rStyle w:val="IndexLink"/>
                <w:rtl w:val="true"/>
              </w:rPr>
              <w:t xml:space="preserve">أصل </w:t>
            </w:r>
            <w:r>
              <w:rPr>
                <w:rStyle w:val="IndexLink"/>
                <w:rtl w:val="true"/>
              </w:rPr>
              <w:t xml:space="preserve">[ </w:t>
            </w:r>
            <w:r>
              <w:rPr>
                <w:rStyle w:val="IndexLink"/>
                <w:rtl w:val="true"/>
              </w:rPr>
              <w:t xml:space="preserve">في إعادة المعدوم وامتناعه </w:t>
            </w:r>
            <w:r>
              <w:rPr>
                <w:rStyle w:val="IndexLink"/>
                <w:rtl w:val="true"/>
              </w:rPr>
              <w:t>]</w:t>
              <w:tab/>
            </w:r>
            <w:r>
              <w:rPr>
                <w:rStyle w:val="IndexLink"/>
              </w:rPr>
              <w:t>150</w:t>
            </w:r>
          </w:hyperlink>
        </w:p>
        <w:p>
          <w:pPr>
            <w:pStyle w:val="Contents3"/>
            <w:tabs>
              <w:tab w:val="clear" w:pos="8459"/>
              <w:tab w:val="right" w:pos="9026" w:leader="dot"/>
            </w:tabs>
            <w:rPr/>
          </w:pPr>
          <w:hyperlink w:anchor="__RefHeading___Toc7543597_1051229030">
            <w:r>
              <w:rPr>
                <w:webHidden/>
                <w:rStyle w:val="IndexLink"/>
                <w:rtl w:val="true"/>
              </w:rPr>
              <w:t xml:space="preserve">أصل </w:t>
            </w:r>
            <w:r>
              <w:rPr>
                <w:rStyle w:val="IndexLink"/>
                <w:rtl w:val="true"/>
              </w:rPr>
              <w:t xml:space="preserve">[ </w:t>
            </w:r>
            <w:r>
              <w:rPr>
                <w:rStyle w:val="IndexLink"/>
                <w:rtl w:val="true"/>
              </w:rPr>
              <w:t xml:space="preserve">في إدراك النفس </w:t>
            </w:r>
            <w:r>
              <w:rPr>
                <w:rStyle w:val="IndexLink"/>
                <w:rtl w:val="true"/>
              </w:rPr>
              <w:t>]</w:t>
              <w:tab/>
            </w:r>
            <w:r>
              <w:rPr>
                <w:rStyle w:val="IndexLink"/>
              </w:rPr>
              <w:t>151</w:t>
            </w:r>
          </w:hyperlink>
        </w:p>
        <w:p>
          <w:pPr>
            <w:pStyle w:val="Contents3"/>
            <w:tabs>
              <w:tab w:val="clear" w:pos="8459"/>
              <w:tab w:val="right" w:pos="9026" w:leader="dot"/>
            </w:tabs>
            <w:rPr/>
          </w:pPr>
          <w:hyperlink w:anchor="__RefHeading___Toc7543599_1051229030">
            <w:r>
              <w:rPr>
                <w:webHidden/>
                <w:rStyle w:val="IndexLink"/>
                <w:rtl w:val="true"/>
              </w:rPr>
              <w:t xml:space="preserve">أصل </w:t>
            </w:r>
            <w:r>
              <w:rPr>
                <w:rStyle w:val="IndexLink"/>
                <w:rtl w:val="true"/>
              </w:rPr>
              <w:t xml:space="preserve">[ </w:t>
            </w:r>
            <w:r>
              <w:rPr>
                <w:rStyle w:val="IndexLink"/>
                <w:rtl w:val="true"/>
              </w:rPr>
              <w:t xml:space="preserve">في المعاد الجسماني </w:t>
            </w:r>
            <w:r>
              <w:rPr>
                <w:rStyle w:val="IndexLink"/>
                <w:rtl w:val="true"/>
              </w:rPr>
              <w:t>]</w:t>
              <w:tab/>
            </w:r>
            <w:r>
              <w:rPr>
                <w:rStyle w:val="IndexLink"/>
              </w:rPr>
              <w:t>152</w:t>
            </w:r>
          </w:hyperlink>
        </w:p>
        <w:p>
          <w:pPr>
            <w:pStyle w:val="Contents3"/>
            <w:tabs>
              <w:tab w:val="clear" w:pos="8459"/>
              <w:tab w:val="right" w:pos="9026" w:leader="dot"/>
            </w:tabs>
            <w:rPr/>
          </w:pPr>
          <w:hyperlink w:anchor="__RefHeading___Toc7543601_1051229030">
            <w:r>
              <w:rPr>
                <w:webHidden/>
                <w:rStyle w:val="IndexLink"/>
                <w:rtl w:val="true"/>
              </w:rPr>
              <w:t xml:space="preserve">أصل </w:t>
            </w:r>
            <w:r>
              <w:rPr>
                <w:rStyle w:val="IndexLink"/>
                <w:rtl w:val="true"/>
              </w:rPr>
              <w:t xml:space="preserve">[ </w:t>
            </w:r>
            <w:r>
              <w:rPr>
                <w:rStyle w:val="IndexLink"/>
                <w:rtl w:val="true"/>
              </w:rPr>
              <w:t xml:space="preserve">في أنّ الجنّة والنار مخلوقتان </w:t>
            </w:r>
            <w:r>
              <w:rPr>
                <w:rStyle w:val="IndexLink"/>
                <w:rtl w:val="true"/>
              </w:rPr>
              <w:t>]</w:t>
              <w:tab/>
            </w:r>
            <w:r>
              <w:rPr>
                <w:rStyle w:val="IndexLink"/>
              </w:rPr>
              <w:t>153</w:t>
            </w:r>
          </w:hyperlink>
        </w:p>
        <w:p>
          <w:pPr>
            <w:pStyle w:val="Contents3"/>
            <w:tabs>
              <w:tab w:val="clear" w:pos="8459"/>
              <w:tab w:val="right" w:pos="9026" w:leader="dot"/>
            </w:tabs>
            <w:rPr/>
          </w:pPr>
          <w:hyperlink w:anchor="__RefHeading___Toc7543603_1051229030">
            <w:r>
              <w:rPr>
                <w:webHidden/>
                <w:rStyle w:val="IndexLink"/>
                <w:rtl w:val="true"/>
              </w:rPr>
              <w:t xml:space="preserve">[ </w:t>
            </w:r>
            <w:r>
              <w:rPr>
                <w:rStyle w:val="IndexLink"/>
                <w:rtl w:val="true"/>
              </w:rPr>
              <w:t xml:space="preserve">عذاب القبر </w:t>
            </w:r>
            <w:r>
              <w:rPr>
                <w:rStyle w:val="IndexLink"/>
                <w:rtl w:val="true"/>
              </w:rPr>
              <w:t>]</w:t>
              <w:tab/>
            </w:r>
            <w:r>
              <w:rPr>
                <w:rStyle w:val="IndexLink"/>
              </w:rPr>
              <w:t>154</w:t>
            </w:r>
          </w:hyperlink>
        </w:p>
        <w:p>
          <w:pPr>
            <w:pStyle w:val="Contents3"/>
            <w:tabs>
              <w:tab w:val="clear" w:pos="8459"/>
              <w:tab w:val="right" w:pos="9026" w:leader="dot"/>
            </w:tabs>
            <w:rPr/>
          </w:pPr>
          <w:hyperlink w:anchor="__RefHeading___Toc7543605_1051229030">
            <w:r>
              <w:rPr>
                <w:webHidden/>
                <w:rStyle w:val="IndexLink"/>
                <w:rtl w:val="true"/>
              </w:rPr>
              <w:t xml:space="preserve">أصل </w:t>
            </w:r>
            <w:r>
              <w:rPr>
                <w:rStyle w:val="IndexLink"/>
                <w:rtl w:val="true"/>
              </w:rPr>
              <w:t xml:space="preserve">[ </w:t>
            </w:r>
            <w:r>
              <w:rPr>
                <w:rStyle w:val="IndexLink"/>
                <w:rtl w:val="true"/>
              </w:rPr>
              <w:t xml:space="preserve">فى الحساب والصراط والميزان </w:t>
            </w:r>
            <w:r>
              <w:rPr>
                <w:rStyle w:val="IndexLink"/>
                <w:rtl w:val="true"/>
              </w:rPr>
              <w:t>]</w:t>
              <w:tab/>
            </w:r>
            <w:r>
              <w:rPr>
                <w:rStyle w:val="IndexLink"/>
              </w:rPr>
              <w:t>155</w:t>
            </w:r>
          </w:hyperlink>
        </w:p>
        <w:p>
          <w:pPr>
            <w:pStyle w:val="Contents3"/>
            <w:tabs>
              <w:tab w:val="clear" w:pos="8459"/>
              <w:tab w:val="right" w:pos="9026" w:leader="dot"/>
            </w:tabs>
            <w:rPr/>
          </w:pPr>
          <w:hyperlink w:anchor="__RefHeading___Toc7543607_1051229030">
            <w:r>
              <w:rPr>
                <w:webHidden/>
                <w:rStyle w:val="IndexLink"/>
                <w:rtl w:val="true"/>
              </w:rPr>
              <w:t>أصل</w:t>
            </w:r>
            <w:r>
              <w:rPr>
                <w:rStyle w:val="IndexLink"/>
                <w:rtl w:val="true"/>
              </w:rPr>
              <w:tab/>
            </w:r>
            <w:r>
              <w:rPr>
                <w:rStyle w:val="IndexLink"/>
              </w:rPr>
              <w:t>156</w:t>
            </w:r>
          </w:hyperlink>
        </w:p>
        <w:p>
          <w:pPr>
            <w:pStyle w:val="Contents3"/>
            <w:tabs>
              <w:tab w:val="clear" w:pos="8459"/>
              <w:tab w:val="right" w:pos="9026" w:leader="dot"/>
            </w:tabs>
            <w:rPr/>
          </w:pPr>
          <w:hyperlink w:anchor="__RefHeading___Toc7543609_1051229030">
            <w:r>
              <w:rPr>
                <w:webHidden/>
                <w:rStyle w:val="IndexLink"/>
                <w:rtl w:val="true"/>
              </w:rPr>
              <w:t xml:space="preserve">أصل </w:t>
            </w:r>
            <w:r>
              <w:rPr>
                <w:rStyle w:val="IndexLink"/>
                <w:rtl w:val="true"/>
              </w:rPr>
              <w:t xml:space="preserve">[ </w:t>
            </w:r>
            <w:r>
              <w:rPr>
                <w:rStyle w:val="IndexLink"/>
                <w:rtl w:val="true"/>
              </w:rPr>
              <w:t xml:space="preserve">في الوعد والوعيد </w:t>
            </w:r>
            <w:r>
              <w:rPr>
                <w:rStyle w:val="IndexLink"/>
                <w:rtl w:val="true"/>
              </w:rPr>
              <w:t>]</w:t>
              <w:tab/>
            </w:r>
            <w:r>
              <w:rPr>
                <w:rStyle w:val="IndexLink"/>
              </w:rPr>
              <w:t>156</w:t>
            </w:r>
          </w:hyperlink>
        </w:p>
        <w:p>
          <w:pPr>
            <w:pStyle w:val="Contents3"/>
            <w:tabs>
              <w:tab w:val="clear" w:pos="8459"/>
              <w:tab w:val="right" w:pos="9026" w:leader="dot"/>
            </w:tabs>
            <w:rPr/>
          </w:pPr>
          <w:hyperlink w:anchor="__RefHeading___Toc7543611_1051229030">
            <w:r>
              <w:rPr>
                <w:webHidden/>
                <w:rStyle w:val="IndexLink"/>
                <w:rtl w:val="true"/>
              </w:rPr>
              <w:t xml:space="preserve">أصل </w:t>
            </w:r>
            <w:r>
              <w:rPr>
                <w:rStyle w:val="IndexLink"/>
                <w:rtl w:val="true"/>
              </w:rPr>
              <w:t xml:space="preserve">[ </w:t>
            </w:r>
            <w:r>
              <w:rPr>
                <w:rStyle w:val="IndexLink"/>
                <w:rtl w:val="true"/>
              </w:rPr>
              <w:t xml:space="preserve">في الثواب والعقاب </w:t>
            </w:r>
            <w:r>
              <w:rPr>
                <w:rStyle w:val="IndexLink"/>
                <w:rtl w:val="true"/>
              </w:rPr>
              <w:t>]</w:t>
              <w:tab/>
            </w:r>
            <w:r>
              <w:rPr>
                <w:rStyle w:val="IndexLink"/>
              </w:rPr>
              <w:t>157</w:t>
            </w:r>
          </w:hyperlink>
        </w:p>
        <w:p>
          <w:pPr>
            <w:pStyle w:val="Contents3"/>
            <w:tabs>
              <w:tab w:val="clear" w:pos="8459"/>
              <w:tab w:val="right" w:pos="9026" w:leader="dot"/>
            </w:tabs>
            <w:rPr/>
          </w:pPr>
          <w:hyperlink w:anchor="__RefHeading___Toc7543613_1051229030">
            <w:r>
              <w:rPr>
                <w:webHidden/>
                <w:rStyle w:val="IndexLink"/>
                <w:rtl w:val="true"/>
              </w:rPr>
              <w:t xml:space="preserve">أصل </w:t>
            </w:r>
            <w:r>
              <w:rPr>
                <w:rStyle w:val="IndexLink"/>
                <w:rtl w:val="true"/>
              </w:rPr>
              <w:t xml:space="preserve">[ </w:t>
            </w:r>
            <w:r>
              <w:rPr>
                <w:rStyle w:val="IndexLink"/>
                <w:rtl w:val="true"/>
              </w:rPr>
              <w:t xml:space="preserve">في دوام الثواب والعقاب </w:t>
            </w:r>
            <w:r>
              <w:rPr>
                <w:rStyle w:val="IndexLink"/>
                <w:rtl w:val="true"/>
              </w:rPr>
              <w:t>]</w:t>
              <w:tab/>
            </w:r>
            <w:r>
              <w:rPr>
                <w:rStyle w:val="IndexLink"/>
              </w:rPr>
              <w:t>157</w:t>
            </w:r>
          </w:hyperlink>
        </w:p>
        <w:p>
          <w:pPr>
            <w:pStyle w:val="Contents3"/>
            <w:tabs>
              <w:tab w:val="clear" w:pos="8459"/>
              <w:tab w:val="right" w:pos="9026" w:leader="dot"/>
            </w:tabs>
            <w:rPr/>
          </w:pPr>
          <w:hyperlink w:anchor="__RefHeading___Toc7543615_1051229030">
            <w:r>
              <w:rPr>
                <w:webHidden/>
                <w:rStyle w:val="IndexLink"/>
                <w:rtl w:val="true"/>
              </w:rPr>
              <w:t xml:space="preserve">أصل </w:t>
            </w:r>
            <w:r>
              <w:rPr>
                <w:rStyle w:val="IndexLink"/>
                <w:rtl w:val="true"/>
              </w:rPr>
              <w:t xml:space="preserve">[ </w:t>
            </w:r>
            <w:r>
              <w:rPr>
                <w:rStyle w:val="IndexLink"/>
                <w:rtl w:val="true"/>
              </w:rPr>
              <w:t xml:space="preserve">في استحقاق الثواب والعقاب معاً </w:t>
            </w:r>
            <w:r>
              <w:rPr>
                <w:rStyle w:val="IndexLink"/>
                <w:rtl w:val="true"/>
              </w:rPr>
              <w:t>]</w:t>
              <w:tab/>
            </w:r>
            <w:r>
              <w:rPr>
                <w:rStyle w:val="IndexLink"/>
              </w:rPr>
              <w:t>158</w:t>
            </w:r>
          </w:hyperlink>
        </w:p>
        <w:p>
          <w:pPr>
            <w:pStyle w:val="Contents3"/>
            <w:tabs>
              <w:tab w:val="clear" w:pos="8459"/>
              <w:tab w:val="right" w:pos="9026" w:leader="dot"/>
            </w:tabs>
            <w:rPr/>
          </w:pPr>
          <w:hyperlink w:anchor="__RefHeading___Toc7543617_1051229030">
            <w:r>
              <w:rPr>
                <w:webHidden/>
                <w:rStyle w:val="IndexLink"/>
                <w:rtl w:val="true"/>
              </w:rPr>
              <w:t xml:space="preserve">أصل </w:t>
            </w:r>
            <w:r>
              <w:rPr>
                <w:rStyle w:val="IndexLink"/>
                <w:rtl w:val="true"/>
              </w:rPr>
              <w:t xml:space="preserve">[ </w:t>
            </w:r>
            <w:r>
              <w:rPr>
                <w:rStyle w:val="IndexLink"/>
                <w:rtl w:val="true"/>
              </w:rPr>
              <w:t xml:space="preserve">في الإيمان والكفر والنفاق والفسق </w:t>
            </w:r>
            <w:r>
              <w:rPr>
                <w:rStyle w:val="IndexLink"/>
                <w:rtl w:val="true"/>
              </w:rPr>
              <w:t>]</w:t>
              <w:tab/>
            </w:r>
            <w:r>
              <w:rPr>
                <w:rStyle w:val="IndexLink"/>
              </w:rPr>
              <w:t>159</w:t>
            </w:r>
          </w:hyperlink>
        </w:p>
        <w:p>
          <w:pPr>
            <w:pStyle w:val="Contents3"/>
            <w:tabs>
              <w:tab w:val="clear" w:pos="8459"/>
              <w:tab w:val="right" w:pos="9026" w:leader="dot"/>
            </w:tabs>
            <w:rPr/>
          </w:pPr>
          <w:hyperlink w:anchor="__RefHeading___Toc7543619_1051229030">
            <w:r>
              <w:rPr>
                <w:webHidden/>
                <w:rStyle w:val="IndexLink"/>
                <w:rtl w:val="true"/>
              </w:rPr>
              <w:t xml:space="preserve">أصل </w:t>
            </w:r>
            <w:r>
              <w:rPr>
                <w:rStyle w:val="IndexLink"/>
                <w:rtl w:val="true"/>
              </w:rPr>
              <w:t xml:space="preserve">[ </w:t>
            </w:r>
            <w:r>
              <w:rPr>
                <w:rStyle w:val="IndexLink"/>
                <w:rtl w:val="true"/>
              </w:rPr>
              <w:t xml:space="preserve">في التوبة </w:t>
            </w:r>
            <w:r>
              <w:rPr>
                <w:rStyle w:val="IndexLink"/>
                <w:rtl w:val="true"/>
              </w:rPr>
              <w:t>]</w:t>
              <w:tab/>
            </w:r>
            <w:r>
              <w:rPr>
                <w:rStyle w:val="IndexLink"/>
              </w:rPr>
              <w:t>162</w:t>
            </w:r>
          </w:hyperlink>
        </w:p>
        <w:p>
          <w:pPr>
            <w:pStyle w:val="Contents3"/>
            <w:tabs>
              <w:tab w:val="clear" w:pos="8459"/>
              <w:tab w:val="right" w:pos="9026" w:leader="dot"/>
            </w:tabs>
            <w:rPr/>
          </w:pPr>
          <w:hyperlink w:anchor="__RefHeading___Toc7543621_1051229030">
            <w:r>
              <w:rPr>
                <w:webHidden/>
                <w:rStyle w:val="IndexLink"/>
                <w:rtl w:val="true"/>
              </w:rPr>
              <w:t xml:space="preserve">أصل </w:t>
            </w:r>
            <w:r>
              <w:rPr>
                <w:rStyle w:val="IndexLink"/>
                <w:rtl w:val="true"/>
              </w:rPr>
              <w:t xml:space="preserve">[ </w:t>
            </w:r>
            <w:r>
              <w:rPr>
                <w:rStyle w:val="IndexLink"/>
                <w:rtl w:val="true"/>
              </w:rPr>
              <w:t xml:space="preserve">في الشفاعة </w:t>
            </w:r>
            <w:r>
              <w:rPr>
                <w:rStyle w:val="IndexLink"/>
                <w:rtl w:val="true"/>
              </w:rPr>
              <w:t>]</w:t>
              <w:tab/>
            </w:r>
            <w:r>
              <w:rPr>
                <w:rStyle w:val="IndexLink"/>
              </w:rPr>
              <w:t>164</w:t>
            </w:r>
          </w:hyperlink>
        </w:p>
        <w:p>
          <w:pPr>
            <w:pStyle w:val="Contents2"/>
            <w:tabs>
              <w:tab w:val="clear" w:pos="8743"/>
              <w:tab w:val="right" w:pos="9026" w:leader="dot"/>
            </w:tabs>
            <w:rPr/>
          </w:pPr>
          <w:hyperlink w:anchor="__RefHeading___Toc7543623_1051229030">
            <w:r>
              <w:rPr>
                <w:webHidden/>
                <w:rStyle w:val="IndexLink"/>
                <w:rtl w:val="true"/>
              </w:rPr>
              <w:t>الفهارس الفنية</w:t>
            </w:r>
            <w:r>
              <w:rPr>
                <w:rStyle w:val="IndexLink"/>
                <w:rtl w:val="true"/>
              </w:rPr>
              <w:tab/>
            </w:r>
            <w:r>
              <w:rPr>
                <w:rStyle w:val="IndexLink"/>
              </w:rPr>
              <w:t>167</w:t>
            </w:r>
          </w:hyperlink>
        </w:p>
        <w:p>
          <w:pPr>
            <w:pStyle w:val="Contents2"/>
            <w:tabs>
              <w:tab w:val="clear" w:pos="8743"/>
              <w:tab w:val="right" w:pos="9026" w:leader="dot"/>
            </w:tabs>
            <w:rPr/>
          </w:pPr>
          <w:hyperlink w:anchor="__RefHeading___Toc7543625_1051229030">
            <w:r>
              <w:rPr>
                <w:webHidden/>
                <w:rStyle w:val="IndexLink"/>
                <w:rtl w:val="true"/>
              </w:rPr>
              <w:t>فهرس الآيات القرآنية</w:t>
            </w:r>
            <w:r>
              <w:rPr>
                <w:rStyle w:val="IndexLink"/>
                <w:rtl w:val="true"/>
              </w:rPr>
              <w:tab/>
            </w:r>
            <w:r>
              <w:rPr>
                <w:rStyle w:val="IndexLink"/>
              </w:rPr>
              <w:t>169</w:t>
            </w:r>
          </w:hyperlink>
        </w:p>
        <w:p>
          <w:pPr>
            <w:pStyle w:val="Contents2"/>
            <w:tabs>
              <w:tab w:val="clear" w:pos="8743"/>
              <w:tab w:val="right" w:pos="9026" w:leader="dot"/>
            </w:tabs>
            <w:rPr/>
          </w:pPr>
          <w:hyperlink w:anchor="__RefHeading___Toc7543627_1051229030">
            <w:r>
              <w:rPr>
                <w:webHidden/>
                <w:rStyle w:val="IndexLink"/>
                <w:rtl w:val="true"/>
              </w:rPr>
              <w:t>فهرس الأحاديث</w:t>
            </w:r>
            <w:r>
              <w:rPr>
                <w:rStyle w:val="IndexLink"/>
                <w:rtl w:val="true"/>
              </w:rPr>
              <w:tab/>
            </w:r>
            <w:r>
              <w:rPr>
                <w:rStyle w:val="IndexLink"/>
              </w:rPr>
              <w:t>172</w:t>
            </w:r>
          </w:hyperlink>
        </w:p>
        <w:p>
          <w:pPr>
            <w:pStyle w:val="Contents2"/>
            <w:tabs>
              <w:tab w:val="clear" w:pos="8743"/>
              <w:tab w:val="right" w:pos="9026" w:leader="dot"/>
            </w:tabs>
            <w:rPr/>
          </w:pPr>
          <w:hyperlink w:anchor="__RefHeading___Toc7543629_1051229030">
            <w:r>
              <w:rPr>
                <w:webHidden/>
                <w:rStyle w:val="IndexLink"/>
                <w:rtl w:val="true"/>
              </w:rPr>
              <w:t>فهرس الآثار</w:t>
            </w:r>
            <w:r>
              <w:rPr>
                <w:rStyle w:val="IndexLink"/>
                <w:rtl w:val="true"/>
              </w:rPr>
              <w:tab/>
            </w:r>
            <w:r>
              <w:rPr>
                <w:rStyle w:val="IndexLink"/>
              </w:rPr>
              <w:t>174</w:t>
            </w:r>
          </w:hyperlink>
        </w:p>
        <w:p>
          <w:pPr>
            <w:pStyle w:val="Contents2"/>
            <w:tabs>
              <w:tab w:val="clear" w:pos="8743"/>
              <w:tab w:val="right" w:pos="9026" w:leader="dot"/>
            </w:tabs>
            <w:rPr/>
          </w:pPr>
          <w:hyperlink w:anchor="__RefHeading___Toc7543631_1051229030">
            <w:r>
              <w:rPr>
                <w:webHidden/>
                <w:rStyle w:val="IndexLink"/>
                <w:rtl w:val="true"/>
              </w:rPr>
              <w:t>فهرس الأعلام</w:t>
            </w:r>
            <w:r>
              <w:rPr>
                <w:rStyle w:val="IndexLink"/>
                <w:rtl w:val="true"/>
              </w:rPr>
              <w:tab/>
            </w:r>
            <w:r>
              <w:rPr>
                <w:rStyle w:val="IndexLink"/>
              </w:rPr>
              <w:t>175</w:t>
            </w:r>
          </w:hyperlink>
        </w:p>
        <w:p>
          <w:pPr>
            <w:pStyle w:val="Contents2"/>
            <w:tabs>
              <w:tab w:val="clear" w:pos="8743"/>
              <w:tab w:val="right" w:pos="9026" w:leader="dot"/>
            </w:tabs>
            <w:rPr/>
          </w:pPr>
          <w:hyperlink w:anchor="__RefHeading___Toc7543633_1051229030">
            <w:r>
              <w:rPr>
                <w:webHidden/>
                <w:rStyle w:val="IndexLink"/>
                <w:rtl w:val="true"/>
              </w:rPr>
              <w:t>فهرس الطوائف والقبائل والفرق</w:t>
            </w:r>
            <w:r>
              <w:rPr>
                <w:rStyle w:val="IndexLink"/>
                <w:rtl w:val="true"/>
              </w:rPr>
              <w:tab/>
            </w:r>
            <w:r>
              <w:rPr>
                <w:rStyle w:val="IndexLink"/>
              </w:rPr>
              <w:t>179</w:t>
            </w:r>
          </w:hyperlink>
        </w:p>
        <w:p>
          <w:pPr>
            <w:pStyle w:val="Contents2"/>
            <w:tabs>
              <w:tab w:val="clear" w:pos="8743"/>
              <w:tab w:val="right" w:pos="9026" w:leader="dot"/>
            </w:tabs>
            <w:rPr/>
          </w:pPr>
          <w:hyperlink w:anchor="__RefHeading___Toc7543635_1051229030">
            <w:r>
              <w:rPr>
                <w:webHidden/>
                <w:rStyle w:val="IndexLink"/>
                <w:rtl w:val="true"/>
              </w:rPr>
              <w:t>فهرس الأماكن والبلدان</w:t>
            </w:r>
            <w:r>
              <w:rPr>
                <w:rStyle w:val="IndexLink"/>
                <w:rtl w:val="true"/>
              </w:rPr>
              <w:tab/>
            </w:r>
            <w:r>
              <w:rPr>
                <w:rStyle w:val="IndexLink"/>
              </w:rPr>
              <w:t>181</w:t>
            </w:r>
          </w:hyperlink>
        </w:p>
        <w:p>
          <w:pPr>
            <w:pStyle w:val="Contents2"/>
            <w:tabs>
              <w:tab w:val="clear" w:pos="8743"/>
              <w:tab w:val="right" w:pos="9026" w:leader="dot"/>
            </w:tabs>
            <w:rPr/>
          </w:pPr>
          <w:hyperlink w:anchor="__RefHeading___Toc7543637_1051229030">
            <w:r>
              <w:rPr>
                <w:webHidden/>
                <w:rStyle w:val="IndexLink"/>
                <w:rtl w:val="true"/>
              </w:rPr>
              <w:t>فهرس الكتب الواردة في المتن</w:t>
            </w:r>
            <w:r>
              <w:rPr>
                <w:rStyle w:val="IndexLink"/>
                <w:rtl w:val="true"/>
              </w:rPr>
              <w:tab/>
            </w:r>
            <w:r>
              <w:rPr>
                <w:rStyle w:val="IndexLink"/>
              </w:rPr>
              <w:t>182</w:t>
            </w:r>
          </w:hyperlink>
        </w:p>
        <w:p>
          <w:pPr>
            <w:pStyle w:val="Contents2"/>
            <w:tabs>
              <w:tab w:val="clear" w:pos="8743"/>
              <w:tab w:val="right" w:pos="9026" w:leader="dot"/>
            </w:tabs>
            <w:rPr/>
          </w:pPr>
          <w:hyperlink w:anchor="__RefHeading___Toc7543639_1051229030">
            <w:r>
              <w:rPr>
                <w:webHidden/>
                <w:rStyle w:val="IndexLink"/>
                <w:rtl w:val="true"/>
              </w:rPr>
              <w:t>فهرس مصادر التحقیق</w:t>
            </w:r>
            <w:r>
              <w:rPr>
                <w:rStyle w:val="IndexLink"/>
                <w:rtl w:val="true"/>
              </w:rPr>
              <w:tab/>
            </w:r>
            <w:r>
              <w:rPr>
                <w:rStyle w:val="IndexLink"/>
              </w:rPr>
              <w:t>183</w:t>
            </w:r>
          </w:hyperlink>
        </w:p>
        <w:p>
          <w:pPr>
            <w:pStyle w:val="Contents3"/>
            <w:tabs>
              <w:tab w:val="clear" w:pos="8459"/>
              <w:tab w:val="right" w:pos="9026" w:leader="dot"/>
            </w:tabs>
            <w:rPr/>
          </w:pPr>
          <w:hyperlink w:anchor="__RefHeading___Toc7543641_1051229030">
            <w:r>
              <w:rPr>
                <w:webHidden/>
                <w:rStyle w:val="IndexLink"/>
                <w:rtl w:val="true"/>
              </w:rPr>
              <w:t>«</w:t>
            </w:r>
            <w:r>
              <w:rPr>
                <w:rStyle w:val="IndexLink"/>
                <w:rtl w:val="true"/>
              </w:rPr>
              <w:t>حرف الألف</w:t>
            </w:r>
            <w:r>
              <w:rPr>
                <w:rStyle w:val="IndexLink"/>
                <w:rtl w:val="true"/>
              </w:rPr>
              <w:t>»</w:t>
              <w:tab/>
            </w:r>
            <w:r>
              <w:rPr>
                <w:rStyle w:val="IndexLink"/>
              </w:rPr>
              <w:t>183</w:t>
            </w:r>
          </w:hyperlink>
        </w:p>
        <w:p>
          <w:pPr>
            <w:pStyle w:val="Contents3"/>
            <w:tabs>
              <w:tab w:val="clear" w:pos="8459"/>
              <w:tab w:val="right" w:pos="9026" w:leader="dot"/>
            </w:tabs>
            <w:rPr/>
          </w:pPr>
          <w:hyperlink w:anchor="__RefHeading___Toc7543643_1051229030">
            <w:r>
              <w:rPr>
                <w:webHidden/>
                <w:rStyle w:val="IndexLink"/>
                <w:rtl w:val="true"/>
              </w:rPr>
              <w:t>«</w:t>
            </w:r>
            <w:r>
              <w:rPr>
                <w:rStyle w:val="IndexLink"/>
                <w:rtl w:val="true"/>
              </w:rPr>
              <w:t>حرف الباء</w:t>
            </w:r>
            <w:r>
              <w:rPr>
                <w:rStyle w:val="IndexLink"/>
                <w:rtl w:val="true"/>
              </w:rPr>
              <w:t>»</w:t>
              <w:tab/>
            </w:r>
            <w:r>
              <w:rPr>
                <w:rStyle w:val="IndexLink"/>
              </w:rPr>
              <w:t>185</w:t>
            </w:r>
          </w:hyperlink>
        </w:p>
        <w:p>
          <w:pPr>
            <w:pStyle w:val="Contents3"/>
            <w:tabs>
              <w:tab w:val="clear" w:pos="8459"/>
              <w:tab w:val="right" w:pos="9026" w:leader="dot"/>
            </w:tabs>
            <w:rPr/>
          </w:pPr>
          <w:hyperlink w:anchor="__RefHeading___Toc7543645_1051229030">
            <w:r>
              <w:rPr>
                <w:webHidden/>
                <w:rStyle w:val="IndexLink"/>
                <w:rtl w:val="true"/>
              </w:rPr>
              <w:t>«</w:t>
            </w:r>
            <w:r>
              <w:rPr>
                <w:rStyle w:val="IndexLink"/>
                <w:rtl w:val="true"/>
              </w:rPr>
              <w:t>حرف التاء</w:t>
            </w:r>
            <w:r>
              <w:rPr>
                <w:rStyle w:val="IndexLink"/>
                <w:rtl w:val="true"/>
              </w:rPr>
              <w:t>»</w:t>
              <w:tab/>
            </w:r>
            <w:r>
              <w:rPr>
                <w:rStyle w:val="IndexLink"/>
              </w:rPr>
              <w:t>185</w:t>
            </w:r>
          </w:hyperlink>
        </w:p>
        <w:p>
          <w:pPr>
            <w:pStyle w:val="Contents3"/>
            <w:tabs>
              <w:tab w:val="clear" w:pos="8459"/>
              <w:tab w:val="right" w:pos="9026" w:leader="dot"/>
            </w:tabs>
            <w:rPr/>
          </w:pPr>
          <w:hyperlink w:anchor="__RefHeading___Toc7543647_1051229030">
            <w:r>
              <w:rPr>
                <w:webHidden/>
                <w:rStyle w:val="IndexLink"/>
                <w:rtl w:val="true"/>
              </w:rPr>
              <w:t>«</w:t>
            </w:r>
            <w:r>
              <w:rPr>
                <w:rStyle w:val="IndexLink"/>
                <w:rtl w:val="true"/>
              </w:rPr>
              <w:t>حرف الثاء</w:t>
            </w:r>
            <w:r>
              <w:rPr>
                <w:rStyle w:val="IndexLink"/>
                <w:rtl w:val="true"/>
              </w:rPr>
              <w:t>»</w:t>
              <w:tab/>
            </w:r>
            <w:r>
              <w:rPr>
                <w:rStyle w:val="IndexLink"/>
              </w:rPr>
              <w:t>186</w:t>
            </w:r>
          </w:hyperlink>
        </w:p>
        <w:p>
          <w:pPr>
            <w:pStyle w:val="Contents3"/>
            <w:tabs>
              <w:tab w:val="clear" w:pos="8459"/>
              <w:tab w:val="right" w:pos="9026" w:leader="dot"/>
            </w:tabs>
            <w:rPr/>
          </w:pPr>
          <w:hyperlink w:anchor="__RefHeading___Toc7543649_1051229030">
            <w:r>
              <w:rPr>
                <w:webHidden/>
                <w:rStyle w:val="IndexLink"/>
                <w:rtl w:val="true"/>
              </w:rPr>
              <w:t>نحرف الجيم</w:t>
            </w:r>
            <w:r>
              <w:rPr>
                <w:rStyle w:val="IndexLink"/>
                <w:rtl w:val="true"/>
              </w:rPr>
              <w:t>»</w:t>
              <w:tab/>
            </w:r>
            <w:r>
              <w:rPr>
                <w:rStyle w:val="IndexLink"/>
              </w:rPr>
              <w:t>186</w:t>
            </w:r>
          </w:hyperlink>
        </w:p>
        <w:p>
          <w:pPr>
            <w:pStyle w:val="Contents3"/>
            <w:tabs>
              <w:tab w:val="clear" w:pos="8459"/>
              <w:tab w:val="right" w:pos="9026" w:leader="dot"/>
            </w:tabs>
            <w:rPr/>
          </w:pPr>
          <w:hyperlink w:anchor="__RefHeading___Toc7543651_1051229030">
            <w:r>
              <w:rPr>
                <w:webHidden/>
                <w:rStyle w:val="IndexLink"/>
                <w:rtl w:val="true"/>
              </w:rPr>
              <w:t>«</w:t>
            </w:r>
            <w:r>
              <w:rPr>
                <w:rStyle w:val="IndexLink"/>
                <w:rtl w:val="true"/>
              </w:rPr>
              <w:t>حرف الحاء</w:t>
            </w:r>
            <w:r>
              <w:rPr>
                <w:rStyle w:val="IndexLink"/>
                <w:rtl w:val="true"/>
              </w:rPr>
              <w:t>»</w:t>
              <w:tab/>
            </w:r>
            <w:r>
              <w:rPr>
                <w:rStyle w:val="IndexLink"/>
              </w:rPr>
              <w:t>187</w:t>
            </w:r>
          </w:hyperlink>
        </w:p>
        <w:p>
          <w:pPr>
            <w:pStyle w:val="Contents3"/>
            <w:tabs>
              <w:tab w:val="clear" w:pos="8459"/>
              <w:tab w:val="right" w:pos="9026" w:leader="dot"/>
            </w:tabs>
            <w:rPr/>
          </w:pPr>
          <w:hyperlink w:anchor="__RefHeading___Toc7543653_1051229030">
            <w:r>
              <w:rPr>
                <w:webHidden/>
                <w:rStyle w:val="IndexLink"/>
                <w:rtl w:val="true"/>
              </w:rPr>
              <w:t>«</w:t>
            </w:r>
            <w:r>
              <w:rPr>
                <w:rStyle w:val="IndexLink"/>
                <w:rtl w:val="true"/>
              </w:rPr>
              <w:t>حرف الخاء</w:t>
            </w:r>
            <w:r>
              <w:rPr>
                <w:rStyle w:val="IndexLink"/>
                <w:rtl w:val="true"/>
              </w:rPr>
              <w:t>»</w:t>
              <w:tab/>
            </w:r>
            <w:r>
              <w:rPr>
                <w:rStyle w:val="IndexLink"/>
              </w:rPr>
              <w:t>187</w:t>
            </w:r>
          </w:hyperlink>
        </w:p>
        <w:p>
          <w:pPr>
            <w:pStyle w:val="Contents3"/>
            <w:tabs>
              <w:tab w:val="clear" w:pos="8459"/>
              <w:tab w:val="right" w:pos="9026" w:leader="dot"/>
            </w:tabs>
            <w:rPr/>
          </w:pPr>
          <w:hyperlink w:anchor="__RefHeading___Toc7543655_1051229030">
            <w:r>
              <w:rPr>
                <w:webHidden/>
                <w:rStyle w:val="IndexLink"/>
                <w:rtl w:val="true"/>
              </w:rPr>
              <w:t>«</w:t>
            </w:r>
            <w:r>
              <w:rPr>
                <w:rStyle w:val="IndexLink"/>
                <w:rtl w:val="true"/>
              </w:rPr>
              <w:t>حرف الدال</w:t>
            </w:r>
            <w:r>
              <w:rPr>
                <w:rStyle w:val="IndexLink"/>
                <w:rtl w:val="true"/>
              </w:rPr>
              <w:t>»</w:t>
              <w:tab/>
            </w:r>
            <w:r>
              <w:rPr>
                <w:rStyle w:val="IndexLink"/>
              </w:rPr>
              <w:t>187</w:t>
            </w:r>
          </w:hyperlink>
        </w:p>
        <w:p>
          <w:pPr>
            <w:pStyle w:val="Contents3"/>
            <w:tabs>
              <w:tab w:val="clear" w:pos="8459"/>
              <w:tab w:val="right" w:pos="9026" w:leader="dot"/>
            </w:tabs>
            <w:rPr/>
          </w:pPr>
          <w:hyperlink w:anchor="__RefHeading___Toc7543657_1051229030">
            <w:r>
              <w:rPr>
                <w:webHidden/>
                <w:rStyle w:val="IndexLink"/>
                <w:rtl w:val="true"/>
              </w:rPr>
              <w:t>«</w:t>
            </w:r>
            <w:r>
              <w:rPr>
                <w:rStyle w:val="IndexLink"/>
                <w:rtl w:val="true"/>
              </w:rPr>
              <w:t>حرف الذال</w:t>
            </w:r>
            <w:r>
              <w:rPr>
                <w:rStyle w:val="IndexLink"/>
                <w:rtl w:val="true"/>
              </w:rPr>
              <w:t>»</w:t>
              <w:tab/>
            </w:r>
            <w:r>
              <w:rPr>
                <w:rStyle w:val="IndexLink"/>
              </w:rPr>
              <w:t>187</w:t>
            </w:r>
          </w:hyperlink>
        </w:p>
        <w:p>
          <w:pPr>
            <w:pStyle w:val="Contents3"/>
            <w:tabs>
              <w:tab w:val="clear" w:pos="8459"/>
              <w:tab w:val="right" w:pos="9026" w:leader="dot"/>
            </w:tabs>
            <w:rPr/>
          </w:pPr>
          <w:hyperlink w:anchor="__RefHeading___Toc7543659_1051229030">
            <w:r>
              <w:rPr>
                <w:webHidden/>
                <w:rStyle w:val="IndexLink"/>
                <w:rtl w:val="true"/>
              </w:rPr>
              <w:t>«</w:t>
            </w:r>
            <w:r>
              <w:rPr>
                <w:rStyle w:val="IndexLink"/>
                <w:rtl w:val="true"/>
              </w:rPr>
              <w:t>حرف الراء</w:t>
            </w:r>
            <w:r>
              <w:rPr>
                <w:rStyle w:val="IndexLink"/>
                <w:rtl w:val="true"/>
              </w:rPr>
              <w:t>»</w:t>
              <w:tab/>
            </w:r>
            <w:r>
              <w:rPr>
                <w:rStyle w:val="IndexLink"/>
              </w:rPr>
              <w:t>188</w:t>
            </w:r>
          </w:hyperlink>
        </w:p>
        <w:p>
          <w:pPr>
            <w:pStyle w:val="Contents3"/>
            <w:tabs>
              <w:tab w:val="clear" w:pos="8459"/>
              <w:tab w:val="right" w:pos="9026" w:leader="dot"/>
            </w:tabs>
            <w:rPr/>
          </w:pPr>
          <w:hyperlink w:anchor="__RefHeading___Toc7543661_1051229030">
            <w:r>
              <w:rPr>
                <w:webHidden/>
                <w:rStyle w:val="IndexLink"/>
                <w:rtl w:val="true"/>
              </w:rPr>
              <w:t>«</w:t>
            </w:r>
            <w:r>
              <w:rPr>
                <w:rStyle w:val="IndexLink"/>
                <w:rtl w:val="true"/>
              </w:rPr>
              <w:t>حرف السين</w:t>
            </w:r>
            <w:r>
              <w:rPr>
                <w:rStyle w:val="IndexLink"/>
                <w:rtl w:val="true"/>
              </w:rPr>
              <w:t>»</w:t>
              <w:tab/>
            </w:r>
            <w:r>
              <w:rPr>
                <w:rStyle w:val="IndexLink"/>
              </w:rPr>
              <w:t>188</w:t>
            </w:r>
          </w:hyperlink>
        </w:p>
        <w:p>
          <w:pPr>
            <w:pStyle w:val="Contents3"/>
            <w:tabs>
              <w:tab w:val="clear" w:pos="8459"/>
              <w:tab w:val="right" w:pos="9026" w:leader="dot"/>
            </w:tabs>
            <w:rPr/>
          </w:pPr>
          <w:hyperlink w:anchor="__RefHeading___Toc7543663_1051229030">
            <w:r>
              <w:rPr>
                <w:webHidden/>
                <w:rStyle w:val="IndexLink"/>
                <w:rtl w:val="true"/>
              </w:rPr>
              <w:t>«</w:t>
            </w:r>
            <w:r>
              <w:rPr>
                <w:rStyle w:val="IndexLink"/>
                <w:rtl w:val="true"/>
              </w:rPr>
              <w:t>حرف الشين</w:t>
            </w:r>
            <w:r>
              <w:rPr>
                <w:rStyle w:val="IndexLink"/>
                <w:rtl w:val="true"/>
              </w:rPr>
              <w:t>»</w:t>
              <w:tab/>
            </w:r>
            <w:r>
              <w:rPr>
                <w:rStyle w:val="IndexLink"/>
              </w:rPr>
              <w:t>189</w:t>
            </w:r>
          </w:hyperlink>
        </w:p>
        <w:p>
          <w:pPr>
            <w:pStyle w:val="Contents3"/>
            <w:tabs>
              <w:tab w:val="clear" w:pos="8459"/>
              <w:tab w:val="right" w:pos="9026" w:leader="dot"/>
            </w:tabs>
            <w:rPr/>
          </w:pPr>
          <w:hyperlink w:anchor="__RefHeading___Toc7543665_1051229030">
            <w:r>
              <w:rPr>
                <w:webHidden/>
                <w:rStyle w:val="IndexLink"/>
                <w:rtl w:val="true"/>
              </w:rPr>
              <w:t>«</w:t>
            </w:r>
            <w:r>
              <w:rPr>
                <w:rStyle w:val="IndexLink"/>
                <w:rtl w:val="true"/>
              </w:rPr>
              <w:t>حرف الصاد</w:t>
            </w:r>
            <w:r>
              <w:rPr>
                <w:rStyle w:val="IndexLink"/>
                <w:rtl w:val="true"/>
              </w:rPr>
              <w:t>»</w:t>
              <w:tab/>
            </w:r>
            <w:r>
              <w:rPr>
                <w:rStyle w:val="IndexLink"/>
              </w:rPr>
              <w:t>189</w:t>
            </w:r>
          </w:hyperlink>
        </w:p>
        <w:p>
          <w:pPr>
            <w:pStyle w:val="Contents3"/>
            <w:tabs>
              <w:tab w:val="clear" w:pos="8459"/>
              <w:tab w:val="right" w:pos="9026" w:leader="dot"/>
            </w:tabs>
            <w:rPr/>
          </w:pPr>
          <w:hyperlink w:anchor="__RefHeading___Toc7543667_1051229030">
            <w:r>
              <w:rPr>
                <w:webHidden/>
                <w:rStyle w:val="IndexLink"/>
                <w:rtl w:val="true"/>
              </w:rPr>
              <w:t>«</w:t>
            </w:r>
            <w:r>
              <w:rPr>
                <w:rStyle w:val="IndexLink"/>
                <w:rtl w:val="true"/>
              </w:rPr>
              <w:t>حرف الطاء</w:t>
            </w:r>
            <w:r>
              <w:rPr>
                <w:rStyle w:val="IndexLink"/>
                <w:rtl w:val="true"/>
              </w:rPr>
              <w:t>»</w:t>
              <w:tab/>
            </w:r>
            <w:r>
              <w:rPr>
                <w:rStyle w:val="IndexLink"/>
              </w:rPr>
              <w:t>190</w:t>
            </w:r>
          </w:hyperlink>
        </w:p>
        <w:p>
          <w:pPr>
            <w:pStyle w:val="Contents3"/>
            <w:tabs>
              <w:tab w:val="clear" w:pos="8459"/>
              <w:tab w:val="right" w:pos="9026" w:leader="dot"/>
            </w:tabs>
            <w:rPr/>
          </w:pPr>
          <w:hyperlink w:anchor="__RefHeading___Toc7543669_1051229030">
            <w:r>
              <w:rPr>
                <w:webHidden/>
                <w:rStyle w:val="IndexLink"/>
                <w:rtl w:val="true"/>
              </w:rPr>
              <w:t>«</w:t>
            </w:r>
            <w:r>
              <w:rPr>
                <w:rStyle w:val="IndexLink"/>
                <w:rtl w:val="true"/>
              </w:rPr>
              <w:t>حرف العين</w:t>
            </w:r>
            <w:r>
              <w:rPr>
                <w:rStyle w:val="IndexLink"/>
                <w:rtl w:val="true"/>
              </w:rPr>
              <w:t>»</w:t>
              <w:tab/>
            </w:r>
            <w:r>
              <w:rPr>
                <w:rStyle w:val="IndexLink"/>
              </w:rPr>
              <w:t>190</w:t>
            </w:r>
          </w:hyperlink>
        </w:p>
        <w:p>
          <w:pPr>
            <w:pStyle w:val="Contents3"/>
            <w:tabs>
              <w:tab w:val="clear" w:pos="8459"/>
              <w:tab w:val="right" w:pos="9026" w:leader="dot"/>
            </w:tabs>
            <w:rPr/>
          </w:pPr>
          <w:hyperlink w:anchor="__RefHeading___Toc7543671_1051229030">
            <w:r>
              <w:rPr>
                <w:webHidden/>
                <w:rStyle w:val="IndexLink"/>
                <w:rtl w:val="true"/>
              </w:rPr>
              <w:t>«</w:t>
            </w:r>
            <w:r>
              <w:rPr>
                <w:rStyle w:val="IndexLink"/>
                <w:rtl w:val="true"/>
              </w:rPr>
              <w:t>حرف الغين</w:t>
            </w:r>
            <w:r>
              <w:rPr>
                <w:rStyle w:val="IndexLink"/>
                <w:rtl w:val="true"/>
              </w:rPr>
              <w:t>»</w:t>
              <w:tab/>
            </w:r>
            <w:r>
              <w:rPr>
                <w:rStyle w:val="IndexLink"/>
              </w:rPr>
              <w:t>191</w:t>
            </w:r>
          </w:hyperlink>
        </w:p>
        <w:p>
          <w:pPr>
            <w:pStyle w:val="Contents3"/>
            <w:tabs>
              <w:tab w:val="clear" w:pos="8459"/>
              <w:tab w:val="right" w:pos="9026" w:leader="dot"/>
            </w:tabs>
            <w:rPr/>
          </w:pPr>
          <w:hyperlink w:anchor="__RefHeading___Toc7543673_1051229030">
            <w:r>
              <w:rPr>
                <w:webHidden/>
                <w:rStyle w:val="IndexLink"/>
                <w:rtl w:val="true"/>
              </w:rPr>
              <w:t>«</w:t>
            </w:r>
            <w:r>
              <w:rPr>
                <w:rStyle w:val="IndexLink"/>
                <w:rtl w:val="true"/>
              </w:rPr>
              <w:t>حرف الفاء</w:t>
            </w:r>
            <w:r>
              <w:rPr>
                <w:rStyle w:val="IndexLink"/>
                <w:rtl w:val="true"/>
              </w:rPr>
              <w:t>»</w:t>
              <w:tab/>
            </w:r>
            <w:r>
              <w:rPr>
                <w:rStyle w:val="IndexLink"/>
              </w:rPr>
              <w:t>191</w:t>
            </w:r>
          </w:hyperlink>
        </w:p>
        <w:p>
          <w:pPr>
            <w:pStyle w:val="Contents3"/>
            <w:tabs>
              <w:tab w:val="clear" w:pos="8459"/>
              <w:tab w:val="right" w:pos="9026" w:leader="dot"/>
            </w:tabs>
            <w:rPr/>
          </w:pPr>
          <w:hyperlink w:anchor="__RefHeading___Toc7543675_1051229030">
            <w:r>
              <w:rPr>
                <w:webHidden/>
                <w:rStyle w:val="IndexLink"/>
                <w:rtl w:val="true"/>
              </w:rPr>
              <w:t>«</w:t>
            </w:r>
            <w:r>
              <w:rPr>
                <w:rStyle w:val="IndexLink"/>
                <w:rtl w:val="true"/>
              </w:rPr>
              <w:t>حرف القاف</w:t>
            </w:r>
            <w:r>
              <w:rPr>
                <w:rStyle w:val="IndexLink"/>
                <w:rtl w:val="true"/>
              </w:rPr>
              <w:t>»</w:t>
              <w:tab/>
            </w:r>
            <w:r>
              <w:rPr>
                <w:rStyle w:val="IndexLink"/>
              </w:rPr>
              <w:t>191</w:t>
            </w:r>
          </w:hyperlink>
        </w:p>
        <w:p>
          <w:pPr>
            <w:pStyle w:val="Contents3"/>
            <w:tabs>
              <w:tab w:val="clear" w:pos="8459"/>
              <w:tab w:val="right" w:pos="9026" w:leader="dot"/>
            </w:tabs>
            <w:rPr/>
          </w:pPr>
          <w:hyperlink w:anchor="__RefHeading___Toc7543677_1051229030">
            <w:r>
              <w:rPr>
                <w:webHidden/>
                <w:rStyle w:val="IndexLink"/>
                <w:rtl w:val="true"/>
              </w:rPr>
              <w:t>«</w:t>
            </w:r>
            <w:r>
              <w:rPr>
                <w:rStyle w:val="IndexLink"/>
                <w:rtl w:val="true"/>
              </w:rPr>
              <w:t>حرف الكاف</w:t>
            </w:r>
            <w:r>
              <w:rPr>
                <w:rStyle w:val="IndexLink"/>
                <w:rtl w:val="true"/>
              </w:rPr>
              <w:t>»</w:t>
              <w:tab/>
            </w:r>
            <w:r>
              <w:rPr>
                <w:rStyle w:val="IndexLink"/>
              </w:rPr>
              <w:t>192</w:t>
            </w:r>
          </w:hyperlink>
        </w:p>
        <w:p>
          <w:pPr>
            <w:pStyle w:val="Contents3"/>
            <w:tabs>
              <w:tab w:val="clear" w:pos="8459"/>
              <w:tab w:val="right" w:pos="9026" w:leader="dot"/>
            </w:tabs>
            <w:rPr/>
          </w:pPr>
          <w:hyperlink w:anchor="__RefHeading___Toc7543679_1051229030">
            <w:r>
              <w:rPr>
                <w:webHidden/>
                <w:rStyle w:val="IndexLink"/>
                <w:rtl w:val="true"/>
              </w:rPr>
              <w:t>«</w:t>
            </w:r>
            <w:r>
              <w:rPr>
                <w:rStyle w:val="IndexLink"/>
                <w:rtl w:val="true"/>
              </w:rPr>
              <w:t>حرف اللام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7543681_1051229030">
            <w:r>
              <w:rPr>
                <w:webHidden/>
                <w:rStyle w:val="IndexLink"/>
                <w:rtl w:val="true"/>
              </w:rPr>
              <w:t>«</w:t>
            </w:r>
            <w:r>
              <w:rPr>
                <w:rStyle w:val="IndexLink"/>
                <w:rtl w:val="true"/>
              </w:rPr>
              <w:t>حرف الميم</w:t>
            </w:r>
            <w:r>
              <w:rPr>
                <w:rStyle w:val="IndexLink"/>
                <w:rtl w:val="true"/>
              </w:rPr>
              <w:t>»</w:t>
              <w:tab/>
            </w:r>
            <w:r>
              <w:rPr>
                <w:rStyle w:val="IndexLink"/>
              </w:rPr>
              <w:t>192</w:t>
            </w:r>
          </w:hyperlink>
        </w:p>
        <w:p>
          <w:pPr>
            <w:pStyle w:val="Contents3"/>
            <w:tabs>
              <w:tab w:val="clear" w:pos="8459"/>
              <w:tab w:val="right" w:pos="9026" w:leader="dot"/>
            </w:tabs>
            <w:rPr/>
          </w:pPr>
          <w:hyperlink w:anchor="__RefHeading___Toc7543683_1051229030">
            <w:r>
              <w:rPr>
                <w:webHidden/>
                <w:rStyle w:val="IndexLink"/>
                <w:rtl w:val="true"/>
              </w:rPr>
              <w:t>«</w:t>
            </w:r>
            <w:r>
              <w:rPr>
                <w:rStyle w:val="IndexLink"/>
                <w:rtl w:val="true"/>
              </w:rPr>
              <w:t>حرف النون</w:t>
            </w:r>
            <w:r>
              <w:rPr>
                <w:rStyle w:val="IndexLink"/>
                <w:rtl w:val="true"/>
              </w:rPr>
              <w:t>»</w:t>
              <w:tab/>
            </w:r>
            <w:r>
              <w:rPr>
                <w:rStyle w:val="IndexLink"/>
              </w:rPr>
              <w:t>194</w:t>
            </w:r>
          </w:hyperlink>
        </w:p>
        <w:p>
          <w:pPr>
            <w:pStyle w:val="Contents3"/>
            <w:tabs>
              <w:tab w:val="clear" w:pos="8459"/>
              <w:tab w:val="right" w:pos="9026" w:leader="dot"/>
            </w:tabs>
            <w:rPr/>
          </w:pPr>
          <w:hyperlink w:anchor="__RefHeading___Toc7543685_1051229030">
            <w:r>
              <w:rPr>
                <w:webHidden/>
                <w:rStyle w:val="IndexLink"/>
                <w:rtl w:val="true"/>
              </w:rPr>
              <w:t>«</w:t>
            </w:r>
            <w:r>
              <w:rPr>
                <w:rStyle w:val="IndexLink"/>
                <w:rtl w:val="true"/>
              </w:rPr>
              <w:t>حرف الواو</w:t>
            </w:r>
            <w:r>
              <w:rPr>
                <w:rStyle w:val="IndexLink"/>
                <w:rtl w:val="true"/>
              </w:rPr>
              <w:t>»</w:t>
              <w:tab/>
            </w:r>
            <w:r>
              <w:rPr>
                <w:rStyle w:val="IndexLink"/>
              </w:rPr>
              <w:t>195</w:t>
            </w:r>
          </w:hyperlink>
        </w:p>
        <w:p>
          <w:pPr>
            <w:pStyle w:val="Contents3"/>
            <w:tabs>
              <w:tab w:val="clear" w:pos="8459"/>
              <w:tab w:val="right" w:pos="9026" w:leader="dot"/>
            </w:tabs>
            <w:rPr/>
          </w:pPr>
          <w:hyperlink w:anchor="__RefHeading___Toc7543687_1051229030">
            <w:r>
              <w:rPr>
                <w:webHidden/>
                <w:rStyle w:val="IndexLink"/>
                <w:rtl w:val="true"/>
              </w:rPr>
              <w:t>«</w:t>
            </w:r>
            <w:r>
              <w:rPr>
                <w:rStyle w:val="IndexLink"/>
                <w:rtl w:val="true"/>
              </w:rPr>
              <w:t>حرف الهاء</w:t>
            </w:r>
            <w:r>
              <w:rPr>
                <w:rStyle w:val="IndexLink"/>
                <w:rtl w:val="true"/>
              </w:rPr>
              <w:t>»</w:t>
              <w:tab/>
            </w:r>
            <w:r>
              <w:rPr>
                <w:rStyle w:val="IndexLink"/>
              </w:rPr>
              <w:t>195</w:t>
            </w:r>
          </w:hyperlink>
        </w:p>
        <w:p>
          <w:pPr>
            <w:pStyle w:val="Contents2"/>
            <w:tabs>
              <w:tab w:val="clear" w:pos="8743"/>
              <w:tab w:val="right" w:pos="9026" w:leader="dot"/>
            </w:tabs>
            <w:rPr/>
          </w:pPr>
          <w:hyperlink w:anchor="__RefHeading___Toc7543689_1051229030">
            <w:r>
              <w:rPr>
                <w:webHidden/>
                <w:rStyle w:val="IndexLink"/>
                <w:rtl w:val="true"/>
              </w:rPr>
              <w:t>فهرس الموضوعات</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69_112118"/>
      <w:bookmarkStart w:id="1" w:name="pg10769_112118"/>
      <w:bookmarkEnd w:id="1"/>
    </w:p>
    <w:p>
      <w:pPr>
        <w:pStyle w:val="Heading2"/>
        <w:numPr>
          <w:ilvl w:val="1"/>
          <w:numId w:val="1"/>
        </w:numPr>
        <w:rPr/>
      </w:pPr>
      <w:bookmarkStart w:id="2" w:name="pg10769_112118"/>
      <w:bookmarkStart w:id="3" w:name="__RefHeading___Toc7543315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مَکتَبَة وَ دار مَحظوُظات</w:t>
      </w:r>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مَعَارِجُ الْأَفْهَامَ</w:t>
      </w:r>
    </w:p>
    <w:p>
      <w:pPr>
        <w:pStyle w:val="BookText"/>
        <w:rPr/>
      </w:pPr>
      <w:r>
        <w:rPr>
          <w:rFonts w:ascii="Amiri" w:hAnsi="Amiri" w:eastAsia="Amiri" w:cs="Amiri"/>
          <w:color w:val="111111"/>
          <w:sz w:val="28"/>
          <w:sz w:val="28"/>
          <w:szCs w:val="28"/>
          <w:rtl w:val="true"/>
          <w:lang w:bidi="ar-SA"/>
        </w:rPr>
        <w:t>إلَی عِلْمِ الْکَلَامْ</w:t>
      </w:r>
    </w:p>
    <w:p>
      <w:pPr>
        <w:pStyle w:val="BookText"/>
        <w:rPr/>
      </w:pPr>
      <w:r>
        <w:rPr>
          <w:rFonts w:ascii="Amiri" w:hAnsi="Amiri" w:eastAsia="Amiri" w:cs="Amiri"/>
          <w:color w:val="111111"/>
          <w:sz w:val="28"/>
          <w:sz w:val="28"/>
          <w:szCs w:val="28"/>
          <w:rtl w:val="true"/>
          <w:lang w:bidi="ar-SA"/>
        </w:rPr>
        <w:t xml:space="preserve">تالیفُ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جَمال الدِین احمَد على الجيعي الكنعي</w:t>
      </w:r>
    </w:p>
    <w:p>
      <w:pPr>
        <w:pStyle w:val="BookText"/>
        <w:rPr/>
      </w:pPr>
      <w:r>
        <w:rPr>
          <w:rFonts w:ascii="Amiri" w:hAnsi="Amiri" w:eastAsia="Amiri" w:cs="Amiri"/>
          <w:color w:val="111111"/>
          <w:sz w:val="28"/>
          <w:sz w:val="28"/>
          <w:szCs w:val="28"/>
          <w:rtl w:val="true"/>
          <w:lang w:bidi="ar-SA"/>
        </w:rPr>
        <w:t>من أعلام القرن التاسع الهجري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عَبد الحليم عَوض الحيايَ</w:t>
      </w:r>
    </w:p>
    <w:p>
      <w:pPr>
        <w:pStyle w:val="BookText"/>
        <w:rPr/>
      </w:pPr>
      <w:r>
        <w:rPr>
          <w:rFonts w:ascii="Amiri" w:hAnsi="Amiri" w:eastAsia="Amiri" w:cs="Amiri"/>
          <w:color w:val="111111"/>
          <w:sz w:val="28"/>
          <w:sz w:val="28"/>
          <w:szCs w:val="28"/>
          <w:rtl w:val="true"/>
          <w:lang w:bidi="ar-SA"/>
        </w:rPr>
        <w:t>صودق عليه من قبل</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pStyle w:val="BookText"/>
        <w:rPr/>
      </w:pPr>
      <w:r>
        <w:rPr>
          <w:rFonts w:ascii="Amiri" w:hAnsi="Amiri" w:eastAsia="Amiri" w:cs="Amiri"/>
          <w:color w:val="111111"/>
          <w:sz w:val="28"/>
          <w:sz w:val="28"/>
          <w:szCs w:val="28"/>
          <w:rtl w:val="true"/>
          <w:lang w:bidi="ar-SA"/>
        </w:rPr>
        <w:t>وحدة التحقيق في مكتبة العتبة العبّاسية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43317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abbas_library@yahoo.com</w:t>
      </w:r>
    </w:p>
    <w:p>
      <w:pPr>
        <w:pStyle w:val="BookText"/>
        <w:rPr/>
      </w:pPr>
      <w:r>
        <w:rPr>
          <w:rFonts w:eastAsia="Times New Roman" w:cs="Times New Roman" w:ascii="Times New Roman" w:hAnsi="Times New Roman"/>
          <w:color w:val="111111"/>
          <w:sz w:val="28"/>
          <w:szCs w:val="28"/>
          <w:lang w:val="en-US" w:bidi="en-US"/>
        </w:rPr>
        <w:t>BP</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الكفعمي ، أحمد بن علي ، القرن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معارج الأفهام إلى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 الدين أحمد بن علي الجمعي الكفعمي ؛ تحقيق عبد الحلیم عوض الحلي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مراجعة وتصحيح وحدة التحقيق في مكتبة ودار مخطوطات العتبة العباسية المقدسة </w:t>
      </w:r>
      <w:r>
        <w:rPr>
          <w:rFonts w:eastAsia="IRNazanin" w:cs="IRNazanin"/>
          <w:color w:val="111111"/>
          <w:sz w:val="28"/>
          <w:szCs w:val="28"/>
          <w:rtl w:val="true"/>
          <w:lang w:bidi="fa-IR"/>
        </w:rPr>
        <w:t xml:space="preserve">] . _ </w:t>
      </w: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ودار مخطوطات العتبة العباسية المقدسة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_ (</w:t>
      </w:r>
      <w:r>
        <w:rPr>
          <w:rFonts w:ascii="Amiri" w:hAnsi="Amiri" w:eastAsia="Amiri" w:cs="Amiri"/>
          <w:color w:val="111111"/>
          <w:sz w:val="28"/>
          <w:sz w:val="28"/>
          <w:szCs w:val="28"/>
          <w:rtl w:val="true"/>
          <w:lang w:bidi="ar-SA"/>
        </w:rPr>
        <w:t xml:space="preserve">منشورات مكتبة ودار مخطوطات العتبة العباسية المقدسة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للكتاب عدة 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في علم الكلام ؛ معارج الوصول إلى علم الأصول ؛ معراج الوصول إلى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_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في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 أحمد بن علي ، القرن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عبد الحليم عوض ،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ودار مخطوطات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في علم الكلام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الوصول إلى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تصنيف وحدة الفهرسة حسب النظام العالمي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L.C.C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أحمد بن علي الجمعي الكفعمي قّس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الطباعي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نوار الحسيني علي سلوم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الثاني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69_112122"/>
      <w:bookmarkStart w:id="8" w:name="pg10769_112122"/>
      <w:bookmarkEnd w:id="8"/>
    </w:p>
    <w:p>
      <w:pPr>
        <w:pStyle w:val="Heading2"/>
        <w:numPr>
          <w:ilvl w:val="1"/>
          <w:numId w:val="1"/>
        </w:numPr>
        <w:rPr/>
      </w:pPr>
      <w:bookmarkStart w:id="9" w:name="pg10769_112122"/>
      <w:bookmarkStart w:id="10" w:name="__RefHeading___Toc7543319_1051229030"/>
      <w:bookmarkStart w:id="11" w:name="_Toc3"/>
      <w:bookmarkEnd w:id="9"/>
      <w:bookmarkEnd w:id="10"/>
      <w:r>
        <w:rPr>
          <w:rtl w:val="true"/>
        </w:rPr>
        <w:t>مقدمة المکتبة</w:t>
      </w:r>
      <w:bookmarkEnd w:id="1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وله الحمد والمجد والصلاة والسلام على رسوله الأمجد المحمود الأحمد أبي القاسم محمد، وعلى أهل بيته وولاة أمره، واللعنة الدائمة على أعدائهم، ومن سار بركبهم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مكتبة ودار مخطوطات العتبة العباسية المقدسة المشرفة على مشرفها آلاف التحية والسلام؛ يسرها أن تقدم إلى رواد المعرفة، كتاب معارج الإفهام، تأليف الشيخ جمال الدين احمد بن علي الجبعي الكفعمي، شقيق صاحب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اسم على مسمى اذ انه يعرج بقارئه إلى رحاب علم الكلام، الذي هو أشرف العلوم حيث إن شرف العلم بشرف موضوعه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 خاف على القارئ اللبيب أهمية هذا الموضوع، وما ينطوي عليه من آثار معرفية، عقائدية تبحث عن وجود الله تعالى ووحدانيته وتنزيهه، وعن صفاته وكذاك عن الأصول الخمسة، وما يتعلق بها من مباحث مستقاة من الكتاب المجيد والسنة المطهرة المتمثلة بحديث النبي صلّی الله علیه و آله والعترة من آل بيته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الأهمية بمكان الإثارة إلى أن مكتبة العتبة العباسية المشرقة وبعد إعادة تأهيلها؛ أخذت على عاتقها تحقيق ونشر التراث الإسلامي الأصيل إشعارا منها بأهمية المرحلة، ومجابهة الهجمات الفكرية الشرسة الموجهة للتشكيك والطعن في صلب العقيدة الإسلامية فرأينا إن من الواجب علينا القيام بالدور المناسب في هذا المقام وذلك من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والتنقيب وإظهار الكتب ذات القيمة الفكرية العالية لترى صفحاتها النور وليستنير بها طلاب الحق، ومتذوقوا الفكر الأصيل البعيد عن التعصب والمنزه عن الأنحراف المنتهج سبيل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الختام، تقدم شكرنا، وتقديرنا العالي، إلى الأخ المحقق الأستاذ عبد الحليم عوض الحلي على تحقيقه هذا السفر القيم ونسأله تعالى أن يتقبل هذا العمل من جميع المساهمين، والعاملين، ويجعله خالصاً لوجهه الكريم انه سميع مجيب والحمد لله أولا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w:t>
      </w:r>
    </w:p>
    <w:p>
      <w:pPr>
        <w:pStyle w:val="BookText"/>
        <w:rPr/>
      </w:pPr>
      <w:r>
        <w:rPr>
          <w:rFonts w:ascii="Amiri" w:hAnsi="Amiri" w:eastAsia="Amiri" w:cs="Amiri"/>
          <w:color w:val="111111"/>
          <w:sz w:val="28"/>
          <w:sz w:val="28"/>
          <w:szCs w:val="28"/>
          <w:rtl w:val="true"/>
          <w:lang w:bidi="ar-SA"/>
        </w:rPr>
        <w:t>مَكتَبَة ودَار مَحظُوظُات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العَبَاسِیَةُ المُقَدَّسَةُ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769_112124"/>
      <w:bookmarkStart w:id="13" w:name="pg10769_112124"/>
      <w:bookmarkEnd w:id="13"/>
    </w:p>
    <w:p>
      <w:pPr>
        <w:pStyle w:val="Heading2"/>
        <w:numPr>
          <w:ilvl w:val="1"/>
          <w:numId w:val="1"/>
        </w:numPr>
        <w:rPr/>
      </w:pPr>
      <w:bookmarkStart w:id="14" w:name="pg10769_112124"/>
      <w:bookmarkStart w:id="15" w:name="__RefHeading___Toc7543321_1051229030"/>
      <w:bookmarkStart w:id="16" w:name="_Toc4"/>
      <w:bookmarkEnd w:id="14"/>
      <w:bookmarkEnd w:id="15"/>
      <w:r>
        <w:rPr>
          <w:rtl w:val="true"/>
        </w:rPr>
        <w:t>مقدّمة التحقيق</w:t>
      </w:r>
      <w:bookmarkEnd w:id="16"/>
    </w:p>
    <w:p>
      <w:pPr>
        <w:pStyle w:val="Heading3"/>
        <w:numPr>
          <w:ilvl w:val="2"/>
          <w:numId w:val="1"/>
        </w:numPr>
        <w:rPr/>
      </w:pPr>
      <w:bookmarkStart w:id="17" w:name="__RefHeading___Toc7543323_1051229030"/>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بارئ الخلائق أجمعين، والصلاة والسلام على خير المرسلين محمّد المصطفى وعلى آل بيته الطيّبين الطاهرين، واللعن الدائم على أعدائهم أجمعين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علم الكلام كما عن كتاب المواقف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يقتدر معه على إثبات العقائد الدينيّة بإيراد الحجج ودفع الشبه ، وفي شرح المقاصد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بالعقائد الدينية عن الأدلّة اليقينيّة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وبناءاً على هذين التعريفين فإنّ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ملكة يقتدر بها على بيان عقائده بأدلّة محكمة مع نصرة الآراء التي التزم بها وردّ أدلّة من خالفه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موضوع علم الكلام العقائد الدينية المرتبطة بوجود الله وتوحيده وصفاته وبالعدل والنبوّة والإمامة والمعاد كان علم الكلام من أشرف العلوم ومطالبه ومقاصده من أشرف المطالب والمقاصد لما ثبت في محلّه عند أهله من أن شرف العلم بشرف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فمهما صرف طالب العلم والمتكلّم </w:t>
      </w:r>
    </w:p>
    <w:p>
      <w:pPr>
        <w:pStyle w:val="BookText"/>
        <w:rPr/>
      </w:pPr>
      <w:r>
        <w:rPr>
          <w:rFonts w:ascii="Amiri" w:hAnsi="Amiri" w:eastAsia="Amiri" w:cs="Amiri"/>
          <w:color w:val="111111"/>
          <w:sz w:val="28"/>
          <w:sz w:val="28"/>
          <w:szCs w:val="28"/>
          <w:rtl w:val="true"/>
          <w:lang w:bidi="ar-SA"/>
        </w:rPr>
        <w:t xml:space="preserve">من وقت في سبيل تنقيح إثبات الاعتقادات وردّ الشبهات فإنّه لا يكون هدراً ولا يكون ضياعاً ، بل هو أداء حقّوامتثال أمر وسير في طريق تبليغ هذه الرسالة السماويّة ونشرها وإيصالها بصورة سليمة إلى من لم تكن قد وصلت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الطريق الأمثل والسبيل الأجود اللازم اتّباعه في علم الكلام فهو الطريق الذي سار عليه القرآن الكريم ورسول الله الأمين صلّی الله علیه و آله والذرّيّة الطاهرة الأكرمين، ومعرفة طريقهم في الكلام مع أصحاب الاعتقادات الباطلة يستلزم على طلّاب العلم والمتكلّمين التفحّص والتقصّي في القرآن الكريم ودراسة طرقهم الكلاميّة واستنباط قواعد وأُصول وأُسس تكون هي الحجر الأساس في المباحث الكلاميّة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فإنّ اللازم على المتكلّم قبل الورود في المسائل الكلاميّة البحث عن العناصر المشتركة والقوانين التي كان يتبعها المشرّع الأصل والمنهل العذب في بيان الاعتقادات وكيفيّة إثباتها وكيفية النقاش مع المخالفين والمشكّكين ، والبحث عن كلّ ذلك هو البحث عن التي عن التي هي أحسن التى أوصى القرآن الكريم باتّباعها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بالإشارة إلى أنّ غالب أو أكثر الطرق القرآنيّة في الكلام مع أصحاب الاعتقادات كانت مودعة مكنونة عند الإنسان بفطرته ولم يكن ملتفتاً إليها فجاء القرآن الكريم وجاء رسول الله وذرّيّته صلوات الله عليهم أجمعين واستظهرها لنا وأرشد العقل الإنساني إليها، والإنسان صاحب الفطرة السليمة يدرك بعد توجّهه لتلك الأدلّة والبراهين لزوم متابعة تلك الأدلّة لما يراه من انسجام وتطابق مع الوجدان المستقرّ فى لبّه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على المتكلّم والخائض في علم الكلام الالتزام بآدابه والعمل بستنه والسير بسيرته وتطبيق قواعده الكلّيّة وأن يتكلّم بالتي هي أحسن، وأن يدلي برأيه وحجّته بكلّ اطمئنان وسكينة وأن يختار لمطلبه الألفاظ الواضحة والعبارات الصريحة كي </w:t>
      </w:r>
    </w:p>
    <w:p>
      <w:pPr>
        <w:pStyle w:val="BookText"/>
        <w:rPr/>
      </w:pPr>
      <w:r>
        <w:rPr>
          <w:rFonts w:ascii="Amiri" w:hAnsi="Amiri" w:eastAsia="Amiri" w:cs="Amiri"/>
          <w:color w:val="111111"/>
          <w:sz w:val="28"/>
          <w:sz w:val="28"/>
          <w:szCs w:val="28"/>
          <w:rtl w:val="true"/>
          <w:lang w:bidi="ar-SA"/>
        </w:rPr>
        <w:t>لا يوقع الطرف المقابل شك وريب، كما أنّ عليه الاجتناب عن الأساليب الملتوية في الكلام والنقاش وأن لا يخرج عن مادّة البحث ووحدة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لا يقع المتكلّم في ظلم من يقابله ويناقشه من أصحاب الاعتقادات فإنّ اللازم عليه أن يأخذ ذلك الاعتقاد من أُصول ومصادر ذلك المذهب وأن لا ينسب إلى مذهب معيّن أو جماعة خاصّة كلاماً إلّا بعد التحقيق والتأكّد بأنّه استقاه من كتبهم الأصليّة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سبيل المثال يرى المراجع لكتب تاريخ الملل والنحل أنّ بعضهم ينسب الأتباع مدرسة أهل البيت علیهم السّلام اعتقادات ما أنزل الله بها من سلطان وليس لها ذكر في مصادرهم الأصليّة، وقد نسب عبد الكريم الشهرستاني في كتاب الملل والنحل إليهم اعتقادات مثل القول بالتناسخ و الحلول والتشبيه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والحال أنّ العلماء السائرين على منهج أهل البيت علیهم السّلام يكفّرون من قال والتزم بذلك كما نسب القول بأنّ عليّاً علیه السّلام إلهاً واجب الطاعة والحال أنّ المصادر الأصليّة لهذا المذهب الشريف موجودة مطبوعة وفي متناول الجميع ليرجع إليها من شاء فأين وجد هذه الاعتقادات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نسب إلى هشام بن الحكم اعتقاد جسميّة الله </w:t>
      </w:r>
      <w:r>
        <w:rPr>
          <w:rStyle w:val="FootnoteAnchor"/>
          <w:rtl w:val="true"/>
        </w:rPr>
        <w:footnoteReference w:id="4"/>
      </w:r>
      <w:r>
        <w:rPr>
          <w:rFonts w:ascii="IRNazanin" w:hAnsi="IRNazanin" w:eastAsia="IRNazanin"/>
          <w:color w:val="111111"/>
          <w:sz w:val="28"/>
          <w:sz w:val="28"/>
          <w:szCs w:val="28"/>
          <w:rtl w:val="true"/>
          <w:lang w:bidi="fa-IR"/>
        </w:rPr>
        <w:t xml:space="preserve">وهو من ذلك برئ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والأعجب من ذلك أن بعضهم يطيل الكلام في النقاش والنقض والإبرام مع هذه الاعتقادات مع تهجمه وتكفير تهجمه وتكفيره لأتباع مدرسة أهل البيت علیهم السّلام وهو لا يدري أنّه لا يناقشهم بل يناقش عقائد منسوبة إليهم اعتمد الناسب لها لهم إمّا على فهمه الناقص أو سوء 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من جميع ذلك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 بروز بوادر جديدة ومباحث حديثة في علم الكلام بسبب التطوّر العلمي في مجال الصناعة والطبّ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تحت عنوان الكلام الجديد في مقابل </w:t>
      </w:r>
    </w:p>
    <w:p>
      <w:pPr>
        <w:pStyle w:val="BookText"/>
        <w:rPr/>
      </w:pPr>
      <w:r>
        <w:rPr>
          <w:rFonts w:ascii="Amiri" w:hAnsi="Amiri" w:eastAsia="Amiri" w:cs="Amiri"/>
          <w:color w:val="111111"/>
          <w:sz w:val="28"/>
          <w:sz w:val="28"/>
          <w:szCs w:val="28"/>
          <w:rtl w:val="true"/>
          <w:lang w:bidi="ar-SA"/>
        </w:rPr>
        <w:t>الكلام القديم لا يصرفنا عن مدارسة الكتب الكلامية القديمة، بل يحتم علينا التدقيق في المسائل الكلاميّة المبحوث عنها باللباس القديم وأن ننظر إلى تاريخها وسبب نشوئها وعوامل تقويتها والبحث عن سبب اختفائها واضمحلالها فإنّه كما تولدت تلك الاعتقادات الباطلة ومن ثمّ أخذت بالأُفول والاندثار، كذلك فإنّ هذه المسائل الجديدة والأفكار الباطلة الحديثة تأخذ بالاندثار والاضمحلال فمطالعة مسائل علم الكلام القديم وتاريخه يعطينا صورة واضحة وتسلّط أكثر على السير التاريخى لتولّد واندثار الأفكار ولا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غالب مباحث علم الكلام الجديد هي مباحث مذكورة في كتب الكلام القديم لكن بلباس جديد وأدوات جديدة واستدلالات حديثة وأنّ الوقوف على هذه الآراء والاعتقادات وتحليلها ومعرفة أدلتها وسبب بروزها من أفضل أنواع التحقيق والدراسة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عندما نقول بلزوم الحاجة إلى الكلام القديم لا لإبطال مسائله الباطلة أو المندثرة، فإن ذلك قد تمّ الكلام فيه وانتهى ، بل إنّ ذلك يعطينا خبرة في كيفيّة التعامل مع المذاهب والأفكار ويعطينا مهارة في كيفيّة الاستفادة من الأدلّة، بل قد يرشدنا إلى أنّ هذا الذي اسمه فكر جديد ونظريّة خلّاقة ليس بجديد، بل هو فكر قديم بلباس جديد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فهمنا ذلك صار الردّ أسهل، والله الموفّق</w:t>
      </w:r>
      <w:r>
        <w:rPr>
          <w:rFonts w:eastAsia="Amiri" w:cs="Amiri" w:ascii="Amiri" w:hAnsi="Amiri"/>
          <w:color w:val="111111"/>
          <w:sz w:val="28"/>
          <w:szCs w:val="28"/>
          <w:rtl w:val="true"/>
          <w:lang w:bidi="ar-SA"/>
        </w:rPr>
        <w:t xml:space="preserve">. </w:t>
      </w:r>
      <w:bookmarkStart w:id="19" w:name="pg10769_112128"/>
    </w:p>
    <w:p>
      <w:pPr>
        <w:pStyle w:val="Heading3"/>
        <w:numPr>
          <w:ilvl w:val="2"/>
          <w:numId w:val="1"/>
        </w:numPr>
        <w:rPr/>
      </w:pPr>
      <w:bookmarkStart w:id="20" w:name="__RefHeading___Toc7543325_1051229030"/>
      <w:bookmarkStart w:id="21" w:name="_Toc6"/>
      <w:bookmarkEnd w:id="19"/>
      <w:bookmarkEnd w:id="20"/>
      <w:r>
        <w:rPr>
          <w:rtl w:val="true"/>
        </w:rPr>
        <w:t>سطور في حياة المؤلّف</w:t>
      </w:r>
      <w:bookmarkEnd w:id="21"/>
    </w:p>
    <w:p>
      <w:pPr>
        <w:pStyle w:val="Heading4"/>
        <w:numPr>
          <w:ilvl w:val="3"/>
          <w:numId w:val="1"/>
        </w:numPr>
        <w:rPr/>
      </w:pPr>
      <w:bookmarkStart w:id="22" w:name="__RefHeading___Toc7543327_1051229030"/>
      <w:bookmarkStart w:id="23" w:name="_Toc7"/>
      <w:bookmarkEnd w:id="22"/>
      <w:r>
        <w:rPr>
          <w:rtl w:val="true"/>
        </w:rPr>
        <w:t>اسمه ونسبه وكلمات العلماء فيه</w:t>
      </w:r>
      <w:bookmarkEnd w:id="23"/>
    </w:p>
    <w:p>
      <w:pPr>
        <w:pStyle w:val="BookText"/>
        <w:rPr/>
      </w:pPr>
      <w:r>
        <w:rPr>
          <w:rFonts w:ascii="Amiri" w:hAnsi="Amiri" w:eastAsia="Amiri" w:cs="Amiri"/>
          <w:color w:val="111111"/>
          <w:sz w:val="28"/>
          <w:sz w:val="28"/>
          <w:szCs w:val="28"/>
          <w:rtl w:val="true"/>
          <w:lang w:bidi="ar-SA"/>
        </w:rPr>
        <w:t xml:space="preserve">الشيخ أحمد بن عليّ بن حسن بن محمّد بن إسماعيل بن صالح اللويزاويّ محتداً </w:t>
      </w:r>
      <w:r>
        <w:rPr>
          <w:rStyle w:val="FootnoteAnchor"/>
          <w:rtl w:val="true"/>
        </w:rPr>
        <w:footnoteReference w:id="5"/>
      </w:r>
      <w:r>
        <w:rPr>
          <w:rFonts w:ascii="Amiri" w:hAnsi="Amiri" w:eastAsia="Amiri" w:cs="Amiri"/>
          <w:color w:val="111111"/>
          <w:sz w:val="28"/>
          <w:sz w:val="28"/>
          <w:szCs w:val="28"/>
          <w:rtl w:val="true"/>
          <w:lang w:bidi="ar-SA"/>
        </w:rPr>
        <w:t xml:space="preserve">، الكفعميّ منشأ ، هكذا عرف نفسه في آخر هذا الكتاب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رياض العلماء في ترجمة أخيه الشيخ تقي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بن الحسن بن محمّد بن صالح بن إسماعيل العامليّ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الأفنديّ في تعليقته على كتاب أمل الآمل ولكن بخطّ أخيه أحمد بن عليّ هكذا عليّ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صالح العاملي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عنه أخوه الشيخ إبراهيم في حواشي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العالم </w:t>
      </w:r>
      <w:bookmarkStart w:id="24" w:name="pg10769_112129"/>
    </w:p>
    <w:p>
      <w:pPr>
        <w:pStyle w:val="BookText"/>
        <w:rPr/>
      </w:pPr>
      <w:bookmarkEnd w:id="24"/>
      <w:r>
        <w:rPr>
          <w:rFonts w:ascii="Amiri" w:hAnsi="Amiri" w:eastAsia="Amiri" w:cs="Amiri"/>
          <w:color w:val="111111"/>
          <w:sz w:val="28"/>
          <w:sz w:val="28"/>
          <w:szCs w:val="28"/>
          <w:rtl w:val="true"/>
          <w:lang w:bidi="ar-SA"/>
        </w:rPr>
        <w:t xml:space="preserve">العامل أخي وشقيقي جمال الدين أحمد بن عليّ بن حسن بن محمّد بن صالح أصلح الله شأنه وصانه عمّا شانه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الأفنديّ في ترجمة تقي الدين إبراهيم وأخيه أحمد بن عليّ الفاضل الجليل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الخوانساريّ في روضات الجنّات في ترجمة تقي الدين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أخ صالح فاضل جليل اسمه أحمد بن عليّ صاحب كتاب زبدة البيان في عمل شهر رمضان ينقل عنه فى الحواشى نادراً فتبصر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7543329_1051229030"/>
      <w:bookmarkStart w:id="26" w:name="_Toc8"/>
      <w:bookmarkEnd w:id="25"/>
      <w:r>
        <w:rPr>
          <w:rtl w:val="true"/>
        </w:rPr>
        <w:t>والده</w:t>
      </w:r>
      <w:bookmarkEnd w:id="26"/>
    </w:p>
    <w:p>
      <w:pPr>
        <w:pStyle w:val="BookText"/>
        <w:rPr/>
      </w:pPr>
      <w:r>
        <w:rPr>
          <w:rFonts w:ascii="Amiri" w:hAnsi="Amiri" w:eastAsia="Amiri" w:cs="Amiri"/>
          <w:color w:val="111111"/>
          <w:sz w:val="28"/>
          <w:sz w:val="28"/>
          <w:szCs w:val="28"/>
          <w:rtl w:val="true"/>
          <w:lang w:bidi="ar-SA"/>
        </w:rPr>
        <w:t>والد مصنّفنا الجليل الشيخ زين الدين علي بن الحسن بن محمّد بن صالح بن إسماعيل الجبعيّ ، العامليّ ، الكفعميّ ،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وصفه الأفنديّ في رياض العلماء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الفقيه، والد الشيخ تقي الدين إبراهيم بن عليّ الكفعميّ المشهور صاحب المصباح المعروف، وأخيه أحمد بن عليّ الفاضل الجليل، وقد قال ولده عنه في حاشية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الفقيه الأعظم الورع زين الإسلام والمسلمين عليّ قدّس الله سرّه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مكان آخر من المصباح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والدي زين الإسلام والمسلمين عليّ بن حسن بن محمّد بن صالح الجبعيّ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اعتقاد عظيم يمضمون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حكاه عنه فى الرياض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7" w:name="pg10769_112130"/>
    </w:p>
    <w:p>
      <w:pPr>
        <w:pStyle w:val="BookText"/>
        <w:rPr/>
      </w:pPr>
      <w:bookmarkEnd w:id="27"/>
      <w:r>
        <w:rPr>
          <w:rFonts w:ascii="Amiri" w:hAnsi="Amiri" w:eastAsia="Amiri" w:cs="Amiri"/>
          <w:color w:val="111111"/>
          <w:sz w:val="28"/>
          <w:sz w:val="28"/>
          <w:szCs w:val="28"/>
          <w:rtl w:val="true"/>
          <w:lang w:bidi="ar-SA"/>
        </w:rPr>
        <w:t xml:space="preserve">وقال السيّد حسن الصدر في 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عليّ بن الحسن العامليّ ، والد الشيخ إبراهيم الكفعميّ ، كان من أعاظم العلماء والفقهاء ، وأكثر ولده النقل عنه ، وإذا نقل عنه وصفه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الأعظم الأورع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توفّى سنة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وخلّف خمسة ذكور </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7543331_1051229030"/>
      <w:bookmarkStart w:id="29" w:name="_Toc9"/>
      <w:bookmarkEnd w:id="28"/>
      <w:r>
        <w:rPr>
          <w:rtl w:val="true"/>
        </w:rPr>
        <w:t>إخوانه</w:t>
      </w:r>
      <w:bookmarkEnd w:id="29"/>
    </w:p>
    <w:p>
      <w:pPr>
        <w:pStyle w:val="BookText"/>
        <w:rPr/>
      </w:pPr>
      <w:r>
        <w:rPr>
          <w:rFonts w:ascii="Amiri" w:hAnsi="Amiri" w:eastAsia="Amiri" w:cs="Amiri"/>
          <w:color w:val="111111"/>
          <w:sz w:val="28"/>
          <w:sz w:val="28"/>
          <w:szCs w:val="28"/>
          <w:rtl w:val="true"/>
          <w:lang w:bidi="ar-SA"/>
        </w:rPr>
        <w:t xml:space="preserve">كان للمصنّف أحمد بن علي الكفعميّ أربعة إخوة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الجبعيّ، وهو جدّ والد الشيخ البهائيّ وكان في الرعيل الأوّل من أعلام الأُمّة، يعبّر عنه شيخنا الشهيد الثاني بالشيخ الإمام في إجازته لحفيده الشيخ حسين بن عبد الصمد والد شيخنا البهائيّ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المحقّق الكركيّ بقدوة الأجلّاء في العالمين في إجازته لحفيده الشيخ عليّ بن عبد الصمد بن شمس الدين محمّد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السيّد حيدر البيزوئيّ بالإمامة في إجازته للسيّد حسين الكركيّ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وأثنى عليه العلّامة المجلسي في إجازته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الكرامات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الشيخ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شمس الدين محمّد العامليّ، فاضل، جدّ الشيخ حسين بن عبد الصمد العامليّ، أثنى عليه الشهيد الثاني في إجازته لابن ابنه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 شمس الدين كثيراً على الشيخ عزّ الدين الحسن بن أحمد بن يوسف بن العشرة العامليّ، المتوفّى بكرك نوح </w:t>
      </w:r>
      <w:r>
        <w:rPr>
          <w:rStyle w:val="FootnoteAnchor"/>
          <w:rtl w:val="true"/>
        </w:rPr>
        <w:footnoteReference w:id="19"/>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إجازة من الشيخ عليّ بن محمّد بن عليّ بن المحلّى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تذكر في إجازات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ولادته رحمه الله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سنة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وللشيخ شمس الدين محمّد الجبعيّ مجموعات أربعة بخطّه فيها فوائد كثيرة ؛ في الحديث والرجال والإجازات والأدب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وكانت نسختها عند العلّامة المجلسىّ رحمه الله ونقل عنها في بحار الأنوار </w:t>
      </w:r>
      <w:r>
        <w:rPr>
          <w:rStyle w:val="FootnoteAnchor"/>
          <w:rtl w:val="true"/>
        </w:rPr>
        <w:footnoteReference w:id="22"/>
      </w:r>
      <w:r>
        <w:rPr>
          <w:rFonts w:ascii="Amiri" w:hAnsi="Amiri" w:eastAsia="Amiri" w:cs="Amiri"/>
          <w:color w:val="111111"/>
          <w:sz w:val="28"/>
          <w:sz w:val="28"/>
          <w:szCs w:val="28"/>
          <w:rtl w:val="true"/>
          <w:lang w:bidi="ar-SA"/>
        </w:rPr>
        <w:t xml:space="preserve">، ووقعت تلك النسخة بيد شيخنا النوريّ صاحب المستدرك وأخذها بعده سبطه الآقا ضياء النوريّ إلى طهران، وانتقلت منه إلى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نقل عن خطّه أنّه محمّد بن عليّ بن الحسن بن محمّد بن صالح اللويزانيّ الجبعىّ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نقل العلّامة المجلسيّ رحمه الله في بحار الأنوار عن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والدي عليّ بن </w:t>
      </w:r>
    </w:p>
    <w:p>
      <w:pPr>
        <w:pStyle w:val="BookText"/>
        <w:rPr/>
      </w:pPr>
      <w:r>
        <w:rPr>
          <w:rFonts w:ascii="Amiri" w:hAnsi="Amiri" w:eastAsia="Amiri" w:cs="Amiri"/>
          <w:color w:val="111111"/>
          <w:sz w:val="28"/>
          <w:sz w:val="28"/>
          <w:szCs w:val="28"/>
          <w:rtl w:val="true"/>
          <w:lang w:bidi="ar-SA"/>
        </w:rPr>
        <w:t xml:space="preserve">الحسن بن محمّد بن صالح اللويزانيّ في جمادى الأُولى سنة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خمسة أولاد ذكور محمّد ورضي الدين وتقي الدين وشرف الدين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أيضاً نقل عن خط شمس الدين تاريخ ولادة ابنه أبي تراب عبد الصمد محمّد بن عليّ بن الحسن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25"/>
      </w:r>
      <w:r>
        <w:rPr>
          <w:rFonts w:ascii="Amiri" w:hAnsi="Amiri" w:eastAsia="Amiri" w:cs="Amiri"/>
          <w:color w:val="111111"/>
          <w:sz w:val="28"/>
          <w:sz w:val="28"/>
          <w:szCs w:val="28"/>
          <w:rtl w:val="true"/>
          <w:lang w:bidi="ar-SA"/>
        </w:rPr>
        <w:t xml:space="preserve">وبخطّ تلميذه أنّه بن مات سنة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وهو والد الشيخ عز الدين حسين الذي هو والد الشيخ البهائيّ، فظهر أن الشيخ البهائيّ حفيد شمس الدين الجبعيّ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تقي الدين إبراهيم بن عليّ بن الحسن بن محمّد بن صالح الكفعميّ مولداً، اللويزيّ محتداً، الجبعيّ أباً، الحارثيّ نسباً، التقي لقباً، الإمامي مذهباً ، هكذا ذكر نفسه في آخر نسخة من كتاب الدروس التي بخطّ يده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المقري في نفح الطيب ما رأيت مثله في سعة الحفظ والجمع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الحرّ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فاضلاً أديباً شاعراً عابداً زاهداً ورعاً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صاحب التأليفات الكثيرة أوصل عددها فى أعيان الشيعة إلى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الأمان الواقية وجنّة الإيمان الباقية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وتوفّي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bookmarkStart w:id="30" w:name="pg10769_112133"/>
    </w:p>
    <w:p>
      <w:pPr>
        <w:pStyle w:val="BookText"/>
        <w:rPr/>
      </w:pPr>
      <w:bookmarkEnd w:id="30"/>
      <w:r>
        <w:rPr>
          <w:rFonts w:ascii="IRNazanin" w:hAnsi="IRNazanin" w:eastAsia="IRNazanin"/>
          <w:color w:val="111111"/>
          <w:sz w:val="28"/>
          <w:sz w:val="28"/>
          <w:szCs w:val="28"/>
          <w:rtl w:val="true"/>
          <w:lang w:bidi="fa-IR"/>
        </w:rPr>
        <w:t>وقبره في قرية جبشيت من قرى جبل عامل ظاهر يقع محاذياً لحدود البلدة ويزار ، حتّى الآن،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قبره بمشهد الحسين علیه السّلام بكربلاء كما يظهر من بعض أشعاره التي يوصي أهله فيها بدفنه في الحائر المقدّس بأرض تسمّى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والرابع شرف الدين ورضي الدين ولم يكن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عنهما</w:t>
      </w:r>
      <w:r>
        <w:rPr>
          <w:rFonts w:eastAsia="IRNazanin" w:cs="IRNazanin"/>
          <w:color w:val="111111"/>
          <w:sz w:val="28"/>
          <w:szCs w:val="28"/>
          <w:rtl w:val="true"/>
          <w:lang w:bidi="fa-IR"/>
        </w:rPr>
        <w:t>.</w:t>
      </w:r>
    </w:p>
    <w:p>
      <w:pPr>
        <w:pStyle w:val="Heading4"/>
        <w:numPr>
          <w:ilvl w:val="3"/>
          <w:numId w:val="1"/>
        </w:numPr>
        <w:rPr/>
      </w:pPr>
      <w:bookmarkStart w:id="31" w:name="__RefHeading___Toc7543333_1051229030"/>
      <w:bookmarkStart w:id="32" w:name="_Toc10"/>
      <w:bookmarkEnd w:id="31"/>
      <w:r>
        <w:rPr>
          <w:rtl w:val="true"/>
        </w:rPr>
        <w:t>اتّصال العائلة بالحارث الهمدانيّ</w:t>
      </w:r>
      <w:r>
        <w:rPr>
          <w:rtl w:val="true"/>
        </w:rPr>
        <w:t>:</w:t>
      </w:r>
      <w:bookmarkEnd w:id="32"/>
    </w:p>
    <w:p>
      <w:pPr>
        <w:pStyle w:val="BookText"/>
        <w:rPr/>
      </w:pPr>
      <w:r>
        <w:rPr>
          <w:rFonts w:ascii="IRNazanin" w:hAnsi="IRNazanin" w:eastAsia="IRNazanin"/>
          <w:color w:val="111111"/>
          <w:sz w:val="28"/>
          <w:sz w:val="28"/>
          <w:szCs w:val="28"/>
          <w:rtl w:val="true"/>
          <w:lang w:bidi="fa-IR"/>
        </w:rPr>
        <w:t>لم يذكر مؤلّفنا الكريم أحمد بن عليّ الكفعميّ اتّصال نسبه بالحارث بن عبد الله الأعور الهمدانيّ صاحب أمير المؤمنين علیه السّلام، لكنّ الملاحظ لترجمة والد المصنّف وإخوته اتّصال النسب بالحارث الهمدانيّ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صاحب الرياض في ترجمة زين الدين عليّ والد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الجبعيّ العامليّ الكفعميّ الحارثيّ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سيّدنا الصدر في التكملة فى ترجمة تقى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في آخر كتاب الدروس الذي عندي بخطّ أخيه رحمه الله أنّه الكفعميّ مولداً، اللويزيّ محتداً، الحارثيّ نسباً، الجبعيّ أباً، التقيّ لقباً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7543335_1051229030"/>
      <w:bookmarkStart w:id="34" w:name="_Toc11"/>
      <w:bookmarkEnd w:id="33"/>
      <w:r>
        <w:rPr>
          <w:rtl w:val="true"/>
        </w:rPr>
        <w:t>مشایخه والرواة عنه</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استظهر صاحب الرياض أنّ الشيخ أحمد بن عليّ قد كان يروي عن والده الشيخ زين الدين علىّ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5" w:name="pg10769_112134"/>
    </w:p>
    <w:p>
      <w:pPr>
        <w:pStyle w:val="BookText"/>
        <w:rPr/>
      </w:pPr>
      <w:bookmarkEnd w:id="35"/>
      <w:r>
        <w:rPr>
          <w:rFonts w:ascii="Amiri" w:hAnsi="Amiri" w:eastAsia="Amiri" w:cs="Amiri"/>
          <w:color w:val="111111"/>
          <w:sz w:val="28"/>
          <w:sz w:val="28"/>
          <w:szCs w:val="28"/>
          <w:rtl w:val="true"/>
          <w:lang w:bidi="ar-SA"/>
        </w:rPr>
        <w:t xml:space="preserve">ويتبيّن للقارئ الكريم من خلال مطالعته لترجمة المصنّف أنّ أخاه الشيخ إبراهيم بن عليّ الكفعميّ قد كان يروي في بعض كتبه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للمصنّف أحمد بن علىّ الكفعميّ</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7543337_1051229030"/>
      <w:bookmarkStart w:id="37" w:name="_Toc12"/>
      <w:bookmarkEnd w:id="36"/>
      <w:r>
        <w:rPr>
          <w:rtl w:val="true"/>
        </w:rPr>
        <w:t>وفاته</w:t>
      </w:r>
      <w:bookmarkEnd w:id="37"/>
    </w:p>
    <w:p>
      <w:pPr>
        <w:pStyle w:val="BookText"/>
        <w:rPr/>
      </w:pPr>
      <w:r>
        <w:rPr>
          <w:rFonts w:ascii="Amiri" w:hAnsi="Amiri" w:eastAsia="Amiri" w:cs="Amiri"/>
          <w:color w:val="111111"/>
          <w:sz w:val="28"/>
          <w:sz w:val="28"/>
          <w:szCs w:val="28"/>
          <w:rtl w:val="true"/>
          <w:lang w:bidi="ar-SA"/>
        </w:rPr>
        <w:t xml:space="preserve">لم تحدّد المصادر تاريخاً لوفاة الشيخ أحمد بن علي الكفعميّ رحمه الله ، كما لم تذكر ولادته بل ترجمته، إلّا أنّ الظاهر أنّه توفّي في زمان أخيه تقي الدين إبراهيم الكفعميّ صاحب المصباح المتوفىّ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الأمين والشيخ آقا بزرك وتوفّي قبل أخيه الكفعميّ كما يظهر من ترحّمه عليه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أنّ تأليفه هذا تمّ فى سنة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35"/>
      </w:r>
      <w:r>
        <w:rPr>
          <w:rFonts w:ascii="Amiri" w:hAnsi="Amiri" w:eastAsia="Amiri" w:cs="Amiri"/>
          <w:color w:val="111111"/>
          <w:sz w:val="28"/>
          <w:sz w:val="28"/>
          <w:szCs w:val="28"/>
          <w:rtl w:val="true"/>
          <w:lang w:bidi="ar-SA"/>
        </w:rPr>
        <w:t xml:space="preserve">وقد انتهى أخوه تقي الدين إبراهيم من تأليف كتابه المصباح في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هـ، فوفاته رحمه الله وقعت بين هاتين السنتين، وعلى كلّ حال فهو من أعلام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فيحتمل أنّ وفاته رحمه الله ترجع إلى أواخر القرن التاسع ووفاته رحمه الله ترجع إلى أواخر القرن التاسع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يحتمل أنّ وفاته بعد أخيه تقي الدين أو بعد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التي هي تاريخ تأليف المصباح لأنّا لم نعثر في مصباحه على عبارة تدلّ على ترحّمه على أخيه الشيخ أحمد مصنّف الكتاب، وأمّا العبائر المحكيّة فهي تدلّ على صرف النقل منه والاعتماد عليه ولم تدلّ على وفاته في زمن أخيه بل المدقّق في عبارة الشيخ إبراهيم يرى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 الله شأنه وصانه عمّا شانه الدالّ على حياته حين النقل منه </w:t>
      </w:r>
      <w:r>
        <w:rPr>
          <w:rFonts w:eastAsia="Amiri" w:cs="Amiri" w:ascii="Amiri" w:hAnsi="Amiri"/>
          <w:color w:val="111111"/>
          <w:sz w:val="28"/>
          <w:szCs w:val="28"/>
          <w:rtl w:val="true"/>
          <w:lang w:bidi="ar-SA"/>
        </w:rPr>
        <w:t xml:space="preserve">. </w:t>
      </w:r>
      <w:bookmarkStart w:id="38" w:name="pg10769_112135"/>
    </w:p>
    <w:p>
      <w:pPr>
        <w:pStyle w:val="Heading4"/>
        <w:numPr>
          <w:ilvl w:val="3"/>
          <w:numId w:val="1"/>
        </w:numPr>
        <w:rPr/>
      </w:pPr>
      <w:bookmarkStart w:id="39" w:name="__RefHeading___Toc7543339_1051229030"/>
      <w:bookmarkStart w:id="40" w:name="_Toc13"/>
      <w:bookmarkEnd w:id="38"/>
      <w:bookmarkEnd w:id="39"/>
      <w:r>
        <w:rPr>
          <w:rtl w:val="true"/>
        </w:rPr>
        <w:t>مشجّر العائلة الكريمة</w:t>
      </w:r>
      <w:bookmarkEnd w:id="40"/>
    </w:p>
    <w:p>
      <w:pPr>
        <w:pStyle w:val="BookText"/>
        <w:rPr/>
      </w:pPr>
      <w:r>
        <w:rPr>
          <w:rFonts w:ascii="Amiri" w:hAnsi="Amiri" w:eastAsia="Amiri" w:cs="Amiri"/>
          <w:color w:val="111111"/>
          <w:sz w:val="28"/>
          <w:sz w:val="28"/>
          <w:szCs w:val="28"/>
          <w:rtl w:val="true"/>
          <w:lang w:bidi="ar-SA"/>
        </w:rPr>
        <w:t xml:space="preserve">يبيّن المخطّط الآتى أنّ والد المصنّف الشيخ عليّ المتوفىّ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قد خلّف خمسة ذكور، منهم الشيخ شمس الدين محمّد المتوفىّ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جدّ شيخنا البهائيّ وعليه فإنّ المصنّف أحمد بن عليّ عمّ جدّ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الجدّ الأعلى لهذه العائلة الكريمة الشيخ صالح بن الشيخ إسماعيل ، بتأخير إسماعيل على ما وجد بخطّ الشيخ تقي الدين إبراهيم وشمس الدين محمّد، لكنّ المذكور في آخر هذا الكتاب أنّ الجدّ الأعلى الشيخ إسماعيل بن الشيخ صالح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 الأفنديّ في تعليقته على كتاب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بخطّ أخيه أحمد بن عليّ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إسماعيل بن صالح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بتقديم إسماعيل على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ترجمة زين الدين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ترجمة ابنيه نقل نسبه على نهج آخر، وهو عليّ بن الحسن بن إسماعيل بن صالح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مرجع الخلاف إلى التصحيف وسهو القلم من النسّاخ أو الخلاف بين الإخوة في نسبهم إلى الجدّ الأعلى على القول بأنّ الميرزا عبد الله رأى خطّ المصنّف الشيخ أحمد وإلّا فالمرجّح التصحيف والسهو من النسّاخ لأنّ خطّ أخيه الشيخ إبراهيم والشيخ شمس الدين محمّد يصرّح بوضوح على أنّ الجدّ الأعلى لهذه العائلة صالح بن إسماعيل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وللإلمام بترجمته أثبتنا مشجّر العائلة و بحسب المشهور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5" o:detectmouseclick="t"/>
                <v:stroke color="#3465a4" joinstyle="round" endcap="flat"/>
                <w10:wrap type="none"/>
              </v:shape>
            </w:pict>
          </mc:Fallback>
        </mc:AlternateContent>
      </w:r>
      <w:bookmarkStart w:id="41" w:name="pg10769_112137"/>
    </w:p>
    <w:p>
      <w:pPr>
        <w:pStyle w:val="Heading4"/>
        <w:numPr>
          <w:ilvl w:val="3"/>
          <w:numId w:val="1"/>
        </w:numPr>
        <w:rPr/>
      </w:pPr>
      <w:bookmarkStart w:id="42" w:name="__RefHeading___Toc7543341_1051229030"/>
      <w:bookmarkStart w:id="43" w:name="_Toc14"/>
      <w:bookmarkEnd w:id="41"/>
      <w:bookmarkEnd w:id="42"/>
      <w:r>
        <w:rPr>
          <w:rtl w:val="true"/>
        </w:rPr>
        <w:t>كفرعيما واللويزة وجبع ونسبته إليها</w:t>
      </w:r>
      <w:bookmarkEnd w:id="43"/>
    </w:p>
    <w:p>
      <w:pPr>
        <w:pStyle w:val="BookText"/>
        <w:rPr/>
      </w:pPr>
      <w:r>
        <w:rPr>
          <w:rFonts w:ascii="Amiri" w:hAnsi="Amiri" w:eastAsia="Amiri" w:cs="Amiri"/>
          <w:color w:val="111111"/>
          <w:sz w:val="28"/>
          <w:sz w:val="28"/>
          <w:szCs w:val="28"/>
          <w:rtl w:val="true"/>
          <w:lang w:bidi="ar-SA"/>
        </w:rPr>
        <w:t>والكفعميّ نسبة إلى كفر عيما قرية من ناحية الشقيف في جبل عامل قرب جبشيت واقعة في سفح جبل مشرفة على البحر هي اليوم خراب وآثارها و آثار مسجدها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والكفر بفتح الكاف وسكون الفاء وراء مهملة في اللغة القرية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في السريانيّة ويكثر استعماله في بلاد الشام ومصر، وأهل الشام يفتحون فاء كفر عند إضافتها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وعيها بعين مهملة ومثنّاة تحتية ساكنة وميم وألف لفظ غير عربي على الظاهر وقياس النسبة إلى كفر عيما كفر عيماويّ لكنّه خفض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عبشميّ وعبدريّ وحصكفىّ في النسبة إلى عبد شمس وعبد الدار وحصن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خط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الكفر على لغة جبل عامل بمعنى القرية وعيما اسم لقرية هناك وأصلها كفر عيما أي قرية عيما، والنسبة إليها كفر عيماويّ فحذف ما حذف لشدّة الامتزاج وكثرة الاستعمال فصار كفعميّ، انتهى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محسن الأمين في أعيان الشيعة معلّقاً على كلام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عيما ليست اسماً للقرية كما لا يخفى بل اسم رجل أو نحوه، كما أنّ تسمية القرية كفراً ليس خاصّاً بجبل عامل، بل هي كذلك في اللغة </w:t>
      </w:r>
      <w:r>
        <w:rPr>
          <w:rStyle w:val="FootnoteAnchor"/>
          <w:rtl w:val="true"/>
        </w:rPr>
        <w:footnoteReference w:id="40"/>
      </w:r>
      <w:r>
        <w:rPr>
          <w:rFonts w:ascii="Amiri" w:hAnsi="Amiri" w:eastAsia="Amiri" w:cs="Amiri"/>
          <w:color w:val="111111"/>
          <w:sz w:val="28"/>
          <w:sz w:val="28"/>
          <w:szCs w:val="28"/>
          <w:rtl w:val="true"/>
          <w:lang w:bidi="ar-SA"/>
        </w:rPr>
        <w:t>وكأنّه حصل تصرّف من الناقل فوقع هذا الخلل وإلّا فمثل ذلك لم يكن ليخفى على البهائيّ، ويمكن كونه من إضافة العام للخاص</w:t>
      </w:r>
      <w:r>
        <w:rPr>
          <w:rFonts w:eastAsia="Amiri" w:cs="Amiri" w:ascii="Amiri" w:hAnsi="Amiri"/>
          <w:color w:val="111111"/>
          <w:sz w:val="28"/>
          <w:szCs w:val="28"/>
          <w:rtl w:val="true"/>
          <w:lang w:bidi="ar-SA"/>
        </w:rPr>
        <w:t xml:space="preserve">. </w:t>
      </w:r>
      <w:bookmarkStart w:id="44" w:name="pg10769_112138"/>
    </w:p>
    <w:p>
      <w:pPr>
        <w:pStyle w:val="BookText"/>
        <w:rPr/>
      </w:pPr>
      <w:bookmarkEnd w:id="44"/>
      <w:r>
        <w:rPr>
          <w:rFonts w:ascii="Amiri" w:hAnsi="Amiri" w:eastAsia="Amiri" w:cs="Amiri"/>
          <w:color w:val="111111"/>
          <w:sz w:val="28"/>
          <w:sz w:val="28"/>
          <w:szCs w:val="28"/>
          <w:rtl w:val="true"/>
          <w:lang w:bidi="ar-SA"/>
        </w:rPr>
        <w:t>وفي 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الكفعمة نسبة إلى كفر عيما قرية من قرى أعمال صفد كما في النسبة إلى عبد الدار عبدريّ وإلى حصن كيفا حصكفيّ ، انتهى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من عمل الشقيف في جبل عامل لا من أعمال صفد، إلّا أن تكون في ذلك العصر من أعمالها لتجاور البلدين ودخول أحدهما في عمل الآخر في بعض الأعصار ، وما في النسخة المطبوعة من نفح الطيب من رسم عيما بتاء فوقانيّة من تحريف النسّاخ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بفتح أوّله وتشديد ثانيه والقصر اسم عجميّ لا أدريه إلّا أنّه يكون تأنيث رجل عم وامرأة عما، من العمومة أخو الأب مثل سكر وسكرى، وهو كفر عما صقع في برية خساف بين بالس وحلب عن الحازميّ ، انتهى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واللويزيّ نسبة إلى اللويزة بصيغة تصغير لوزة هي قرية في جبل عامل من عمل ،لبنان، فأصل آباء الكفعمي من اللويزة، وأبوه سكن جبع ثمّ انتقل إلى كفر عيما فولد ابنه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والجيعيّ نسبة إلى جبع بوزن زُفَر،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جباع بالمدّ قرية من قرى جبل عامل على رأس جبل عال غاية في عذوبة الماء وصحّة الهواء وجودة الثمار نزهة كثيرة المياه والبساتين والثمار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7543343_1051229030"/>
      <w:bookmarkStart w:id="46" w:name="_Toc15"/>
      <w:bookmarkEnd w:id="45"/>
      <w:r>
        <w:rPr>
          <w:rtl w:val="true"/>
        </w:rPr>
        <w:t>مؤلّفاته</w:t>
      </w:r>
      <w:bookmarkEnd w:id="46"/>
    </w:p>
    <w:p>
      <w:pPr>
        <w:pStyle w:val="Heading5"/>
        <w:numPr>
          <w:ilvl w:val="4"/>
          <w:numId w:val="1"/>
        </w:numPr>
        <w:rPr/>
      </w:pPr>
      <w:bookmarkStart w:id="47" w:name="__RefHeading___Toc7543345_1051229030"/>
      <w:bookmarkStart w:id="48" w:name="_Toc16"/>
      <w:bookmarkEnd w:id="47"/>
      <w:r>
        <w:rPr>
          <w:rtl w:val="true"/>
        </w:rPr>
        <w:t>اشارة</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التتبّع الكثير في المصادر التي بأيدينا وصلنا إلى أنّ للمؤلّف الجليل أحمد ابن عليّ الكفعميّ رحمه الله عدّة مؤلّفات، نذكرها بالتبع </w:t>
      </w:r>
      <w:r>
        <w:rPr>
          <w:rFonts w:eastAsia="Amiri" w:cs="Amiri" w:ascii="Amiri" w:hAnsi="Amiri"/>
          <w:color w:val="111111"/>
          <w:sz w:val="28"/>
          <w:szCs w:val="28"/>
          <w:rtl w:val="true"/>
          <w:lang w:bidi="ar-SA"/>
        </w:rPr>
        <w:t xml:space="preserve">: </w:t>
      </w:r>
      <w:bookmarkStart w:id="49" w:name="pg10769_112139"/>
    </w:p>
    <w:p>
      <w:pPr>
        <w:pStyle w:val="Heading5"/>
        <w:numPr>
          <w:ilvl w:val="4"/>
          <w:numId w:val="1"/>
        </w:numPr>
        <w:rPr/>
      </w:pPr>
      <w:bookmarkStart w:id="50" w:name="__RefHeading___Toc7543347_1051229030"/>
      <w:bookmarkStart w:id="51" w:name="_Toc17"/>
      <w:bookmarkEnd w:id="49"/>
      <w:bookmarkEnd w:id="50"/>
      <w:r>
        <w:rPr>
          <w:rtl w:val="true"/>
        </w:rPr>
        <w:t xml:space="preserve">الأوّل </w:t>
      </w:r>
      <w:r>
        <w:rPr>
          <w:rtl w:val="true"/>
        </w:rPr>
        <w:t xml:space="preserve">: </w:t>
      </w:r>
      <w:r>
        <w:rPr>
          <w:rtl w:val="true"/>
        </w:rPr>
        <w:t>زبدة البيان في عمل شهر رمضان</w:t>
      </w:r>
      <w:bookmarkEnd w:id="51"/>
    </w:p>
    <w:p>
      <w:pPr>
        <w:pStyle w:val="BookText"/>
        <w:rPr/>
      </w:pPr>
      <w:r>
        <w:rPr>
          <w:rFonts w:ascii="Amiri" w:hAnsi="Amiri" w:eastAsia="Amiri" w:cs="Amiri"/>
          <w:color w:val="111111"/>
          <w:sz w:val="28"/>
          <w:sz w:val="28"/>
          <w:szCs w:val="28"/>
          <w:rtl w:val="true"/>
          <w:lang w:bidi="ar-SA"/>
        </w:rPr>
        <w:t>قال الآقا بزرك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في عمل شهر رمضان للشيخ جمال الدين أحمد بن علي بن الحسن بن محمّد بن صالح الكفعميّ أخ الشيخ إبراهيم الكفعميّ الذي توفي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وتوفّي هو في حياة أخيه، ينقل عنه أخوه الشيخ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في آخره ونقل عنه أيضاً في بعض حواشي كتبه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في آخر مصباحه من الكتب المأخوذ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لأخي الشيخ جمال الدين الجبعيّ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الكفعميّ في نهاية كتابه المصباح ولنشر إلى ذكر الكتب التي أشرنا إليها في خطبة الكتاب ووعدنا بالذكر لها في ديباجته المجموع منها هذا الكتاب وما فيه من أصله وحواشيه جمعتها من أماكن متعدّدة ومواطن متبدّدة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زبدة البيان لأخي الشيخ جمال الدين الجبعيّ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نقولات عن زبدة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قلنا أنّ الشيخ إبراهيم الكفعميّ صاحب المصباح قد نقل عن أخيه الشيخ أحمد بن علىّ في كتبه بعض الموارد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علیه السّلام رقى النبي صلى الله عليه و آله وعلّمه هذه الرقية للعين بسم الله أرقيك من كلّ عين حاسد الله يشفيك، وعن الصادق علیه السّلام إذا تهيّأ أحدكم بهيئة تعجبه فليقرأ حين يخرج من بيته المعوذتين فإنّه لا يضرّه شيء بإذن الله تعالى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أخوه في حواشي كتابه المعروف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الفصل السادس والأربعين في عمل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بين العشائين ركعتين في الأُولى بالحمد مرّة والتوحيد مائة وفي الثانية بالحمد والتوحيد مرّة ثمّ يقنت ويركع ويسجد ويسلّم ثمّ يخر ساجداً قائلاً في سجوده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قراءة التوحيد ألفاً في الركعة الأولى من هاتين الركعتين ثم يدعو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هاتين اللتين في أوّل الأولى التوحيد ألفاً ذكرهما الشيخ الأجلّ العالم العامل أخي وشقيقي جمال الدين أحمد بن عليّ بن حسن بن محمّد بن صالح أصلح الله شأنه وصانه عمّا شانه في كتابه الملّقب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زبدة البيان في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ورواهما محمّد بن أبي قرّة </w:t>
      </w:r>
      <w:r>
        <w:rPr>
          <w:rStyle w:val="FootnoteAnchor"/>
          <w:rtl w:val="true"/>
        </w:rPr>
        <w:footnoteReference w:id="47"/>
      </w:r>
      <w:r>
        <w:rPr>
          <w:rFonts w:ascii="IRNazanin" w:hAnsi="IRNazanin" w:eastAsia="IRNazanin"/>
          <w:color w:val="111111"/>
          <w:sz w:val="28"/>
          <w:sz w:val="28"/>
          <w:szCs w:val="28"/>
          <w:rtl w:val="true"/>
          <w:lang w:bidi="fa-IR"/>
        </w:rPr>
        <w:t xml:space="preserve">في متهجّده عن الصادق علیه السّلام وأنّ عليّاً علیه السّلام كان يصلّيهما ليلة الفطر وأنّ من صلاهما لم يسأل الله شيئاً إلّا أعطاه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المورد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زبدة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يعقوب علیه السّلام خاف علی بنيه من العين لجمالهم،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لا تدخلوا من 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العين تنزل الحالق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ذروة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قوّة أخذها وشدة بطشها </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في كتاب زبدة البيان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يوسف علیه السّلام وضع خدّه في الجبّ على الأرض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كانت ذنوبي قد أدخلت وجهي عندك فإنّي أتوجه إليك بوجوه آبائي الصالحين إبراهيم وإسماعيل وإسحاق </w:t>
      </w:r>
      <w:bookmarkStart w:id="52" w:name="pg10769_112141"/>
    </w:p>
    <w:p>
      <w:pPr>
        <w:pStyle w:val="BookText"/>
        <w:rPr/>
      </w:pPr>
      <w:bookmarkEnd w:id="52"/>
      <w:r>
        <w:rPr>
          <w:rFonts w:ascii="Amiri" w:hAnsi="Amiri" w:eastAsia="Amiri" w:cs="Amiri"/>
          <w:color w:val="111111"/>
          <w:sz w:val="28"/>
          <w:sz w:val="28"/>
          <w:szCs w:val="28"/>
          <w:rtl w:val="true"/>
          <w:lang w:bidi="ar-SA"/>
        </w:rPr>
        <w:t>ويعقوب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الراوي وهو شعيب العقرقوفيّ </w:t>
      </w:r>
      <w:r>
        <w:rPr>
          <w:rStyle w:val="FootnoteAnchor"/>
          <w:rtl w:val="true"/>
        </w:rPr>
        <w:footnoteReference w:id="50"/>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أندعو بهذا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كانت ذنوبي قد أخلقت وجهى عندك فإنّي أتوجّه إليك بوجه نبيّك نبيّ الرحمة وعلىّ وفاطمة والحسن والحسين والأئمّة علیهم السّلام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قال السيّد حسين الموسويّ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جميع هذه النقولات والحواشي في نسخة من كتاب المصباح للشيخ تقي الدين إبراهيم بخطّ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بن عليّ بن محمّد الشهير بابن الشجاع الكركيّ مولداً ، العامليّ نسباً، المترجم في أمل الآمل ، كتبها في سنة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 xml:space="preserve">، وتمّت مقابلتها بيد الناسخ في سنة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كتبها عن نسخة المصنّف، وهي محفوظة في مكتبة الحكيم رحمه الله العامّة في النجف الأشرف</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7543349_1051229030"/>
      <w:bookmarkStart w:id="54" w:name="_Toc18"/>
      <w:bookmarkEnd w:id="53"/>
      <w:r>
        <w:rPr>
          <w:rtl w:val="true"/>
        </w:rPr>
        <w:t xml:space="preserve">الثاني </w:t>
      </w:r>
      <w:r>
        <w:rPr>
          <w:rtl w:val="true"/>
        </w:rPr>
        <w:t xml:space="preserve">: </w:t>
      </w:r>
      <w:r>
        <w:rPr>
          <w:rtl w:val="true"/>
        </w:rPr>
        <w:t>الرسالة المُهدية إلى مذهب الإماميّة</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 لها أثر ، أشار لها المصنّف في كتابه هذا معارج الأفهام حيث قال في آخر مبحث الإمامة ولنا هنا رسالة حسنة سميّناها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المهدية إلى مذهب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على أربعين دليلاً، عشرين منها دالَة على أنّ مذهب الإماميّة الذي يجب على كلّ عاقل أن يختاره ويرتضيه لنفسه ويقتدي بالأئمّة من آل محمّد صلوات الله عليهم، ويخالف من ارتكب غير طريقتهم وتمسّك بغير شريعتهم ؛ وعشرين دالّة على أنّ أمير المؤمنين عليّ علیه السّلام أفضل من الأنبياء والأولياء والملائكة ما عدا رسول الله صلّی الله علیه و آله، فإنّ له الفضل على جميع خلق الله ، كما دلّ القرآن والأثر وحصل عليه الإجماع من كافّة البشر؛ فمن أرادها وقف عليها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55" w:name="pg10769_112142"/>
    </w:p>
    <w:p>
      <w:pPr>
        <w:pStyle w:val="Heading5"/>
        <w:numPr>
          <w:ilvl w:val="4"/>
          <w:numId w:val="1"/>
        </w:numPr>
        <w:rPr/>
      </w:pPr>
      <w:bookmarkStart w:id="56" w:name="__RefHeading___Toc7543351_1051229030"/>
      <w:bookmarkStart w:id="57" w:name="_Toc19"/>
      <w:bookmarkEnd w:id="55"/>
      <w:bookmarkEnd w:id="56"/>
      <w:r>
        <w:rPr>
          <w:rtl w:val="true"/>
        </w:rPr>
        <w:t xml:space="preserve">الثالث </w:t>
      </w:r>
      <w:r>
        <w:rPr>
          <w:rtl w:val="true"/>
        </w:rPr>
        <w:t xml:space="preserve">: </w:t>
      </w:r>
      <w:r>
        <w:rPr>
          <w:rtl w:val="true"/>
        </w:rPr>
        <w:t>كتاب معارج الأفهام إلى علم الكلام</w:t>
      </w:r>
      <w:bookmarkEnd w:id="57"/>
    </w:p>
    <w:p>
      <w:pPr>
        <w:pStyle w:val="Heading6"/>
        <w:numPr>
          <w:ilvl w:val="5"/>
          <w:numId w:val="1"/>
        </w:numPr>
        <w:rPr/>
      </w:pPr>
      <w:bookmarkStart w:id="58" w:name="__RefHeading___Toc7543353_1051229030"/>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وهو الكتاب الماثل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أصحاب فهارس الكتب وتراجم الرجال انتساب هذا الكتاب لأحمد بن عليّ الكفعميّ غير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نسختين من هذا الكتاب مصرّحتين فيهما بانتساب الكتاب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ذا قلم وله تأليفٌ كما صرّح بذلك أخوه الشيخ إبراهيم</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7543355_1051229030"/>
      <w:bookmarkStart w:id="61" w:name="_Toc21"/>
      <w:bookmarkEnd w:id="60"/>
      <w:r>
        <w:rPr>
          <w:rtl w:val="true"/>
        </w:rPr>
        <w:t>اسم الكتاب</w:t>
      </w:r>
      <w:bookmarkEnd w:id="61"/>
    </w:p>
    <w:p>
      <w:pPr>
        <w:pStyle w:val="BookText"/>
        <w:rPr/>
      </w:pPr>
      <w:r>
        <w:rPr>
          <w:rFonts w:ascii="Amiri" w:hAnsi="Amiri" w:eastAsia="Amiri" w:cs="Amiri"/>
          <w:color w:val="111111"/>
          <w:sz w:val="28"/>
          <w:sz w:val="28"/>
          <w:szCs w:val="28"/>
          <w:rtl w:val="true"/>
          <w:lang w:bidi="ar-SA"/>
        </w:rPr>
        <w:t xml:space="preserve">ذكر اسم الكتاب بصور مختلفة حيث جاء على ظهر الصفحة أُولى من نسخة جامعة طهران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معارج الأفهام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مقدّمة المصنِّف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آخر مصوّرة جامعة طهران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 مصوّرة جامعة شيراز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معراج الوصول إلى علم الأُصول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لعلّ منشأ الاختلاف راجع إلى أنّ الكتاب ذو عنوانين أحدهما ما ذكره المصنّف في مقدّمة الكتاب ، والثانى ما جاء في نهاية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العنوان الثاني فهو لا يخالف موضوع الكتاب لأنّ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في قديم الزمان على علمين من العلوم الإسلاميّة وهما علم أُصول الفقه وعلم الكلام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الصحيح هو المصرّح في أوّل ديباجة المصنّف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العناوين محمولة على سهو أو تصرّف من النسّاخ، كما هو أقرب إلى الصواب</w:t>
      </w:r>
      <w:r>
        <w:rPr>
          <w:rFonts w:eastAsia="Amiri" w:cs="Amiri" w:ascii="Amiri" w:hAnsi="Amiri"/>
          <w:color w:val="111111"/>
          <w:sz w:val="28"/>
          <w:szCs w:val="28"/>
          <w:rtl w:val="true"/>
          <w:lang w:bidi="ar-SA"/>
        </w:rPr>
        <w:t xml:space="preserve">. </w:t>
      </w:r>
      <w:bookmarkStart w:id="62" w:name="pg10769_112143"/>
    </w:p>
    <w:p>
      <w:pPr>
        <w:pStyle w:val="Heading6"/>
        <w:numPr>
          <w:ilvl w:val="5"/>
          <w:numId w:val="1"/>
        </w:numPr>
        <w:rPr/>
      </w:pPr>
      <w:bookmarkStart w:id="63" w:name="__RefHeading___Toc7543357_1051229030"/>
      <w:bookmarkStart w:id="64" w:name="_Toc22"/>
      <w:bookmarkEnd w:id="62"/>
      <w:bookmarkEnd w:id="63"/>
      <w:r>
        <w:rPr>
          <w:rtl w:val="true"/>
        </w:rPr>
        <w:t>موضوع الكتاب وترتيبه</w:t>
      </w:r>
      <w:bookmarkEnd w:id="64"/>
    </w:p>
    <w:p>
      <w:pPr>
        <w:pStyle w:val="BookText"/>
        <w:rPr/>
      </w:pPr>
      <w:r>
        <w:rPr>
          <w:rFonts w:ascii="Amiri" w:hAnsi="Amiri" w:eastAsia="Amiri" w:cs="Amiri"/>
          <w:color w:val="111111"/>
          <w:sz w:val="28"/>
          <w:sz w:val="28"/>
          <w:szCs w:val="28"/>
          <w:rtl w:val="true"/>
          <w:lang w:bidi="ar-SA"/>
        </w:rPr>
        <w:t>إنّ الكتاب من الكتب الكلاميّة التي جمع المصنّف فيه جميع أبواب علم الكلام بطريق الإيجاز على نحو لا يخلّ بالمعنى، ألّفه على طريقة المتكلّمين عند الشيعة الإماميّة كالخواجة نصير الدين الطوسيّ والعلّامة الحلّيّ والمقداد السيوريّ، متمسّكاً بالمنهج العقلي والنقلي، وبيّن فيه آراءه في علم الكلام وأُصول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ورتّبه على خمسة معارج، وجعل المعراج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والمعراج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والمعراج الثالث في النبوّة، والمعراج الرابع في الإمامة، والمعراج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تحت كلّ معراج أُصولاً، باستثناء المعراج الأوّل فإن فيه مقدّمة و مقصدين وتحت المقدّمة أُصولاً، وتحت كلّ مقصد أُصولاً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في ضحوة نهار الاثنين ثاني عشر ربيع الأوّل من شهور سنة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وجعل تأليفه تقرّباً إلى الله الجليل، وطلباً لثوابه الجزيل وإحسانه الجميل، مصرّحاً أنّ كتابه هذا كافٍ في إثبات الذات، وإيضاح كمال الصفات، وتنزيه جلاله عن الناقصات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الكتاب من الكتب الممتعة حقّاً المصنّفة في فنّ الكلام، ويظهر من تأليفه هذا أنّه من أئمتّه، هذا ومع أسفنا لعدم نقل العلّامة المجلسيّ رحمه الله عن الكتاب في موسوعته الموسوم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عثوره عليه، فمن اللازم أن يستدرك به وبأمثاله من الكتب المهجورة في المكتبات الإسلاميّة</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543359_1051229030"/>
      <w:bookmarkStart w:id="66" w:name="_Toc23"/>
      <w:bookmarkEnd w:id="65"/>
      <w:r>
        <w:rPr>
          <w:rtl w:val="true"/>
        </w:rPr>
        <w:t>نسخ الكتاب</w:t>
      </w:r>
      <w:bookmarkEnd w:id="6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اعتمدنا في تحقيق هذا الكتاب وإخراجه بهذه الصورة الجميلة على </w:t>
      </w:r>
    </w:p>
    <w:p>
      <w:pPr>
        <w:pStyle w:val="BookText"/>
        <w:rPr/>
      </w:pPr>
      <w:r>
        <w:rPr>
          <w:rFonts w:ascii="Amiri" w:hAnsi="Amiri" w:eastAsia="Amiri" w:cs="Amiri"/>
          <w:color w:val="111111"/>
          <w:sz w:val="28"/>
          <w:sz w:val="28"/>
          <w:szCs w:val="28"/>
          <w:rtl w:val="true"/>
          <w:lang w:bidi="ar-SA"/>
        </w:rPr>
        <w:t>نسختين مصوّرتين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في مكتبة الجامعة المركزيّة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8221</w:t>
      </w:r>
      <w:r>
        <w:rPr>
          <w:rFonts w:ascii="Amiri" w:hAnsi="Amiri" w:eastAsia="Amiri" w:cs="Amiri"/>
          <w:color w:val="111111"/>
          <w:sz w:val="28"/>
          <w:sz w:val="28"/>
          <w:szCs w:val="28"/>
          <w:rtl w:val="true"/>
          <w:lang w:bidi="ar-SA"/>
        </w:rPr>
        <w:t xml:space="preserve">،ذكرت في فهرستها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قال بن بها قال بن شمس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مواصفات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كاملة بخطّ جيّد إلّا أنّه قد سقط من أواسطها ورقة ، وعنوان النسخة كما فى ظهرها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معارج الأفهام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 كفعميّ رحمه الله وله مصنّفات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فى آخر صفحة 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كتابة الرسالة المسمّاة بمعارج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ومعها رسالة أُخرى في علم الكلام للشيخ أبي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الرسائل المطبوعة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الاعتقادات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رمزنا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المحفوظة في مكتبة الميرزا الشيرازيّ في جامعة شيراز برقم</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في مجلّة نسخه پژوهي 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الشيخ محمّد بركت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المقاس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مواصفات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إلّا أنّه سقطت منها الصفحة الأُولى ، وبدايتها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الرسالة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الصفحة الأخيرة ساقطة أيضاً، وآخرها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كتابة الرسالة المسمّاة بمعراج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مختوم عليها بأنّها من هدايا آقاي محمّد حسن إماميّ إلى جامعة شيراز </w:t>
      </w:r>
      <w:bookmarkStart w:id="67" w:name="pg10769_112145"/>
    </w:p>
    <w:p>
      <w:pPr>
        <w:pStyle w:val="BookText"/>
        <w:rPr/>
      </w:pPr>
      <w:bookmarkEnd w:id="67"/>
      <w:r>
        <w:rPr>
          <w:rFonts w:ascii="Amiri" w:hAnsi="Amiri" w:eastAsia="Amiri" w:cs="Amiri"/>
          <w:color w:val="111111"/>
          <w:sz w:val="28"/>
          <w:sz w:val="28"/>
          <w:szCs w:val="28"/>
          <w:rtl w:val="true"/>
          <w:lang w:bidi="ar-SA"/>
        </w:rPr>
        <w:t xml:space="preserve">في شهر خرداد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ختم الجامعة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رمزنا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6"/>
        <w:numPr>
          <w:ilvl w:val="5"/>
          <w:numId w:val="1"/>
        </w:numPr>
        <w:rPr/>
      </w:pPr>
      <w:bookmarkStart w:id="68" w:name="__RefHeading___Toc7543361_1051229030"/>
      <w:bookmarkStart w:id="69" w:name="_Toc24"/>
      <w:bookmarkEnd w:id="68"/>
      <w:r>
        <w:rPr>
          <w:rtl w:val="true"/>
        </w:rPr>
        <w:t>عملنا في تحقيق الكتاب</w:t>
      </w:r>
      <w:bookmarkEnd w:id="69"/>
    </w:p>
    <w:p>
      <w:pPr>
        <w:pStyle w:val="BookText"/>
        <w:rPr/>
      </w:pPr>
      <w:r>
        <w:rPr>
          <w:rFonts w:ascii="Amiri" w:hAnsi="Amiri" w:eastAsia="Amiri" w:cs="Amiri"/>
          <w:color w:val="111111"/>
          <w:sz w:val="28"/>
          <w:sz w:val="28"/>
          <w:szCs w:val="28"/>
          <w:rtl w:val="true"/>
          <w:lang w:bidi="ar-SA"/>
        </w:rPr>
        <w:t xml:space="preserve">اعتمدنا في تحقيق الكتاب وتنميقه على النسختين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خصائصهما، وقد كانت مراحل العمل على الصُور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صفّ الحروف جرت المقابلة بين النسختين وثبّتنا الاختلافات بينها، وقد جعلنا الصحيح أو الأصحّ في المتن وأشرنا إلى المرجوحات في الهامش، مع الأخذ بنظر الاعتبار نسخة مكتبة جامعة شيراز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الخالية عن السقط تقريباً باستثناء الصفحة الأُولى والأخيرة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تقطيع النصّ إلى فقرات ومقاطع وتزيينه بالفوارز، مع إضافة بعض العناوين المناسبة وجعلها بين معقوفين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لتسهيل التناول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الآيات الكريمة من المصحف الشريف وجعلها بين قوسين مزهرين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الروايات الشريفة وأقوال أصحاب المذاهب الكلامية والفلسفيّة من أهم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وتوضيح المصطلحات الكلامية والفلسفيّة بما يتناسب ورفع الغموض عن المتن مع إضافة ترجمة مختصرة تكشف الغبار عن أسماء الرجال الوارد ذكرهم في ثنايا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النصّ وضبطه مع إعادة النظر في اختيار الصحيح أو الأصحّ في المتن، ثمّ بعد ذلك المراجعة النهائيّة والتدقيق في مسألة تناسق الكتاب وإزالة ما زاغ البصر عنه في المراحل السابقة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أُقدّم هذا الكتاب للقارئ الكريم بهذه الصورة الجميلة، أسأل الله </w:t>
      </w:r>
    </w:p>
    <w:p>
      <w:pPr>
        <w:pStyle w:val="BookText"/>
        <w:rPr/>
      </w:pPr>
      <w:r>
        <w:rPr>
          <w:rFonts w:ascii="Amiri" w:hAnsi="Amiri" w:eastAsia="Amiri" w:cs="Amiri"/>
          <w:color w:val="111111"/>
          <w:sz w:val="28"/>
          <w:sz w:val="28"/>
          <w:szCs w:val="28"/>
          <w:rtl w:val="true"/>
          <w:lang w:bidi="ar-SA"/>
        </w:rPr>
        <w:t>سبحانه وتعالى أن يوفّق المشتغلين في باب إحياء تراث أُمّتنا الإسلاميّة لسعى حثيث وبذل جهد واسع لإحياء كنوز هذا الدين القويم، وأن يتقبّل الله منهم ومنّي هذه الجهود المبذولة وأن يختم عواقب أُمورنا بخير إنه سميع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ولا يفوتني تقديم الشكر الجزيل والامتنان الجميل لسماحة الحجّة الإسلام والمسلمين السيّد حسين الموسويّ البروجرديّ حيث هيّأ نسختي الكتاب من أجل إحياء المصادر والكتب المهجورة القيّمة والتي لم ينقل عنها العلّامة الخبير محمد باقر المجلسيّ رحمه الله في موسوعته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لها شأنيّة ، اللّهمّ وفّقه لهذا المهم بحقّ محمّد وآله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 الرسل وخاتمهم محمّد وأهل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الحليم عوض الحلّىّ</w:t>
      </w:r>
    </w:p>
    <w:p>
      <w:pPr>
        <w:pStyle w:val="BookText"/>
        <w:rPr/>
      </w:pPr>
      <w:r>
        <w:rPr>
          <w:rFonts w:ascii="Amiri" w:hAnsi="Amiri" w:eastAsia="Amiri" w:cs="Amiri"/>
          <w:color w:val="111111"/>
          <w:sz w:val="28"/>
          <w:sz w:val="28"/>
          <w:szCs w:val="28"/>
          <w:rtl w:val="true"/>
          <w:lang w:bidi="ar-SA"/>
        </w:rPr>
        <w:t xml:space="preserve">غرّة صفر المظفّر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هـ</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الحلّة الفيحاء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0769_112148"/>
      <w:bookmarkStart w:id="71" w:name="pg10769_112148"/>
      <w:bookmarkEnd w:id="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pg10769_112148"/>
      <w:bookmarkStart w:id="73" w:name="__RefHeading___Toc7543363_1051229030"/>
      <w:bookmarkStart w:id="74" w:name="_Toc25"/>
      <w:bookmarkEnd w:id="72"/>
      <w:bookmarkEnd w:id="73"/>
      <w:r>
        <w:rPr>
          <w:rtl w:val="true"/>
        </w:rPr>
        <w:t>نماذج من نسخ الكتاب</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9"/>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2"/>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0769_112156"/>
      <w:bookmarkStart w:id="76" w:name="pg10769_112156"/>
      <w:bookmarkEnd w:id="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pg10769_112156"/>
      <w:bookmarkStart w:id="78" w:name="__RefHeading___Toc7543365_1051229030"/>
      <w:bookmarkStart w:id="79" w:name="_Toc26"/>
      <w:bookmarkEnd w:id="77"/>
      <w:bookmarkEnd w:id="78"/>
      <w:r>
        <w:rPr>
          <w:rtl w:val="true"/>
        </w:rPr>
        <w:t>معارج الإفهام إلى علم الكلام</w:t>
      </w:r>
      <w:bookmarkEnd w:id="7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الذي أشرف بالمجد أنوار العلماء، وأحرق بنار الاجتهاد والجدُ أجنحة الجهلاء ، وأغرق في بحار لاهوتيّته أفكار الفضلاء، وأنطق بحقيقة وحدانيّته ألسنة الأذكياء ، وأطبق بإذعان جلال عظمته ما في الأرض والسماء، فسبحانه من كريم متفرّد بالعظمة والكبرياء، متكرّم على جميع خلقه بالآلاء والنعماء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الصلاة على المنصوص عليه بالاصطفاء والمخصوص بكمال الشفاعة والحوض واللواء المبعوث إلى كافّة الخلق من الأنبياء؛ محمّد وآله الأئمّة النجباء، صلاةٌ دائمةً باقيةً لا انفصال لها ولا انقضاء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أهمّ المطالب وأتمّ المراتب البحث عن الصفات الجلاليّة ومعرفته تعالى بالدلائل العقليّة وما يتبع ذلك من المسائل الأصم المسائل الأُصوليّة والمقاصد الكلاميّة </w:t>
      </w:r>
      <w:r>
        <w:rPr>
          <w:rStyle w:val="FootnoteAnchor"/>
          <w:rtl w:val="true"/>
        </w:rPr>
        <w:footnoteReference w:id="53"/>
      </w:r>
      <w:r>
        <w:rPr>
          <w:rFonts w:ascii="Amiri" w:hAnsi="Amiri" w:eastAsia="Amiri" w:cs="Amiri"/>
          <w:color w:val="111111"/>
          <w:sz w:val="28"/>
          <w:sz w:val="28"/>
          <w:szCs w:val="28"/>
          <w:rtl w:val="true"/>
          <w:lang w:bidi="ar-SA"/>
        </w:rPr>
        <w:t xml:space="preserve">، وهذه الرسالة كافية في إثبات الذات وإيضاح كمال الصفات، وتنزيه جلاله </w:t>
      </w:r>
    </w:p>
    <w:p>
      <w:pPr>
        <w:pStyle w:val="BookText"/>
        <w:rPr/>
      </w:pPr>
      <w:r>
        <w:rPr>
          <w:rFonts w:ascii="Amiri" w:hAnsi="Amiri" w:eastAsia="Amiri" w:cs="Amiri"/>
          <w:color w:val="111111"/>
          <w:sz w:val="28"/>
          <w:sz w:val="28"/>
          <w:szCs w:val="28"/>
          <w:rtl w:val="true"/>
          <w:lang w:bidi="ar-SA"/>
        </w:rPr>
        <w:t>عن الناقصات، موسومة بـ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أُلفتها تقرّباً إلى الله الجليل، وطلباً لثوابه الجزيل وإحسانه الجميل، وعليه اعتمدت فهو نعم المولى ونعم الوكيل، ورتّبتها على معارج</w:t>
      </w:r>
      <w:r>
        <w:rPr>
          <w:rFonts w:eastAsia="Amiri" w:cs="Amiri" w:ascii="Amiri" w:hAnsi="Amiri"/>
          <w:color w:val="111111"/>
          <w:sz w:val="28"/>
          <w:szCs w:val="28"/>
          <w:rtl w:val="true"/>
          <w:lang w:bidi="ar-SA"/>
        </w:rPr>
        <w:t xml:space="preserve">. </w:t>
      </w:r>
      <w:bookmarkStart w:id="80" w:name="pg10769_112160"/>
    </w:p>
    <w:p>
      <w:pPr>
        <w:pStyle w:val="Heading2"/>
        <w:numPr>
          <w:ilvl w:val="1"/>
          <w:numId w:val="1"/>
        </w:numPr>
        <w:rPr/>
      </w:pPr>
      <w:bookmarkStart w:id="81" w:name="__RefHeading___Toc7543367_1051229030"/>
      <w:bookmarkStart w:id="82" w:name="_Toc27"/>
      <w:bookmarkEnd w:id="80"/>
      <w:bookmarkEnd w:id="81"/>
      <w:r>
        <w:rPr>
          <w:rtl w:val="true"/>
        </w:rPr>
        <w:t>المعراج الأول في التوحيد</w:t>
      </w:r>
      <w:bookmarkEnd w:id="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7543369_1051229030"/>
      <w:bookmarkStart w:id="84" w:name="_Toc28"/>
      <w:bookmarkEnd w:id="83"/>
      <w:r>
        <w:rPr>
          <w:rtl w:val="true"/>
        </w:rPr>
        <w:t>اشارة</w:t>
      </w:r>
      <w:bookmarkEnd w:id="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0769_112162"/>
      <w:bookmarkStart w:id="86" w:name="pg10769_112162"/>
      <w:bookmarkEnd w:id="86"/>
    </w:p>
    <w:p>
      <w:pPr>
        <w:pStyle w:val="BookText"/>
        <w:rPr/>
      </w:pPr>
      <w:bookmarkStart w:id="87" w:name="pg10769_112162"/>
      <w:bookmarkEnd w:id="87"/>
      <w:r>
        <w:rPr>
          <w:rFonts w:ascii="Amiri" w:hAnsi="Amiri" w:eastAsia="Amiri" w:cs="Amiri"/>
          <w:color w:val="111111"/>
          <w:sz w:val="28"/>
          <w:sz w:val="28"/>
          <w:szCs w:val="28"/>
          <w:rtl w:val="true"/>
          <w:lang w:bidi="ar-SA"/>
        </w:rPr>
        <w:t>وفيه مقدمة ومقصدان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ففيها أُصول</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7543371_1051229030"/>
      <w:bookmarkStart w:id="89" w:name="_Toc29"/>
      <w:bookmarkEnd w:id="88"/>
      <w:r>
        <w:rPr>
          <w:rtl w:val="true"/>
        </w:rPr>
        <w:t xml:space="preserve">أصل </w:t>
      </w:r>
      <w:r>
        <w:rPr>
          <w:rtl w:val="true"/>
        </w:rPr>
        <w:t xml:space="preserve">[ </w:t>
      </w:r>
      <w:r>
        <w:rPr>
          <w:rtl w:val="true"/>
        </w:rPr>
        <w:t xml:space="preserve">في أقسام الموجود والمعدوم </w:t>
      </w:r>
      <w:r>
        <w:rPr>
          <w:rtl w:val="true"/>
        </w:rPr>
        <w:t>]</w:t>
      </w:r>
      <w:bookmarkEnd w:id="89"/>
    </w:p>
    <w:p>
      <w:pPr>
        <w:pStyle w:val="BookText"/>
        <w:rPr/>
      </w:pPr>
      <w:r>
        <w:rPr>
          <w:rFonts w:ascii="Amiri" w:hAnsi="Amiri" w:eastAsia="Amiri" w:cs="Amiri"/>
          <w:color w:val="111111"/>
          <w:sz w:val="28"/>
          <w:sz w:val="28"/>
          <w:szCs w:val="28"/>
          <w:rtl w:val="true"/>
          <w:lang w:bidi="ar-SA"/>
        </w:rPr>
        <w:t>كُلّ معلوم إمّا أن يفرض له تحقّق أو لا، والأوّل موجود وثابت، والثاني معدوم ومنفي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إمّا أن يفرض له تحقّق خارجاً أو لا؛ والثاني الموجود </w:t>
      </w:r>
      <w:r>
        <w:rPr>
          <w:rStyle w:val="FootnoteAnchor"/>
          <w:rtl w:val="true"/>
        </w:rPr>
        <w:footnoteReference w:id="54"/>
      </w:r>
      <w:r>
        <w:rPr>
          <w:rFonts w:ascii="Amiri" w:hAnsi="Amiri" w:eastAsia="Amiri" w:cs="Amiri"/>
          <w:color w:val="111111"/>
          <w:sz w:val="28"/>
          <w:sz w:val="28"/>
          <w:szCs w:val="28"/>
          <w:rtl w:val="true"/>
          <w:lang w:bidi="ar-SA"/>
        </w:rPr>
        <w:t>الذهني كالجبل من الياقوت والبحر من الزئبق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إمّا أن يكون وجوده مقتضى ذاته وهو الواجب تعالى أو من غيره وهو الممكن الذاتي وهو ما عداه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والمعدوم إمّا أن يمكن فرض وجوده أو لا؛ والثاني المستحيل والممتنع الذاتي، والأوّل الممتنع الغيري</w:t>
      </w:r>
      <w:r>
        <w:rPr>
          <w:rFonts w:eastAsia="Amiri" w:cs="Amiri" w:ascii="Amiri" w:hAnsi="Amiri"/>
          <w:color w:val="111111"/>
          <w:sz w:val="28"/>
          <w:szCs w:val="28"/>
          <w:rtl w:val="true"/>
          <w:lang w:bidi="ar-SA"/>
        </w:rPr>
        <w:t xml:space="preserve">. </w:t>
      </w:r>
      <w:bookmarkStart w:id="90" w:name="pg10769_112163"/>
    </w:p>
    <w:p>
      <w:pPr>
        <w:pStyle w:val="BookText"/>
        <w:rPr/>
      </w:pPr>
      <w:bookmarkEnd w:id="90"/>
      <w:r>
        <w:rPr>
          <w:rFonts w:ascii="IRNazanin" w:hAnsi="IRNazanin" w:eastAsia="IRNazanin"/>
          <w:color w:val="111111"/>
          <w:sz w:val="28"/>
          <w:sz w:val="28"/>
          <w:szCs w:val="28"/>
          <w:rtl w:val="true"/>
          <w:lang w:bidi="fa-IR"/>
        </w:rPr>
        <w:t xml:space="preserve">فالوجوب </w:t>
      </w:r>
      <w:r>
        <w:rPr>
          <w:rStyle w:val="FootnoteAnchor"/>
          <w:rtl w:val="true"/>
        </w:rPr>
        <w:footnoteReference w:id="55"/>
      </w:r>
      <w:r>
        <w:rPr>
          <w:rFonts w:ascii="Amiri" w:hAnsi="Amiri" w:eastAsia="Amiri" w:cs="Amiri"/>
          <w:color w:val="111111"/>
          <w:sz w:val="28"/>
          <w:sz w:val="28"/>
          <w:szCs w:val="28"/>
          <w:rtl w:val="true"/>
          <w:lang w:bidi="ar-SA"/>
        </w:rPr>
        <w:t>الغيري والامتناع الغيري كوجود المعلول عند علّته، وامتناعه عند عدمها ممكن ذاتي ، ولا واسطة بين الوجود والعدم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543373_1051229030"/>
      <w:bookmarkStart w:id="92" w:name="_Toc30"/>
      <w:bookmarkEnd w:id="91"/>
      <w:r>
        <w:rPr>
          <w:rtl w:val="true"/>
        </w:rPr>
        <w:t xml:space="preserve">أصل </w:t>
      </w:r>
      <w:r>
        <w:rPr>
          <w:rtl w:val="true"/>
        </w:rPr>
        <w:t xml:space="preserve">[ </w:t>
      </w:r>
      <w:r>
        <w:rPr>
          <w:rtl w:val="true"/>
        </w:rPr>
        <w:t xml:space="preserve">في بداهة الوجود </w:t>
      </w:r>
      <w:r>
        <w:rPr>
          <w:rtl w:val="true"/>
        </w:rPr>
        <w:t>]</w:t>
      </w:r>
      <w:bookmarkEnd w:id="92"/>
    </w:p>
    <w:p>
      <w:pPr>
        <w:pStyle w:val="BookText"/>
        <w:rPr/>
      </w:pPr>
      <w:r>
        <w:rPr>
          <w:rFonts w:ascii="Amiri" w:hAnsi="Amiri" w:eastAsia="Amiri" w:cs="Amiri"/>
          <w:color w:val="111111"/>
          <w:sz w:val="28"/>
          <w:sz w:val="28"/>
          <w:szCs w:val="28"/>
          <w:rtl w:val="true"/>
          <w:lang w:bidi="ar-SA"/>
        </w:rPr>
        <w:t xml:space="preserve">الوجود بديهيّ التصوّر، فإنّه لا شيء أظهر عند العاقل من كونه موجوداً وأنّه ليس بمعدوم، وبداهة المركّب تستلزم بداهة أجزائه لأنّها لو كانت الأجزاء كسبيّة لكانت الماهية المركبة </w:t>
      </w:r>
      <w:r>
        <w:rPr>
          <w:rStyle w:val="FootnoteAnchor"/>
          <w:rtl w:val="true"/>
        </w:rPr>
        <w:footnoteReference w:id="56"/>
      </w:r>
      <w:r>
        <w:rPr>
          <w:rFonts w:ascii="Amiri" w:hAnsi="Amiri" w:eastAsia="Amiri" w:cs="Amiri"/>
          <w:color w:val="111111"/>
          <w:sz w:val="28"/>
          <w:sz w:val="28"/>
          <w:szCs w:val="28"/>
          <w:rtl w:val="true"/>
          <w:lang w:bidi="ar-SA"/>
        </w:rPr>
        <w:t xml:space="preserve">كسبيّة ، وهو محال لما تقدّم ، والمنازع مكابر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543375_1051229030"/>
      <w:bookmarkStart w:id="94" w:name="_Toc31"/>
      <w:bookmarkEnd w:id="93"/>
      <w:r>
        <w:rPr>
          <w:rtl w:val="true"/>
        </w:rPr>
        <w:t xml:space="preserve">أصل </w:t>
      </w:r>
      <w:r>
        <w:rPr>
          <w:rtl w:val="true"/>
        </w:rPr>
        <w:t xml:space="preserve">[ </w:t>
      </w:r>
      <w:r>
        <w:rPr>
          <w:rtl w:val="true"/>
        </w:rPr>
        <w:t xml:space="preserve">في اشتراك الوجود معنويّاً </w:t>
      </w:r>
      <w:r>
        <w:rPr>
          <w:rtl w:val="true"/>
        </w:rPr>
        <w:t>]</w:t>
      </w:r>
      <w:bookmarkEnd w:id="94"/>
    </w:p>
    <w:p>
      <w:pPr>
        <w:pStyle w:val="BookText"/>
        <w:rPr/>
      </w:pPr>
      <w:r>
        <w:rPr>
          <w:rFonts w:ascii="Amiri" w:hAnsi="Amiri" w:eastAsia="Amiri" w:cs="Amiri"/>
          <w:color w:val="111111"/>
          <w:sz w:val="28"/>
          <w:sz w:val="28"/>
          <w:szCs w:val="28"/>
          <w:rtl w:val="true"/>
          <w:lang w:bidi="ar-SA"/>
        </w:rPr>
        <w:t xml:space="preserve">الوجود مشترك اشتراكاً معنوياًّ، لأنا نجزم بوجود شيء ونقسّمه إلى الواجب والممكن والجوهر والعرض، فيكون مشتركاً اشتراكاً معنويّاً؛ لأنّ مورد القسمة واحد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7543377_1051229030"/>
      <w:bookmarkStart w:id="96" w:name="_Toc32"/>
      <w:bookmarkEnd w:id="95"/>
      <w:r>
        <w:rPr>
          <w:rtl w:val="true"/>
        </w:rPr>
        <w:t xml:space="preserve">أصل </w:t>
      </w:r>
      <w:r>
        <w:rPr>
          <w:rtl w:val="true"/>
        </w:rPr>
        <w:t xml:space="preserve">[ </w:t>
      </w:r>
      <w:r>
        <w:rPr>
          <w:rtl w:val="true"/>
        </w:rPr>
        <w:t xml:space="preserve">في زيادة الوجود على الماهيّة </w:t>
      </w:r>
      <w:r>
        <w:rPr>
          <w:rtl w:val="true"/>
        </w:rPr>
        <w:t>]</w:t>
      </w:r>
      <w:bookmarkEnd w:id="9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أنّه زائد على ماهية الممكن ، ونفس حقيقة </w:t>
      </w:r>
      <w:r>
        <w:rPr>
          <w:rStyle w:val="FootnoteAnchor"/>
          <w:rtl w:val="true"/>
        </w:rPr>
        <w:footnoteReference w:id="58"/>
      </w:r>
      <w:r>
        <w:rPr>
          <w:rFonts w:ascii="Amiri" w:hAnsi="Amiri" w:eastAsia="Amiri" w:cs="Amiri"/>
          <w:color w:val="111111"/>
          <w:sz w:val="28"/>
          <w:sz w:val="28"/>
          <w:szCs w:val="28"/>
          <w:rtl w:val="true"/>
          <w:lang w:bidi="ar-SA"/>
        </w:rPr>
        <w:t xml:space="preserve">الواجب، والثاني يأتي </w:t>
      </w:r>
      <w:bookmarkStart w:id="97" w:name="pg10769_112164"/>
    </w:p>
    <w:p>
      <w:pPr>
        <w:pStyle w:val="BookText"/>
        <w:rPr/>
      </w:pPr>
      <w:bookmarkEnd w:id="97"/>
      <w:r>
        <w:rPr>
          <w:rFonts w:ascii="Amiri" w:hAnsi="Amiri" w:eastAsia="Amiri" w:cs="Amiri"/>
          <w:color w:val="111111"/>
          <w:sz w:val="28"/>
          <w:sz w:val="28"/>
          <w:szCs w:val="28"/>
          <w:rtl w:val="true"/>
          <w:lang w:bidi="ar-SA"/>
        </w:rPr>
        <w:t>في خواصّ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فلانا نحكم على الماهيّة بالوجود تارة وبالعدم أُخرى ونستفيد من الحكم الأوّل زيادة الوجود، ومن الثانى العدم، ولولا الزيادة لزم التكرار في الأوّل، والمناقضة فى الثاني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والزيادة في الذهن لا الخارج، وهو قائم بالماهيّة من حيث هي هي لا باعتبار الوجود حتّى يلزم التسلسل أو اشتراط الشيء بنفسه، ولا باعتبار العدم حتّى يلزم قيام المعدوم بالموجود</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7543379_1051229030"/>
      <w:bookmarkStart w:id="99" w:name="_Toc33"/>
      <w:bookmarkEnd w:id="98"/>
      <w:r>
        <w:rPr>
          <w:rtl w:val="true"/>
        </w:rPr>
        <w:t xml:space="preserve">أصل </w:t>
      </w:r>
      <w:r>
        <w:rPr>
          <w:rtl w:val="true"/>
        </w:rPr>
        <w:t xml:space="preserve">[ </w:t>
      </w:r>
      <w:r>
        <w:rPr>
          <w:rtl w:val="true"/>
        </w:rPr>
        <w:t xml:space="preserve">في الوجود الذهني </w:t>
      </w:r>
      <w:r>
        <w:rPr>
          <w:rtl w:val="true"/>
        </w:rPr>
        <w:t>]</w:t>
      </w:r>
      <w:bookmarkEnd w:id="99"/>
    </w:p>
    <w:p>
      <w:pPr>
        <w:pStyle w:val="BookText"/>
        <w:rPr/>
      </w:pPr>
      <w:r>
        <w:rPr>
          <w:rFonts w:ascii="Amiri" w:hAnsi="Amiri" w:eastAsia="Amiri" w:cs="Amiri"/>
          <w:color w:val="111111"/>
          <w:sz w:val="28"/>
          <w:sz w:val="28"/>
          <w:szCs w:val="28"/>
          <w:rtl w:val="true"/>
          <w:lang w:bidi="ar-SA"/>
        </w:rPr>
        <w:t>الوجود الذهني ثابت، فإنّا نحكم على أشياء معدومة في الخارج بأحكام إيجابيّة أو سلبيّة، وليست موجودة في الخارج فتكون في الذهن ، والمنع بلزوم اجتماع الضدّين وَهْمٌ، فإنَّ المجتمع إنّما هو المثال والصورة لا العين</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7543381_1051229030"/>
      <w:bookmarkStart w:id="101" w:name="_Toc34"/>
      <w:bookmarkEnd w:id="100"/>
      <w:r>
        <w:rPr>
          <w:rtl w:val="true"/>
        </w:rPr>
        <w:t xml:space="preserve">أصل </w:t>
      </w:r>
      <w:r>
        <w:rPr>
          <w:rtl w:val="true"/>
        </w:rPr>
        <w:t>[</w:t>
      </w:r>
      <w:r>
        <w:rPr>
          <w:rtl w:val="true"/>
        </w:rPr>
        <w:t xml:space="preserve">في الوجوب والإمكان والامتناع </w:t>
      </w:r>
      <w:r>
        <w:rPr>
          <w:rtl w:val="true"/>
        </w:rPr>
        <w:t>]</w:t>
      </w:r>
      <w:bookmarkEnd w:id="101"/>
    </w:p>
    <w:p>
      <w:pPr>
        <w:pStyle w:val="BookText"/>
        <w:rPr/>
      </w:pPr>
      <w:r>
        <w:rPr>
          <w:rFonts w:ascii="Amiri" w:hAnsi="Amiri" w:eastAsia="Amiri" w:cs="Amiri"/>
          <w:color w:val="111111"/>
          <w:sz w:val="28"/>
          <w:sz w:val="28"/>
          <w:szCs w:val="28"/>
          <w:rtl w:val="true"/>
          <w:lang w:bidi="ar-SA"/>
        </w:rPr>
        <w:t xml:space="preserve">الوجوب والإمكان والامتناع مفهومات ضروريّة لا تفتقر إلى تعريف، ومن عرّفها لزمه الدور ، أو تعريف الشيء بما يساويه ؛ وهما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أُمور اعتباريّة لا وجود لها خارجاً؛ لأن الوجوب لو كان خارجيّاً لكان إمّا واجباً أو ممكناً ، ومن الأوّل يلزم التسلسل، ومن الثاني إمكان الواجب؛ وهما باطلان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الإمكان فلانّه لو كان ثابتاً في الخارج لكان إمّا واجباً، فيكون الممكن </w:t>
      </w:r>
      <w:bookmarkStart w:id="102" w:name="pg10769_112165"/>
    </w:p>
    <w:p>
      <w:pPr>
        <w:pStyle w:val="BookText"/>
        <w:rPr/>
      </w:pPr>
      <w:bookmarkEnd w:id="102"/>
      <w:r>
        <w:rPr>
          <w:rFonts w:ascii="Amiri" w:hAnsi="Amiri" w:eastAsia="Amiri" w:cs="Amiri"/>
          <w:color w:val="111111"/>
          <w:sz w:val="28"/>
          <w:sz w:val="28"/>
          <w:szCs w:val="28"/>
          <w:rtl w:val="true"/>
          <w:lang w:bidi="ar-SA"/>
        </w:rPr>
        <w:t>واجباً، لأنّ شرط الواجب واجب، أو ممكناً فله إمكان ويتسلسل؛ وهما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الامتناع فغنيّ عن الاستدلال، لأنّ ثبوت الممتنع خارجاً باطلٌ قطعاً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7543383_1051229030"/>
      <w:bookmarkStart w:id="104" w:name="_Toc35"/>
      <w:bookmarkEnd w:id="103"/>
      <w:r>
        <w:rPr>
          <w:rtl w:val="true"/>
        </w:rPr>
        <w:t xml:space="preserve">أصل </w:t>
      </w:r>
      <w:r>
        <w:rPr>
          <w:rtl w:val="true"/>
        </w:rPr>
        <w:t xml:space="preserve">[ </w:t>
      </w:r>
      <w:r>
        <w:rPr>
          <w:rtl w:val="true"/>
        </w:rPr>
        <w:t xml:space="preserve">في خواص الواجب </w:t>
      </w:r>
      <w:r>
        <w:rPr>
          <w:rtl w:val="true"/>
        </w:rPr>
        <w:t>]</w:t>
      </w:r>
      <w:bookmarkEnd w:id="104"/>
    </w:p>
    <w:p>
      <w:pPr>
        <w:pStyle w:val="BookText"/>
        <w:rPr/>
      </w:pPr>
      <w:r>
        <w:rPr>
          <w:rFonts w:ascii="Amiri" w:hAnsi="Amiri" w:eastAsia="Amiri" w:cs="Amiri"/>
          <w:color w:val="111111"/>
          <w:sz w:val="28"/>
          <w:sz w:val="28"/>
          <w:szCs w:val="28"/>
          <w:rtl w:val="true"/>
          <w:lang w:bidi="ar-SA"/>
        </w:rPr>
        <w:t xml:space="preserve">الواجب له خواصّ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واجباً لذاته ولغيره، وإلّا اجتمع النقيضان؛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صادقاً على المركّب ، وإلّا لكان ممكناً، وهو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w:t>
      </w:r>
      <w:r>
        <w:rPr>
          <w:rStyle w:val="FootnoteAnchor"/>
          <w:rtl w:val="true"/>
        </w:rPr>
        <w:footnoteReference w:id="59"/>
      </w:r>
      <w:r>
        <w:rPr>
          <w:rFonts w:ascii="Amiri" w:hAnsi="Amiri" w:eastAsia="Amiri" w:cs="Amiri"/>
          <w:color w:val="111111"/>
          <w:sz w:val="28"/>
          <w:sz w:val="28"/>
          <w:szCs w:val="28"/>
          <w:rtl w:val="true"/>
          <w:lang w:bidi="ar-SA"/>
        </w:rPr>
        <w:t>يكون جزءاً من ماهيّةٍ وإلّا لكان منفعلاً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زائداً، وإلّا لكان صفة فيفتقر إلى موصوفه فيكون ممكناً سواء كان وجوداً أو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صادقاً على اثنين </w:t>
      </w:r>
      <w:r>
        <w:rPr>
          <w:rStyle w:val="FootnoteAnchor"/>
          <w:rtl w:val="true"/>
        </w:rPr>
        <w:footnoteReference w:id="60"/>
      </w:r>
      <w:r>
        <w:rPr>
          <w:rFonts w:ascii="Amiri" w:hAnsi="Amiri" w:eastAsia="Amiri" w:cs="Amiri"/>
          <w:color w:val="111111"/>
          <w:sz w:val="28"/>
          <w:sz w:val="28"/>
          <w:szCs w:val="28"/>
          <w:rtl w:val="true"/>
          <w:lang w:bidi="ar-SA"/>
        </w:rPr>
        <w:t xml:space="preserve">لما يأتي من دلائل التوحيد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7543385_1051229030"/>
      <w:bookmarkStart w:id="106" w:name="_Toc36"/>
      <w:bookmarkEnd w:id="105"/>
      <w:r>
        <w:rPr>
          <w:rtl w:val="true"/>
        </w:rPr>
        <w:t>أصل في خواص الممكن</w:t>
      </w:r>
      <w:bookmarkEnd w:id="10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يترجّح أحد طرفي وجوده وعدمه إلّا بأمر خارج ؛ لأنّه لو كان بذاته لكان إمّا واجباً أو ممتنعاً، أو لغيره بلا سبب وهو باطل بالضرورة، وليس أحد الطرفين أولى من الآخر ، لأن غير الأولى إمّا أن يمكن وقوعه أو لا، ففى الأوّل نفرضه واقعاً فإمّا لا لسبب وهو باطل، أو لسبب وهو باطل أيضاً، لأنّ ذلك الرجحان يتوقّف على عدم ذلك السبب فلا تكون الأولويّة كافية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الثاني وهو أن لا يمكن وقوعه يكون إمّا واجباً أو ممتنعاً وذلك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والإمكان يعرض للماهيّة لا باعتبار وجودها أو وجود علّتها ، لأنّها بهذا الاعتبار تكون واجبة، ولا باعتبار عدمها </w:t>
      </w:r>
      <w:r>
        <w:rPr>
          <w:rStyle w:val="FootnoteAnchor"/>
          <w:rtl w:val="true"/>
        </w:rPr>
        <w:footnoteReference w:id="61"/>
      </w:r>
      <w:r>
        <w:rPr>
          <w:rFonts w:ascii="Amiri" w:hAnsi="Amiri" w:eastAsia="Amiri" w:cs="Amiri"/>
          <w:color w:val="111111"/>
          <w:sz w:val="28"/>
          <w:sz w:val="28"/>
          <w:szCs w:val="28"/>
          <w:rtl w:val="true"/>
          <w:lang w:bidi="ar-SA"/>
        </w:rPr>
        <w:t xml:space="preserve">أو عدم علّتها، لأنّها بهذا الاعتبار تكون ممتنعة، ومع الوجوب والامتناع لا 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والممكن محفوف بوجوبين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ولاحق؛ أمّا السابق فلأنّ الممكن ما لم يتعيّن لم يوجد، إذ فرض إمكانه لا يحيل المقابل، وقد بيّنا أنّ الأولويّة ليست كافية فلابدّ من انتهائه إلى الوجوب، أي التعيّن </w:t>
      </w:r>
      <w:r>
        <w:rPr>
          <w:rStyle w:val="FootnoteAnchor"/>
          <w:rtl w:val="true"/>
        </w:rPr>
        <w:footnoteReference w:id="62"/>
      </w:r>
      <w:r>
        <w:rPr>
          <w:rFonts w:ascii="Amiri" w:hAnsi="Amiri" w:eastAsia="Amiri" w:cs="Amiri"/>
          <w:color w:val="111111"/>
          <w:sz w:val="28"/>
          <w:sz w:val="28"/>
          <w:szCs w:val="28"/>
          <w:rtl w:val="true"/>
          <w:lang w:bidi="ar-SA"/>
        </w:rPr>
        <w:t xml:space="preserve">المشار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اللاحق فلانّه حال وجوده لا يقبل العدم، وإلّا لزم الجمع بين النقيضين،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محتاج إلى المؤثّر، فإنّ كلّ من تصوّر تساوي طرفي الممكن جزم أنّ أحدهما لا يترجّح من حيث هو مساوٍ بل من حيث وجود ،الراجح وضروريّته ممّا لا يشكّ فيها ، ولا يجوز أن تكون العلّة هى الحدوث لأنّه كيفيّة للوجود فهي صفة، والصفة متأخّرة عن موصوفها بالطبع ، والموصوف متأخّر عن تأثير موجده </w:t>
      </w:r>
      <w:r>
        <w:rPr>
          <w:rStyle w:val="FootnoteAnchor"/>
          <w:rtl w:val="true"/>
        </w:rPr>
        <w:footnoteReference w:id="63"/>
      </w:r>
      <w:r>
        <w:rPr>
          <w:rFonts w:ascii="Amiri" w:hAnsi="Amiri" w:eastAsia="Amiri" w:cs="Amiri"/>
          <w:color w:val="111111"/>
          <w:sz w:val="28"/>
          <w:sz w:val="28"/>
          <w:szCs w:val="28"/>
          <w:rtl w:val="true"/>
          <w:lang w:bidi="ar-SA"/>
        </w:rPr>
        <w:t>بالذات تأخّر المعلول عن علّته، وتأثير الموجد علته، وتأثير الموجد متأخّر عن احتياج الأثر إليه في الوجود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واحتياج الأثر متأخّر عن علّته بالذات، فلو كان الحدوث علّة الاحتياج لتأخّر عن نفسه بأربع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w:t>
      </w:r>
      <w:r>
        <w:rPr>
          <w:rStyle w:val="FootnoteAnchor"/>
          <w:rtl w:val="true"/>
        </w:rPr>
        <w:footnoteReference w:id="64"/>
      </w:r>
      <w:r>
        <w:rPr>
          <w:rFonts w:ascii="Amiri" w:hAnsi="Amiri" w:eastAsia="Amiri" w:cs="Amiri"/>
          <w:color w:val="111111"/>
          <w:sz w:val="28"/>
          <w:sz w:val="28"/>
          <w:szCs w:val="28"/>
          <w:rtl w:val="true"/>
          <w:lang w:bidi="ar-SA"/>
        </w:rPr>
        <w:t>بالطبع ، واثنتين بالذات؛ وهو باطل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والممكن حال بقائه محتاج إلى المؤثّر؛ لأنّ علّة الاحتياج هو الإمكان، </w:t>
      </w:r>
      <w:bookmarkStart w:id="107" w:name="pg10769_112167"/>
    </w:p>
    <w:p>
      <w:pPr>
        <w:pStyle w:val="BookText"/>
        <w:rPr/>
      </w:pPr>
      <w:bookmarkEnd w:id="107"/>
      <w:r>
        <w:rPr>
          <w:rFonts w:ascii="Amiri" w:hAnsi="Amiri" w:eastAsia="Amiri" w:cs="Amiri"/>
          <w:color w:val="111111"/>
          <w:sz w:val="28"/>
          <w:sz w:val="28"/>
          <w:szCs w:val="28"/>
          <w:rtl w:val="true"/>
          <w:lang w:bidi="ar-SA"/>
        </w:rPr>
        <w:t xml:space="preserve">والإمكان لازم لماهيّة الممكن، وإلّا لزم انقلابه إلى الوجوب أو الامتناع، فالاحتياج </w:t>
      </w:r>
      <w:r>
        <w:rPr>
          <w:rStyle w:val="FootnoteAnchor"/>
          <w:rtl w:val="true"/>
        </w:rPr>
        <w:footnoteReference w:id="65"/>
      </w:r>
      <w:r>
        <w:rPr>
          <w:rFonts w:ascii="Amiri" w:hAnsi="Amiri" w:eastAsia="Amiri" w:cs="Amiri"/>
          <w:color w:val="111111"/>
          <w:sz w:val="28"/>
          <w:sz w:val="28"/>
          <w:szCs w:val="28"/>
          <w:rtl w:val="true"/>
          <w:lang w:bidi="ar-SA"/>
        </w:rPr>
        <w:t>لازم لماهيّة الممكن ، ولازم اللازم لازم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7543387_1051229030"/>
      <w:bookmarkStart w:id="109" w:name="_Toc37"/>
      <w:bookmarkEnd w:id="108"/>
      <w:r>
        <w:rPr>
          <w:rtl w:val="true"/>
        </w:rPr>
        <w:t xml:space="preserve">أصل </w:t>
      </w:r>
      <w:r>
        <w:rPr>
          <w:rtl w:val="true"/>
        </w:rPr>
        <w:t xml:space="preserve">[ </w:t>
      </w:r>
      <w:r>
        <w:rPr>
          <w:rtl w:val="true"/>
        </w:rPr>
        <w:t xml:space="preserve">النظر </w:t>
      </w:r>
      <w:r>
        <w:rPr>
          <w:rtl w:val="true"/>
        </w:rPr>
        <w:t>]</w:t>
      </w:r>
      <w:bookmarkEnd w:id="109"/>
    </w:p>
    <w:p>
      <w:pPr>
        <w:pStyle w:val="BookText"/>
        <w:rPr/>
      </w:pPr>
      <w:r>
        <w:rPr>
          <w:rFonts w:ascii="Amiri" w:hAnsi="Amiri" w:eastAsia="Amiri" w:cs="Amiri"/>
          <w:color w:val="111111"/>
          <w:sz w:val="28"/>
          <w:sz w:val="28"/>
          <w:szCs w:val="28"/>
          <w:rtl w:val="true"/>
          <w:lang w:bidi="ar-SA"/>
        </w:rPr>
        <w:t xml:space="preserve">النظر واجب لوجوب المعرفة، ولا تتمّ إلّا بالنظر ؛ أما وجوب المعرفة فإنّها دافعة للخوف الحاصل من اختلاف العقلاء، ودفعه واجب لأنّه ألم نفسانيّ يمكن دفعه فيجب دفعه، ولأنّه تعالى منعم ، وكلّ منعم يجب شكره، ومن وجب شكره وجبت معرفته، وذلك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توقّفها على النظر فوجود الاختلاف ينفى ضروريّتها ، وما لا يتمّ الواجب المطلق إلّا به يكون واجباً ، وإلّا لزم خروج الواجب المطلق عن كونه واجباً مطلقاً، أو تكليف ما لا يطاق ؛ وهما باطلان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7543389_1051229030"/>
      <w:bookmarkStart w:id="111" w:name="_Toc38"/>
      <w:bookmarkEnd w:id="110"/>
      <w:r>
        <w:rPr>
          <w:rtl w:val="true"/>
        </w:rPr>
        <w:t xml:space="preserve">أصل </w:t>
      </w:r>
      <w:r>
        <w:rPr>
          <w:rtl w:val="true"/>
        </w:rPr>
        <w:t xml:space="preserve">[ </w:t>
      </w:r>
      <w:r>
        <w:rPr>
          <w:rtl w:val="true"/>
        </w:rPr>
        <w:t xml:space="preserve">في تعريف النظر </w:t>
      </w:r>
      <w:r>
        <w:rPr>
          <w:rtl w:val="true"/>
        </w:rPr>
        <w:t>]</w:t>
      </w:r>
      <w:bookmarkEnd w:id="11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ترتيب أُمور ذهنيّة يتوصّل بها إلى أمر آخر، وإفادة صحيحه العلم ضروريّ ، ودفعه مكابرة ، فخلاف السمنيّة </w:t>
      </w:r>
      <w:r>
        <w:rPr>
          <w:rStyle w:val="FootnoteAnchor"/>
          <w:rtl w:val="true"/>
        </w:rPr>
        <w:footnoteReference w:id="66"/>
      </w:r>
      <w:r>
        <w:rPr>
          <w:rFonts w:ascii="Amiri" w:hAnsi="Amiri" w:eastAsia="Amiri" w:cs="Amiri"/>
          <w:color w:val="111111"/>
          <w:sz w:val="28"/>
          <w:sz w:val="28"/>
          <w:szCs w:val="28"/>
          <w:rtl w:val="true"/>
          <w:lang w:bidi="ar-SA"/>
        </w:rPr>
        <w:t xml:space="preserve">في الإلهيّات والمهندسين في </w:t>
      </w:r>
      <w:bookmarkStart w:id="112" w:name="pg10769_112168"/>
    </w:p>
    <w:p>
      <w:pPr>
        <w:pStyle w:val="BookText"/>
        <w:rPr/>
      </w:pPr>
      <w:bookmarkEnd w:id="112"/>
      <w:r>
        <w:rPr>
          <w:rFonts w:ascii="Amiri" w:hAnsi="Amiri" w:eastAsia="Amiri" w:cs="Amiri"/>
          <w:color w:val="111111"/>
          <w:sz w:val="28"/>
          <w:sz w:val="28"/>
          <w:szCs w:val="28"/>
          <w:rtl w:val="true"/>
          <w:lang w:bidi="ar-SA"/>
        </w:rPr>
        <w:t xml:space="preserve">الرياضيّات </w:t>
      </w:r>
      <w:r>
        <w:rPr>
          <w:rStyle w:val="FootnoteAnchor"/>
          <w:rtl w:val="true"/>
        </w:rPr>
        <w:footnoteReference w:id="67"/>
      </w:r>
      <w:r>
        <w:rPr>
          <w:rFonts w:ascii="Amiri" w:hAnsi="Amiri" w:eastAsia="Amiri" w:cs="Amiri"/>
          <w:color w:val="111111"/>
          <w:sz w:val="28"/>
          <w:sz w:val="28"/>
          <w:szCs w:val="28"/>
          <w:rtl w:val="true"/>
          <w:lang w:bidi="ar-SA"/>
        </w:rPr>
        <w:t xml:space="preserve">باطل قطعاً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7543391_1051229030"/>
      <w:bookmarkStart w:id="114" w:name="_Toc39"/>
      <w:bookmarkEnd w:id="113"/>
      <w:r>
        <w:rPr>
          <w:rtl w:val="true"/>
        </w:rPr>
        <w:t xml:space="preserve">أصل </w:t>
      </w:r>
      <w:r>
        <w:rPr>
          <w:rtl w:val="true"/>
        </w:rPr>
        <w:t xml:space="preserve">[ </w:t>
      </w:r>
      <w:r>
        <w:rPr>
          <w:rtl w:val="true"/>
        </w:rPr>
        <w:t xml:space="preserve">في أنّ العلم عقيب النظر </w:t>
      </w:r>
      <w:r>
        <w:rPr>
          <w:rtl w:val="true"/>
        </w:rPr>
        <w:t>]</w:t>
      </w:r>
      <w:bookmarkEnd w:id="114"/>
    </w:p>
    <w:p>
      <w:pPr>
        <w:pStyle w:val="BookText"/>
        <w:rPr/>
      </w:pPr>
      <w:r>
        <w:rPr>
          <w:rFonts w:ascii="Amiri" w:hAnsi="Amiri" w:eastAsia="Amiri" w:cs="Amiri"/>
          <w:color w:val="111111"/>
          <w:sz w:val="28"/>
          <w:sz w:val="28"/>
          <w:szCs w:val="28"/>
          <w:rtl w:val="true"/>
          <w:lang w:bidi="ar-SA"/>
        </w:rPr>
        <w:t xml:space="preserve">حصول العلم عقيب النظر على سبيل اللزوم لا </w:t>
      </w:r>
      <w:r>
        <w:rPr>
          <w:rStyle w:val="FootnoteAnchor"/>
          <w:rtl w:val="true"/>
        </w:rPr>
        <w:footnoteReference w:id="68"/>
      </w:r>
      <w:r>
        <w:rPr>
          <w:rFonts w:ascii="Amiri" w:hAnsi="Amiri" w:eastAsia="Amiri" w:cs="Amiri"/>
          <w:color w:val="111111"/>
          <w:sz w:val="28"/>
          <w:sz w:val="28"/>
          <w:szCs w:val="28"/>
          <w:rtl w:val="true"/>
          <w:lang w:bidi="ar-SA"/>
        </w:rPr>
        <w:t xml:space="preserve">العادة، ويشترط في الإفادة مُطابقة المقدّمات لما فى نفس الأمر، وأن يكون الترتيب على هيئة شكل منتج ، وأن لا يكون المطلوب معلوماً من كلّ وجه، ولا مجهولاً من كلّ وجه، والحقّ أنّ إفادة فاسده الجهل ليس كليّاً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7543393_1051229030"/>
      <w:bookmarkStart w:id="116" w:name="_Toc40"/>
      <w:bookmarkEnd w:id="115"/>
      <w:r>
        <w:rPr>
          <w:rtl w:val="true"/>
        </w:rPr>
        <w:t xml:space="preserve">أصل </w:t>
      </w:r>
      <w:r>
        <w:rPr>
          <w:rtl w:val="true"/>
        </w:rPr>
        <w:t xml:space="preserve">[ </w:t>
      </w:r>
      <w:r>
        <w:rPr>
          <w:rtl w:val="true"/>
        </w:rPr>
        <w:t xml:space="preserve">وجوب النظر عقلي </w:t>
      </w:r>
      <w:r>
        <w:rPr>
          <w:rtl w:val="true"/>
        </w:rPr>
        <w:t>]</w:t>
      </w:r>
      <w:bookmarkEnd w:id="116"/>
    </w:p>
    <w:p>
      <w:pPr>
        <w:pStyle w:val="BookText"/>
        <w:rPr/>
      </w:pPr>
      <w:r>
        <w:rPr>
          <w:rFonts w:ascii="Amiri" w:hAnsi="Amiri" w:eastAsia="Amiri" w:cs="Amiri"/>
          <w:color w:val="111111"/>
          <w:sz w:val="28"/>
          <w:sz w:val="28"/>
          <w:szCs w:val="28"/>
          <w:rtl w:val="true"/>
          <w:lang w:bidi="ar-SA"/>
        </w:rPr>
        <w:t>وجوب النظر عقليّ وإلّا لزم إفحام الأنبياء ، وهو باطل، وأوّل الواجبات بالذات المعرفة والنظر بالقصد الثاني</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7543395_1051229030"/>
      <w:bookmarkStart w:id="118" w:name="_Toc41"/>
      <w:bookmarkEnd w:id="117"/>
      <w:r>
        <w:rPr>
          <w:rtl w:val="true"/>
        </w:rPr>
        <w:t xml:space="preserve">أصل </w:t>
      </w:r>
      <w:r>
        <w:rPr>
          <w:rtl w:val="true"/>
        </w:rPr>
        <w:t xml:space="preserve">[ </w:t>
      </w:r>
      <w:r>
        <w:rPr>
          <w:rtl w:val="true"/>
        </w:rPr>
        <w:t xml:space="preserve">الدليل قطعي وظنّي </w:t>
      </w:r>
      <w:r>
        <w:rPr>
          <w:rtl w:val="true"/>
        </w:rPr>
        <w:t>]</w:t>
      </w:r>
      <w:bookmarkEnd w:id="11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ما يلزم من العلم به العلم بشيءٍ آخر، فإن كانت المقدّمتان </w:t>
      </w:r>
      <w:r>
        <w:rPr>
          <w:rStyle w:val="FootnoteAnchor"/>
          <w:rtl w:val="true"/>
        </w:rPr>
        <w:footnoteReference w:id="69"/>
      </w:r>
      <w:r>
        <w:rPr>
          <w:rFonts w:ascii="Amiri" w:hAnsi="Amiri" w:eastAsia="Amiri" w:cs="Amiri"/>
          <w:color w:val="111111"/>
          <w:sz w:val="28"/>
          <w:sz w:val="28"/>
          <w:szCs w:val="28"/>
          <w:rtl w:val="true"/>
          <w:lang w:bidi="ar-SA"/>
        </w:rPr>
        <w:t xml:space="preserve">علميّتين فالنتيجة علميّة وإلا فظنيّة، وهو قد يكون عقليّاً محضاً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العالم ،متغير، وكلّ </w:t>
      </w:r>
      <w:bookmarkStart w:id="119" w:name="pg10769_112169"/>
    </w:p>
    <w:p>
      <w:pPr>
        <w:pStyle w:val="BookText"/>
        <w:rPr/>
      </w:pPr>
      <w:bookmarkEnd w:id="119"/>
      <w:r>
        <w:rPr>
          <w:rFonts w:ascii="IRNazanin" w:hAnsi="IRNazanin" w:eastAsia="IRNazanin"/>
          <w:color w:val="111111"/>
          <w:sz w:val="28"/>
          <w:sz w:val="28"/>
          <w:szCs w:val="28"/>
          <w:rtl w:val="true"/>
          <w:lang w:bidi="fa-IR"/>
        </w:rPr>
        <w:t>متغيّر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ونقليّاً محضاً كقولنا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فاعل كبيرة، وكلّ فاعل كبيرة یستحقّ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مركّباً منهما كقولنا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بين الأُختين حرّمه النبيّ ، وكلّ ما حرّمه النبيّ فهو حرام في نفس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 تتوقّف عليه صحّة النقل كالقدرة والعلم لا يستدلّ عليه به وإلّا دار، وما ليس كذلك يجوز كالتوحيد وسلب الرؤية</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7543397_1051229030"/>
      <w:bookmarkStart w:id="121" w:name="_Toc42"/>
      <w:bookmarkEnd w:id="120"/>
      <w:r>
        <w:rPr>
          <w:rtl w:val="true"/>
        </w:rPr>
        <w:t xml:space="preserve">أصل </w:t>
      </w:r>
      <w:r>
        <w:rPr>
          <w:rtl w:val="true"/>
        </w:rPr>
        <w:t xml:space="preserve">[ </w:t>
      </w:r>
      <w:r>
        <w:rPr>
          <w:rtl w:val="true"/>
        </w:rPr>
        <w:t xml:space="preserve">في أنواع القديم </w:t>
      </w:r>
      <w:r>
        <w:rPr>
          <w:rtl w:val="true"/>
        </w:rPr>
        <w:t>]</w:t>
      </w:r>
      <w:bookmarkEnd w:id="121"/>
    </w:p>
    <w:p>
      <w:pPr>
        <w:pStyle w:val="BookText"/>
        <w:rPr/>
      </w:pPr>
      <w:r>
        <w:rPr>
          <w:rFonts w:ascii="Amiri" w:hAnsi="Amiri" w:eastAsia="Amiri" w:cs="Amiri"/>
          <w:color w:val="111111"/>
          <w:sz w:val="28"/>
          <w:sz w:val="28"/>
          <w:szCs w:val="28"/>
          <w:rtl w:val="true"/>
          <w:lang w:bidi="ar-SA"/>
        </w:rPr>
        <w:t>القديم ما لم يكن مسبوقاً بغيره ويُسمّى ذاتيّاً ، أو ما لم يكن مسبوقاً بالعدم ويُسمّى زمانيّاً، أو يكون مسبوقاً بأحدهما ويُسمّى الأوّل حدوثاً ذاتيّاً، والثاني زمانيّاً، وهما من الصفات الاعتباريّة وإلّا لزم التسلسل، أو اتّصاف الشيء بنقيضه، لأنّ كلّ موجود خارجيّ إمّا قديم أو حادث، وهو ظاهر</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7543399_1051229030"/>
      <w:bookmarkStart w:id="123" w:name="_Toc43"/>
      <w:bookmarkEnd w:id="122"/>
      <w:r>
        <w:rPr>
          <w:rtl w:val="true"/>
        </w:rPr>
        <w:t xml:space="preserve">أصل </w:t>
      </w:r>
      <w:r>
        <w:rPr>
          <w:rtl w:val="true"/>
        </w:rPr>
        <w:t xml:space="preserve">[ </w:t>
      </w:r>
      <w:r>
        <w:rPr>
          <w:rtl w:val="true"/>
        </w:rPr>
        <w:t xml:space="preserve">في أنّه لا علّة للقديم </w:t>
      </w:r>
      <w:r>
        <w:rPr>
          <w:rtl w:val="true"/>
        </w:rPr>
        <w:t>]</w:t>
      </w:r>
      <w:bookmarkEnd w:id="1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القديم لا يجوز أن يكون أثراً لمختار </w:t>
      </w:r>
      <w:r>
        <w:rPr>
          <w:rStyle w:val="FootnoteAnchor"/>
          <w:rtl w:val="true"/>
        </w:rPr>
        <w:footnoteReference w:id="70"/>
      </w:r>
      <w:r>
        <w:rPr>
          <w:rFonts w:ascii="Amiri" w:hAnsi="Amiri" w:eastAsia="Amiri" w:cs="Amiri"/>
          <w:color w:val="111111"/>
          <w:sz w:val="28"/>
          <w:sz w:val="28"/>
          <w:szCs w:val="28"/>
          <w:rtl w:val="true"/>
          <w:lang w:bidi="ar-SA"/>
        </w:rPr>
        <w:t xml:space="preserve">، لأنّ أثر المختار مسبوق بالداعي، وهو لا يتوجّه إلى موجود </w:t>
      </w:r>
      <w:r>
        <w:rPr>
          <w:rStyle w:val="FootnoteAnchor"/>
          <w:rtl w:val="true"/>
        </w:rPr>
        <w:footnoteReference w:id="71"/>
      </w:r>
      <w:r>
        <w:rPr>
          <w:rFonts w:ascii="Amiri" w:hAnsi="Amiri" w:eastAsia="Amiri" w:cs="Amiri"/>
          <w:color w:val="111111"/>
          <w:sz w:val="28"/>
          <w:sz w:val="28"/>
          <w:szCs w:val="28"/>
          <w:rtl w:val="true"/>
          <w:lang w:bidi="ar-SA"/>
        </w:rPr>
        <w:t xml:space="preserve">وإلّا لزم إيجاد الموجود وهو باطل، فإذن أثر المختار مسبوق بالعدم </w:t>
      </w:r>
      <w:r>
        <w:rPr>
          <w:rStyle w:val="FootnoteAnchor"/>
          <w:rtl w:val="true"/>
        </w:rPr>
        <w:footnoteReference w:id="72"/>
      </w:r>
      <w:r>
        <w:rPr>
          <w:rFonts w:ascii="Amiri" w:hAnsi="Amiri" w:eastAsia="Amiri" w:cs="Amiri"/>
          <w:color w:val="111111"/>
          <w:sz w:val="28"/>
          <w:sz w:val="28"/>
          <w:szCs w:val="28"/>
          <w:rtl w:val="true"/>
          <w:lang w:bidi="ar-SA"/>
        </w:rPr>
        <w:t xml:space="preserve">وهو معنى حدوثه، والموجب لا يتخلّف أثره عنه ، لأنّ تأثيره إن </w:t>
      </w:r>
      <w:bookmarkStart w:id="124" w:name="pg10769_112170"/>
    </w:p>
    <w:p>
      <w:pPr>
        <w:pStyle w:val="BookText"/>
        <w:rPr/>
      </w:pPr>
      <w:bookmarkEnd w:id="124"/>
      <w:r>
        <w:rPr>
          <w:rFonts w:ascii="Amiri" w:hAnsi="Amiri" w:eastAsia="Amiri" w:cs="Amiri"/>
          <w:color w:val="111111"/>
          <w:sz w:val="28"/>
          <w:sz w:val="28"/>
          <w:szCs w:val="28"/>
          <w:rtl w:val="true"/>
          <w:lang w:bidi="ar-SA"/>
        </w:rPr>
        <w:t xml:space="preserve">لم يتوقّف على شرط أو توقّف على شرط </w:t>
      </w:r>
      <w:r>
        <w:rPr>
          <w:rStyle w:val="FootnoteAnchor"/>
          <w:rtl w:val="true"/>
        </w:rPr>
        <w:footnoteReference w:id="73"/>
      </w:r>
      <w:r>
        <w:rPr>
          <w:rFonts w:ascii="Amiri" w:hAnsi="Amiri" w:eastAsia="Amiri" w:cs="Amiri"/>
          <w:color w:val="111111"/>
          <w:sz w:val="28"/>
          <w:sz w:val="28"/>
          <w:szCs w:val="28"/>
          <w:rtl w:val="true"/>
          <w:lang w:bidi="ar-SA"/>
        </w:rPr>
        <w:t xml:space="preserve">قديم لزم القدم، وإن توقّف على شرط حادث تسلسل وهو باطل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7543401_1051229030"/>
      <w:bookmarkStart w:id="126" w:name="_Toc44"/>
      <w:bookmarkEnd w:id="125"/>
      <w:r>
        <w:rPr>
          <w:rtl w:val="true"/>
        </w:rPr>
        <w:t xml:space="preserve">أصل </w:t>
      </w:r>
      <w:r>
        <w:rPr>
          <w:rtl w:val="true"/>
        </w:rPr>
        <w:t xml:space="preserve">[ </w:t>
      </w:r>
      <w:r>
        <w:rPr>
          <w:rtl w:val="true"/>
        </w:rPr>
        <w:t xml:space="preserve">في أنّ القديم لا يعدم </w:t>
      </w:r>
      <w:r>
        <w:rPr>
          <w:rtl w:val="true"/>
        </w:rPr>
        <w:t>]</w:t>
      </w:r>
      <w:bookmarkEnd w:id="126"/>
    </w:p>
    <w:p>
      <w:pPr>
        <w:pStyle w:val="BookText"/>
        <w:rPr/>
      </w:pPr>
      <w:r>
        <w:rPr>
          <w:rFonts w:ascii="Amiri" w:hAnsi="Amiri" w:eastAsia="Amiri" w:cs="Amiri"/>
          <w:color w:val="111111"/>
          <w:sz w:val="28"/>
          <w:sz w:val="28"/>
          <w:szCs w:val="28"/>
          <w:rtl w:val="true"/>
          <w:lang w:bidi="ar-SA"/>
        </w:rPr>
        <w:t xml:space="preserve">القديم لا يجوز عليه العدم، لأنّه إمّا واجب أو ممكن لما تقدّم، والواجب لذاته لا يجوز عدمه وإلّا لم يكن واجباً، وقد فرض واجباً، والممكن لابدّ له من علّة واجبة لاستحالة التسلسل، وتكون موجبة لاستحالة كون القديم أثراً لمختار لما تقدّم، فيلزم من دوام علّته دوامه والقديم عندنا هو الله لا غير لما يأتي من إثبات الحدوث لكلّ ما عداه، وعند الأشاعرة الله وصفاته </w:t>
      </w:r>
      <w:r>
        <w:rPr>
          <w:rStyle w:val="FootnoteAnchor"/>
          <w:rtl w:val="true"/>
        </w:rPr>
        <w:footnoteReference w:id="74"/>
      </w:r>
      <w:r>
        <w:rPr>
          <w:rFonts w:ascii="Amiri" w:hAnsi="Amiri" w:eastAsia="Amiri" w:cs="Amiri"/>
          <w:color w:val="111111"/>
          <w:sz w:val="28"/>
          <w:sz w:val="28"/>
          <w:szCs w:val="28"/>
          <w:rtl w:val="true"/>
          <w:lang w:bidi="ar-SA"/>
        </w:rPr>
        <w:t xml:space="preserve">، وعند الحكماء الله والعالَم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7543403_1051229030"/>
      <w:bookmarkStart w:id="128" w:name="_Toc45"/>
      <w:bookmarkEnd w:id="127"/>
      <w:r>
        <w:rPr>
          <w:rtl w:val="true"/>
        </w:rPr>
        <w:t xml:space="preserve">أصل </w:t>
      </w:r>
      <w:r>
        <w:rPr>
          <w:rtl w:val="true"/>
        </w:rPr>
        <w:t xml:space="preserve">[ </w:t>
      </w:r>
      <w:r>
        <w:rPr>
          <w:rtl w:val="true"/>
        </w:rPr>
        <w:t xml:space="preserve">في الوحدة والكثرة </w:t>
      </w:r>
      <w:r>
        <w:rPr>
          <w:rtl w:val="true"/>
        </w:rPr>
        <w:t>]</w:t>
      </w:r>
      <w:bookmarkEnd w:id="12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الوحدة عبارة عن كون الشيء غير منقسم، وهو نقيض </w:t>
      </w:r>
      <w:r>
        <w:rPr>
          <w:rStyle w:val="FootnoteAnchor"/>
          <w:rtl w:val="true"/>
        </w:rPr>
        <w:footnoteReference w:id="76"/>
      </w:r>
      <w:r>
        <w:rPr>
          <w:rFonts w:ascii="Amiri" w:hAnsi="Amiri" w:eastAsia="Amiri" w:cs="Amiri"/>
          <w:color w:val="111111"/>
          <w:sz w:val="28"/>
          <w:sz w:val="28"/>
          <w:szCs w:val="28"/>
          <w:rtl w:val="true"/>
          <w:lang w:bidi="ar-SA"/>
        </w:rPr>
        <w:t>الكثرة، وهما ثبوتيّتان، أي ليس العدم مفهومهما ولا جزء مفهومهما، وهو ظاهر من تعريفهما</w:t>
      </w:r>
      <w:r>
        <w:rPr>
          <w:rFonts w:eastAsia="Amiri" w:cs="Amiri" w:ascii="Amiri" w:hAnsi="Amiri"/>
          <w:color w:val="111111"/>
          <w:sz w:val="28"/>
          <w:szCs w:val="28"/>
          <w:rtl w:val="true"/>
          <w:lang w:bidi="ar-SA"/>
        </w:rPr>
        <w:t xml:space="preserve">. </w:t>
      </w:r>
      <w:bookmarkStart w:id="129" w:name="pg10769_112171"/>
    </w:p>
    <w:p>
      <w:pPr>
        <w:pStyle w:val="Heading3"/>
        <w:numPr>
          <w:ilvl w:val="2"/>
          <w:numId w:val="1"/>
        </w:numPr>
        <w:rPr/>
      </w:pPr>
      <w:bookmarkStart w:id="130" w:name="__RefHeading___Toc7543405_1051229030"/>
      <w:bookmarkStart w:id="131" w:name="_Toc46"/>
      <w:bookmarkEnd w:id="129"/>
      <w:bookmarkEnd w:id="130"/>
      <w:r>
        <w:rPr>
          <w:rtl w:val="true"/>
        </w:rPr>
        <w:t xml:space="preserve">أصل </w:t>
      </w:r>
      <w:r>
        <w:rPr>
          <w:rtl w:val="true"/>
        </w:rPr>
        <w:t xml:space="preserve">[ </w:t>
      </w:r>
      <w:r>
        <w:rPr>
          <w:rtl w:val="true"/>
        </w:rPr>
        <w:t xml:space="preserve">في أنواع العلة </w:t>
      </w:r>
      <w:r>
        <w:rPr>
          <w:rtl w:val="true"/>
        </w:rPr>
        <w:t>]</w:t>
      </w:r>
      <w:bookmarkEnd w:id="131"/>
    </w:p>
    <w:p>
      <w:pPr>
        <w:pStyle w:val="BookText"/>
        <w:rPr/>
      </w:pPr>
      <w:r>
        <w:rPr>
          <w:rFonts w:ascii="Amiri" w:hAnsi="Amiri" w:eastAsia="Amiri" w:cs="Amiri"/>
          <w:color w:val="111111"/>
          <w:sz w:val="28"/>
          <w:sz w:val="28"/>
          <w:szCs w:val="28"/>
          <w:rtl w:val="true"/>
          <w:lang w:bidi="ar-SA"/>
        </w:rPr>
        <w:t xml:space="preserve">العلّة لا يجوز أن تكون نفس المعلول، بل إمّا جزءاً أو خارجاً؛ فإن كانت جزءاً والمعلول معها بالقوّة فالمادّيّة، أو بالفعل وهي الصوريّة، أو خارجا ومنه الوجود وهي الفاعليّة، أو لأجله </w:t>
      </w:r>
      <w:r>
        <w:rPr>
          <w:rStyle w:val="FootnoteAnchor"/>
          <w:rtl w:val="true"/>
        </w:rPr>
        <w:footnoteReference w:id="77"/>
      </w:r>
      <w:r>
        <w:rPr>
          <w:rFonts w:ascii="Amiri" w:hAnsi="Amiri" w:eastAsia="Amiri" w:cs="Amiri"/>
          <w:color w:val="111111"/>
          <w:sz w:val="28"/>
          <w:sz w:val="28"/>
          <w:szCs w:val="28"/>
          <w:rtl w:val="true"/>
          <w:lang w:bidi="ar-SA"/>
        </w:rPr>
        <w:t xml:space="preserve">الوجود وهي الغائيّة، وكلّ واحد من هذه الأربع علّة ناقصة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7543407_1051229030"/>
      <w:bookmarkStart w:id="133" w:name="_Toc47"/>
      <w:bookmarkEnd w:id="132"/>
      <w:r>
        <w:rPr>
          <w:rtl w:val="true"/>
        </w:rPr>
        <w:t xml:space="preserve">أصل </w:t>
      </w:r>
      <w:r>
        <w:rPr>
          <w:rtl w:val="true"/>
        </w:rPr>
        <w:t xml:space="preserve">[ </w:t>
      </w:r>
      <w:r>
        <w:rPr>
          <w:rtl w:val="true"/>
        </w:rPr>
        <w:t xml:space="preserve">في العلة التامة </w:t>
      </w:r>
      <w:r>
        <w:rPr>
          <w:rtl w:val="true"/>
        </w:rPr>
        <w:t>]</w:t>
      </w:r>
      <w:bookmarkEnd w:id="133"/>
    </w:p>
    <w:p>
      <w:pPr>
        <w:pStyle w:val="BookText"/>
        <w:rPr/>
      </w:pPr>
      <w:r>
        <w:rPr>
          <w:rFonts w:ascii="Amiri" w:hAnsi="Amiri" w:eastAsia="Amiri" w:cs="Amiri"/>
          <w:color w:val="111111"/>
          <w:sz w:val="28"/>
          <w:sz w:val="28"/>
          <w:szCs w:val="28"/>
          <w:rtl w:val="true"/>
          <w:lang w:bidi="ar-SA"/>
        </w:rPr>
        <w:t xml:space="preserve">العلّة الثامّة هي جميع ما يتوقّف عليها التأثير من حصول الشرائط وارتفاع الموانع، وعند حصولها يجب حصول </w:t>
      </w:r>
      <w:r>
        <w:rPr>
          <w:rStyle w:val="FootnoteAnchor"/>
          <w:rtl w:val="true"/>
        </w:rPr>
        <w:footnoteReference w:id="78"/>
      </w:r>
      <w:r>
        <w:rPr>
          <w:rFonts w:ascii="Amiri" w:hAnsi="Amiri" w:eastAsia="Amiri" w:cs="Amiri"/>
          <w:color w:val="111111"/>
          <w:sz w:val="28"/>
          <w:sz w:val="28"/>
          <w:szCs w:val="28"/>
          <w:rtl w:val="true"/>
          <w:lang w:bidi="ar-SA"/>
        </w:rPr>
        <w:t>معلولها وإلّا لزم الترجيح بلا مرجّح ، أو فرض ما ليس بتامّ تامّاً ؛ هذا خلف</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7543409_1051229030"/>
      <w:bookmarkStart w:id="135" w:name="_Toc48"/>
      <w:bookmarkEnd w:id="134"/>
      <w:r>
        <w:rPr>
          <w:rtl w:val="true"/>
        </w:rPr>
        <w:t xml:space="preserve">أصل </w:t>
      </w:r>
      <w:r>
        <w:rPr>
          <w:rtl w:val="true"/>
        </w:rPr>
        <w:t xml:space="preserve">[ </w:t>
      </w:r>
      <w:r>
        <w:rPr>
          <w:rtl w:val="true"/>
        </w:rPr>
        <w:t xml:space="preserve">في أنّ العلّة مركبة وبسيطة </w:t>
      </w:r>
      <w:r>
        <w:rPr>
          <w:rtl w:val="true"/>
        </w:rPr>
        <w:t>]</w:t>
      </w:r>
      <w:bookmarkEnd w:id="13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كون العلّة مركبة وبسيطة، والمعلول مركّباً وبسيطاً، وقول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البسيطة لا يصدر عنها إلّا واحد</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ضعيف للمعارضة بالصدور الواحد، وبأنّ الصدور أمر اعتباريّ لا تحقّق لها في الخارج حتّى يلزم التسلسل كما هو المدّعى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36" w:name="pg10769_112172"/>
    </w:p>
    <w:p>
      <w:pPr>
        <w:pStyle w:val="Heading3"/>
        <w:numPr>
          <w:ilvl w:val="2"/>
          <w:numId w:val="1"/>
        </w:numPr>
        <w:rPr/>
      </w:pPr>
      <w:bookmarkStart w:id="137" w:name="__RefHeading___Toc7543411_1051229030"/>
      <w:bookmarkStart w:id="138" w:name="_Toc49"/>
      <w:bookmarkEnd w:id="136"/>
      <w:bookmarkEnd w:id="137"/>
      <w:r>
        <w:rPr>
          <w:rtl w:val="true"/>
        </w:rPr>
        <w:t xml:space="preserve">أصل </w:t>
      </w:r>
      <w:r>
        <w:rPr>
          <w:rtl w:val="true"/>
        </w:rPr>
        <w:t xml:space="preserve">[ </w:t>
      </w:r>
      <w:r>
        <w:rPr>
          <w:rtl w:val="true"/>
        </w:rPr>
        <w:t xml:space="preserve">في أنّه لا يكون للمعلول الواحد علّة مركبة </w:t>
      </w:r>
      <w:r>
        <w:rPr>
          <w:rtl w:val="true"/>
        </w:rPr>
        <w:t>]</w:t>
      </w:r>
      <w:bookmarkEnd w:id="138"/>
    </w:p>
    <w:p>
      <w:pPr>
        <w:pStyle w:val="BookText"/>
        <w:rPr/>
      </w:pPr>
      <w:r>
        <w:rPr>
          <w:rFonts w:ascii="Amiri" w:hAnsi="Amiri" w:eastAsia="Amiri" w:cs="Amiri"/>
          <w:color w:val="111111"/>
          <w:sz w:val="28"/>
          <w:sz w:val="28"/>
          <w:szCs w:val="28"/>
          <w:rtl w:val="true"/>
          <w:lang w:bidi="ar-SA"/>
        </w:rPr>
        <w:t>لا يمكن أن يكون للمعلول الواحد علّة مركبة، لأنّ كلّ واحد من أجزاء العلّة إمّا أن يكون له تأثير أو لا، والأوّل إماّ أن يكون في كلّ المعلول أو في أبعاضه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يلزم أن يكون للمعلول الشخصي علل كثيرة وهو باطل، وإلّا لزم استغناؤه عنها حال الحاجة إليها والثاني باطل </w:t>
      </w:r>
      <w:r>
        <w:rPr>
          <w:rStyle w:val="FootnoteAnchor"/>
          <w:rtl w:val="true"/>
        </w:rPr>
        <w:footnoteReference w:id="81"/>
      </w:r>
      <w:r>
        <w:rPr>
          <w:rFonts w:ascii="Amiri" w:hAnsi="Amiri" w:eastAsia="Amiri" w:cs="Amiri"/>
          <w:color w:val="111111"/>
          <w:sz w:val="28"/>
          <w:sz w:val="28"/>
          <w:szCs w:val="28"/>
          <w:rtl w:val="true"/>
          <w:lang w:bidi="ar-SA"/>
        </w:rPr>
        <w:t>وإلّا لزم أن يكون المعلول مركّباً وقد فرض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وهو أن لا </w:t>
      </w:r>
      <w:r>
        <w:rPr>
          <w:rStyle w:val="FootnoteAnchor"/>
          <w:rtl w:val="true"/>
        </w:rPr>
        <w:footnoteReference w:id="82"/>
      </w:r>
      <w:r>
        <w:rPr>
          <w:rFonts w:ascii="Amiri" w:hAnsi="Amiri" w:eastAsia="Amiri" w:cs="Amiri"/>
          <w:color w:val="111111"/>
          <w:sz w:val="28"/>
          <w:sz w:val="28"/>
          <w:szCs w:val="28"/>
          <w:rtl w:val="true"/>
          <w:lang w:bidi="ar-SA"/>
        </w:rPr>
        <w:t>يكون لشيء من الأجزاء تأثير، فإمّا أن يحصل عند الاجتماع أمر يقتضي ذلك المعلول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الثاني لم يكن المعلول معلولاً لتلك الماهيّة المركّبة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الأوّل فهى العلّة بالحقيقة، فإماّ أن يكون بسيطاً أو مركّباً، فإن كان </w:t>
      </w:r>
      <w:r>
        <w:rPr>
          <w:rStyle w:val="FootnoteAnchor"/>
          <w:rtl w:val="true"/>
        </w:rPr>
        <w:footnoteReference w:id="83"/>
      </w:r>
      <w:r>
        <w:rPr>
          <w:rFonts w:ascii="Amiri" w:hAnsi="Amiri" w:eastAsia="Amiri" w:cs="Amiri"/>
          <w:color w:val="111111"/>
          <w:sz w:val="28"/>
          <w:sz w:val="28"/>
          <w:szCs w:val="28"/>
          <w:rtl w:val="true"/>
          <w:lang w:bidi="ar-SA"/>
        </w:rPr>
        <w:t>الأّول كان التركيب في قابل العلّة أو فاعلها لا فيها، وإن كان مركّباً نقلنا الكلام في كيفيّة صدوره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7543413_1051229030"/>
      <w:bookmarkStart w:id="140" w:name="_Toc50"/>
      <w:bookmarkEnd w:id="139"/>
      <w:r>
        <w:rPr>
          <w:rtl w:val="true"/>
        </w:rPr>
        <w:t xml:space="preserve">أصل </w:t>
      </w:r>
      <w:r>
        <w:rPr>
          <w:rtl w:val="true"/>
        </w:rPr>
        <w:t xml:space="preserve">[ </w:t>
      </w:r>
      <w:r>
        <w:rPr>
          <w:rtl w:val="true"/>
        </w:rPr>
        <w:t xml:space="preserve">في عدم تعاكس العلل وعدم تراميها </w:t>
      </w:r>
      <w:r>
        <w:rPr>
          <w:rtl w:val="true"/>
        </w:rPr>
        <w:t>]</w:t>
      </w:r>
      <w:bookmarkEnd w:id="14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تعاكس العلل ولا تراميها؛ والأوّل دورٌ، والثاني تسلسل، وكلّ منهما باطل </w:t>
      </w:r>
      <w:r>
        <w:rPr>
          <w:rFonts w:eastAsia="Amiri" w:cs="Amiri" w:ascii="Amiri" w:hAnsi="Amiri"/>
          <w:color w:val="111111"/>
          <w:sz w:val="28"/>
          <w:szCs w:val="28"/>
          <w:rtl w:val="true"/>
          <w:lang w:bidi="ar-SA"/>
        </w:rPr>
        <w:t xml:space="preserve">. </w:t>
      </w:r>
      <w:bookmarkStart w:id="141" w:name="pg10769_112173"/>
    </w:p>
    <w:p>
      <w:pPr>
        <w:pStyle w:val="BookText"/>
        <w:rPr/>
      </w:pPr>
      <w:bookmarkEnd w:id="141"/>
      <w:r>
        <w:rPr>
          <w:rFonts w:ascii="Amiri" w:hAnsi="Amiri" w:eastAsia="Amiri" w:cs="Amiri"/>
          <w:color w:val="111111"/>
          <w:sz w:val="28"/>
          <w:sz w:val="28"/>
          <w:szCs w:val="28"/>
          <w:rtl w:val="true"/>
          <w:lang w:bidi="ar-SA"/>
        </w:rPr>
        <w:t xml:space="preserve">أمّا الأوّل فلأنّه يفضي إلى كون الشيء الواحد موجوداً معدوماً وهو محال، وبيان ذلك يظهر من وجوب تقديم العلّة على المعلول، فكلّ منهما علّة ومعلول، فمن حيث العلّيّة يكونان موجودين ، ومن حيث المعلوليّة يكونان </w:t>
      </w:r>
      <w:r>
        <w:rPr>
          <w:rStyle w:val="FootnoteAnchor"/>
          <w:rtl w:val="true"/>
        </w:rPr>
        <w:footnoteReference w:id="84"/>
      </w:r>
      <w:r>
        <w:rPr>
          <w:rFonts w:ascii="Amiri" w:hAnsi="Amiri" w:eastAsia="Amiri" w:cs="Amiri"/>
          <w:color w:val="111111"/>
          <w:sz w:val="28"/>
          <w:sz w:val="28"/>
          <w:szCs w:val="28"/>
          <w:rtl w:val="true"/>
          <w:lang w:bidi="ar-SA"/>
        </w:rPr>
        <w:t>معدومين، فيلزم اجتماع النقيضين وتقدّم الشيء على نفسه، وهما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المجموع مفتقر إلى مؤثّر، وليس هو نفسه ضرورة، ولا جزؤه وإلّا لأثّر في نفسه وعلله، لأنّ المؤثّر في المجموع مؤثر في كلّ واحد ولا خارجاً عنه، وإلّا لاجتمع على الواحد الشخصيّ علّتان تامّتان ، وهو باطل لما تقدّم ، وكما استند وجود المعلول إلى وجود علّته فعدمه مستند </w:t>
      </w:r>
      <w:r>
        <w:rPr>
          <w:rStyle w:val="FootnoteAnchor"/>
          <w:rtl w:val="true"/>
        </w:rPr>
        <w:footnoteReference w:id="85"/>
      </w:r>
      <w:r>
        <w:rPr>
          <w:rFonts w:ascii="Amiri" w:hAnsi="Amiri" w:eastAsia="Amiri" w:cs="Amiri"/>
          <w:color w:val="111111"/>
          <w:sz w:val="28"/>
          <w:sz w:val="28"/>
          <w:szCs w:val="28"/>
          <w:rtl w:val="true"/>
          <w:lang w:bidi="ar-SA"/>
        </w:rPr>
        <w:t>إلى عدمها لأنّه لو استند إلى ذاته لكان ممتنعاً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7543415_1051229030"/>
      <w:bookmarkStart w:id="143" w:name="_Toc51"/>
      <w:bookmarkEnd w:id="142"/>
      <w:r>
        <w:rPr>
          <w:rtl w:val="true"/>
        </w:rPr>
        <w:t xml:space="preserve">أصل </w:t>
      </w:r>
      <w:r>
        <w:rPr>
          <w:rtl w:val="true"/>
        </w:rPr>
        <w:t xml:space="preserve">[ </w:t>
      </w:r>
      <w:r>
        <w:rPr>
          <w:rtl w:val="true"/>
        </w:rPr>
        <w:t xml:space="preserve">في الجوهر والعرض </w:t>
      </w:r>
      <w:r>
        <w:rPr>
          <w:rtl w:val="true"/>
        </w:rPr>
        <w:t>]</w:t>
      </w:r>
      <w:bookmarkEnd w:id="143"/>
    </w:p>
    <w:p>
      <w:pPr>
        <w:pStyle w:val="BookText"/>
        <w:rPr/>
      </w:pPr>
      <w:r>
        <w:rPr>
          <w:rFonts w:ascii="Amiri" w:hAnsi="Amiri" w:eastAsia="Amiri" w:cs="Amiri"/>
          <w:color w:val="111111"/>
          <w:sz w:val="28"/>
          <w:sz w:val="28"/>
          <w:szCs w:val="28"/>
          <w:rtl w:val="true"/>
          <w:lang w:bidi="ar-SA"/>
        </w:rPr>
        <w:t>كلّ موجود ممكن إمّا أن يكون قائماً بذاته أو بغيره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وهو المتحيّز الذي لا يقبل القسمة في جهة من الجهات وما يتركّب منه كالخطّ والسطح والجسم، وأقلّ ما يتركّب الخطّ من جوهرين، والسطح من أربعة أو ثلاثة، والجسم من ثمانية أو ستّة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وهو إمّا مشروط بالحياة أو لا، والأوّل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والاعتقاد والظنّ والنظر والإرادة والكراهة والشهوة والنفرة والألم والإدراك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الحياة والأكوان والألوان والطعوم والروائح والحرارة والبرودة والرطوبة واليبوسة والصوت والاعتماد والتأليف </w:t>
      </w:r>
      <w:r>
        <w:rPr>
          <w:rFonts w:eastAsia="Amiri" w:cs="Amiri" w:ascii="Amiri" w:hAnsi="Amiri"/>
          <w:color w:val="111111"/>
          <w:sz w:val="28"/>
          <w:szCs w:val="28"/>
          <w:rtl w:val="true"/>
          <w:lang w:bidi="ar-SA"/>
        </w:rPr>
        <w:t xml:space="preserve">. </w:t>
      </w:r>
      <w:bookmarkStart w:id="144" w:name="pg10769_112174"/>
    </w:p>
    <w:p>
      <w:pPr>
        <w:pStyle w:val="Heading3"/>
        <w:numPr>
          <w:ilvl w:val="2"/>
          <w:numId w:val="1"/>
        </w:numPr>
        <w:rPr/>
      </w:pPr>
      <w:bookmarkStart w:id="145" w:name="__RefHeading___Toc7543417_1051229030"/>
      <w:bookmarkStart w:id="146" w:name="_Toc52"/>
      <w:bookmarkEnd w:id="144"/>
      <w:bookmarkEnd w:id="145"/>
      <w:r>
        <w:rPr>
          <w:rtl w:val="true"/>
        </w:rPr>
        <w:t>أصل في أحكام الجواهر</w:t>
      </w:r>
      <w:bookmarkEnd w:id="146"/>
    </w:p>
    <w:p>
      <w:pPr>
        <w:pStyle w:val="BookText"/>
        <w:rPr/>
      </w:pPr>
      <w:r>
        <w:rPr>
          <w:rFonts w:ascii="Amiri" w:hAnsi="Amiri" w:eastAsia="Amiri" w:cs="Amiri"/>
          <w:color w:val="111111"/>
          <w:sz w:val="28"/>
          <w:sz w:val="28"/>
          <w:szCs w:val="28"/>
          <w:rtl w:val="true"/>
          <w:lang w:bidi="ar-SA"/>
        </w:rPr>
        <w:t xml:space="preserve">الأجسام متماثلة لأنّه يجمعها حدّ واحد، لأنّ الطول والعرض والعمق متساوٍ في الجميع، وهي باقية بالضرورة القاضية بذلك، ويستحيل عليها التداخل لأنّ البعدين يزيد على البعد الواحد عند الاجتماع قطعاً، ويجوز خلوّها من جميع الأعراض إلّا الكون </w:t>
      </w:r>
      <w:r>
        <w:rPr>
          <w:rStyle w:val="FootnoteAnchor"/>
          <w:rtl w:val="true"/>
        </w:rPr>
        <w:footnoteReference w:id="86"/>
      </w:r>
      <w:r>
        <w:rPr>
          <w:rFonts w:ascii="Amiri" w:hAnsi="Amiri" w:eastAsia="Amiri" w:cs="Amiri"/>
          <w:color w:val="111111"/>
          <w:sz w:val="28"/>
          <w:sz w:val="28"/>
          <w:szCs w:val="28"/>
          <w:rtl w:val="true"/>
          <w:lang w:bidi="ar-SA"/>
        </w:rPr>
        <w:t xml:space="preserve">لأنّ الهوى كذلك، وهي متناهية لما ثبت من بطلان التسلسل، ويجوز الخلأ بينها لأنّه لو تحرّك الجسم فإن بقي المكان الذي ينتقل إليه مملوّاً لزم التداخل ، وإن تحرّك الجسم عنه ؛ فإن كان إلى المكان الأوّل لزم الدور ، وإن كان إلى مكان ثالث لزم تحرّك العالم بتحرّك </w:t>
      </w:r>
      <w:r>
        <w:rPr>
          <w:rStyle w:val="FootnoteAnchor"/>
          <w:rtl w:val="true"/>
        </w:rPr>
        <w:footnoteReference w:id="87"/>
      </w:r>
      <w:r>
        <w:rPr>
          <w:rFonts w:ascii="Amiri" w:hAnsi="Amiri" w:eastAsia="Amiri" w:cs="Amiri"/>
          <w:color w:val="111111"/>
          <w:sz w:val="28"/>
          <w:sz w:val="28"/>
          <w:szCs w:val="28"/>
          <w:rtl w:val="true"/>
          <w:lang w:bidi="ar-SA"/>
        </w:rPr>
        <w:t>البقّة،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حادثة لأنّها لو كانت أزليّة لكانت إمّا متحرّكة أو ساكنة، لأنّه لابدّ لها من مكان، فإن كانت لابثة فيه فهي ساكنة، وإن كانت منتقلة فهي متحرّكة ، ولا واسطة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مسبوقان ،بالغير، وكلّ مسبوق بالغير حادث لأنّ الحركة عبارة عن الانتقال ، فهي مسبوقة بالمكان الأوّل، والسكون عبارة عن الحصول الثاني فهو مسبوق بالحصول الأوّل، وما هو مسبوق بغيره حادث، وهما لا ينفكّان عن الأجسام فتكون الأجسام حادثة </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7543419_1051229030"/>
      <w:bookmarkStart w:id="148" w:name="_Toc53"/>
      <w:bookmarkEnd w:id="147"/>
      <w:r>
        <w:rPr>
          <w:rtl w:val="true"/>
        </w:rPr>
        <w:t>أصل في خواصّ الأعراض</w:t>
      </w:r>
      <w:bookmarkEnd w:id="1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تقتضي التأثير وفق الإرادة والفعل مع انضمام الداعي إليها </w:t>
      </w:r>
    </w:p>
    <w:p>
      <w:pPr>
        <w:pStyle w:val="BookText"/>
        <w:rPr/>
      </w:pPr>
      <w:r>
        <w:rPr>
          <w:rFonts w:ascii="Amiri" w:hAnsi="Amiri" w:eastAsia="Amiri" w:cs="Amiri"/>
          <w:color w:val="111111"/>
          <w:sz w:val="28"/>
          <w:sz w:val="28"/>
          <w:szCs w:val="28"/>
          <w:rtl w:val="true"/>
          <w:lang w:bidi="ar-SA"/>
        </w:rPr>
        <w:t>ولا مانع ،واجب وبدونه ممكن، ولا ينافي الاختيار، وهي متقدّمة على الفعل وذلك ضروريّ ، ومتعلّقة بالضدّين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والاعتقاد إن كان جازماً ثابتاً مطابقاً فهو علم ومع انتفاء الأوّل ظنّ إن ترّجح أحد الطرفين وإلّا فشكٌ وانتفاء الثاني تقليد محض </w:t>
      </w:r>
      <w:r>
        <w:rPr>
          <w:rStyle w:val="FootnoteAnchor"/>
          <w:rtl w:val="true"/>
        </w:rPr>
        <w:footnoteReference w:id="88"/>
      </w:r>
      <w:r>
        <w:rPr>
          <w:rFonts w:ascii="Amiri" w:hAnsi="Amiri" w:eastAsia="Amiri" w:cs="Amiri"/>
          <w:color w:val="111111"/>
          <w:sz w:val="28"/>
          <w:sz w:val="28"/>
          <w:szCs w:val="28"/>
          <w:rtl w:val="true"/>
          <w:lang w:bidi="ar-SA"/>
        </w:rPr>
        <w:t xml:space="preserve">، وانتفاء الثالث جهل 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لا يحدّ لأنّه من الأُمور الوجدانيّة وهو فِعْليّ كما إذا تصوّرنا شيئاً ثمّ أوجدناه، وانفعالىّ وهو مستفاد من الأعيان الخارجيّة، وما ليس واحد منهما كعلم الباري تعالى، ويتعلّق بالمعدوم كعلمنا بطلوع الشمس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إلى الضروريّ وهو ما لا يفتقر إلى طلب وكسب، والنظريّ وهو ما يقابله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بالعلّة علم بالمعلول إذا كان على الوجه التامّ، وهو تابع للمعلول في المطابقة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ترجيح اعتقاد أحد الطرفين ترجيحاً غير مانع من النقيض، وقد سبق البحث في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صفة تقتضي ترجيح أحد طرفي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صفة تقتضي ترجيح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والشهوة هي الميل طبعاً إلى الملايم، وتقابلها </w:t>
      </w:r>
      <w:r>
        <w:rPr>
          <w:rStyle w:val="FootnoteAnchor"/>
          <w:rtl w:val="true"/>
        </w:rPr>
        <w:footnoteReference w:id="89"/>
      </w:r>
      <w:r>
        <w:rPr>
          <w:rFonts w:ascii="Amiri" w:hAnsi="Amiri" w:eastAsia="Amiri" w:cs="Amiri"/>
          <w:color w:val="111111"/>
          <w:sz w:val="28"/>
          <w:sz w:val="28"/>
          <w:szCs w:val="28"/>
          <w:rtl w:val="true"/>
          <w:lang w:bidi="ar-SA"/>
        </w:rPr>
        <w:t xml:space="preserve">النفرة، وهما غير الإرادة والكراهة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المنافي من حيث إنّه منافٍ، وسببه تفرّق الاتصال أو سوء المزاج ، وتقابلها </w:t>
      </w:r>
      <w:r>
        <w:rPr>
          <w:rStyle w:val="FootnoteAnchor"/>
          <w:rtl w:val="true"/>
        </w:rPr>
        <w:footnoteReference w:id="90"/>
      </w:r>
      <w:r>
        <w:rPr>
          <w:rFonts w:ascii="Amiri" w:hAnsi="Amiri" w:eastAsia="Amiri" w:cs="Amiri"/>
          <w:color w:val="111111"/>
          <w:sz w:val="28"/>
          <w:sz w:val="28"/>
          <w:szCs w:val="28"/>
          <w:rtl w:val="true"/>
          <w:lang w:bidi="ar-SA"/>
        </w:rPr>
        <w:t xml:space="preserve">اللذّة </w:t>
      </w:r>
      <w:r>
        <w:rPr>
          <w:rFonts w:eastAsia="Amiri" w:cs="Amiri" w:ascii="Amiri" w:hAnsi="Amiri"/>
          <w:color w:val="111111"/>
          <w:sz w:val="28"/>
          <w:szCs w:val="28"/>
          <w:rtl w:val="true"/>
          <w:lang w:bidi="ar-SA"/>
        </w:rPr>
        <w:t xml:space="preserve">. </w:t>
      </w:r>
      <w:bookmarkStart w:id="149" w:name="pg10769_112176"/>
    </w:p>
    <w:p>
      <w:pPr>
        <w:pStyle w:val="BookText"/>
        <w:rPr/>
      </w:pPr>
      <w:bookmarkEnd w:id="149"/>
      <w:r>
        <w:rPr>
          <w:rFonts w:ascii="Amiri" w:hAnsi="Amiri" w:eastAsia="Amiri" w:cs="Amiri"/>
          <w:color w:val="111111"/>
          <w:sz w:val="28"/>
          <w:sz w:val="28"/>
          <w:szCs w:val="28"/>
          <w:rtl w:val="true"/>
          <w:lang w:bidi="ar-SA"/>
        </w:rPr>
        <w:t>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 الحيوان على الأُمور الخارجيّة بواسطة الحواسّ، وهو زائد في حقّنا لا في حقّه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تقتضي إمكان الاتّصاف بالقدرة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الحصول في الحيّز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واللون هو السواد والبياض والحمرة والصفرة والخضرة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كيفيّة مذوّقة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كيفيّة مشمومة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كيفيّة محسوسة باللمس والبرودة كذلك، وبينهما 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يعسر معها قبول الأشكال لموضوعها عكس الرطوبة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تقتضي حصول الجسم في جهة من الجهات طبعاً أو قسراً أو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يختصّ بمحلين لا أزيد</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7543421_1051229030"/>
      <w:bookmarkStart w:id="151" w:name="_Toc54"/>
      <w:bookmarkEnd w:id="150"/>
      <w:r>
        <w:rPr>
          <w:rtl w:val="true"/>
        </w:rPr>
        <w:t xml:space="preserve">أصل </w:t>
      </w:r>
      <w:r>
        <w:rPr>
          <w:rtl w:val="true"/>
        </w:rPr>
        <w:t xml:space="preserve">[ </w:t>
      </w:r>
      <w:r>
        <w:rPr>
          <w:rtl w:val="true"/>
        </w:rPr>
        <w:t xml:space="preserve">ما سوى الواجب ممكن </w:t>
      </w:r>
      <w:r>
        <w:rPr>
          <w:rtl w:val="true"/>
        </w:rPr>
        <w:t>]</w:t>
      </w:r>
      <w:bookmarkEnd w:id="151"/>
    </w:p>
    <w:p>
      <w:pPr>
        <w:pStyle w:val="BookText"/>
        <w:rPr/>
      </w:pPr>
      <w:r>
        <w:rPr>
          <w:rFonts w:ascii="Amiri" w:hAnsi="Amiri" w:eastAsia="Amiri" w:cs="Amiri"/>
          <w:color w:val="111111"/>
          <w:sz w:val="28"/>
          <w:sz w:val="28"/>
          <w:szCs w:val="28"/>
          <w:rtl w:val="true"/>
          <w:lang w:bidi="ar-SA"/>
        </w:rPr>
        <w:t>كلّ ما سوى الواجب ممكن ، وكلّ ممكن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فلما يأتى من أنّ الواجب واحد وما عداه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فلما تقدّم في خواصّ الممكن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الدليل أعمّ ممّا تقدّم في حدوث الأجسام، ولهذا أحببنا ذكره هنا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الأُصول المذكورة في المقدّمة </w:t>
      </w:r>
      <w:r>
        <w:rPr>
          <w:rFonts w:eastAsia="Amiri" w:cs="Amiri" w:ascii="Amiri" w:hAnsi="Amiri"/>
          <w:color w:val="111111"/>
          <w:sz w:val="28"/>
          <w:szCs w:val="28"/>
          <w:rtl w:val="true"/>
          <w:lang w:bidi="ar-SA"/>
        </w:rPr>
        <w:t xml:space="preserve">. </w:t>
      </w:r>
      <w:bookmarkStart w:id="152" w:name="pg10769_112177"/>
    </w:p>
    <w:p>
      <w:pPr>
        <w:pStyle w:val="BookText"/>
        <w:rPr/>
      </w:pPr>
      <w:bookmarkEnd w:id="152"/>
      <w:r>
        <w:rPr>
          <w:rFonts w:ascii="IRNazanin" w:hAnsi="IRNazanin" w:eastAsia="IRNazanin"/>
          <w:color w:val="111111"/>
          <w:sz w:val="28"/>
          <w:sz w:val="28"/>
          <w:szCs w:val="28"/>
          <w:rtl w:val="true"/>
          <w:lang w:bidi="fa-IR"/>
        </w:rPr>
        <w:t>وأمّا المقصدان</w:t>
      </w:r>
      <w:r>
        <w:rPr>
          <w:rFonts w:eastAsia="IRNazanin" w:cs="IRNazanin"/>
          <w:color w:val="111111"/>
          <w:sz w:val="28"/>
          <w:szCs w:val="28"/>
          <w:rtl w:val="true"/>
          <w:lang w:bidi="fa-IR"/>
        </w:rPr>
        <w:t>:</w:t>
      </w:r>
    </w:p>
    <w:p>
      <w:pPr>
        <w:pStyle w:val="Heading2"/>
        <w:numPr>
          <w:ilvl w:val="1"/>
          <w:numId w:val="1"/>
        </w:numPr>
        <w:rPr/>
      </w:pPr>
      <w:bookmarkStart w:id="153" w:name="__RefHeading___Toc7543423_1051229030"/>
      <w:bookmarkStart w:id="154" w:name="_Toc55"/>
      <w:bookmarkEnd w:id="153"/>
      <w:r>
        <w:rPr>
          <w:rtl w:val="true"/>
        </w:rPr>
        <w:t>المقصد الأول</w:t>
      </w:r>
      <w:r>
        <w:rPr>
          <w:rtl w:val="true"/>
        </w:rPr>
        <w:t xml:space="preserve">: </w:t>
      </w:r>
      <w:r>
        <w:rPr>
          <w:rtl w:val="true"/>
        </w:rPr>
        <w:t>فى إثبات الصانع وصفاته الثبوتيّة</w:t>
      </w:r>
      <w:bookmarkEnd w:id="154"/>
    </w:p>
    <w:p>
      <w:pPr>
        <w:pStyle w:val="Heading3"/>
        <w:numPr>
          <w:ilvl w:val="2"/>
          <w:numId w:val="1"/>
        </w:numPr>
        <w:rPr/>
      </w:pPr>
      <w:bookmarkStart w:id="155" w:name="__RefHeading___Toc7543425_1051229030"/>
      <w:bookmarkStart w:id="156" w:name="_Toc5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وفيه أصول</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7543427_1051229030"/>
      <w:bookmarkStart w:id="158" w:name="_Toc57"/>
      <w:bookmarkEnd w:id="157"/>
      <w:r>
        <w:rPr>
          <w:rtl w:val="true"/>
        </w:rPr>
        <w:t xml:space="preserve">أصل </w:t>
      </w:r>
      <w:r>
        <w:rPr>
          <w:rtl w:val="true"/>
        </w:rPr>
        <w:t xml:space="preserve">[ </w:t>
      </w:r>
      <w:r>
        <w:rPr>
          <w:rtl w:val="true"/>
        </w:rPr>
        <w:t xml:space="preserve">في وجوده تعالى </w:t>
      </w:r>
      <w:r>
        <w:rPr>
          <w:rtl w:val="true"/>
        </w:rPr>
        <w:t>]</w:t>
      </w:r>
      <w:bookmarkEnd w:id="158"/>
    </w:p>
    <w:p>
      <w:pPr>
        <w:pStyle w:val="BookText"/>
        <w:rPr/>
      </w:pPr>
      <w:r>
        <w:rPr>
          <w:rFonts w:ascii="IRNazanin" w:hAnsi="IRNazanin" w:eastAsia="IRNazanin"/>
          <w:color w:val="111111"/>
          <w:sz w:val="28"/>
          <w:sz w:val="28"/>
          <w:szCs w:val="28"/>
          <w:rtl w:val="true"/>
          <w:lang w:bidi="fa-IR"/>
        </w:rPr>
        <w:t xml:space="preserve">وجود الصانع </w:t>
      </w:r>
      <w:r>
        <w:rPr>
          <w:rStyle w:val="FootnoteAnchor"/>
          <w:rtl w:val="true"/>
        </w:rPr>
        <w:footnoteReference w:id="92"/>
      </w:r>
      <w:r>
        <w:rPr>
          <w:rFonts w:ascii="Amiri" w:hAnsi="Amiri" w:eastAsia="Amiri" w:cs="Amiri"/>
          <w:color w:val="111111"/>
          <w:sz w:val="28"/>
          <w:sz w:val="28"/>
          <w:szCs w:val="28"/>
          <w:rtl w:val="true"/>
          <w:lang w:bidi="ar-SA"/>
        </w:rPr>
        <w:t xml:space="preserve">تعالى غنيّ عن الاستدلال بعد ما تقدّم من إثبات حدوث ما سواه، فإنّ الضرورة قاضية بافتقار ما لم يكن ثمّ كان إلى فاعل حتّى أنّ ذلك مركوز في كلّ ذي إدراك ، فإنّ الحمار إذا أحسّ بالضرب أسرع في المشي ، لكن إيراد الأدلّة على أعيان المسائل أبعد من اللبس وأوثق فى النفس ، فهاهنا 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الواجب موجوداً لم يكن لشيء من الممكنات وجود أصلاً، واللازم كالملزوم في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 يكون حينئذٍ منحصراً في الممكن، وليس له وجود من ذاته لما تقدّم في خواصّه بل من غيره، فإذا لم يعتبر ذلك الغير لم يكن الممكن موجوداً، وإذا لم يكن الممكن موجوداً لم يكن لغيره عنه وجود، لأنّ إيجاده لغيره فرع على وجوده لاستحالة كون المعدوم موجداً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للحكماء،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موجوداً بالضرورة، فإن كان واجباً فالمطلوب، وإن كان ممكناً فإن عاد إلى الأوّل دار، وإن ترامى تسلسل، </w:t>
      </w:r>
      <w:bookmarkStart w:id="159" w:name="pg10769_112178"/>
    </w:p>
    <w:p>
      <w:pPr>
        <w:pStyle w:val="BookText"/>
        <w:rPr/>
      </w:pPr>
      <w:bookmarkEnd w:id="159"/>
      <w:r>
        <w:rPr>
          <w:rFonts w:ascii="IRNazanin" w:hAnsi="IRNazanin" w:eastAsia="IRNazanin"/>
          <w:color w:val="111111"/>
          <w:sz w:val="28"/>
          <w:sz w:val="28"/>
          <w:szCs w:val="28"/>
          <w:rtl w:val="true"/>
          <w:lang w:bidi="fa-IR"/>
        </w:rPr>
        <w:t xml:space="preserve">وهما باطلان لما تقدّم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للمتكلّمين،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محدّث، وكلّ محدّث مفتقِر إلى محدِث </w:t>
      </w:r>
      <w:r>
        <w:rPr>
          <w:rStyle w:val="FootnoteAnchor"/>
          <w:rtl w:val="true"/>
        </w:rPr>
        <w:footnoteReference w:id="94"/>
      </w:r>
      <w:r>
        <w:rPr>
          <w:rFonts w:ascii="Amiri" w:hAnsi="Amiri" w:eastAsia="Amiri" w:cs="Amiri"/>
          <w:color w:val="111111"/>
          <w:sz w:val="28"/>
          <w:sz w:val="28"/>
          <w:szCs w:val="28"/>
          <w:rtl w:val="true"/>
          <w:lang w:bidi="ar-SA"/>
        </w:rPr>
        <w:t>، والمقدّمتان تقدّم بيانهما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7543429_1051229030"/>
      <w:bookmarkStart w:id="161" w:name="_Toc58"/>
      <w:bookmarkEnd w:id="160"/>
      <w:r>
        <w:rPr>
          <w:rtl w:val="true"/>
        </w:rPr>
        <w:t xml:space="preserve">أصل </w:t>
      </w:r>
      <w:r>
        <w:rPr>
          <w:rtl w:val="true"/>
        </w:rPr>
        <w:t xml:space="preserve">[ </w:t>
      </w:r>
      <w:r>
        <w:rPr>
          <w:rtl w:val="true"/>
        </w:rPr>
        <w:t xml:space="preserve">في قدمه تعالى وأزليّته </w:t>
      </w:r>
      <w:r>
        <w:rPr>
          <w:rtl w:val="true"/>
        </w:rPr>
        <w:t>]</w:t>
      </w:r>
      <w:bookmarkEnd w:id="161"/>
    </w:p>
    <w:p>
      <w:pPr>
        <w:pStyle w:val="BookText"/>
        <w:rPr/>
      </w:pPr>
      <w:r>
        <w:rPr>
          <w:rFonts w:ascii="Amiri" w:hAnsi="Amiri" w:eastAsia="Amiri" w:cs="Amiri"/>
          <w:color w:val="111111"/>
          <w:sz w:val="28"/>
          <w:sz w:val="28"/>
          <w:szCs w:val="28"/>
          <w:rtl w:val="true"/>
          <w:lang w:bidi="ar-SA"/>
        </w:rPr>
        <w:t>لمّا ثبت كونه تعالى واجباً ثبت كونه قديماً ، أي لا أوّل لوجوده، وأزليّاً بمعنى أنّه مصاحب لجميع الأزمنة الماضية المحقّقة والمقدرّة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 أي مستمرّ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وأبديّ أي المصاحب لجميع الأزمنة الآتية المحقّقة والمقدّرة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وسرمديّ بمعنى أنّه مصاحب لجميع الأزمنة المحقّقة والمقدّرة، ماضية كانت أو حاضرة أو مستقبلة، إذ لولا ذلك لجاز عليه العدم وقتاً ما فيكون ممكناً فيفتقر إلى مؤثّر ، فيلزم الدور أو التسلسل، وهما باطلان، وقد تقدّم في خواص الواجب أن لا يزيد وجوده ولا وجوبه فلا فائدة في إعادته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7543431_1051229030"/>
      <w:bookmarkStart w:id="163" w:name="_Toc59"/>
      <w:bookmarkEnd w:id="162"/>
      <w:r>
        <w:rPr>
          <w:rtl w:val="true"/>
        </w:rPr>
        <w:t xml:space="preserve">أصل </w:t>
      </w:r>
      <w:r>
        <w:rPr>
          <w:rtl w:val="true"/>
        </w:rPr>
        <w:t xml:space="preserve">[ </w:t>
      </w:r>
      <w:r>
        <w:rPr>
          <w:rtl w:val="true"/>
        </w:rPr>
        <w:t xml:space="preserve">في قدرته تعالى الذاتيّة </w:t>
      </w:r>
      <w:r>
        <w:rPr>
          <w:rtl w:val="true"/>
        </w:rPr>
        <w:t>]</w:t>
      </w:r>
      <w:bookmarkEnd w:id="1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اتّصافه تعالى بالقدرة الذاتيّة، أي مع خلوه عن الداعي يصحّ أن يؤثّر وأن لا يؤثّر، وقد اشتهر القول عن الحكماء القول بالإيجاب كالنار في الإحراق </w:t>
      </w:r>
      <w:bookmarkStart w:id="164" w:name="pg10769_112179"/>
    </w:p>
    <w:p>
      <w:pPr>
        <w:pStyle w:val="BookText"/>
        <w:rPr/>
      </w:pPr>
      <w:bookmarkEnd w:id="164"/>
      <w:r>
        <w:rPr>
          <w:rFonts w:ascii="Amiri" w:hAnsi="Amiri" w:eastAsia="Amiri" w:cs="Amiri"/>
          <w:color w:val="111111"/>
          <w:sz w:val="28"/>
          <w:sz w:val="28"/>
          <w:szCs w:val="28"/>
          <w:rtl w:val="true"/>
          <w:lang w:bidi="ar-SA"/>
        </w:rPr>
        <w:t xml:space="preserve">والشمس في الإشراق </w:t>
      </w:r>
      <w:r>
        <w:rPr>
          <w:rStyle w:val="FootnoteAnchor"/>
          <w:rtl w:val="true"/>
        </w:rPr>
        <w:footnoteReference w:id="95"/>
      </w:r>
      <w:r>
        <w:rPr>
          <w:rFonts w:ascii="Amiri" w:hAnsi="Amiri" w:eastAsia="Amiri" w:cs="Amiri"/>
          <w:color w:val="111111"/>
          <w:sz w:val="28"/>
          <w:sz w:val="28"/>
          <w:szCs w:val="28"/>
          <w:rtl w:val="true"/>
          <w:lang w:bidi="ar-SA"/>
        </w:rPr>
        <w:t>، والضرورة قاضية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مختاراً لزم قدم العالم، والتالي باطل لما تقدّم، فكذا </w:t>
      </w:r>
      <w:r>
        <w:rPr>
          <w:rStyle w:val="FootnoteAnchor"/>
          <w:rtl w:val="true"/>
        </w:rPr>
        <w:footnoteReference w:id="96"/>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لا يتأخّر فعله عنه لأنّ تأثيره إن لم يتوقّف على شرطٍ أو توقّف على شرط قديم لزم القدم، وإن توقّف على شرط حادث نقلنا الكلام إليه ولزم التسلسل</w:t>
      </w:r>
    </w:p>
    <w:p>
      <w:pPr>
        <w:pStyle w:val="Heading3"/>
        <w:numPr>
          <w:ilvl w:val="2"/>
          <w:numId w:val="1"/>
        </w:numPr>
        <w:rPr/>
      </w:pPr>
      <w:bookmarkStart w:id="165" w:name="__RefHeading___Toc7543433_1051229030"/>
      <w:bookmarkStart w:id="166" w:name="_Toc60"/>
      <w:bookmarkEnd w:id="165"/>
      <w:r>
        <w:rPr>
          <w:rtl w:val="true"/>
        </w:rPr>
        <w:t xml:space="preserve">أصل </w:t>
      </w:r>
      <w:r>
        <w:rPr>
          <w:rtl w:val="true"/>
        </w:rPr>
        <w:t xml:space="preserve">[ </w:t>
      </w:r>
      <w:r>
        <w:rPr>
          <w:rtl w:val="true"/>
        </w:rPr>
        <w:t xml:space="preserve">في قدرته تعالى على كلّ مقدور </w:t>
      </w:r>
      <w:r>
        <w:rPr>
          <w:rtl w:val="true"/>
        </w:rPr>
        <w:t>]</w:t>
      </w:r>
      <w:bookmarkEnd w:id="166"/>
    </w:p>
    <w:p>
      <w:pPr>
        <w:pStyle w:val="BookText"/>
        <w:rPr/>
      </w:pPr>
      <w:r>
        <w:rPr>
          <w:rFonts w:ascii="IRNazanin" w:hAnsi="IRNazanin" w:eastAsia="IRNazanin"/>
          <w:color w:val="111111"/>
          <w:sz w:val="28"/>
          <w:sz w:val="28"/>
          <w:szCs w:val="28"/>
          <w:rtl w:val="true"/>
          <w:lang w:bidi="fa-IR"/>
        </w:rPr>
        <w:t xml:space="preserve">لمّا كانت علّة المقدوريّة هي الإمكان لا الوجوب والامتناع الذاتيّان، والإمكان مشترك ، فمقتضاه مشترك فيكون قادراً على الكلّ، وخلاف عباد بن سلیمان </w:t>
      </w:r>
      <w:r>
        <w:rPr>
          <w:rStyle w:val="FootnoteAnchor"/>
          <w:rtl w:val="true"/>
        </w:rPr>
        <w:footnoteReference w:id="97"/>
      </w:r>
      <w:r>
        <w:rPr>
          <w:rFonts w:ascii="IRNazanin" w:hAnsi="IRNazanin" w:eastAsia="IRNazanin"/>
          <w:color w:val="111111"/>
          <w:sz w:val="28"/>
          <w:sz w:val="28"/>
          <w:szCs w:val="28"/>
          <w:rtl w:val="true"/>
          <w:lang w:bidi="fa-IR"/>
        </w:rPr>
        <w:t xml:space="preserve">فی أنّه تعالى لا يقدر على خلاف معلومه </w:t>
      </w:r>
      <w:r>
        <w:rPr>
          <w:rStyle w:val="FootnoteAnchor"/>
          <w:rtl w:val="true"/>
        </w:rPr>
        <w:footnoteReference w:id="98"/>
      </w:r>
      <w:r>
        <w:rPr>
          <w:rFonts w:ascii="Amiri" w:hAnsi="Amiri" w:eastAsia="Amiri" w:cs="Amiri"/>
          <w:color w:val="111111"/>
          <w:sz w:val="28"/>
          <w:sz w:val="28"/>
          <w:szCs w:val="28"/>
          <w:rtl w:val="true"/>
          <w:lang w:bidi="ar-SA"/>
        </w:rPr>
        <w:t xml:space="preserve">، والنّظام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قل لمن يدّعي في العلم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وغابت عنك أشياء</w:t>
      </w:r>
    </w:p>
    <w:p>
      <w:pPr>
        <w:pStyle w:val="BookText"/>
        <w:rPr/>
      </w:pPr>
      <w:r>
        <w:rPr>
          <w:rFonts w:ascii="Amiri" w:hAnsi="Amiri" w:eastAsia="Amiri" w:cs="Amiri"/>
          <w:color w:val="111111"/>
          <w:sz w:val="28"/>
          <w:sz w:val="28"/>
          <w:szCs w:val="28"/>
          <w:rtl w:val="true"/>
          <w:lang w:bidi="ar-SA"/>
        </w:rPr>
        <w:t xml:space="preserve">توفّي النظام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تاريخ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لفالح الربيعيّ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 لا يقدر على القبيح وإلّا</w:t>
      </w:r>
    </w:p>
    <w:p>
      <w:pPr>
        <w:pStyle w:val="BookText"/>
        <w:rPr/>
      </w:pPr>
      <w:r>
        <w:rPr>
          <w:rFonts w:ascii="IRNazanin" w:hAnsi="IRNazanin" w:eastAsia="IRNazanin"/>
          <w:color w:val="111111"/>
          <w:sz w:val="28"/>
          <w:sz w:val="28"/>
          <w:szCs w:val="28"/>
          <w:rtl w:val="true"/>
          <w:lang w:bidi="fa-IR"/>
        </w:rPr>
        <w:t xml:space="preserve">لصدر عنه </w:t>
      </w:r>
      <w:r>
        <w:rPr>
          <w:rStyle w:val="FootnoteAnchor"/>
          <w:rtl w:val="true"/>
        </w:rPr>
        <w:footnoteReference w:id="100"/>
      </w:r>
      <w:r>
        <w:rPr>
          <w:rFonts w:ascii="Amiri" w:hAnsi="Amiri" w:eastAsia="Amiri" w:cs="Amiri"/>
          <w:color w:val="111111"/>
          <w:sz w:val="28"/>
          <w:sz w:val="28"/>
          <w:szCs w:val="28"/>
          <w:rtl w:val="true"/>
          <w:lang w:bidi="ar-SA"/>
        </w:rPr>
        <w:t xml:space="preserve">، والبلخيّ </w:t>
      </w:r>
      <w:r>
        <w:rPr>
          <w:rStyle w:val="FootnoteAnchor"/>
          <w:rtl w:val="true"/>
        </w:rPr>
        <w:footnoteReference w:id="101"/>
      </w:r>
      <w:r>
        <w:rPr>
          <w:rFonts w:ascii="Amiri" w:hAnsi="Amiri" w:eastAsia="Amiri" w:cs="Amiri"/>
          <w:color w:val="111111"/>
          <w:sz w:val="28"/>
          <w:sz w:val="28"/>
          <w:szCs w:val="28"/>
          <w:rtl w:val="true"/>
          <w:lang w:bidi="ar-SA"/>
        </w:rPr>
        <w:t xml:space="preserve">في أنّه لا يقدر على مثل مقدور العبد، لأنّه إمّا طاعة أو سفه، وهما محالان عليه تعالى </w:t>
      </w:r>
      <w:r>
        <w:rPr>
          <w:rStyle w:val="FootnoteAnchor"/>
          <w:rtl w:val="true"/>
        </w:rPr>
        <w:footnoteReference w:id="102"/>
      </w:r>
      <w:r>
        <w:rPr>
          <w:rFonts w:ascii="Amiri" w:hAnsi="Amiri" w:eastAsia="Amiri" w:cs="Amiri"/>
          <w:color w:val="111111"/>
          <w:sz w:val="28"/>
          <w:sz w:val="28"/>
          <w:szCs w:val="28"/>
          <w:rtl w:val="true"/>
          <w:lang w:bidi="ar-SA"/>
        </w:rPr>
        <w:t xml:space="preserve">، والجبّائيّان </w:t>
      </w:r>
      <w:r>
        <w:rPr>
          <w:rStyle w:val="FootnoteAnchor"/>
          <w:rtl w:val="true"/>
        </w:rPr>
        <w:footnoteReference w:id="103"/>
      </w:r>
      <w:r>
        <w:rPr>
          <w:rFonts w:ascii="Amiri" w:hAnsi="Amiri" w:eastAsia="Amiri" w:cs="Amiri"/>
          <w:color w:val="111111"/>
          <w:sz w:val="28"/>
          <w:sz w:val="28"/>
          <w:szCs w:val="28"/>
          <w:rtl w:val="true"/>
          <w:lang w:bidi="ar-SA"/>
        </w:rPr>
        <w:t xml:space="preserve">في أنّه لا يقدر تعالى على عين مقدور العبد وإلّا لاجتمع قادران على مقدور واحد </w:t>
      </w:r>
      <w:r>
        <w:rPr>
          <w:rStyle w:val="FootnoteAnchor"/>
          <w:rtl w:val="true"/>
        </w:rPr>
        <w:footnoteReference w:id="104"/>
      </w:r>
      <w:r>
        <w:rPr>
          <w:rFonts w:ascii="IRNazanin" w:hAnsi="IRNazanin" w:eastAsia="IRNazanin"/>
          <w:color w:val="111111"/>
          <w:sz w:val="28"/>
          <w:sz w:val="28"/>
          <w:szCs w:val="28"/>
          <w:rtl w:val="true"/>
          <w:lang w:bidi="fa-IR"/>
        </w:rPr>
        <w:t xml:space="preserve">ممنوع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الأوّل بأنّ أوسط القياس غير متّحد لأنّه في الصغرى لغيره، وفي الكبرى لذاته فلا ينتج، ولأنّ العلم تابع، والتابع متأخّر فلا يكون مؤثّراً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أنّ المحال إنّما هو صدور القبيح عنه لا القدرة عليه، فلا يفعله الغناه وعلمه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أنّ الطاعة والسفه وصفان عارضان للفعل لا يخرجانه عن إمكانه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الرابع بأنّه يقع فعل أقوى القادرين كما إذا أراد الله وكره العبد، ومنع قُوّة </w:t>
      </w:r>
      <w:bookmarkStart w:id="167" w:name="pg10769_112181"/>
    </w:p>
    <w:p>
      <w:pPr>
        <w:pStyle w:val="BookText"/>
        <w:rPr/>
      </w:pPr>
      <w:bookmarkEnd w:id="167"/>
      <w:r>
        <w:rPr>
          <w:rFonts w:ascii="Amiri" w:hAnsi="Amiri" w:eastAsia="Amiri" w:cs="Amiri"/>
          <w:color w:val="111111"/>
          <w:sz w:val="28"/>
          <w:sz w:val="28"/>
          <w:szCs w:val="28"/>
          <w:rtl w:val="true"/>
          <w:lang w:bidi="ar-SA"/>
        </w:rPr>
        <w:t>القادر القويّ الآخر لا يخرجه عن كونه قادراً ، إذ فعل القادر مشروط بعدم المانع</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7543435_1051229030"/>
      <w:bookmarkStart w:id="169" w:name="_Toc61"/>
      <w:bookmarkEnd w:id="168"/>
      <w:r>
        <w:rPr>
          <w:rtl w:val="true"/>
        </w:rPr>
        <w:t xml:space="preserve">أصل </w:t>
      </w:r>
      <w:r>
        <w:rPr>
          <w:rtl w:val="true"/>
        </w:rPr>
        <w:t xml:space="preserve">[ </w:t>
      </w:r>
      <w:r>
        <w:rPr>
          <w:rtl w:val="true"/>
        </w:rPr>
        <w:t xml:space="preserve">في علمه تعالى </w:t>
      </w:r>
      <w:r>
        <w:rPr>
          <w:rtl w:val="true"/>
        </w:rPr>
        <w:t>]</w:t>
      </w:r>
      <w:bookmarkEnd w:id="169"/>
    </w:p>
    <w:p>
      <w:pPr>
        <w:pStyle w:val="BookText"/>
        <w:rPr/>
      </w:pPr>
      <w:r>
        <w:rPr>
          <w:rFonts w:ascii="Amiri" w:hAnsi="Amiri" w:eastAsia="Amiri" w:cs="Amiri"/>
          <w:color w:val="111111"/>
          <w:sz w:val="28"/>
          <w:sz w:val="28"/>
          <w:szCs w:val="28"/>
          <w:rtl w:val="true"/>
          <w:lang w:bidi="ar-SA"/>
        </w:rPr>
        <w:t xml:space="preserve">يجب اتّصافه تعالى بالعلم بمعنى انكشاف الأشياء له وكونها حاضرة لديه غير غائبة عنه ، لأنّه تعالى مختار وكلّ مختار </w:t>
      </w:r>
      <w:r>
        <w:rPr>
          <w:rStyle w:val="FootnoteAnchor"/>
          <w:rtl w:val="true"/>
        </w:rPr>
        <w:footnoteReference w:id="106"/>
      </w:r>
      <w:r>
        <w:rPr>
          <w:rFonts w:ascii="Amiri" w:hAnsi="Amiri" w:eastAsia="Amiri" w:cs="Amiri"/>
          <w:color w:val="111111"/>
          <w:sz w:val="28"/>
          <w:sz w:val="28"/>
          <w:szCs w:val="28"/>
          <w:rtl w:val="true"/>
          <w:lang w:bidi="ar-SA"/>
        </w:rPr>
        <w:t xml:space="preserve">عالم لتبعية فعله لداعيه الذي هو العلم بما الفعل عليه من المصلحة الباعثة إلى إيجاده، ولأنّه فعل فعلاً محكماً مُستتبعاً لخواصّ كثيرة ومنافع عظيمة ، وكلّ من كان كذلك كان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فحسّيّة ينبّه عليها أنّ العالم الفلكيّ من نظر فيه </w:t>
      </w:r>
      <w:r>
        <w:rPr>
          <w:rStyle w:val="FootnoteAnchor"/>
          <w:rtl w:val="true"/>
        </w:rPr>
        <w:footnoteReference w:id="107"/>
      </w:r>
      <w:r>
        <w:rPr>
          <w:rFonts w:ascii="Amiri" w:hAnsi="Amiri" w:eastAsia="Amiri" w:cs="Amiri"/>
          <w:color w:val="111111"/>
          <w:sz w:val="28"/>
          <w:sz w:val="28"/>
          <w:szCs w:val="28"/>
          <w:rtl w:val="true"/>
          <w:lang w:bidi="ar-SA"/>
        </w:rPr>
        <w:t>وعرف كيفيّة نظام أفلاكه ، وكيفيّة نضدها وسيرها على مدارات مختلفة، وما يترتّب على الحركات المخصوصة من الفوائد، فإنّ قرب الشمس من رؤوسنا يترتّب عليه نصح الثمار بالسخونة، وبُعدها عنها يترتّب عليه حصول البرد المؤدّي إلى نموّ الثمرة، وبالجملة جميع الأحوال الفلكيّة من نظر في علم تفصيلها علم ضرورة أنّها لا تصدر إلّا من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العالم العنصريّ وكيفيّة تكوّن المركبات الثلاثة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المعدنيّة والنباتيّة والحيوانيّة، وحصول الخواصّ والفوائد فيها كما هو مذكورٌ في مظانّه دليل </w:t>
      </w:r>
      <w:r>
        <w:rPr>
          <w:rStyle w:val="FootnoteAnchor"/>
          <w:rtl w:val="true"/>
        </w:rPr>
        <w:footnoteReference w:id="109"/>
      </w:r>
      <w:r>
        <w:rPr>
          <w:rFonts w:ascii="Amiri" w:hAnsi="Amiri" w:eastAsia="Amiri" w:cs="Amiri"/>
          <w:color w:val="111111"/>
          <w:sz w:val="28"/>
          <w:sz w:val="28"/>
          <w:szCs w:val="28"/>
          <w:rtl w:val="true"/>
          <w:lang w:bidi="ar-SA"/>
        </w:rPr>
        <w:t xml:space="preserve">ظاهر على أنّه لا يصدر إلّا من لطيف خبير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الكبرى فضروريّة</w:t>
      </w:r>
      <w:r>
        <w:rPr>
          <w:rFonts w:eastAsia="Amiri" w:cs="Amiri" w:ascii="Amiri" w:hAnsi="Amiri"/>
          <w:color w:val="111111"/>
          <w:sz w:val="28"/>
          <w:szCs w:val="28"/>
          <w:rtl w:val="true"/>
          <w:lang w:bidi="ar-SA"/>
        </w:rPr>
        <w:t xml:space="preserve">. </w:t>
      </w:r>
      <w:bookmarkStart w:id="170" w:name="pg10769_112182"/>
    </w:p>
    <w:p>
      <w:pPr>
        <w:pStyle w:val="Heading3"/>
        <w:numPr>
          <w:ilvl w:val="2"/>
          <w:numId w:val="1"/>
        </w:numPr>
        <w:rPr/>
      </w:pPr>
      <w:bookmarkStart w:id="171" w:name="__RefHeading___Toc7543437_1051229030"/>
      <w:bookmarkStart w:id="172" w:name="_Toc62"/>
      <w:bookmarkEnd w:id="170"/>
      <w:bookmarkEnd w:id="171"/>
      <w:r>
        <w:rPr>
          <w:rtl w:val="true"/>
        </w:rPr>
        <w:t xml:space="preserve">أصل </w:t>
      </w:r>
      <w:r>
        <w:rPr>
          <w:rtl w:val="true"/>
        </w:rPr>
        <w:t xml:space="preserve">[ </w:t>
      </w:r>
      <w:r>
        <w:rPr>
          <w:rtl w:val="true"/>
        </w:rPr>
        <w:t xml:space="preserve">في أنّه تعالى عالم بكلّ معلوم </w:t>
      </w:r>
      <w:r>
        <w:rPr>
          <w:rtl w:val="true"/>
        </w:rPr>
        <w:t>]</w:t>
      </w:r>
      <w:bookmarkEnd w:id="172"/>
    </w:p>
    <w:p>
      <w:pPr>
        <w:pStyle w:val="BookText"/>
        <w:rPr/>
      </w:pPr>
      <w:r>
        <w:rPr>
          <w:rFonts w:ascii="Amiri" w:hAnsi="Amiri" w:eastAsia="Amiri" w:cs="Amiri"/>
          <w:color w:val="111111"/>
          <w:sz w:val="28"/>
          <w:sz w:val="28"/>
          <w:szCs w:val="28"/>
          <w:rtl w:val="true"/>
          <w:lang w:bidi="ar-SA"/>
        </w:rPr>
        <w:t>لمّا كانت صفاته تعالى ذاتيّة لما يأتي من بُطلان المعاني والأحوال فكلّ ما صحّ له تعالى وصف وجب له وإلّا لم يكن ذاتيّاً ؛ هذا خلف ، وهو تعالى يصحّ أن يعلم كلّ معلوم لأنّه حيّ فيجب ذلك، وهو المطلوب</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7543439_1051229030"/>
      <w:bookmarkStart w:id="174" w:name="_Toc63"/>
      <w:bookmarkEnd w:id="173"/>
      <w:r>
        <w:rPr>
          <w:rtl w:val="true"/>
        </w:rPr>
        <w:t xml:space="preserve">أصل </w:t>
      </w:r>
      <w:r>
        <w:rPr>
          <w:rtl w:val="true"/>
        </w:rPr>
        <w:t xml:space="preserve">[ </w:t>
      </w:r>
      <w:r>
        <w:rPr>
          <w:rtl w:val="true"/>
        </w:rPr>
        <w:t xml:space="preserve">في أنّه تعالى عالم بذاته </w:t>
      </w:r>
      <w:r>
        <w:rPr>
          <w:rtl w:val="true"/>
        </w:rPr>
        <w:t>]</w:t>
      </w:r>
      <w:bookmarkEnd w:id="174"/>
    </w:p>
    <w:p>
      <w:pPr>
        <w:pStyle w:val="BookText"/>
        <w:rPr/>
      </w:pPr>
      <w:r>
        <w:rPr>
          <w:rFonts w:ascii="Amiri" w:hAnsi="Amiri" w:eastAsia="Amiri" w:cs="Amiri"/>
          <w:color w:val="111111"/>
          <w:sz w:val="28"/>
          <w:sz w:val="28"/>
          <w:szCs w:val="28"/>
          <w:rtl w:val="true"/>
          <w:lang w:bidi="ar-SA"/>
        </w:rPr>
        <w:t xml:space="preserve">وهو تعالى يعلم ذاته، ولا يلزم التكثّر لأنّه ذاته من حيث إنّها عالمة مغايرة من حيث إنّها معلومة وذلك كافٍ، والعلم ليس صورة بل إمّا إضافة أو صفة تلزمه الإضافة، أو الكشف كما قرّرناه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العلم إلى المعلوم </w:t>
      </w:r>
      <w:r>
        <w:rPr>
          <w:rStyle w:val="FootnoteAnchor"/>
          <w:rtl w:val="true"/>
        </w:rPr>
        <w:footnoteReference w:id="110"/>
      </w:r>
      <w:r>
        <w:rPr>
          <w:rFonts w:ascii="Amiri" w:hAnsi="Amiri" w:eastAsia="Amiri" w:cs="Amiri"/>
          <w:color w:val="111111"/>
          <w:sz w:val="28"/>
          <w:sz w:val="28"/>
          <w:szCs w:val="28"/>
          <w:rtl w:val="true"/>
          <w:lang w:bidi="ar-SA"/>
        </w:rPr>
        <w:t>كإضافة القدرة إلى المقدور، كما لا تعدم القدرة بعدم المقدور المعيّن فكذا العلم، وإنّما تعدم الإضافة إليهما وتلك أمر اعتباريّ لا صفة حقيقيّة، وهو تعالى يعلم الشيء على ما هو عليه، متناهياً كان أم غير متناهٍ، والتمييز يحصل في غير المتناهي وهو ظاهرٌ</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7543441_1051229030"/>
      <w:bookmarkStart w:id="176" w:name="_Toc64"/>
      <w:bookmarkEnd w:id="175"/>
      <w:r>
        <w:rPr>
          <w:rtl w:val="true"/>
        </w:rPr>
        <w:t xml:space="preserve">أصل </w:t>
      </w:r>
      <w:r>
        <w:rPr>
          <w:rtl w:val="true"/>
        </w:rPr>
        <w:t xml:space="preserve">[ </w:t>
      </w:r>
      <w:r>
        <w:rPr>
          <w:rtl w:val="true"/>
        </w:rPr>
        <w:t xml:space="preserve">في أنّه تعالى حيّ </w:t>
      </w:r>
      <w:r>
        <w:rPr>
          <w:rtl w:val="true"/>
        </w:rPr>
        <w:t>]</w:t>
      </w:r>
      <w:bookmarkEnd w:id="17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اتّصافه تعالى بالحياة بمعنى أنّه تعالى لا يستحيل عليه أن يقدر ويعلم، </w:t>
      </w:r>
      <w:bookmarkStart w:id="177" w:name="pg10769_112183"/>
    </w:p>
    <w:p>
      <w:pPr>
        <w:pStyle w:val="BookText"/>
        <w:rPr/>
      </w:pPr>
      <w:bookmarkEnd w:id="177"/>
      <w:r>
        <w:rPr>
          <w:rFonts w:ascii="Amiri" w:hAnsi="Amiri" w:eastAsia="Amiri" w:cs="Amiri"/>
          <w:color w:val="111111"/>
          <w:sz w:val="28"/>
          <w:sz w:val="28"/>
          <w:szCs w:val="28"/>
          <w:rtl w:val="true"/>
          <w:lang w:bidi="ar-SA"/>
        </w:rPr>
        <w:t>أو الدرّاك الفعّال، وثبوتها له حينئذٍ بعد ثبوت قدرته وعلمه ظاهر</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7543443_1051229030"/>
      <w:bookmarkStart w:id="179" w:name="_Toc65"/>
      <w:bookmarkEnd w:id="178"/>
      <w:r>
        <w:rPr>
          <w:rtl w:val="true"/>
        </w:rPr>
        <w:t xml:space="preserve">أصل </w:t>
      </w:r>
      <w:r>
        <w:rPr>
          <w:rtl w:val="true"/>
        </w:rPr>
        <w:t xml:space="preserve">[ </w:t>
      </w:r>
      <w:r>
        <w:rPr>
          <w:rtl w:val="true"/>
        </w:rPr>
        <w:t xml:space="preserve">في إرادته تعالى </w:t>
      </w:r>
      <w:r>
        <w:rPr>
          <w:rtl w:val="true"/>
        </w:rPr>
        <w:t>]</w:t>
      </w:r>
      <w:bookmarkEnd w:id="179"/>
    </w:p>
    <w:p>
      <w:pPr>
        <w:pStyle w:val="BookText"/>
        <w:rPr/>
      </w:pPr>
      <w:r>
        <w:rPr>
          <w:rFonts w:ascii="Amiri" w:hAnsi="Amiri" w:eastAsia="Amiri" w:cs="Amiri"/>
          <w:color w:val="111111"/>
          <w:sz w:val="28"/>
          <w:sz w:val="28"/>
          <w:szCs w:val="28"/>
          <w:rtl w:val="true"/>
          <w:lang w:bidi="ar-SA"/>
        </w:rPr>
        <w:t>يجب اتّصافه تعالى بالإرادة، ومعنى كونه مريداً علمه باشتمال الفعل على المصلحة الباعثة لإيجاده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ثبوت هذا الوصف له أنّ أفعاله اختصّت بأوقات وأوصاف وأوضاع ومقادير يجوز في كلّ منها خلافه، مع تساوي الكلّ بالنسبة إليه وإلى القابل، فلابّد من مخصّص لها، وليس هو القدرة لتساويها، ولأنّ من شأنها الإيجاد فقط و هو متساوي النسبة، ولا العلم لكونه تابعاً ، ولا باقي الصفات وهو ظاهر، فيكون المخصّص ما ذكرناه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نعني بالإرادة إلّا ذلك، وليست بمعنى قديم كقول الأشاعرة </w:t>
      </w:r>
      <w:r>
        <w:rPr>
          <w:rStyle w:val="FootnoteAnchor"/>
          <w:rtl w:val="true"/>
        </w:rPr>
        <w:footnoteReference w:id="111"/>
      </w:r>
      <w:r>
        <w:rPr>
          <w:rFonts w:ascii="Amiri" w:hAnsi="Amiri" w:eastAsia="Amiri" w:cs="Amiri"/>
          <w:color w:val="111111"/>
          <w:sz w:val="28"/>
          <w:sz w:val="28"/>
          <w:szCs w:val="28"/>
          <w:rtl w:val="true"/>
          <w:lang w:bidi="ar-SA"/>
        </w:rPr>
        <w:t xml:space="preserve">لما يأتي من بطلان المعاني ، ولا معنى حادث قائم بذاته كقول الكرامية </w:t>
      </w:r>
      <w:r>
        <w:rPr>
          <w:rStyle w:val="FootnoteAnchor"/>
          <w:rtl w:val="true"/>
        </w:rPr>
        <w:footnoteReference w:id="112"/>
      </w:r>
      <w:r>
        <w:rPr>
          <w:rStyle w:val="FootnoteAnchor"/>
          <w:rtl w:val="true"/>
        </w:rPr>
        <w:footnoteReference w:id="113"/>
      </w:r>
      <w:r>
        <w:rPr>
          <w:rFonts w:ascii="Amiri" w:hAnsi="Amiri" w:eastAsia="Amiri" w:cs="Amiri"/>
          <w:color w:val="111111"/>
          <w:sz w:val="28"/>
          <w:sz w:val="28"/>
          <w:szCs w:val="28"/>
          <w:rtl w:val="true"/>
          <w:lang w:bidi="ar-SA"/>
        </w:rPr>
        <w:t xml:space="preserve">لما يأتي أنّه ليس محلّاً للحوادث، ولا معنى حادث قائم بغيره كقول الحنابلة </w:t>
      </w:r>
      <w:r>
        <w:rPr>
          <w:rStyle w:val="FootnoteAnchor"/>
          <w:rtl w:val="true"/>
        </w:rPr>
        <w:footnoteReference w:id="114"/>
      </w:r>
      <w:r>
        <w:rPr>
          <w:rFonts w:ascii="Amiri" w:hAnsi="Amiri" w:eastAsia="Amiri" w:cs="Amiri"/>
          <w:color w:val="111111"/>
          <w:sz w:val="28"/>
          <w:sz w:val="28"/>
          <w:szCs w:val="28"/>
          <w:rtl w:val="true"/>
          <w:lang w:bidi="ar-SA"/>
        </w:rPr>
        <w:t xml:space="preserve">لاستلزامه الرجوع في إرادته إلى غيره، ولا معنى حادث قائم بنفسه كقول أكثر المعتزلة </w:t>
      </w:r>
      <w:r>
        <w:rPr>
          <w:rStyle w:val="FootnoteAnchor"/>
          <w:rtl w:val="true"/>
        </w:rPr>
        <w:footnoteReference w:id="115"/>
      </w:r>
      <w:r>
        <w:rPr>
          <w:rFonts w:ascii="Amiri" w:hAnsi="Amiri" w:eastAsia="Amiri" w:cs="Amiri"/>
          <w:color w:val="111111"/>
          <w:sz w:val="28"/>
          <w:sz w:val="28"/>
          <w:szCs w:val="28"/>
          <w:rtl w:val="true"/>
          <w:lang w:bidi="ar-SA"/>
        </w:rPr>
        <w:t xml:space="preserve">لأنّه غير </w:t>
      </w:r>
      <w:bookmarkStart w:id="180" w:name="pg10769_112184"/>
    </w:p>
    <w:p>
      <w:pPr>
        <w:pStyle w:val="BookText"/>
        <w:rPr/>
      </w:pPr>
      <w:bookmarkEnd w:id="180"/>
      <w:r>
        <w:rPr>
          <w:rFonts w:ascii="Amiri" w:hAnsi="Amiri" w:eastAsia="Amiri" w:cs="Amiri"/>
          <w:color w:val="111111"/>
          <w:sz w:val="28"/>
          <w:sz w:val="28"/>
          <w:szCs w:val="28"/>
          <w:rtl w:val="true"/>
          <w:lang w:bidi="ar-SA"/>
        </w:rPr>
        <w:t>معقول، ولاستلزامه التسلسل وهو كاره لما تقدّم ، ولنهيه وهو مستلزم الكراهة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7543445_1051229030"/>
      <w:bookmarkStart w:id="182" w:name="_Toc66"/>
      <w:bookmarkEnd w:id="181"/>
      <w:r>
        <w:rPr>
          <w:rtl w:val="true"/>
        </w:rPr>
        <w:t xml:space="preserve">أصل </w:t>
      </w:r>
      <w:r>
        <w:rPr>
          <w:rtl w:val="true"/>
        </w:rPr>
        <w:t xml:space="preserve">[ </w:t>
      </w:r>
      <w:r>
        <w:rPr>
          <w:rtl w:val="true"/>
        </w:rPr>
        <w:t xml:space="preserve">في أنّه تعالى سميع بصير </w:t>
      </w:r>
      <w:r>
        <w:rPr>
          <w:rtl w:val="true"/>
        </w:rPr>
        <w:t>]</w:t>
      </w:r>
      <w:bookmarkEnd w:id="182"/>
    </w:p>
    <w:p>
      <w:pPr>
        <w:pStyle w:val="BookText"/>
        <w:rPr/>
      </w:pPr>
      <w:r>
        <w:rPr>
          <w:rFonts w:ascii="Amiri" w:hAnsi="Amiri" w:eastAsia="Amiri" w:cs="Amiri"/>
          <w:color w:val="111111"/>
          <w:sz w:val="28"/>
          <w:sz w:val="28"/>
          <w:szCs w:val="28"/>
          <w:rtl w:val="true"/>
          <w:lang w:bidi="ar-SA"/>
        </w:rPr>
        <w:t xml:space="preserve">يجب كونه تعالى سميعاً بصيراً أي عالماً بالمسمع والمبصر، وبرهانه ظاهر بعد ما تقدّم من عموم علمه، فكان فيه غنية، لكن ورد النقل بثبوت هذين </w:t>
      </w:r>
      <w:r>
        <w:rPr>
          <w:rStyle w:val="FootnoteAnchor"/>
          <w:rtl w:val="true"/>
        </w:rPr>
        <w:footnoteReference w:id="116"/>
      </w:r>
      <w:r>
        <w:rPr>
          <w:rFonts w:ascii="IRNazanin" w:hAnsi="IRNazanin" w:eastAsia="IRNazanin"/>
          <w:color w:val="111111"/>
          <w:sz w:val="28"/>
          <w:sz w:val="28"/>
          <w:szCs w:val="28"/>
          <w:rtl w:val="true"/>
          <w:lang w:bidi="fa-IR"/>
        </w:rPr>
        <w:t xml:space="preserve">ومنع العقل من ظاهرهما </w:t>
      </w:r>
      <w:r>
        <w:rPr>
          <w:rStyle w:val="FootnoteAnchor"/>
          <w:rtl w:val="true"/>
        </w:rPr>
        <w:footnoteReference w:id="117"/>
      </w:r>
      <w:r>
        <w:rPr>
          <w:rFonts w:ascii="IRNazanin" w:hAnsi="IRNazanin" w:eastAsia="IRNazanin"/>
          <w:color w:val="111111"/>
          <w:sz w:val="28"/>
          <w:sz w:val="28"/>
          <w:szCs w:val="28"/>
          <w:rtl w:val="true"/>
          <w:lang w:bidi="fa-IR"/>
        </w:rPr>
        <w:t>فحملناه علم العلم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واستدلال الأشعريّة على ثبوتهما له بأنّه حيّ وكلّ حيّ </w:t>
      </w:r>
      <w:r>
        <w:rPr>
          <w:rStyle w:val="FootnoteAnchor"/>
          <w:rtl w:val="true"/>
        </w:rPr>
        <w:footnoteReference w:id="118"/>
      </w:r>
      <w:r>
        <w:rPr>
          <w:rFonts w:ascii="Amiri" w:hAnsi="Amiri" w:eastAsia="Amiri" w:cs="Amiri"/>
          <w:color w:val="111111"/>
          <w:sz w:val="28"/>
          <w:sz w:val="28"/>
          <w:szCs w:val="28"/>
          <w:rtl w:val="true"/>
          <w:lang w:bidi="ar-SA"/>
        </w:rPr>
        <w:t xml:space="preserve">يصحّ عليه ذلك فيجبان </w:t>
      </w:r>
      <w:r>
        <w:rPr>
          <w:rStyle w:val="FootnoteAnchor"/>
          <w:rtl w:val="true"/>
        </w:rPr>
        <w:footnoteReference w:id="119"/>
      </w:r>
      <w:r>
        <w:rPr>
          <w:rFonts w:ascii="Amiri" w:hAnsi="Amiri" w:eastAsia="Amiri" w:cs="Amiri"/>
          <w:color w:val="111111"/>
          <w:sz w:val="28"/>
          <w:sz w:val="28"/>
          <w:szCs w:val="28"/>
          <w:rtl w:val="true"/>
          <w:lang w:bidi="ar-SA"/>
        </w:rPr>
        <w:t xml:space="preserve">له ، إذ لولاه لكان متّصفاً بضدّه، وضدّه نقص </w:t>
      </w:r>
      <w:r>
        <w:rPr>
          <w:rStyle w:val="FootnoteAnchor"/>
          <w:rtl w:val="true"/>
        </w:rPr>
        <w:footnoteReference w:id="120"/>
      </w:r>
      <w:r>
        <w:rPr>
          <w:rFonts w:ascii="Amiri" w:hAnsi="Amiri" w:eastAsia="Amiri" w:cs="Amiri"/>
          <w:color w:val="111111"/>
          <w:sz w:val="28"/>
          <w:sz w:val="28"/>
          <w:szCs w:val="28"/>
          <w:rtl w:val="true"/>
          <w:lang w:bidi="ar-SA"/>
        </w:rPr>
        <w:t xml:space="preserve">باطل لانتقاض الكبرى بكثير من الحيوانات، فإنّ السمك لا سمع له، والعقرب والخُلد </w:t>
      </w:r>
      <w:r>
        <w:rPr>
          <w:rStyle w:val="FootnoteAnchor"/>
          <w:rtl w:val="true"/>
        </w:rPr>
        <w:footnoteReference w:id="121"/>
      </w:r>
      <w:r>
        <w:rPr>
          <w:rFonts w:ascii="Amiri" w:hAnsi="Amiri" w:eastAsia="Amiri" w:cs="Amiri"/>
          <w:color w:val="111111"/>
          <w:sz w:val="28"/>
          <w:sz w:val="28"/>
          <w:szCs w:val="28"/>
          <w:rtl w:val="true"/>
          <w:lang w:bidi="ar-SA"/>
        </w:rPr>
        <w:t>لا بصر لهما، والديدان لا سمع لها ولا بصر، والشفاف جسم يجوز اتّصافه بالضدّين، وهما مسلوبان عنه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نسلّم أنّ الاتّصاف بالضدّ نقص </w:t>
      </w:r>
      <w:r>
        <w:rPr>
          <w:rStyle w:val="FootnoteAnchor"/>
          <w:rtl w:val="true"/>
        </w:rPr>
        <w:footnoteReference w:id="122"/>
      </w:r>
      <w:r>
        <w:rPr>
          <w:rFonts w:ascii="Amiri" w:hAnsi="Amiri" w:eastAsia="Amiri" w:cs="Amiri"/>
          <w:color w:val="111111"/>
          <w:sz w:val="28"/>
          <w:sz w:val="28"/>
          <w:szCs w:val="28"/>
          <w:rtl w:val="true"/>
          <w:lang w:bidi="ar-SA"/>
        </w:rPr>
        <w:t xml:space="preserve">مطلقاً بل في حقّ من يجوزان عليه </w:t>
      </w:r>
      <w:r>
        <w:rPr>
          <w:rFonts w:eastAsia="Amiri" w:cs="Amiri" w:ascii="Amiri" w:hAnsi="Amiri"/>
          <w:color w:val="111111"/>
          <w:sz w:val="28"/>
          <w:szCs w:val="28"/>
          <w:rtl w:val="true"/>
          <w:lang w:bidi="ar-SA"/>
        </w:rPr>
        <w:t xml:space="preserve">. </w:t>
      </w:r>
      <w:bookmarkStart w:id="183" w:name="pg10769_112185"/>
    </w:p>
    <w:p>
      <w:pPr>
        <w:pStyle w:val="Heading3"/>
        <w:numPr>
          <w:ilvl w:val="2"/>
          <w:numId w:val="1"/>
        </w:numPr>
        <w:rPr/>
      </w:pPr>
      <w:bookmarkStart w:id="184" w:name="__RefHeading___Toc7543447_1051229030"/>
      <w:bookmarkStart w:id="185" w:name="_Toc67"/>
      <w:bookmarkEnd w:id="183"/>
      <w:bookmarkEnd w:id="184"/>
      <w:r>
        <w:rPr>
          <w:rtl w:val="true"/>
        </w:rPr>
        <w:t xml:space="preserve">أصل </w:t>
      </w:r>
      <w:r>
        <w:rPr>
          <w:rtl w:val="true"/>
        </w:rPr>
        <w:t xml:space="preserve">[ </w:t>
      </w:r>
      <w:r>
        <w:rPr>
          <w:rtl w:val="true"/>
        </w:rPr>
        <w:t xml:space="preserve">في أنّه تعالى متكلّم </w:t>
      </w:r>
      <w:r>
        <w:rPr>
          <w:rtl w:val="true"/>
        </w:rPr>
        <w:t>]</w:t>
      </w:r>
      <w:bookmarkEnd w:id="185"/>
    </w:p>
    <w:p>
      <w:pPr>
        <w:pStyle w:val="BookText"/>
        <w:rPr/>
      </w:pPr>
      <w:r>
        <w:rPr>
          <w:rFonts w:ascii="Amiri" w:hAnsi="Amiri" w:eastAsia="Amiri" w:cs="Amiri"/>
          <w:color w:val="111111"/>
          <w:sz w:val="28"/>
          <w:sz w:val="28"/>
          <w:szCs w:val="28"/>
          <w:rtl w:val="true"/>
          <w:lang w:bidi="ar-SA"/>
        </w:rPr>
        <w:t xml:space="preserve">يجب وصفه بكونه تعالى متكلّماً، أي فاعلاً للكلام الذي هو الحروف والأصوات في جسم يعبّر به عن مراده، ودليل إمكانه عموم قدرته على الممكنات وثبوته بالنقل </w:t>
      </w:r>
      <w:r>
        <w:rPr>
          <w:rStyle w:val="FootnoteAnchor"/>
          <w:rtl w:val="true"/>
        </w:rPr>
        <w:footnoteReference w:id="123"/>
      </w:r>
      <w:r>
        <w:rPr>
          <w:rFonts w:ascii="Amiri" w:hAnsi="Amiri" w:eastAsia="Amiri" w:cs="Amiri"/>
          <w:color w:val="111111"/>
          <w:sz w:val="28"/>
          <w:sz w:val="28"/>
          <w:szCs w:val="28"/>
          <w:rtl w:val="true"/>
          <w:lang w:bidi="ar-SA"/>
        </w:rPr>
        <w:t xml:space="preserve">، وإطباق أهل اللغة على أنّ </w:t>
      </w:r>
      <w:r>
        <w:rPr>
          <w:rStyle w:val="FootnoteAnchor"/>
          <w:rtl w:val="true"/>
        </w:rPr>
        <w:footnoteReference w:id="124"/>
      </w:r>
      <w:r>
        <w:rPr>
          <w:rFonts w:ascii="IRNazanin" w:hAnsi="IRNazanin" w:eastAsia="IRNazanin"/>
          <w:color w:val="111111"/>
          <w:sz w:val="28"/>
          <w:sz w:val="28"/>
          <w:szCs w:val="28"/>
          <w:rtl w:val="true"/>
          <w:lang w:bidi="fa-IR"/>
        </w:rPr>
        <w:t xml:space="preserve">المتكلّم من فعل الكلام ینفي </w:t>
      </w:r>
      <w:r>
        <w:rPr>
          <w:rStyle w:val="FootnoteAnchor"/>
          <w:rtl w:val="true"/>
        </w:rPr>
        <w:footnoteReference w:id="125"/>
      </w:r>
      <w:r>
        <w:rPr>
          <w:rFonts w:ascii="Amiri" w:hAnsi="Amiri" w:eastAsia="Amiri" w:cs="Amiri"/>
          <w:color w:val="111111"/>
          <w:sz w:val="28"/>
          <w:sz w:val="28"/>
          <w:szCs w:val="28"/>
          <w:rtl w:val="true"/>
          <w:lang w:bidi="ar-SA"/>
        </w:rPr>
        <w:t xml:space="preserve">تفسير الأشعريّ بأنّه من قام به الكلام </w:t>
      </w:r>
      <w:r>
        <w:rPr>
          <w:rStyle w:val="FootnoteAnchor"/>
          <w:rtl w:val="true"/>
        </w:rPr>
        <w:footnoteReference w:id="126"/>
      </w:r>
      <w:r>
        <w:rPr>
          <w:rFonts w:ascii="Amiri" w:hAnsi="Amiri" w:eastAsia="Amiri" w:cs="Amiri"/>
          <w:color w:val="111111"/>
          <w:sz w:val="28"/>
          <w:sz w:val="28"/>
          <w:szCs w:val="28"/>
          <w:rtl w:val="true"/>
          <w:lang w:bidi="ar-SA"/>
        </w:rPr>
        <w:t>، ولأنّه مبنيّ على تفسير الكلام بالمعنى وهو باطل، فإنّ المتبادر إلى الذهن ليس إلّا تفسيرنا وإلّا لكان الساكت والأخرس متكلّمين وهو باطل</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7543449_1051229030"/>
      <w:bookmarkStart w:id="187" w:name="_Toc68"/>
      <w:bookmarkEnd w:id="186"/>
      <w:r>
        <w:rPr>
          <w:rtl w:val="true"/>
        </w:rPr>
        <w:t xml:space="preserve">أصل </w:t>
      </w:r>
      <w:r>
        <w:rPr>
          <w:rtl w:val="true"/>
        </w:rPr>
        <w:t xml:space="preserve">[ </w:t>
      </w:r>
      <w:r>
        <w:rPr>
          <w:rtl w:val="true"/>
        </w:rPr>
        <w:t xml:space="preserve">في حدوث الكلام </w:t>
      </w:r>
      <w:r>
        <w:rPr>
          <w:rtl w:val="true"/>
        </w:rPr>
        <w:t>]</w:t>
      </w:r>
      <w:bookmarkEnd w:id="18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ثبت أنّ الكلام مركّب من الحروف التي يعدم السابق منها بوجود اللاحق دلّ على حدوثه ، ولأنّه يلزم منه تعدّد القدماء ومخاطبة المعدوم والكذب عليه تعالى، والتوالي بأسرها ،باطلة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والذكر القرآن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88" w:name="pg10769_112186"/>
    </w:p>
    <w:p>
      <w:pPr>
        <w:pStyle w:val="Heading3"/>
        <w:numPr>
          <w:ilvl w:val="2"/>
          <w:numId w:val="1"/>
        </w:numPr>
        <w:rPr/>
      </w:pPr>
      <w:bookmarkStart w:id="189" w:name="__RefHeading___Toc7543451_1051229030"/>
      <w:bookmarkStart w:id="190" w:name="_Toc69"/>
      <w:bookmarkEnd w:id="188"/>
      <w:bookmarkEnd w:id="189"/>
      <w:r>
        <w:rPr>
          <w:rtl w:val="true"/>
        </w:rPr>
        <w:t xml:space="preserve">أصل </w:t>
      </w:r>
      <w:r>
        <w:rPr>
          <w:rtl w:val="true"/>
        </w:rPr>
        <w:t xml:space="preserve">[ </w:t>
      </w:r>
      <w:r>
        <w:rPr>
          <w:rtl w:val="true"/>
        </w:rPr>
        <w:t xml:space="preserve">فى أنّه تعالى صادق </w:t>
      </w:r>
      <w:r>
        <w:rPr>
          <w:rtl w:val="true"/>
        </w:rPr>
        <w:t>]</w:t>
      </w:r>
      <w:bookmarkEnd w:id="190"/>
    </w:p>
    <w:p>
      <w:pPr>
        <w:pStyle w:val="BookText"/>
        <w:rPr/>
      </w:pPr>
      <w:r>
        <w:rPr>
          <w:rFonts w:ascii="Amiri" w:hAnsi="Amiri" w:eastAsia="Amiri" w:cs="Amiri"/>
          <w:color w:val="111111"/>
          <w:sz w:val="28"/>
          <w:sz w:val="28"/>
          <w:szCs w:val="28"/>
          <w:rtl w:val="true"/>
          <w:lang w:bidi="ar-SA"/>
        </w:rPr>
        <w:t xml:space="preserve">خبره تعالى صدقّ وإلّا لكان كاذباً، تعالى الله عنه؛ لأنّه قبيح، وكلّ قبيح منفيّ عنه تعالى، وسيأتي البحث في ذلك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7543453_1051229030"/>
      <w:bookmarkStart w:id="192" w:name="_Toc70"/>
      <w:bookmarkEnd w:id="191"/>
      <w:r>
        <w:rPr>
          <w:rtl w:val="true"/>
        </w:rPr>
        <w:t xml:space="preserve">أصل </w:t>
      </w:r>
      <w:r>
        <w:rPr>
          <w:rtl w:val="true"/>
        </w:rPr>
        <w:t xml:space="preserve">[ </w:t>
      </w:r>
      <w:r>
        <w:rPr>
          <w:rtl w:val="true"/>
        </w:rPr>
        <w:t xml:space="preserve">الله تعالى واحد </w:t>
      </w:r>
      <w:r>
        <w:rPr>
          <w:rtl w:val="true"/>
        </w:rPr>
        <w:t>]</w:t>
      </w:r>
      <w:bookmarkEnd w:id="192"/>
    </w:p>
    <w:p>
      <w:pPr>
        <w:pStyle w:val="BookText"/>
        <w:rPr/>
      </w:pPr>
      <w:r>
        <w:rPr>
          <w:rFonts w:ascii="IRNazanin" w:hAnsi="IRNazanin" w:eastAsia="IRNazanin"/>
          <w:color w:val="111111"/>
          <w:sz w:val="28"/>
          <w:sz w:val="28"/>
          <w:szCs w:val="28"/>
          <w:rtl w:val="true"/>
          <w:lang w:bidi="fa-IR"/>
        </w:rPr>
        <w:t>یجب اعتقاد كونه واحداً، وهذا المطلب يستدلّ عليه بالسمع وهو السمع وهو أقوى، وشهرته ظاهرة، والعقل وتقريره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واجب الوجود يجب أن يكون نفس حقيقته وإلّا لكان إمّا جزءها فيلزم التركيب، أو خارجاً فيلزم أن لا يكون واجب الوجود بالنظر إلى ماهيّته </w:t>
      </w:r>
      <w:r>
        <w:rPr>
          <w:rStyle w:val="FootnoteAnchor"/>
          <w:rtl w:val="true"/>
        </w:rPr>
        <w:footnoteReference w:id="129"/>
      </w:r>
      <w:r>
        <w:rPr>
          <w:rFonts w:ascii="Amiri" w:hAnsi="Amiri" w:eastAsia="Amiri" w:cs="Amiri"/>
          <w:color w:val="111111"/>
          <w:sz w:val="28"/>
          <w:sz w:val="28"/>
          <w:szCs w:val="28"/>
          <w:rtl w:val="true"/>
          <w:lang w:bidi="ar-SA"/>
        </w:rPr>
        <w:t xml:space="preserve">مع قطع النظر عمّا عداها وهو محال،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محمولاً على اثنين لزم ثبوت الامتياز فيكون كلّ منهما مُركّباً ممّا به الاشتراك وممّا به الامتياز فيكونا ممكنين؛ هذا خلف، فهذه طريقة الحكماء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طريقة المتكلّمين المشهور منها دليل التمانع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إلهان قادران مريدان فإمّا أن يمكن مخالفة أحدهما الآخر أو لا، وكلاهما باطلان ؛ أمّا الأوّل فلانّه لو أمكن فلنفرض وقوعه بإرادة أحدهما حركة جسم وإرادة الآخر سكونه، فإن وقعا لزم اجتماع المتنافيين ، وإن </w:t>
      </w:r>
      <w:r>
        <w:rPr>
          <w:rStyle w:val="FootnoteAnchor"/>
          <w:rtl w:val="true"/>
        </w:rPr>
        <w:footnoteReference w:id="131"/>
      </w:r>
      <w:r>
        <w:rPr>
          <w:rFonts w:ascii="Amiri" w:hAnsi="Amiri" w:eastAsia="Amiri" w:cs="Amiri"/>
          <w:color w:val="111111"/>
          <w:sz w:val="28"/>
          <w:sz w:val="28"/>
          <w:szCs w:val="28"/>
          <w:rtl w:val="true"/>
          <w:lang w:bidi="ar-SA"/>
        </w:rPr>
        <w:t xml:space="preserve">ارتفعا بطل ما علم ضرورة، وإن </w:t>
      </w:r>
      <w:bookmarkStart w:id="193" w:name="pg10769_112187"/>
    </w:p>
    <w:p>
      <w:pPr>
        <w:pStyle w:val="BookText"/>
        <w:rPr/>
      </w:pPr>
      <w:bookmarkEnd w:id="193"/>
      <w:r>
        <w:rPr>
          <w:rFonts w:ascii="Amiri" w:hAnsi="Amiri" w:eastAsia="Amiri" w:cs="Amiri"/>
          <w:color w:val="111111"/>
          <w:sz w:val="28"/>
          <w:sz w:val="28"/>
          <w:szCs w:val="28"/>
          <w:rtl w:val="true"/>
          <w:lang w:bidi="ar-SA"/>
        </w:rPr>
        <w:t xml:space="preserve">وقع أحدهما ترجّح المتساوي من غير مرجّح أو لزم عجز الآخر، وأمّا الثاني فلانّ كلّ منهما لو انفرد لقدر على ما يريده فوجب كونه كذلك عند الاجتماع، وإلّا لزم زوال الصفة الذاتيّة بالعارض، وهو باطل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7543455_1051229030"/>
      <w:bookmarkStart w:id="195" w:name="_Toc71"/>
      <w:bookmarkEnd w:id="194"/>
      <w:r>
        <w:rPr>
          <w:rtl w:val="true"/>
        </w:rPr>
        <w:t xml:space="preserve">أصل </w:t>
      </w:r>
      <w:r>
        <w:rPr>
          <w:rtl w:val="true"/>
        </w:rPr>
        <w:t xml:space="preserve">[ </w:t>
      </w:r>
      <w:r>
        <w:rPr>
          <w:rtl w:val="true"/>
        </w:rPr>
        <w:t xml:space="preserve">فى صفاته تعالى عند الحكماء </w:t>
      </w:r>
      <w:r>
        <w:rPr>
          <w:rtl w:val="true"/>
        </w:rPr>
        <w:t>]</w:t>
      </w:r>
      <w:bookmarkEnd w:id="195"/>
    </w:p>
    <w:p>
      <w:pPr>
        <w:pStyle w:val="BookText"/>
        <w:rPr/>
      </w:pPr>
      <w:r>
        <w:rPr>
          <w:rFonts w:ascii="Amiri" w:hAnsi="Amiri" w:eastAsia="Amiri" w:cs="Amiri"/>
          <w:color w:val="111111"/>
          <w:sz w:val="28"/>
          <w:sz w:val="28"/>
          <w:szCs w:val="28"/>
          <w:rtl w:val="true"/>
          <w:lang w:bidi="ar-SA"/>
        </w:rPr>
        <w:t xml:space="preserve">أثبتت الحكماء له تعالى صفات لازمة من وجوب وجوده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جواداً ، أي يفيد ما ينبغي إفادته لا لغرض الإفادته الممكنات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ملِكاً لتحقّق صفة الملوكيّة له، وهو غناه المطلق في ذاته وصفاته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تامّاً لما تقدّم من وحدته من جميع الجهات وامتناع تغيّره وانفعاله، فكلّ صفاته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حقّاً، أي واجب الثبوت والدوام غير قابل للعدم فهو حقّ بل أحقّ من كلّ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خيراً لأنّه وجود </w:t>
      </w:r>
      <w:r>
        <w:rPr>
          <w:rStyle w:val="FootnoteAnchor"/>
          <w:rtl w:val="true"/>
        </w:rPr>
        <w:footnoteReference w:id="135"/>
      </w:r>
      <w:r>
        <w:rPr>
          <w:rFonts w:ascii="Amiri" w:hAnsi="Amiri" w:eastAsia="Amiri" w:cs="Amiri"/>
          <w:color w:val="111111"/>
          <w:sz w:val="28"/>
          <w:sz w:val="28"/>
          <w:szCs w:val="28"/>
          <w:rtl w:val="true"/>
          <w:lang w:bidi="ar-SA"/>
        </w:rPr>
        <w:t xml:space="preserve">محض ، والعدم شر، فهو تعالى يستحيل أن يعدم عنه شيء من الكمالات فلا يتطرق إليه الشر، فهو خير محض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حكيماً إمّا بمعنى علمه بالأشياء على ما هي عليه </w:t>
      </w:r>
      <w:r>
        <w:rPr>
          <w:rStyle w:val="FootnoteAnchor"/>
          <w:rtl w:val="true"/>
        </w:rPr>
        <w:footnoteReference w:id="137"/>
      </w:r>
      <w:r>
        <w:rPr>
          <w:rFonts w:ascii="Amiri" w:hAnsi="Amiri" w:eastAsia="Amiri" w:cs="Amiri"/>
          <w:color w:val="111111"/>
          <w:sz w:val="28"/>
          <w:sz w:val="28"/>
          <w:szCs w:val="28"/>
          <w:rtl w:val="true"/>
          <w:lang w:bidi="ar-SA"/>
        </w:rPr>
        <w:t xml:space="preserve">أو صدور الأشياء </w:t>
      </w:r>
    </w:p>
    <w:p>
      <w:pPr>
        <w:pStyle w:val="BookText"/>
        <w:rPr/>
      </w:pPr>
      <w:r>
        <w:rPr>
          <w:rFonts w:ascii="Amiri" w:hAnsi="Amiri" w:eastAsia="Amiri" w:cs="Amiri"/>
          <w:color w:val="111111"/>
          <w:sz w:val="28"/>
          <w:sz w:val="28"/>
          <w:szCs w:val="28"/>
          <w:rtl w:val="true"/>
          <w:lang w:bidi="ar-SA"/>
        </w:rPr>
        <w:t>منه على الوجه الأكمل ؛ فهو حكيم بالمعنيين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جباراً لاستناد كلّ إليه، وهو يجبر ما بالقوّة بالفعل والتكميل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قهّاراً ، أي يقهر العدم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قيّوماً ، أي قائماً بذاته مقيماً لغيره </w:t>
      </w:r>
      <w:r>
        <w:rPr>
          <w:rStyle w:val="FootnoteAnchor"/>
          <w:rtl w:val="true"/>
        </w:rPr>
        <w:footnoteReference w:id="138"/>
      </w:r>
      <w:r>
        <w:rPr>
          <w:rFonts w:ascii="Amiri" w:hAnsi="Amiri" w:eastAsia="Amiri" w:cs="Amiri"/>
          <w:color w:val="111111"/>
          <w:sz w:val="28"/>
          <w:sz w:val="28"/>
          <w:szCs w:val="28"/>
          <w:rtl w:val="true"/>
          <w:lang w:bidi="ar-SA"/>
        </w:rPr>
        <w:t>لوجوب وجوده واستناد كلّ شيء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والتحقيق أن ليس له صفة كما قال عليّ وليّ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وكمال الإخلاص له نفي الصفات عنه الشهادة </w:t>
      </w:r>
      <w:r>
        <w:rPr>
          <w:rStyle w:val="FootnoteAnchor"/>
          <w:rtl w:val="true"/>
        </w:rPr>
        <w:footnoteReference w:id="139"/>
      </w:r>
      <w:r>
        <w:rPr>
          <w:rFonts w:ascii="Amiri" w:hAnsi="Amiri" w:eastAsia="Amiri" w:cs="Amiri"/>
          <w:color w:val="111111"/>
          <w:sz w:val="28"/>
          <w:sz w:val="28"/>
          <w:szCs w:val="28"/>
          <w:rtl w:val="true"/>
          <w:lang w:bidi="ar-SA"/>
        </w:rPr>
        <w:t xml:space="preserve">كلّ موصوف أنّه غير صفة، وشهادة كلّ صفة أنّها غير الموصوف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التعبير عن صفاته هو بالحقيقة تعبير عن ذاته بمعنى </w:t>
      </w:r>
      <w:r>
        <w:rPr>
          <w:rStyle w:val="FootnoteAnchor"/>
          <w:rtl w:val="true"/>
        </w:rPr>
        <w:footnoteReference w:id="142"/>
      </w:r>
      <w:r>
        <w:rPr>
          <w:rFonts w:ascii="Amiri" w:hAnsi="Amiri" w:eastAsia="Amiri" w:cs="Amiri"/>
          <w:color w:val="111111"/>
          <w:sz w:val="28"/>
          <w:sz w:val="28"/>
          <w:szCs w:val="28"/>
          <w:rtl w:val="true"/>
          <w:lang w:bidi="ar-SA"/>
        </w:rPr>
        <w:t>أنّ مقتضيات صفاته منسوب إلى ذاته لا باعتبار الصفة، فإنّه بصدور الفعل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 وبالظهور والكشف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لا باعتبار قيام قدرة أو علم بذاته، كما أنّ النور الواقع على الجدار يظهر لنا النور والجدار معاً، لكن ظهور الجدار باعتبار وقوع النور عليه، وظهور </w:t>
      </w:r>
      <w:r>
        <w:rPr>
          <w:rStyle w:val="FootnoteAnchor"/>
          <w:rtl w:val="true"/>
        </w:rPr>
        <w:footnoteReference w:id="143"/>
      </w:r>
      <w:r>
        <w:rPr>
          <w:rFonts w:ascii="Amiri" w:hAnsi="Amiri" w:eastAsia="Amiri" w:cs="Amiri"/>
          <w:color w:val="111111"/>
          <w:sz w:val="28"/>
          <w:sz w:val="28"/>
          <w:szCs w:val="28"/>
          <w:rtl w:val="true"/>
          <w:lang w:bidi="ar-SA"/>
        </w:rPr>
        <w:t xml:space="preserve">النور لا لقيامه بنور آخر بل لذاته </w:t>
      </w:r>
      <w:r>
        <w:rPr>
          <w:rStyle w:val="FootnoteAnchor"/>
          <w:rtl w:val="true"/>
        </w:rPr>
        <w:footnoteReference w:id="144"/>
      </w:r>
      <w:r>
        <w:rPr>
          <w:rFonts w:ascii="Amiri" w:hAnsi="Amiri" w:eastAsia="Amiri" w:cs="Amiri"/>
          <w:color w:val="111111"/>
          <w:sz w:val="28"/>
          <w:sz w:val="28"/>
          <w:szCs w:val="28"/>
          <w:rtl w:val="true"/>
          <w:lang w:bidi="ar-SA"/>
        </w:rPr>
        <w:t>وذات غيره بالنسبة إلى الصفات، إذ لو كانت صفاته زائدة على ذاته لكانت إمّا قديمة أو حادثة ، وكلاهما باطلان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145"/>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من وحدته وما عداه ممكن ، والممكن حادث لما </w:t>
      </w:r>
      <w:bookmarkStart w:id="196" w:name="pg10769_112189"/>
    </w:p>
    <w:p>
      <w:pPr>
        <w:pStyle w:val="BookText"/>
        <w:rPr/>
      </w:pPr>
      <w:bookmarkEnd w:id="196"/>
      <w:r>
        <w:rPr>
          <w:rFonts w:ascii="Amiri" w:hAnsi="Amiri" w:eastAsia="Amiri" w:cs="Amiri"/>
          <w:color w:val="111111"/>
          <w:sz w:val="28"/>
          <w:sz w:val="28"/>
          <w:szCs w:val="28"/>
          <w:rtl w:val="true"/>
          <w:lang w:bidi="ar-SA"/>
        </w:rPr>
        <w:t xml:space="preserve">تقدّم، فما عداه حادث فلا قديم سواه، ولهذا كفرت النصارى بقولهم بقدم أقانيم ثلاثة </w:t>
      </w:r>
      <w:r>
        <w:rPr>
          <w:rStyle w:val="FootnoteAnchor"/>
          <w:rtl w:val="true"/>
        </w:rPr>
        <w:footnoteReference w:id="146"/>
      </w:r>
      <w:r>
        <w:rPr>
          <w:rFonts w:ascii="Amiri" w:hAnsi="Amiri" w:eastAsia="Amiri" w:cs="Amiri"/>
          <w:color w:val="111111"/>
          <w:sz w:val="28"/>
          <w:sz w:val="28"/>
          <w:szCs w:val="28"/>
          <w:rtl w:val="true"/>
          <w:lang w:bidi="ar-SA"/>
        </w:rPr>
        <w:t>، فمن قال بالأزيد فهو بالكفر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الحادث لابّد له من ،محدث، فمحدثه إمّا ذات الواجب أو شيء من لوازمها بالإيجاب فيلزم القدم كما تقدّم، أو بالاختيار فيستدعي ثبوت صفة بالفعل، والكلام فيها كالأوّل ويتسلسل ، وأمّا غير ذاته فيلزم افتقاره إلى الغير والكلّ باطل ، وأمّا نفي الأحوال عنه تعالى فيكفي فيه أنّه غير معقول</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7543457_1051229030"/>
      <w:bookmarkStart w:id="198" w:name="_Toc72"/>
      <w:bookmarkEnd w:id="197"/>
      <w:r>
        <w:rPr>
          <w:rtl w:val="true"/>
        </w:rPr>
        <w:t>المقصد الثاني</w:t>
      </w:r>
      <w:r>
        <w:rPr>
          <w:rtl w:val="true"/>
        </w:rPr>
        <w:t xml:space="preserve">: </w:t>
      </w:r>
      <w:r>
        <w:rPr>
          <w:rtl w:val="true"/>
        </w:rPr>
        <w:t>فی الصفات الحلالیّة</w:t>
      </w:r>
      <w:bookmarkEnd w:id="198"/>
    </w:p>
    <w:p>
      <w:pPr>
        <w:pStyle w:val="Heading3"/>
        <w:numPr>
          <w:ilvl w:val="2"/>
          <w:numId w:val="1"/>
        </w:numPr>
        <w:rPr/>
      </w:pPr>
      <w:bookmarkStart w:id="199" w:name="__RefHeading___Toc7543459_1051229030"/>
      <w:bookmarkStart w:id="200" w:name="_Toc73"/>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 xml:space="preserve">المقصد </w:t>
      </w:r>
      <w:r>
        <w:rPr>
          <w:rStyle w:val="FootnoteAnchor"/>
          <w:rtl w:val="true"/>
        </w:rPr>
        <w:footnoteReference w:id="147"/>
      </w:r>
      <w:r>
        <w:rPr>
          <w:rFonts w:ascii="IRNazanin" w:hAnsi="IRNazanin" w:eastAsia="IRNazanin"/>
          <w:color w:val="111111"/>
          <w:sz w:val="28"/>
          <w:sz w:val="28"/>
          <w:szCs w:val="28"/>
          <w:rtl w:val="true"/>
          <w:lang w:bidi="fa-IR"/>
        </w:rPr>
        <w:t>الثاني في الصفات الجلالیّة</w:t>
      </w:r>
    </w:p>
    <w:p>
      <w:pPr>
        <w:pStyle w:val="BookText"/>
        <w:rPr/>
      </w:pPr>
      <w:r>
        <w:rPr>
          <w:rFonts w:ascii="Amiri" w:hAnsi="Amiri" w:eastAsia="Amiri" w:cs="Amiri"/>
          <w:color w:val="111111"/>
          <w:sz w:val="28"/>
          <w:sz w:val="28"/>
          <w:szCs w:val="28"/>
          <w:rtl w:val="true"/>
          <w:lang w:bidi="ar-SA"/>
        </w:rPr>
        <w:t>وفيه أُصول</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7543461_1051229030"/>
      <w:bookmarkStart w:id="202" w:name="_Toc74"/>
      <w:bookmarkEnd w:id="201"/>
      <w:r>
        <w:rPr>
          <w:rtl w:val="true"/>
        </w:rPr>
        <w:t xml:space="preserve">أصل </w:t>
      </w:r>
      <w:r>
        <w:rPr>
          <w:rtl w:val="true"/>
        </w:rPr>
        <w:t>[</w:t>
      </w:r>
      <w:r>
        <w:rPr>
          <w:rtl w:val="true"/>
        </w:rPr>
        <w:t xml:space="preserve">في أنّ حقيقته تعالى غير معلومة </w:t>
      </w:r>
      <w:r>
        <w:rPr>
          <w:rtl w:val="true"/>
        </w:rPr>
        <w:t>]</w:t>
      </w:r>
      <w:bookmarkEnd w:id="20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حقیقته تعالی غیر معلومة لأحد لأنّها ليست معلومة ضرورة قطعاً ولا استدلالاً، وإلّا لكان له حدّ فيكون له جنس وفصل فيكون له جزء، وهو محال، وإلّا لكان مفتقراً إليه، ومن هنا يعلم استحالة التركيب عليه مطلقاً، سواء كان التركيب </w:t>
      </w:r>
      <w:bookmarkStart w:id="203" w:name="pg10769_112190"/>
    </w:p>
    <w:p>
      <w:pPr>
        <w:pStyle w:val="BookText"/>
        <w:rPr/>
      </w:pPr>
      <w:bookmarkEnd w:id="203"/>
      <w:r>
        <w:rPr>
          <w:rFonts w:ascii="IRNazanin" w:hAnsi="IRNazanin" w:eastAsia="IRNazanin"/>
          <w:color w:val="111111"/>
          <w:sz w:val="28"/>
          <w:sz w:val="28"/>
          <w:szCs w:val="28"/>
          <w:rtl w:val="true"/>
          <w:lang w:bidi="fa-IR"/>
        </w:rPr>
        <w:t xml:space="preserve">عقليّاً أو حسّيّاً، بل المعلوم إنّما هو الصفات لا حقيقة الذات وفي كلام موسى علیه السّلام لفرعون لمّا سأله عن الذات فأجاب بالصفات حتّى نسبه إلى الجنون </w:t>
      </w:r>
      <w:r>
        <w:rPr>
          <w:rStyle w:val="FootnoteAnchor"/>
          <w:rtl w:val="true"/>
        </w:rPr>
        <w:footnoteReference w:id="148"/>
      </w:r>
      <w:r>
        <w:rPr>
          <w:rFonts w:ascii="Amiri" w:hAnsi="Amiri" w:eastAsia="Amiri" w:cs="Amiri"/>
          <w:color w:val="111111"/>
          <w:sz w:val="28"/>
          <w:sz w:val="28"/>
          <w:szCs w:val="28"/>
          <w:rtl w:val="true"/>
          <w:lang w:bidi="ar-SA"/>
        </w:rPr>
        <w:t>، وفي الدعاء أيضاً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يعلم ما هو إلّا هو</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دلالة واضحة على المطلوب</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7543463_1051229030"/>
      <w:bookmarkStart w:id="205" w:name="_Toc75"/>
      <w:bookmarkEnd w:id="204"/>
      <w:r>
        <w:rPr>
          <w:rtl w:val="true"/>
        </w:rPr>
        <w:t xml:space="preserve">أصل </w:t>
      </w:r>
      <w:r>
        <w:rPr>
          <w:rtl w:val="true"/>
        </w:rPr>
        <w:t xml:space="preserve">[ </w:t>
      </w:r>
      <w:r>
        <w:rPr>
          <w:rtl w:val="true"/>
        </w:rPr>
        <w:t xml:space="preserve">في أنّ حقيقته تعالى ليست مماثلة لغيره </w:t>
      </w:r>
      <w:r>
        <w:rPr>
          <w:rtl w:val="true"/>
        </w:rPr>
        <w:t>]</w:t>
      </w:r>
      <w:bookmarkEnd w:id="205"/>
    </w:p>
    <w:p>
      <w:pPr>
        <w:pStyle w:val="BookText"/>
        <w:rPr/>
      </w:pPr>
      <w:r>
        <w:rPr>
          <w:rFonts w:ascii="Amiri" w:hAnsi="Amiri" w:eastAsia="Amiri" w:cs="Amiri"/>
          <w:color w:val="111111"/>
          <w:sz w:val="28"/>
          <w:sz w:val="28"/>
          <w:szCs w:val="28"/>
          <w:rtl w:val="true"/>
          <w:lang w:bidi="ar-SA"/>
        </w:rPr>
        <w:t xml:space="preserve">حقيقته تعالى ليست مماثلة لغيره، لأنّها لو كانت مماثلة لامتازت فتفتقر إلى مايز فتكون ممكنة فيلحقها حكم الممكنات، وإن لم تفتقر إلى مايز لزم الترجيح من غير مرجّح ، وكلّه باطل، ومن هنا يعلم أنّه لا ندّ له لأنّ الندّ يقال على المشارك في الحقيقة، ولا مشارك له لوجوب وجوده الذاتي ووحدته كما سبق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7543465_1051229030"/>
      <w:bookmarkStart w:id="207" w:name="_Toc76"/>
      <w:bookmarkEnd w:id="206"/>
      <w:r>
        <w:rPr>
          <w:rtl w:val="true"/>
        </w:rPr>
        <w:t xml:space="preserve">أصل </w:t>
      </w:r>
      <w:r>
        <w:rPr>
          <w:rtl w:val="true"/>
        </w:rPr>
        <w:t xml:space="preserve">[ </w:t>
      </w:r>
      <w:r>
        <w:rPr>
          <w:rtl w:val="true"/>
        </w:rPr>
        <w:t xml:space="preserve">في أنّه تعالى لا ضد له </w:t>
      </w:r>
      <w:r>
        <w:rPr>
          <w:rtl w:val="true"/>
        </w:rPr>
        <w:t>]</w:t>
      </w:r>
      <w:bookmarkEnd w:id="2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تعالى ليس له ضدّ ، لأنّ الضدّ يقال على مساوٍ في القوّة مانع في الوجود، أو عرض يتعاقبه عرض آخر في محلّه وينافيه فيه، والواجب سبحانه ليس بمساوٍ كما تقدّم وليس بعرض كما يجيء، فلا يكون له ضدّ</w:t>
      </w:r>
      <w:r>
        <w:rPr>
          <w:rFonts w:eastAsia="Amiri" w:cs="Amiri" w:ascii="Amiri" w:hAnsi="Amiri"/>
          <w:color w:val="111111"/>
          <w:sz w:val="28"/>
          <w:szCs w:val="28"/>
          <w:rtl w:val="true"/>
          <w:lang w:bidi="ar-SA"/>
        </w:rPr>
        <w:t xml:space="preserve">. </w:t>
      </w:r>
      <w:bookmarkStart w:id="208" w:name="pg10769_112191"/>
    </w:p>
    <w:p>
      <w:pPr>
        <w:pStyle w:val="Heading3"/>
        <w:numPr>
          <w:ilvl w:val="2"/>
          <w:numId w:val="1"/>
        </w:numPr>
        <w:rPr/>
      </w:pPr>
      <w:bookmarkStart w:id="209" w:name="__RefHeading___Toc7543467_1051229030"/>
      <w:bookmarkStart w:id="210" w:name="_Toc77"/>
      <w:bookmarkEnd w:id="208"/>
      <w:bookmarkEnd w:id="209"/>
      <w:r>
        <w:rPr>
          <w:rtl w:val="true"/>
        </w:rPr>
        <w:t xml:space="preserve">أصل </w:t>
      </w:r>
      <w:r>
        <w:rPr>
          <w:rtl w:val="true"/>
        </w:rPr>
        <w:t xml:space="preserve">[ </w:t>
      </w:r>
      <w:r>
        <w:rPr>
          <w:rtl w:val="true"/>
        </w:rPr>
        <w:t xml:space="preserve">في أنّه تعالى غير محتاج </w:t>
      </w:r>
      <w:r>
        <w:rPr>
          <w:rtl w:val="true"/>
        </w:rPr>
        <w:t>]</w:t>
      </w:r>
      <w:bookmarkEnd w:id="210"/>
    </w:p>
    <w:p>
      <w:pPr>
        <w:pStyle w:val="BookText"/>
        <w:rPr/>
      </w:pPr>
      <w:r>
        <w:rPr>
          <w:rFonts w:ascii="Amiri" w:hAnsi="Amiri" w:eastAsia="Amiri" w:cs="Amiri"/>
          <w:color w:val="111111"/>
          <w:sz w:val="28"/>
          <w:sz w:val="28"/>
          <w:szCs w:val="28"/>
          <w:rtl w:val="true"/>
          <w:lang w:bidi="ar-SA"/>
        </w:rPr>
        <w:t>إنّه تعالى ليس بمحتاج، لأنّه لو احتاج في ذاته أو صفاته لكان ممكناً وناقصاً، تعالى الله عن ذلك علوّاً كبيراً</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7543469_1051229030"/>
      <w:bookmarkStart w:id="212" w:name="_Toc78"/>
      <w:bookmarkEnd w:id="211"/>
      <w:r>
        <w:rPr>
          <w:rtl w:val="true"/>
        </w:rPr>
        <w:t xml:space="preserve">أصل </w:t>
      </w:r>
      <w:r>
        <w:rPr>
          <w:rtl w:val="true"/>
        </w:rPr>
        <w:t xml:space="preserve">[ </w:t>
      </w:r>
      <w:r>
        <w:rPr>
          <w:rtl w:val="true"/>
        </w:rPr>
        <w:t xml:space="preserve">في أنّه غير متّحد بغيره </w:t>
      </w:r>
      <w:r>
        <w:rPr>
          <w:rtl w:val="true"/>
        </w:rPr>
        <w:t>]</w:t>
      </w:r>
      <w:bookmarkEnd w:id="212"/>
    </w:p>
    <w:p>
      <w:pPr>
        <w:pStyle w:val="BookText"/>
        <w:rPr/>
      </w:pPr>
      <w:r>
        <w:rPr>
          <w:rFonts w:ascii="Amiri" w:hAnsi="Amiri" w:eastAsia="Amiri" w:cs="Amiri"/>
          <w:color w:val="111111"/>
          <w:sz w:val="28"/>
          <w:sz w:val="28"/>
          <w:szCs w:val="28"/>
          <w:rtl w:val="true"/>
          <w:lang w:bidi="ar-SA"/>
        </w:rPr>
        <w:t xml:space="preserve">إنّه تعالى غير متّحد بغيره، لأنّ الاتّحاد عبارةٌ عن صيرورة الشيئين واحداً موجوداً، وهو محال ، لأنّهما إن بقيا كما كانا فهما اثنان لا واحد </w:t>
      </w:r>
      <w:r>
        <w:rPr>
          <w:rStyle w:val="FootnoteAnchor"/>
          <w:rtl w:val="true"/>
        </w:rPr>
        <w:footnoteReference w:id="150"/>
      </w:r>
      <w:r>
        <w:rPr>
          <w:rFonts w:ascii="Amiri" w:hAnsi="Amiri" w:eastAsia="Amiri" w:cs="Amiri"/>
          <w:color w:val="111111"/>
          <w:sz w:val="28"/>
          <w:sz w:val="28"/>
          <w:szCs w:val="28"/>
          <w:rtl w:val="true"/>
          <w:lang w:bidi="ar-SA"/>
        </w:rPr>
        <w:t xml:space="preserve">، وإن عدما فلا اتّحاد أيضاً بل وجد ثالثاً، فإن عدم أحدهما فلا اتّحاد أيضاً </w:t>
      </w:r>
      <w:r>
        <w:rPr>
          <w:rStyle w:val="FootnoteAnchor"/>
          <w:rtl w:val="true"/>
        </w:rPr>
        <w:footnoteReference w:id="151"/>
      </w:r>
      <w:r>
        <w:rPr>
          <w:rFonts w:ascii="IRNazanin" w:hAnsi="IRNazanin" w:eastAsia="IRNazanin"/>
          <w:color w:val="111111"/>
          <w:sz w:val="28"/>
          <w:sz w:val="28"/>
          <w:szCs w:val="28"/>
          <w:rtl w:val="true"/>
          <w:lang w:bidi="fa-IR"/>
        </w:rPr>
        <w:t>لعدم أحدهما ووجود الآخر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بعض النصارى باتّحاده بالمسيح وأنّه واحد بالذات ثلاث بالأُقنوميّة ويعنون بالأُقنوم أنّه الصفة الشخصيّة، ويعبّرون عن هذه الأقانيم </w:t>
      </w:r>
      <w:r>
        <w:rPr>
          <w:rStyle w:val="FootnoteAnchor"/>
          <w:rtl w:val="true"/>
        </w:rPr>
        <w:footnoteReference w:id="152"/>
      </w:r>
      <w:r>
        <w:rPr>
          <w:rFonts w:ascii="Amiri" w:hAnsi="Amiri" w:eastAsia="Amiri" w:cs="Amiri"/>
          <w:color w:val="111111"/>
          <w:sz w:val="28"/>
          <w:sz w:val="28"/>
          <w:szCs w:val="28"/>
          <w:rtl w:val="true"/>
          <w:lang w:bidi="ar-SA"/>
        </w:rPr>
        <w:t xml:space="preserve">بالأب أي الذات مع الوجود، وبالابن أي الذات مع العلم، ويُطلقون عليه اسم الكلمة ويخصّونه بالاتّحاد، وبروح القدس أي الذات مع الحياة </w:t>
      </w:r>
      <w:r>
        <w:rPr>
          <w:rStyle w:val="FootnoteAnchor"/>
          <w:rtl w:val="true"/>
        </w:rPr>
        <w:footnoteReference w:id="153"/>
      </w:r>
      <w:r>
        <w:rPr>
          <w:rFonts w:ascii="Amiri" w:hAnsi="Amiri" w:eastAsia="Amiri" w:cs="Amiri"/>
          <w:color w:val="111111"/>
          <w:sz w:val="28"/>
          <w:sz w:val="28"/>
          <w:szCs w:val="28"/>
          <w:rtl w:val="true"/>
          <w:lang w:bidi="ar-SA"/>
        </w:rPr>
        <w:t xml:space="preserve">، ولهم في هذا المقام، اعتقادات لا حاجة إلى ذكرها لظهور بطلانها </w:t>
      </w:r>
      <w:r>
        <w:rPr>
          <w:rFonts w:eastAsia="Amiri" w:cs="Amiri" w:ascii="Amiri" w:hAnsi="Amiri"/>
          <w:color w:val="111111"/>
          <w:sz w:val="28"/>
          <w:szCs w:val="28"/>
          <w:rtl w:val="true"/>
          <w:lang w:bidi="ar-SA"/>
        </w:rPr>
        <w:t xml:space="preserve">. </w:t>
      </w:r>
      <w:bookmarkStart w:id="213" w:name="pg10769_112192"/>
    </w:p>
    <w:p>
      <w:pPr>
        <w:pStyle w:val="Heading3"/>
        <w:numPr>
          <w:ilvl w:val="2"/>
          <w:numId w:val="1"/>
        </w:numPr>
        <w:rPr/>
      </w:pPr>
      <w:bookmarkStart w:id="214" w:name="__RefHeading___Toc7543471_1051229030"/>
      <w:bookmarkStart w:id="215" w:name="_Toc79"/>
      <w:bookmarkEnd w:id="213"/>
      <w:bookmarkEnd w:id="214"/>
      <w:r>
        <w:rPr>
          <w:rtl w:val="true"/>
        </w:rPr>
        <w:t xml:space="preserve">أصل </w:t>
      </w:r>
      <w:r>
        <w:rPr>
          <w:rtl w:val="true"/>
        </w:rPr>
        <w:t xml:space="preserve">[ </w:t>
      </w:r>
      <w:r>
        <w:rPr>
          <w:rtl w:val="true"/>
        </w:rPr>
        <w:t xml:space="preserve">في أنّه تعالى غير حالّ في شيء </w:t>
      </w:r>
      <w:r>
        <w:rPr>
          <w:rtl w:val="true"/>
        </w:rPr>
        <w:t>]</w:t>
      </w:r>
      <w:bookmarkEnd w:id="215"/>
    </w:p>
    <w:p>
      <w:pPr>
        <w:pStyle w:val="BookText"/>
        <w:rPr/>
      </w:pPr>
      <w:r>
        <w:rPr>
          <w:rFonts w:ascii="Amiri" w:hAnsi="Amiri" w:eastAsia="Amiri" w:cs="Amiri"/>
          <w:color w:val="111111"/>
          <w:sz w:val="28"/>
          <w:sz w:val="28"/>
          <w:szCs w:val="28"/>
          <w:rtl w:val="true"/>
          <w:lang w:bidi="ar-SA"/>
        </w:rPr>
        <w:t xml:space="preserve">إنّه تعالى ليس بحالّ في شيء لأنّ المعقول من الحلول قيام موجود بموجود على سبيل التعبية </w:t>
      </w:r>
      <w:r>
        <w:rPr>
          <w:rStyle w:val="FootnoteAnchor"/>
          <w:rtl w:val="true"/>
        </w:rPr>
        <w:footnoteReference w:id="154"/>
      </w:r>
      <w:r>
        <w:rPr>
          <w:rFonts w:ascii="Amiri" w:hAnsi="Amiri" w:eastAsia="Amiri" w:cs="Amiri"/>
          <w:color w:val="111111"/>
          <w:sz w:val="28"/>
          <w:sz w:val="28"/>
          <w:szCs w:val="28"/>
          <w:rtl w:val="true"/>
          <w:lang w:bidi="ar-SA"/>
        </w:rPr>
        <w:t xml:space="preserve">بحيث يبطل وجود الحالّ ببطلان المحلّ ، ولا شكّ فى نفيه عنه تعالى، وإلّا لكان محتاجاً إلى المحلّ،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جمع من المتصوّفة بحلوله في قلوب العارفين </w:t>
      </w:r>
      <w:r>
        <w:rPr>
          <w:rStyle w:val="FootnoteAnchor"/>
          <w:rtl w:val="true"/>
        </w:rPr>
        <w:footnoteReference w:id="155"/>
      </w:r>
      <w:r>
        <w:rPr>
          <w:rFonts w:ascii="Amiri" w:hAnsi="Amiri" w:eastAsia="Amiri" w:cs="Amiri"/>
          <w:color w:val="111111"/>
          <w:sz w:val="28"/>
          <w:sz w:val="28"/>
          <w:szCs w:val="28"/>
          <w:rtl w:val="true"/>
          <w:lang w:bidi="ar-SA"/>
        </w:rPr>
        <w:t>، فإن أرادوا ما قلناه فباطل، وإن أرادوا غيره فلابدّ من تصوّره فيسمع أو يمنع</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7543473_1051229030"/>
      <w:bookmarkStart w:id="217" w:name="_Toc80"/>
      <w:bookmarkEnd w:id="216"/>
      <w:r>
        <w:rPr>
          <w:rtl w:val="true"/>
        </w:rPr>
        <w:t xml:space="preserve">أصل </w:t>
      </w:r>
      <w:r>
        <w:rPr>
          <w:rtl w:val="true"/>
        </w:rPr>
        <w:t xml:space="preserve">[ </w:t>
      </w:r>
      <w:r>
        <w:rPr>
          <w:rtl w:val="true"/>
        </w:rPr>
        <w:t xml:space="preserve">في أنّه تعالى لا يقوم به شيء من الحوادث </w:t>
      </w:r>
      <w:r>
        <w:rPr>
          <w:rtl w:val="true"/>
        </w:rPr>
        <w:t>]</w:t>
      </w:r>
      <w:bookmarkEnd w:id="217"/>
    </w:p>
    <w:p>
      <w:pPr>
        <w:pStyle w:val="BookText"/>
        <w:rPr/>
      </w:pPr>
      <w:r>
        <w:rPr>
          <w:rFonts w:ascii="Amiri" w:hAnsi="Amiri" w:eastAsia="Amiri" w:cs="Amiri"/>
          <w:color w:val="111111"/>
          <w:sz w:val="28"/>
          <w:sz w:val="28"/>
          <w:szCs w:val="28"/>
          <w:rtl w:val="true"/>
          <w:lang w:bidi="ar-SA"/>
        </w:rPr>
        <w:t>إنّه تعالى لا يقوم به شيء من الحوادث وإلّا لكان منفعلاً عن غيره، ولأنّ ذلك الحادث إن كان صفة نقص تعالى الله عنه، وإن كان صفة الكمال لزم خلوّه من الكمال، وهما محالان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7543475_1051229030"/>
      <w:bookmarkStart w:id="219" w:name="_Toc81"/>
      <w:bookmarkEnd w:id="218"/>
      <w:r>
        <w:rPr>
          <w:rtl w:val="true"/>
        </w:rPr>
        <w:t xml:space="preserve">أصل </w:t>
      </w:r>
      <w:r>
        <w:rPr>
          <w:rtl w:val="true"/>
        </w:rPr>
        <w:t xml:space="preserve">[ </w:t>
      </w:r>
      <w:r>
        <w:rPr>
          <w:rtl w:val="true"/>
        </w:rPr>
        <w:t xml:space="preserve">في سلب الأعراض عنه تعالى </w:t>
      </w:r>
      <w:r>
        <w:rPr>
          <w:rtl w:val="true"/>
        </w:rPr>
        <w:t>]</w:t>
      </w:r>
      <w:bookmarkEnd w:id="21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سلب الأعراض المحسوسة عنه تعالى ، فليس له لون ولا طعم ولا غير </w:t>
      </w:r>
      <w:bookmarkStart w:id="220" w:name="pg10769_112193"/>
    </w:p>
    <w:p>
      <w:pPr>
        <w:pStyle w:val="BookText"/>
        <w:rPr/>
      </w:pPr>
      <w:bookmarkEnd w:id="220"/>
      <w:r>
        <w:rPr>
          <w:rFonts w:ascii="Amiri" w:hAnsi="Amiri" w:eastAsia="Amiri" w:cs="Amiri"/>
          <w:color w:val="111111"/>
          <w:sz w:val="28"/>
          <w:sz w:val="28"/>
          <w:szCs w:val="28"/>
          <w:rtl w:val="true"/>
          <w:lang w:bidi="ar-SA"/>
        </w:rPr>
        <w:t xml:space="preserve">ذلك، وإلّا لكان محتاجاً، تعالى الله عن ذلك، ومن هنا يعلم أن ليس له ألم ولا لذّة، لأنّ الألم إدراك المنافي ، ولا منافي له، لأنّ كلّ ما سواه رشحة من رشحات ،وجوده وذرّة من ذرّات جوده، فلا يتألّم ألماً حسّيّاً ولا عقليّاً لما تقدّم، وذلك اتّفاق، وأمّا اللذّة العقليّة فقد أثبتها الحكماء له تعالى لأنّها إدراك الملائم ، وهو مُدرك لذاته إدراكاً تامّاً، وهى أكمل الذوات، فيكون أجلَّ مدرك الأعظم مُدرك بأتمّ إدراك فيكون ملتذّاً </w:t>
      </w:r>
      <w:r>
        <w:rPr>
          <w:rStyle w:val="FootnoteAnchor"/>
          <w:rtl w:val="true"/>
        </w:rPr>
        <w:footnoteReference w:id="156"/>
      </w:r>
      <w:r>
        <w:rPr>
          <w:rFonts w:ascii="Amiri" w:hAnsi="Amiri" w:eastAsia="Amiri" w:cs="Amiri"/>
          <w:color w:val="111111"/>
          <w:sz w:val="28"/>
          <w:sz w:val="28"/>
          <w:szCs w:val="28"/>
          <w:rtl w:val="true"/>
          <w:lang w:bidi="ar-SA"/>
        </w:rPr>
        <w:t xml:space="preserve">، وتابعهم على ذلك ابن نوبخت </w:t>
      </w:r>
      <w:r>
        <w:rPr>
          <w:rStyle w:val="FootnoteAnchor"/>
          <w:rtl w:val="true"/>
        </w:rPr>
        <w:footnoteReference w:id="157"/>
      </w:r>
      <w:r>
        <w:rPr>
          <w:rFonts w:ascii="IRNazanin" w:hAnsi="IRNazanin" w:eastAsia="IRNazanin"/>
          <w:color w:val="111111"/>
          <w:sz w:val="28"/>
          <w:sz w:val="28"/>
          <w:szCs w:val="28"/>
          <w:rtl w:val="true"/>
          <w:lang w:bidi="fa-IR"/>
        </w:rPr>
        <w:t xml:space="preserve">من أصحابنا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المنع مطلقاً، إمّا لمنع بعضهم اللذّات العقليّة أو لعدم ورود ذلك في الشرع الشريف، والذي يقتضيه العقل عدم التهجّم على الذات المقدّسة بما لا ضرورة إلى إثباته ولعدم ورود الإذن من الشرع الشريف</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7543477_1051229030"/>
      <w:bookmarkStart w:id="222" w:name="_Toc82"/>
      <w:bookmarkEnd w:id="221"/>
      <w:r>
        <w:rPr>
          <w:rtl w:val="true"/>
        </w:rPr>
        <w:t xml:space="preserve">أصل </w:t>
      </w:r>
      <w:r>
        <w:rPr>
          <w:rtl w:val="true"/>
        </w:rPr>
        <w:t>[</w:t>
      </w:r>
      <w:r>
        <w:rPr>
          <w:rtl w:val="true"/>
        </w:rPr>
        <w:t xml:space="preserve">في أنّه تعالى لا مكان له </w:t>
      </w:r>
      <w:r>
        <w:rPr>
          <w:rtl w:val="true"/>
        </w:rPr>
        <w:t>]</w:t>
      </w:r>
      <w:bookmarkEnd w:id="22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له تعالى مكان وإلّا لافتقر إليه، لأنّ كلّ ذي مكان له امتداد وبُعد وأقطار متناهية، وكلّ ما كان كذلك يستحيل استغناؤه عنه، والافتقار عليه تعالى محال ومن هنا علم أنّه ليس في جهة الفوق كما تقوله الكراميّة ، واحتجاجهم بأنّ الفوق </w:t>
      </w:r>
      <w:bookmarkStart w:id="223" w:name="pg10769_112194"/>
    </w:p>
    <w:p>
      <w:pPr>
        <w:pStyle w:val="BookText"/>
        <w:rPr/>
      </w:pPr>
      <w:bookmarkEnd w:id="223"/>
      <w:r>
        <w:rPr>
          <w:rFonts w:ascii="IRNazanin" w:hAnsi="IRNazanin" w:eastAsia="IRNazanin"/>
          <w:color w:val="111111"/>
          <w:sz w:val="28"/>
          <w:sz w:val="28"/>
          <w:szCs w:val="28"/>
          <w:rtl w:val="true"/>
          <w:lang w:bidi="fa-IR"/>
        </w:rPr>
        <w:t xml:space="preserve">أشرف والذات أشرف فناسب </w:t>
      </w:r>
      <w:r>
        <w:rPr>
          <w:rStyle w:val="FootnoteAnchor"/>
          <w:rtl w:val="true"/>
        </w:rPr>
        <w:footnoteReference w:id="159"/>
      </w:r>
      <w:r>
        <w:rPr>
          <w:rFonts w:ascii="Amiri" w:hAnsi="Amiri" w:eastAsia="Amiri" w:cs="Amiri"/>
          <w:color w:val="111111"/>
          <w:sz w:val="28"/>
          <w:sz w:val="28"/>
          <w:szCs w:val="28"/>
          <w:rtl w:val="true"/>
          <w:lang w:bidi="ar-SA"/>
        </w:rPr>
        <w:t xml:space="preserve">الأشرف الأشرف، وبرفع الأيدي حال الدعاء إلى جهة السماء </w:t>
      </w:r>
      <w:r>
        <w:rPr>
          <w:rStyle w:val="FootnoteAnchor"/>
          <w:rtl w:val="true"/>
        </w:rPr>
        <w:footnoteReference w:id="160"/>
      </w:r>
      <w:r>
        <w:rPr>
          <w:rFonts w:ascii="Amiri" w:hAnsi="Amiri" w:eastAsia="Amiri" w:cs="Amiri"/>
          <w:color w:val="111111"/>
          <w:sz w:val="28"/>
          <w:sz w:val="28"/>
          <w:szCs w:val="28"/>
          <w:rtl w:val="true"/>
          <w:lang w:bidi="ar-SA"/>
        </w:rPr>
        <w:t>ضعيف، للافتقار المحال عليه ، ولأنّ الأرض كرة لا يتحقّق ما ذكروه، لأنّ الفوق لقوم تحت لآخرين، ورفع الأيدي ليس فيه دلالة على كونه في جهة الفوق وإلّا لكان السجود دليلاً على التحتيّة، وهو باطل اتفاقاً ، بل هو كناية عن الطلب</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7543479_1051229030"/>
      <w:bookmarkStart w:id="225" w:name="_Toc83"/>
      <w:bookmarkEnd w:id="224"/>
      <w:r>
        <w:rPr>
          <w:rtl w:val="true"/>
        </w:rPr>
        <w:t xml:space="preserve">أصل </w:t>
      </w:r>
      <w:r>
        <w:rPr>
          <w:rtl w:val="true"/>
        </w:rPr>
        <w:t xml:space="preserve">[ </w:t>
      </w:r>
      <w:r>
        <w:rPr>
          <w:rtl w:val="true"/>
        </w:rPr>
        <w:t xml:space="preserve">فى أنّه تعالى ليس بجسم </w:t>
      </w:r>
      <w:r>
        <w:rPr>
          <w:rtl w:val="true"/>
        </w:rPr>
        <w:t>]</w:t>
      </w:r>
      <w:bookmarkEnd w:id="225"/>
    </w:p>
    <w:p>
      <w:pPr>
        <w:pStyle w:val="BookText"/>
        <w:rPr/>
      </w:pPr>
      <w:r>
        <w:rPr>
          <w:rFonts w:ascii="Amiri" w:hAnsi="Amiri" w:eastAsia="Amiri" w:cs="Amiri"/>
          <w:color w:val="111111"/>
          <w:sz w:val="28"/>
          <w:sz w:val="28"/>
          <w:szCs w:val="28"/>
          <w:rtl w:val="true"/>
          <w:lang w:bidi="ar-SA"/>
        </w:rPr>
        <w:t>إنّه تعالى ليس بجسم ولا شيء من أجزائه وإلّا لكان مفتقراً إلى الحيّز، ولكان إمّا متحرّكاً أو ساكناً فيكون حادثاً، وهو باطل لما تقدّم</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7543481_1051229030"/>
      <w:bookmarkStart w:id="227" w:name="_Toc84"/>
      <w:bookmarkEnd w:id="226"/>
      <w:r>
        <w:rPr>
          <w:rtl w:val="true"/>
        </w:rPr>
        <w:t xml:space="preserve">أصل </w:t>
      </w:r>
      <w:r>
        <w:rPr>
          <w:rtl w:val="true"/>
        </w:rPr>
        <w:t xml:space="preserve">[ </w:t>
      </w:r>
      <w:r>
        <w:rPr>
          <w:rtl w:val="true"/>
        </w:rPr>
        <w:t xml:space="preserve">في أنّه ليس حال في المتحيّز </w:t>
      </w:r>
      <w:r>
        <w:rPr>
          <w:rtl w:val="true"/>
        </w:rPr>
        <w:t>]</w:t>
      </w:r>
      <w:bookmarkEnd w:id="227"/>
    </w:p>
    <w:p>
      <w:pPr>
        <w:pStyle w:val="BookText"/>
        <w:rPr/>
      </w:pPr>
      <w:r>
        <w:rPr>
          <w:rFonts w:ascii="Amiri" w:hAnsi="Amiri" w:eastAsia="Amiri" w:cs="Amiri"/>
          <w:color w:val="111111"/>
          <w:sz w:val="28"/>
          <w:sz w:val="28"/>
          <w:szCs w:val="28"/>
          <w:rtl w:val="true"/>
          <w:lang w:bidi="ar-SA"/>
        </w:rPr>
        <w:t xml:space="preserve">إنّه تعالى ليس حالّاً </w:t>
      </w:r>
      <w:r>
        <w:rPr>
          <w:rStyle w:val="FootnoteAnchor"/>
          <w:rtl w:val="true"/>
        </w:rPr>
        <w:footnoteReference w:id="161"/>
      </w:r>
      <w:r>
        <w:rPr>
          <w:rFonts w:ascii="Amiri" w:hAnsi="Amiri" w:eastAsia="Amiri" w:cs="Amiri"/>
          <w:color w:val="111111"/>
          <w:sz w:val="28"/>
          <w:sz w:val="28"/>
          <w:szCs w:val="28"/>
          <w:rtl w:val="true"/>
          <w:lang w:bidi="ar-SA"/>
        </w:rPr>
        <w:t>في المتحيّز وإلّا لكان مفتقراً إليه فيكون ممكناً وهو باطل</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7543483_1051229030"/>
      <w:bookmarkStart w:id="229" w:name="_Toc85"/>
      <w:bookmarkEnd w:id="228"/>
      <w:r>
        <w:rPr>
          <w:rtl w:val="true"/>
        </w:rPr>
        <w:t xml:space="preserve">أصل </w:t>
      </w:r>
      <w:r>
        <w:rPr>
          <w:rtl w:val="true"/>
        </w:rPr>
        <w:t xml:space="preserve">[ </w:t>
      </w:r>
      <w:r>
        <w:rPr>
          <w:rtl w:val="true"/>
        </w:rPr>
        <w:t xml:space="preserve">فى أنّه تعالى ليس بمرئي </w:t>
      </w:r>
      <w:r>
        <w:rPr>
          <w:rtl w:val="true"/>
        </w:rPr>
        <w:t>]</w:t>
      </w:r>
      <w:bookmarkEnd w:id="2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تعالى ليس بمرتيّ بحاسّة البصر لأنّه ليس في جهة وكلّ مرئي في جهة ؛ أمّا </w:t>
      </w:r>
    </w:p>
    <w:p>
      <w:pPr>
        <w:pStyle w:val="BookText"/>
        <w:rPr/>
      </w:pPr>
      <w:r>
        <w:rPr>
          <w:rFonts w:ascii="Amiri" w:hAnsi="Amiri" w:eastAsia="Amiri" w:cs="Amiri"/>
          <w:color w:val="111111"/>
          <w:sz w:val="28"/>
          <w:sz w:val="28"/>
          <w:szCs w:val="28"/>
          <w:rtl w:val="true"/>
          <w:lang w:bidi="ar-SA"/>
        </w:rPr>
        <w:t>الأوّل فقد تقدّم، وأمّا الثاني فلأنّ كلّ مرئيّ إمّا مقابل أو في حكمه كالصورة في المرأة وهو ضروريّ فلا يكون مرئيّاً ،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والمراد الرؤية لاقترانها بالأبصار فتكون كذلك وإلّا لجاز إثبات الرؤية مع عدم الإدراك، وهو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تمدّح بنفي الإدراك لإيراده بين مدحين، فيكون إثبات الإدراك له نقصاً، لأنّ التمدّح إنّما يكون بصفات الكمال عامّاً بالنسبة إلى كلّ شخص وكلّ وقت فتكون سالبة كلّيّة دائمة،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النافية للأبد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والأشاعرة خالفوا سائر العقلاء بنفيهم الجسميّة وقولهم بجواز الرؤية واستدلالهم بأنّ الله موجود وكلّ موجود </w:t>
      </w:r>
      <w:r>
        <w:rPr>
          <w:rStyle w:val="FootnoteAnchor"/>
          <w:rtl w:val="true"/>
        </w:rPr>
        <w:footnoteReference w:id="164"/>
      </w:r>
      <w:r>
        <w:rPr>
          <w:rFonts w:ascii="Amiri" w:hAnsi="Amiri" w:eastAsia="Amiri" w:cs="Amiri"/>
          <w:color w:val="111111"/>
          <w:sz w:val="28"/>
          <w:sz w:val="28"/>
          <w:szCs w:val="28"/>
          <w:rtl w:val="true"/>
          <w:lang w:bidi="ar-SA"/>
        </w:rPr>
        <w:t xml:space="preserve">مرئيّ لأنّ الجوهر والعرض مرئيان </w:t>
      </w:r>
      <w:r>
        <w:rPr>
          <w:rStyle w:val="FootnoteAnchor"/>
          <w:rtl w:val="true"/>
        </w:rPr>
        <w:footnoteReference w:id="165"/>
      </w:r>
      <w:r>
        <w:rPr>
          <w:rFonts w:ascii="Amiri" w:hAnsi="Amiri" w:eastAsia="Amiri" w:cs="Amiri"/>
          <w:color w:val="111111"/>
          <w:sz w:val="28"/>
          <w:sz w:val="28"/>
          <w:szCs w:val="28"/>
          <w:rtl w:val="true"/>
          <w:lang w:bidi="ar-SA"/>
        </w:rPr>
        <w:t xml:space="preserve">، ولا بدّ لرؤيتهما من علّة، وهي إمّا الوجود أو الحدوث، والحدوث </w:t>
      </w:r>
      <w:r>
        <w:rPr>
          <w:rStyle w:val="FootnoteAnchor"/>
          <w:rtl w:val="true"/>
        </w:rPr>
        <w:footnoteReference w:id="166"/>
      </w:r>
      <w:r>
        <w:rPr>
          <w:rFonts w:ascii="Amiri" w:hAnsi="Amiri" w:eastAsia="Amiri" w:cs="Amiri"/>
          <w:color w:val="111111"/>
          <w:sz w:val="28"/>
          <w:sz w:val="28"/>
          <w:szCs w:val="28"/>
          <w:rtl w:val="true"/>
          <w:lang w:bidi="ar-SA"/>
        </w:rPr>
        <w:t xml:space="preserve">لا يصلح للعلّيّة </w:t>
      </w:r>
      <w:r>
        <w:rPr>
          <w:rStyle w:val="FootnoteAnchor"/>
          <w:rtl w:val="true"/>
        </w:rPr>
        <w:footnoteReference w:id="167"/>
      </w:r>
      <w:r>
        <w:rPr>
          <w:rFonts w:ascii="Amiri" w:hAnsi="Amiri" w:eastAsia="Amiri" w:cs="Amiri"/>
          <w:color w:val="111111"/>
          <w:sz w:val="28"/>
          <w:sz w:val="28"/>
          <w:szCs w:val="28"/>
          <w:rtl w:val="true"/>
          <w:lang w:bidi="ar-SA"/>
        </w:rPr>
        <w:t xml:space="preserve">فلا تعلّل به المعاني الوجوديّة، فيكون الوجود والحكم المشترك يستدعي علّة مشتركاً </w:t>
      </w:r>
      <w:r>
        <w:rPr>
          <w:rStyle w:val="FootnoteAnchor"/>
          <w:rtl w:val="true"/>
        </w:rPr>
        <w:footnoteReference w:id="168"/>
      </w:r>
      <w:r>
        <w:rPr>
          <w:rFonts w:ascii="Amiri" w:hAnsi="Amiri" w:eastAsia="Amiri" w:cs="Amiri"/>
          <w:color w:val="111111"/>
          <w:sz w:val="28"/>
          <w:sz w:val="28"/>
          <w:szCs w:val="28"/>
          <w:rtl w:val="true"/>
          <w:lang w:bidi="ar-SA"/>
        </w:rPr>
        <w:t>، وهذا الاستدلال ضعيف جدّاً؛ لأنّا نمنع رؤية الجسم بل العرض ، ونمنع تعليل كلّ حكم، ونمنع كون كلّ حكم مشترك معلّلاً بمشترك، ونمنع مساواة وجوده تعالى لوجودهما، ويلزمهم رؤية كلّ موجود حتّى الروائح وغيرها، وجواز كونه تعالى ملموساً ومخلوقاً، وهو محال اتّفاقاً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تمسّكوا به من النقل فضعيف أيضاً، وهو أنّ موسى علیه السّلام سأل الرؤية، </w:t>
      </w:r>
    </w:p>
    <w:p>
      <w:pPr>
        <w:pStyle w:val="BookText"/>
        <w:rPr/>
      </w:pPr>
      <w:r>
        <w:rPr>
          <w:rFonts w:ascii="Amiri" w:hAnsi="Amiri" w:eastAsia="Amiri" w:cs="Amiri"/>
          <w:color w:val="111111"/>
          <w:sz w:val="28"/>
          <w:sz w:val="28"/>
          <w:szCs w:val="28"/>
          <w:rtl w:val="true"/>
          <w:lang w:bidi="ar-SA"/>
        </w:rPr>
        <w:t xml:space="preserve">ولو كانت ممتنعة لما سألها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بأن سؤاله كان لقومه لا لنفسه </w:t>
      </w:r>
      <w:r>
        <w:rPr>
          <w:rStyle w:val="FootnoteAnchor"/>
          <w:rtl w:val="true"/>
        </w:rPr>
        <w:footnoteReference w:id="170"/>
      </w:r>
      <w:r>
        <w:rPr>
          <w:rFonts w:ascii="Amiri" w:hAnsi="Amiri" w:eastAsia="Amiri" w:cs="Amiri"/>
          <w:color w:val="111111"/>
          <w:sz w:val="28"/>
          <w:sz w:val="28"/>
          <w:szCs w:val="28"/>
          <w:rtl w:val="true"/>
          <w:lang w:bidi="ar-SA"/>
        </w:rPr>
        <w:t>، أو أن أظهر لي أحوالاً تفيد العلم بك ضرورة، وأطلق لفظ الرؤية على العلم مجازاً ، ويدلّ على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الحمل على حذف المضاف والمراد به إلى ثواب ربّها ، والإضمار وإن كان على خلاف الأصل فإنّ المجاز كذلك، أو أنّه بمعنى الانتظار، ولا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جرّبل اسماً هو واحد </w:t>
      </w:r>
      <w:r>
        <w:rPr>
          <w:rStyle w:val="FootnoteAnchor"/>
          <w:rtl w:val="true"/>
        </w:rPr>
        <w:footnoteReference w:id="173"/>
      </w:r>
      <w:r>
        <w:rPr>
          <w:rFonts w:ascii="Amiri" w:hAnsi="Amiri" w:eastAsia="Amiri" w:cs="Amiri"/>
          <w:color w:val="111111"/>
          <w:sz w:val="28"/>
          <w:sz w:val="28"/>
          <w:szCs w:val="28"/>
          <w:rtl w:val="true"/>
          <w:lang w:bidi="ar-SA"/>
        </w:rPr>
        <w:t>ألآلاء فتكون منتظرة إلى رحمة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الهلال فلم أره ، فلا يكون النظر المقرون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َانْظُرْ إِلَى الْجَبَلِ فَإِنِ اسْتَقَرَّ مَكَانَهُ فَسَوْفَ تَرَانِي</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علّق الرؤيا على استقرار الجبل ،الممكن ، والمعلّق على الممكن ممكن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بالمنع من تعليقه على الممكن، فإنّ المعلّق الاستقرار حال التجلّي، وحال التجلّى يكون متحرّكاً، والاستقرار حالة الحركة محال ، والمعلّق على المحال محال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0769_112198"/>
      <w:bookmarkStart w:id="231" w:name="pg10769_112198"/>
      <w:bookmarkEnd w:id="231"/>
    </w:p>
    <w:p>
      <w:pPr>
        <w:pStyle w:val="Heading2"/>
        <w:numPr>
          <w:ilvl w:val="1"/>
          <w:numId w:val="1"/>
        </w:numPr>
        <w:rPr/>
      </w:pPr>
      <w:bookmarkStart w:id="232" w:name="pg10769_112198"/>
      <w:bookmarkStart w:id="233" w:name="__RefHeading___Toc7543485_1051229030"/>
      <w:bookmarkStart w:id="234" w:name="_Toc86"/>
      <w:bookmarkEnd w:id="232"/>
      <w:bookmarkEnd w:id="233"/>
      <w:r>
        <w:rPr>
          <w:rtl w:val="true"/>
        </w:rPr>
        <w:t>المعراج الثاني في العدل</w:t>
      </w:r>
      <w:bookmarkEnd w:id="23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7543487_1051229030"/>
      <w:bookmarkStart w:id="236" w:name="_Toc87"/>
      <w:bookmarkEnd w:id="235"/>
      <w:r>
        <w:rPr>
          <w:rtl w:val="true"/>
        </w:rPr>
        <w:t>اشارة</w:t>
      </w:r>
      <w:bookmarkEnd w:id="23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0769_112200"/>
      <w:bookmarkStart w:id="238" w:name="pg10769_112200"/>
      <w:bookmarkEnd w:id="238"/>
    </w:p>
    <w:p>
      <w:pPr>
        <w:pStyle w:val="BookText"/>
        <w:rPr/>
      </w:pPr>
      <w:bookmarkStart w:id="239" w:name="pg10769_112200"/>
      <w:bookmarkEnd w:id="239"/>
      <w:r>
        <w:rPr>
          <w:rFonts w:ascii="Amiri" w:hAnsi="Amiri" w:eastAsia="Amiri" w:cs="Amiri"/>
          <w:color w:val="111111"/>
          <w:sz w:val="28"/>
          <w:sz w:val="28"/>
          <w:szCs w:val="28"/>
          <w:rtl w:val="true"/>
          <w:lang w:bidi="ar-SA"/>
        </w:rPr>
        <w:t>وفيه أُصول</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7543489_1051229030"/>
      <w:bookmarkStart w:id="241" w:name="_Toc88"/>
      <w:bookmarkEnd w:id="240"/>
      <w:r>
        <w:rPr>
          <w:rtl w:val="true"/>
        </w:rPr>
        <w:t xml:space="preserve">أصل </w:t>
      </w:r>
      <w:r>
        <w:rPr>
          <w:rtl w:val="true"/>
        </w:rPr>
        <w:t xml:space="preserve">[ </w:t>
      </w:r>
      <w:r>
        <w:rPr>
          <w:rtl w:val="true"/>
        </w:rPr>
        <w:t xml:space="preserve">في تقسيم الفعل </w:t>
      </w:r>
      <w:r>
        <w:rPr>
          <w:rtl w:val="true"/>
        </w:rPr>
        <w:t>]</w:t>
      </w:r>
      <w:bookmarkEnd w:id="241"/>
    </w:p>
    <w:p>
      <w:pPr>
        <w:pStyle w:val="BookText"/>
        <w:rPr/>
      </w:pPr>
      <w:r>
        <w:rPr>
          <w:rFonts w:ascii="Amiri" w:hAnsi="Amiri" w:eastAsia="Amiri" w:cs="Amiri"/>
          <w:color w:val="111111"/>
          <w:sz w:val="28"/>
          <w:sz w:val="28"/>
          <w:szCs w:val="28"/>
          <w:rtl w:val="true"/>
          <w:lang w:bidi="ar-SA"/>
        </w:rPr>
        <w:t xml:space="preserve">الحقّ أنّ الفعل ضروريّ التصوّر فلا يحتاج إلى تعريف، وهو إمّا أن يوصف بزائد عن الحدوث أو لا، والثاني كحركة </w:t>
      </w:r>
      <w:r>
        <w:rPr>
          <w:rStyle w:val="FootnoteAnchor"/>
          <w:rtl w:val="true"/>
        </w:rPr>
        <w:footnoteReference w:id="177"/>
      </w:r>
      <w:r>
        <w:rPr>
          <w:rFonts w:ascii="Amiri" w:hAnsi="Amiri" w:eastAsia="Amiri" w:cs="Amiri"/>
          <w:color w:val="111111"/>
          <w:sz w:val="28"/>
          <w:sz w:val="28"/>
          <w:szCs w:val="28"/>
          <w:rtl w:val="true"/>
          <w:lang w:bidi="ar-SA"/>
        </w:rPr>
        <w:t xml:space="preserve">الساهي والنائم، والأوّل إمّا </w:t>
      </w:r>
      <w:r>
        <w:rPr>
          <w:rStyle w:val="FootnoteAnchor"/>
          <w:rtl w:val="true"/>
        </w:rPr>
        <w:footnoteReference w:id="178"/>
      </w:r>
      <w:r>
        <w:rPr>
          <w:rFonts w:ascii="Amiri" w:hAnsi="Amiri" w:eastAsia="Amiri" w:cs="Amiri"/>
          <w:color w:val="111111"/>
          <w:sz w:val="28"/>
          <w:sz w:val="28"/>
          <w:szCs w:val="28"/>
          <w:rtl w:val="true"/>
          <w:lang w:bidi="ar-SA"/>
        </w:rPr>
        <w:t xml:space="preserve">أن ينفر العقل منه أو لا، والأوّل القبيح، والثاني الحسن، والحسن إمّا أن لا يكون له وصف زائد على حسنه وهو المباح أو يكون فإما أن يترجّح تركه فهو المكروه، وإمّا أن </w:t>
      </w:r>
      <w:r>
        <w:rPr>
          <w:rStyle w:val="FootnoteAnchor"/>
          <w:rtl w:val="true"/>
        </w:rPr>
        <w:footnoteReference w:id="179"/>
      </w:r>
      <w:r>
        <w:rPr>
          <w:rFonts w:ascii="Amiri" w:hAnsi="Amiri" w:eastAsia="Amiri" w:cs="Amiri"/>
          <w:color w:val="111111"/>
          <w:sz w:val="28"/>
          <w:sz w:val="28"/>
          <w:szCs w:val="28"/>
          <w:rtl w:val="true"/>
          <w:lang w:bidi="ar-SA"/>
        </w:rPr>
        <w:t xml:space="preserve">يترجّح فعله فأمّا مع المنع من تركه فهو واجب أو لا معه فهو الندب </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7543491_1051229030"/>
      <w:bookmarkStart w:id="243" w:name="_Toc89"/>
      <w:bookmarkEnd w:id="242"/>
      <w:r>
        <w:rPr>
          <w:rtl w:val="true"/>
        </w:rPr>
        <w:t xml:space="preserve">أصل </w:t>
      </w:r>
      <w:r>
        <w:rPr>
          <w:rtl w:val="true"/>
        </w:rPr>
        <w:t xml:space="preserve">[ </w:t>
      </w:r>
      <w:r>
        <w:rPr>
          <w:rtl w:val="true"/>
        </w:rPr>
        <w:t xml:space="preserve">في الحسن و القبح </w:t>
      </w:r>
      <w:r>
        <w:rPr>
          <w:rtl w:val="true"/>
        </w:rPr>
        <w:t>]</w:t>
      </w:r>
      <w:bookmarkEnd w:id="2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والقبح إمّا أن يراد بهما </w:t>
      </w:r>
      <w:r>
        <w:rPr>
          <w:rStyle w:val="FootnoteAnchor"/>
          <w:rtl w:val="true"/>
        </w:rPr>
        <w:footnoteReference w:id="180"/>
      </w:r>
      <w:r>
        <w:rPr>
          <w:rFonts w:ascii="Amiri" w:hAnsi="Amiri" w:eastAsia="Amiri" w:cs="Amiri"/>
          <w:color w:val="111111"/>
          <w:sz w:val="28"/>
          <w:sz w:val="28"/>
          <w:szCs w:val="28"/>
          <w:rtl w:val="true"/>
          <w:lang w:bidi="ar-SA"/>
        </w:rPr>
        <w:t xml:space="preserve">ملائمة الطبع وعدمها أو كون الشيء صفة </w:t>
      </w:r>
    </w:p>
    <w:p>
      <w:pPr>
        <w:pStyle w:val="BookText"/>
        <w:rPr/>
      </w:pPr>
      <w:r>
        <w:rPr>
          <w:rFonts w:ascii="Amiri" w:hAnsi="Amiri" w:eastAsia="Amiri" w:cs="Amiri"/>
          <w:color w:val="111111"/>
          <w:sz w:val="28"/>
          <w:sz w:val="28"/>
          <w:szCs w:val="28"/>
          <w:rtl w:val="true"/>
          <w:lang w:bidi="ar-SA"/>
        </w:rPr>
        <w:t xml:space="preserve">كمال أو نقص، ولا خلاف في كونهما عقليّين بهذين الاعتبارين، وقد يراد بهما استحقاق المدح والذم ّعاجلاً، والثواب والعقاب آجلاً، فعند الأشعريّ إنّهما شرعيّان </w:t>
      </w:r>
      <w:r>
        <w:rPr>
          <w:rStyle w:val="FootnoteAnchor"/>
          <w:rtl w:val="true"/>
        </w:rPr>
        <w:footnoteReference w:id="181"/>
      </w:r>
      <w:r>
        <w:rPr>
          <w:rFonts w:ascii="Amiri" w:hAnsi="Amiri" w:eastAsia="Amiri" w:cs="Amiri"/>
          <w:color w:val="111111"/>
          <w:sz w:val="28"/>
          <w:sz w:val="28"/>
          <w:szCs w:val="28"/>
          <w:rtl w:val="true"/>
          <w:lang w:bidi="ar-SA"/>
        </w:rPr>
        <w:t xml:space="preserve">، والحكيم معلومان بالعقل العملي، إذ عليهما مدار مصالح العالم </w:t>
      </w:r>
      <w:r>
        <w:rPr>
          <w:rStyle w:val="FootnoteAnchor"/>
          <w:rtl w:val="true"/>
        </w:rPr>
        <w:footnoteReference w:id="182"/>
      </w:r>
      <w:r>
        <w:rPr>
          <w:rFonts w:ascii="Amiri" w:hAnsi="Amiri" w:eastAsia="Amiri" w:cs="Amiri"/>
          <w:color w:val="111111"/>
          <w:sz w:val="28"/>
          <w:sz w:val="28"/>
          <w:szCs w:val="28"/>
          <w:rtl w:val="true"/>
          <w:lang w:bidi="ar-SA"/>
        </w:rPr>
        <w:t xml:space="preserve">، وعند أهل العدل سببهما قد يكون ضروريّاً كشكر </w:t>
      </w:r>
      <w:r>
        <w:rPr>
          <w:rStyle w:val="FootnoteAnchor"/>
          <w:rtl w:val="true"/>
        </w:rPr>
        <w:footnoteReference w:id="183"/>
      </w:r>
      <w:r>
        <w:rPr>
          <w:rFonts w:ascii="Amiri" w:hAnsi="Amiri" w:eastAsia="Amiri" w:cs="Amiri"/>
          <w:color w:val="111111"/>
          <w:sz w:val="28"/>
          <w:sz w:val="28"/>
          <w:szCs w:val="28"/>
          <w:rtl w:val="true"/>
          <w:lang w:bidi="ar-SA"/>
        </w:rPr>
        <w:t xml:space="preserve">المنعم وحسن الصدق النافع وقبح الكذب الضارّ ، ونظريّاً كحسن الصدق الضارّ وقبح الكذب النافع، وشرعيّاً كحسن صوم آخر رمضان وقبح صوم العيد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على الضروريّ باتّفاق العقلاء على حسن ما ذكر وقبحه وليس ذلك بالشرع وإلّا لما حكم به البراهمة </w:t>
      </w:r>
      <w:r>
        <w:rPr>
          <w:rStyle w:val="FootnoteAnchor"/>
          <w:rtl w:val="true"/>
        </w:rPr>
        <w:footnoteReference w:id="185"/>
      </w:r>
      <w:r>
        <w:rPr>
          <w:rFonts w:ascii="Amiri" w:hAnsi="Amiri" w:eastAsia="Amiri" w:cs="Amiri"/>
          <w:color w:val="111111"/>
          <w:sz w:val="28"/>
          <w:sz w:val="28"/>
          <w:szCs w:val="28"/>
          <w:rtl w:val="true"/>
          <w:lang w:bidi="ar-SA"/>
        </w:rPr>
        <w:t>، ولا بالطبع لأنّ الطباع مختلفة، فلم يبق إلّا العقل الضروريّ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النظريّ فلأنّه لمّا كان الحسن و القبح </w:t>
      </w:r>
      <w:r>
        <w:rPr>
          <w:rStyle w:val="FootnoteAnchor"/>
          <w:rtl w:val="true"/>
        </w:rPr>
        <w:footnoteReference w:id="186"/>
      </w:r>
      <w:r>
        <w:rPr>
          <w:rFonts w:ascii="Amiri" w:hAnsi="Amiri" w:eastAsia="Amiri" w:cs="Amiri"/>
          <w:color w:val="111111"/>
          <w:sz w:val="28"/>
          <w:sz w:val="28"/>
          <w:szCs w:val="28"/>
          <w:rtl w:val="true"/>
          <w:lang w:bidi="ar-SA"/>
        </w:rPr>
        <w:t xml:space="preserve">لازمين المطلق الصدق والكذب كما قرّرناه كانا لازمين للصدق الضارّ والكذب النافع لكون المطلق جزءاً من المركّب ، ولازم الجزء لازم الكلّ ، واستدلّ عليه بأنّه لولاه لزم عدم الوثوق بالوعد والوعيد ، لجواز الكذب حينئذٍ على الشارع، ولجاز تعذيب المؤمن وإثابة الكافر، </w:t>
      </w:r>
      <w:bookmarkStart w:id="244" w:name="pg10769_112202"/>
    </w:p>
    <w:p>
      <w:pPr>
        <w:pStyle w:val="BookText"/>
        <w:rPr/>
      </w:pPr>
      <w:bookmarkEnd w:id="244"/>
      <w:r>
        <w:rPr>
          <w:rFonts w:ascii="Amiri" w:hAnsi="Amiri" w:eastAsia="Amiri" w:cs="Amiri"/>
          <w:color w:val="111111"/>
          <w:sz w:val="28"/>
          <w:sz w:val="28"/>
          <w:szCs w:val="28"/>
          <w:rtl w:val="true"/>
          <w:lang w:bidi="ar-SA"/>
        </w:rPr>
        <w:t xml:space="preserve">إذ لا حاكم على الفاعل بالقبح، ولجاز إظهار المعجزة على يد الكاذب </w:t>
      </w:r>
      <w:r>
        <w:rPr>
          <w:rStyle w:val="FootnoteAnchor"/>
          <w:rtl w:val="true"/>
        </w:rPr>
        <w:footnoteReference w:id="187"/>
      </w:r>
      <w:r>
        <w:rPr>
          <w:rFonts w:ascii="Amiri" w:hAnsi="Amiri" w:eastAsia="Amiri" w:cs="Amiri"/>
          <w:color w:val="111111"/>
          <w:sz w:val="28"/>
          <w:sz w:val="28"/>
          <w:szCs w:val="28"/>
          <w:rtl w:val="true"/>
          <w:lang w:bidi="ar-SA"/>
        </w:rPr>
        <w:t xml:space="preserve">، والتوالي بأسرها باطلة ؛ فالقول بأنّ الحسن و القبح شرعيان </w:t>
      </w:r>
      <w:r>
        <w:rPr>
          <w:rStyle w:val="FootnoteAnchor"/>
          <w:rtl w:val="true"/>
        </w:rPr>
        <w:footnoteReference w:id="188"/>
      </w:r>
      <w:r>
        <w:rPr>
          <w:rFonts w:ascii="Amiri" w:hAnsi="Amiri" w:eastAsia="Amiri" w:cs="Amiri"/>
          <w:color w:val="111111"/>
          <w:sz w:val="28"/>
          <w:sz w:val="28"/>
          <w:szCs w:val="28"/>
          <w:rtl w:val="true"/>
          <w:lang w:bidi="ar-SA"/>
        </w:rPr>
        <w:t xml:space="preserve">باطل ، واحتجاجهم بأنّ القبح يصدر من الشارع لتكليف </w:t>
      </w:r>
      <w:r>
        <w:rPr>
          <w:rStyle w:val="FootnoteAnchor"/>
          <w:rtl w:val="true"/>
        </w:rPr>
        <w:footnoteReference w:id="189"/>
      </w:r>
      <w:r>
        <w:rPr>
          <w:rFonts w:ascii="Amiri" w:hAnsi="Amiri" w:eastAsia="Amiri" w:cs="Amiri"/>
          <w:color w:val="111111"/>
          <w:sz w:val="28"/>
          <w:sz w:val="28"/>
          <w:szCs w:val="28"/>
          <w:rtl w:val="true"/>
          <w:lang w:bidi="ar-SA"/>
        </w:rPr>
        <w:t xml:space="preserve">الكافر المعلوم عدم الإيمان منه، ولأنّ الكذب قد يحسن </w:t>
      </w:r>
      <w:r>
        <w:rPr>
          <w:rStyle w:val="FootnoteAnchor"/>
          <w:rtl w:val="true"/>
        </w:rPr>
        <w:footnoteReference w:id="190"/>
      </w:r>
      <w:r>
        <w:rPr>
          <w:rFonts w:ascii="Amiri" w:hAnsi="Amiri" w:eastAsia="Amiri" w:cs="Amiri"/>
          <w:color w:val="111111"/>
          <w:sz w:val="28"/>
          <w:sz w:val="28"/>
          <w:szCs w:val="28"/>
          <w:rtl w:val="true"/>
          <w:lang w:bidi="ar-SA"/>
        </w:rPr>
        <w:t>حال اشتماله على تخليص نبيّ أو وليّ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نقول تكليف الكافر حسن لتعريضه للثواب الدائم والمنع لسوء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نمنع زوال القبح عن الكذب ، وإنّما جاز لأنّ قبحه أضعف من قبح إيقاع النبيّ أو الوليّ في الضرر فارتكب أضعف القبيحين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نمنع زوال القبح بل يجب التعريض فإنّ في المعاريض </w:t>
      </w:r>
      <w:r>
        <w:rPr>
          <w:rStyle w:val="FootnoteAnchor"/>
          <w:rtl w:val="true"/>
        </w:rPr>
        <w:footnoteReference w:id="191"/>
      </w:r>
      <w:r>
        <w:rPr>
          <w:rFonts w:ascii="Amiri" w:hAnsi="Amiri" w:eastAsia="Amiri" w:cs="Amiri"/>
          <w:color w:val="111111"/>
          <w:sz w:val="28"/>
          <w:sz w:val="28"/>
          <w:szCs w:val="28"/>
          <w:rtl w:val="true"/>
          <w:lang w:bidi="ar-SA"/>
        </w:rPr>
        <w:t>مندوحة عن الكذب</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7543493_1051229030"/>
      <w:bookmarkStart w:id="246" w:name="_Toc90"/>
      <w:bookmarkEnd w:id="245"/>
      <w:r>
        <w:rPr>
          <w:rtl w:val="true"/>
        </w:rPr>
        <w:t xml:space="preserve">أصل </w:t>
      </w:r>
      <w:r>
        <w:rPr>
          <w:rtl w:val="true"/>
        </w:rPr>
        <w:t xml:space="preserve">[ </w:t>
      </w:r>
      <w:r>
        <w:rPr>
          <w:rtl w:val="true"/>
        </w:rPr>
        <w:t xml:space="preserve">في أفعال العباد </w:t>
      </w:r>
      <w:r>
        <w:rPr>
          <w:rtl w:val="true"/>
        </w:rPr>
        <w:t>]</w:t>
      </w:r>
      <w:bookmarkEnd w:id="2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الاتّفاق على أنّ ما لا يمدح العبد عليه ولا يذمّ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ولا يحصل عند قصد ولا ينتفي عند صارف إنّه من فعل الله، وأمّا نقيض ذلك فقال جهم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وبشر </w:t>
      </w:r>
      <w:r>
        <w:rPr>
          <w:rStyle w:val="FootnoteAnchor"/>
          <w:rtl w:val="true"/>
        </w:rPr>
        <w:footnoteReference w:id="193"/>
      </w:r>
      <w:r>
        <w:rPr>
          <w:rFonts w:ascii="Amiri" w:hAnsi="Amiri" w:eastAsia="Amiri" w:cs="Amiri"/>
          <w:color w:val="111111"/>
          <w:sz w:val="28"/>
          <w:sz w:val="28"/>
          <w:szCs w:val="28"/>
          <w:rtl w:val="true"/>
          <w:lang w:bidi="ar-SA"/>
        </w:rPr>
        <w:t xml:space="preserve">كالأوّل </w:t>
      </w:r>
      <w:r>
        <w:rPr>
          <w:rStyle w:val="FootnoteAnchor"/>
          <w:rtl w:val="true"/>
        </w:rPr>
        <w:footnoteReference w:id="194"/>
      </w:r>
      <w:r>
        <w:rPr>
          <w:rFonts w:ascii="IRNazanin" w:hAnsi="IRNazanin" w:eastAsia="IRNazanin"/>
          <w:color w:val="111111"/>
          <w:sz w:val="28"/>
          <w:sz w:val="28"/>
          <w:szCs w:val="28"/>
          <w:rtl w:val="true"/>
          <w:lang w:bidi="fa-IR"/>
        </w:rPr>
        <w:t xml:space="preserve">، وقال أبو الحسن </w:t>
      </w:r>
      <w:r>
        <w:rPr>
          <w:rStyle w:val="FootnoteAnchor"/>
          <w:rtl w:val="true"/>
        </w:rPr>
        <w:footnoteReference w:id="195"/>
      </w:r>
      <w:r>
        <w:rPr>
          <w:rFonts w:ascii="Amiri" w:hAnsi="Amiri" w:eastAsia="Amiri" w:cs="Amiri"/>
          <w:color w:val="111111"/>
          <w:sz w:val="28"/>
          <w:sz w:val="28"/>
          <w:szCs w:val="28"/>
          <w:rtl w:val="true"/>
          <w:lang w:bidi="ar-SA"/>
        </w:rPr>
        <w:t xml:space="preserve">وأتباعه كذلك إلّا أنّ العبد له الكسب، وفسّره بأنّ الله أجرى عادته بأن يخلق الفعل والقدرة عليه عند اختيار العبد الطاعة أو المعصية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العبد،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Style w:val="FootnoteAnchor"/>
          <w:rtl w:val="true"/>
        </w:rPr>
        <w:footnoteReference w:id="197"/>
      </w:r>
      <w:r>
        <w:rPr>
          <w:rFonts w:ascii="Amiri" w:hAnsi="Amiri" w:eastAsia="Amiri" w:cs="Amiri"/>
          <w:color w:val="111111"/>
          <w:sz w:val="28"/>
          <w:sz w:val="28"/>
          <w:szCs w:val="28"/>
          <w:rtl w:val="true"/>
          <w:lang w:bidi="ar-SA"/>
        </w:rPr>
        <w:t>، وهو الحقّ ، وينبّه على ضروريّته بالفرق بين الحركة الاختياريّة كالأكل والشرب وغيره كالنبض بإمكان ترك الأوّل دون الثاني ، وبحسن المدح على الطاعة والذمّ على المعصية لا على حسن الصورة وقبحها، وليس إلّا العلم ضرورة بالفاعليّة في الأوّل دون الثاني، ، وبأنّ الحمار ينفر من الإنسان إذا قصد أذاه ولا ينفر من الحائط لما تقرّر في وهمه من قدرة الإنسان ،دونه، والقرآن والسنّة مشحون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واحتجاجهم أنّ فعل العبد إمّا معلوم الوقوع له تعالى فواجب أو عدمه فممتنع، فلا قدرة عليهما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عنه بأنّ العلم تابع للوقوع وعدمه فلا يؤثّر فيه وجوباً ولا امتناعاً، ومعارض بفعله تعالى، وبأنّ أوسط القياس غير متّحد، فإنّ الوجوب الأوّل عارضيّ والثاني ذاتيّ فلا ينتج ، وأمّا الكسب الذي ذكروه فلا معنى له لأنّ حاصل تفسيرهم له أنّه فعل من أفعال القلب عزماً أو اختياراً، وكل فعل لابد له من فاعل؛ </w:t>
      </w:r>
      <w:bookmarkStart w:id="247" w:name="pg10769_112204"/>
    </w:p>
    <w:p>
      <w:pPr>
        <w:pStyle w:val="BookText"/>
        <w:rPr/>
      </w:pPr>
      <w:bookmarkEnd w:id="247"/>
      <w:r>
        <w:rPr>
          <w:rFonts w:ascii="Amiri" w:hAnsi="Amiri" w:eastAsia="Amiri" w:cs="Amiri"/>
          <w:color w:val="111111"/>
          <w:sz w:val="28"/>
          <w:sz w:val="28"/>
          <w:szCs w:val="28"/>
          <w:rtl w:val="true"/>
          <w:lang w:bidi="ar-SA"/>
        </w:rPr>
        <w:t xml:space="preserve">فإمّا من الله فلا كسب </w:t>
      </w:r>
      <w:r>
        <w:rPr>
          <w:rStyle w:val="FootnoteAnchor"/>
          <w:rtl w:val="true"/>
        </w:rPr>
        <w:footnoteReference w:id="198"/>
      </w:r>
      <w:r>
        <w:rPr>
          <w:rFonts w:ascii="Amiri" w:hAnsi="Amiri" w:eastAsia="Amiri" w:cs="Amiri"/>
          <w:color w:val="111111"/>
          <w:sz w:val="28"/>
          <w:sz w:val="28"/>
          <w:szCs w:val="28"/>
          <w:rtl w:val="true"/>
          <w:lang w:bidi="ar-SA"/>
        </w:rPr>
        <w:t>، وإمّا من العبد فيكون هو فاعله وهو يناقض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فاعل إلّا الله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7543495_1051229030"/>
      <w:bookmarkStart w:id="249" w:name="_Toc91"/>
      <w:bookmarkEnd w:id="248"/>
      <w:r>
        <w:rPr>
          <w:rtl w:val="true"/>
        </w:rPr>
        <w:t xml:space="preserve">أصل </w:t>
      </w:r>
      <w:r>
        <w:rPr>
          <w:rtl w:val="true"/>
        </w:rPr>
        <w:t xml:space="preserve">[ </w:t>
      </w:r>
      <w:r>
        <w:rPr>
          <w:rtl w:val="true"/>
        </w:rPr>
        <w:t xml:space="preserve">في القضاء والقدر </w:t>
      </w:r>
      <w:r>
        <w:rPr>
          <w:rtl w:val="true"/>
        </w:rPr>
        <w:t>]</w:t>
      </w:r>
      <w:bookmarkEnd w:id="249"/>
    </w:p>
    <w:p>
      <w:pPr>
        <w:pStyle w:val="BookText"/>
        <w:rPr/>
      </w:pPr>
      <w:r>
        <w:rPr>
          <w:rFonts w:ascii="Amiri" w:hAnsi="Amiri" w:eastAsia="Amiri" w:cs="Amiri"/>
          <w:color w:val="111111"/>
          <w:sz w:val="28"/>
          <w:sz w:val="28"/>
          <w:szCs w:val="28"/>
          <w:rtl w:val="true"/>
          <w:lang w:bidi="ar-SA"/>
        </w:rPr>
        <w:t>وقع الاتّفاق وطابق النقل على كون الأفعال واقعة بقضاء الله وقدره ويستعمل في معانٍ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والإيجاد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فِيهَا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الآية ، وهذا المعنى ليس بمراد لما علم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بالقضاء الحكم والإلزام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الآية، وهذا لا يصحّ إلّا في الواجب خاصّة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بالقضاء الإخبار والإعلام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أي أخبرناهم وأعلمناهم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والقدر يُراد به الكتابة والبيان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قَدَّرْنَاهَا مِنَ الْغَابِرِينَ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وهذا المعنى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 القضاء فلأنّه تعالى أعلمنا أحكام أفعالنا ، وأمّا القدر فإنّه تعالى بينّ أفعال العباد وكتبها في اللوح المحفوظ، إذ لو لم يتعيّن هذا المعنى </w:t>
      </w:r>
      <w:bookmarkStart w:id="250" w:name="pg10769_112205"/>
    </w:p>
    <w:p>
      <w:pPr>
        <w:pStyle w:val="BookText"/>
        <w:rPr/>
      </w:pPr>
      <w:bookmarkEnd w:id="250"/>
      <w:r>
        <w:rPr>
          <w:rFonts w:ascii="Amiri" w:hAnsi="Amiri" w:eastAsia="Amiri" w:cs="Amiri"/>
          <w:color w:val="111111"/>
          <w:sz w:val="28"/>
          <w:sz w:val="28"/>
          <w:szCs w:val="28"/>
          <w:rtl w:val="true"/>
          <w:lang w:bidi="ar-SA"/>
        </w:rPr>
        <w:t xml:space="preserve">للإرادة لزم وجوب الرضا بالكفر وأنواع المعاصي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وجوب الرضا بقضاء الله وقدره </w:t>
      </w:r>
      <w:r>
        <w:rPr>
          <w:rFonts w:eastAsia="IRNazanin" w:cs="IRNazanin"/>
          <w:color w:val="111111"/>
          <w:sz w:val="28"/>
          <w:szCs w:val="28"/>
          <w:rtl w:val="true"/>
          <w:lang w:bidi="fa-IR"/>
        </w:rPr>
        <w:t>.</w:t>
      </w:r>
    </w:p>
    <w:p>
      <w:pPr>
        <w:pStyle w:val="Heading3"/>
        <w:numPr>
          <w:ilvl w:val="2"/>
          <w:numId w:val="1"/>
        </w:numPr>
        <w:rPr/>
      </w:pPr>
      <w:bookmarkStart w:id="251" w:name="__RefHeading___Toc7543497_1051229030"/>
      <w:bookmarkStart w:id="252" w:name="_Toc92"/>
      <w:bookmarkEnd w:id="251"/>
      <w:r>
        <w:rPr>
          <w:rtl w:val="true"/>
        </w:rPr>
        <w:t xml:space="preserve">أصل </w:t>
      </w:r>
      <w:r>
        <w:rPr>
          <w:rtl w:val="true"/>
        </w:rPr>
        <w:t xml:space="preserve">[ </w:t>
      </w:r>
      <w:r>
        <w:rPr>
          <w:rtl w:val="true"/>
        </w:rPr>
        <w:t xml:space="preserve">الهداية والضلال </w:t>
      </w:r>
      <w:r>
        <w:rPr>
          <w:rtl w:val="true"/>
        </w:rPr>
        <w:t>]</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الهداية والضلال على معانٍ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الدلالة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هداني إلى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الهداية ، والضلال إشارة إلى خلاف الحقّ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بالهداية في الإنسان فعل الهدى حتّى يعتقد الشيء على ما هو عليه، وبالضلال فعله أيضاً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بالهداية الإثابة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سَيَهْدِيهِمْ وَيُصْلِحُ بَالَهُمْ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أي يثيبهم، وبالضلال الهلاك والإبطال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يُضِلَّ أَعْمَالَهُمْ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ولا ريب أنّ معاني الهداية كلّها صادقة فى صفته تعالى لأنّه نصب الدلالة وفعلها وأتاب عليها، وأمّا الأوّلان من معانى الضلال فلا يجوز نسبتهما إليه تعالى لقبحهما ولنهيه </w:t>
      </w:r>
      <w:r>
        <w:rPr>
          <w:rStyle w:val="FootnoteAnchor"/>
          <w:rtl w:val="true"/>
        </w:rPr>
        <w:footnoteReference w:id="208"/>
      </w:r>
      <w:r>
        <w:rPr>
          <w:rFonts w:ascii="Amiri" w:hAnsi="Amiri" w:eastAsia="Amiri" w:cs="Amiri"/>
          <w:color w:val="111111"/>
          <w:sz w:val="28"/>
          <w:sz w:val="28"/>
          <w:szCs w:val="28"/>
          <w:rtl w:val="true"/>
          <w:lang w:bidi="ar-SA"/>
        </w:rPr>
        <w:t xml:space="preserve">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المعنى الثالث فيجوز نسبته إليه تعالى لأنّه يهلك العصاة ويعاقبهم</w:t>
      </w:r>
      <w:r>
        <w:rPr>
          <w:rFonts w:eastAsia="Amiri" w:cs="Amiri" w:ascii="Amiri" w:hAnsi="Amiri"/>
          <w:color w:val="111111"/>
          <w:sz w:val="28"/>
          <w:szCs w:val="28"/>
          <w:rtl w:val="true"/>
          <w:lang w:bidi="ar-SA"/>
        </w:rPr>
        <w:t xml:space="preserve">. </w:t>
      </w:r>
      <w:bookmarkStart w:id="253" w:name="pg10769_112206"/>
    </w:p>
    <w:p>
      <w:pPr>
        <w:pStyle w:val="Heading3"/>
        <w:numPr>
          <w:ilvl w:val="2"/>
          <w:numId w:val="1"/>
        </w:numPr>
        <w:rPr/>
      </w:pPr>
      <w:bookmarkStart w:id="254" w:name="__RefHeading___Toc7543499_1051229030"/>
      <w:bookmarkStart w:id="255" w:name="_Toc93"/>
      <w:bookmarkEnd w:id="253"/>
      <w:bookmarkEnd w:id="254"/>
      <w:r>
        <w:rPr>
          <w:rtl w:val="true"/>
        </w:rPr>
        <w:t xml:space="preserve">أصل </w:t>
      </w:r>
      <w:r>
        <w:rPr>
          <w:rtl w:val="true"/>
        </w:rPr>
        <w:t xml:space="preserve">[ </w:t>
      </w:r>
      <w:r>
        <w:rPr>
          <w:rtl w:val="true"/>
        </w:rPr>
        <w:t xml:space="preserve">في أنه تعالى لا يفعل القبيح </w:t>
      </w:r>
      <w:r>
        <w:rPr>
          <w:rtl w:val="true"/>
        </w:rPr>
        <w:t>]</w:t>
      </w:r>
      <w:bookmarkEnd w:id="255"/>
    </w:p>
    <w:p>
      <w:pPr>
        <w:pStyle w:val="BookText"/>
        <w:rPr/>
      </w:pPr>
      <w:r>
        <w:rPr>
          <w:rFonts w:ascii="IRNazanin" w:hAnsi="IRNazanin" w:eastAsia="IRNazanin"/>
          <w:color w:val="111111"/>
          <w:sz w:val="28"/>
          <w:sz w:val="28"/>
          <w:szCs w:val="28"/>
          <w:rtl w:val="true"/>
          <w:lang w:bidi="fa-IR"/>
        </w:rPr>
        <w:t xml:space="preserve">أصل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لا يفعل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أنّه تعالى لا يفعل قبيحاً ، ولا يخلّ بواجب، لأنّ له صارفاً عنهما ولا داعى إليهما، وكلّ من كان كذلك امتنع </w:t>
      </w:r>
      <w:r>
        <w:rPr>
          <w:rStyle w:val="FootnoteAnchor"/>
          <w:rtl w:val="true"/>
        </w:rPr>
        <w:footnoteReference w:id="210"/>
      </w:r>
      <w:r>
        <w:rPr>
          <w:rFonts w:ascii="Amiri" w:hAnsi="Amiri" w:eastAsia="Amiri" w:cs="Amiri"/>
          <w:color w:val="111111"/>
          <w:sz w:val="28"/>
          <w:sz w:val="28"/>
          <w:szCs w:val="28"/>
          <w:rtl w:val="true"/>
          <w:lang w:bidi="ar-SA"/>
        </w:rPr>
        <w:t xml:space="preserve">منه ؛ أمّا الصغرى فعلمه بما فيهما من المفسدة وغناه عنهما صارف له عن فعلهما، وأمّا بيان ثانيها </w:t>
      </w:r>
      <w:r>
        <w:rPr>
          <w:rStyle w:val="FootnoteAnchor"/>
          <w:rtl w:val="true"/>
        </w:rPr>
        <w:footnoteReference w:id="211"/>
      </w:r>
      <w:r>
        <w:rPr>
          <w:rFonts w:ascii="Amiri" w:hAnsi="Amiri" w:eastAsia="Amiri" w:cs="Amiri"/>
          <w:color w:val="111111"/>
          <w:sz w:val="28"/>
          <w:sz w:val="28"/>
          <w:szCs w:val="28"/>
          <w:rtl w:val="true"/>
          <w:lang w:bidi="ar-SA"/>
        </w:rPr>
        <w:t xml:space="preserve">فلانّه لمّا تحقّق الصارف انتفى الداعي وإلّا لزم اجتماع الضدّين، ولأنّ الداعي لو حصل لكان إمّا داعي الطبع أو داعي الحاجة، وهما محالان عليه تعالى لما ثبت من غناه، وأمّا داعي الحكمة فهو </w:t>
      </w:r>
      <w:r>
        <w:rPr>
          <w:rStyle w:val="FootnoteAnchor"/>
          <w:rtl w:val="true"/>
        </w:rPr>
        <w:footnoteReference w:id="212"/>
      </w:r>
      <w:r>
        <w:rPr>
          <w:rFonts w:ascii="Amiri" w:hAnsi="Amiri" w:eastAsia="Amiri" w:cs="Amiri"/>
          <w:color w:val="111111"/>
          <w:sz w:val="28"/>
          <w:sz w:val="28"/>
          <w:szCs w:val="28"/>
          <w:rtl w:val="true"/>
          <w:lang w:bidi="ar-SA"/>
        </w:rPr>
        <w:t xml:space="preserve">باطل إذ لا حكمة فيما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فلما ثبت من تساوي طرفي الممكن واستناد الترجيح إلى الداعي وعدم الصارف وهما مفقودان، فثبت المطلوب، وهو امتناع فعل القبيح والإخلال بالواجب منه تعالى وقد تقدّم ما دلّ على بطلان كلام الأشعريّ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7543501_1051229030"/>
      <w:bookmarkStart w:id="257" w:name="_Toc94"/>
      <w:bookmarkEnd w:id="256"/>
      <w:r>
        <w:rPr>
          <w:rtl w:val="true"/>
        </w:rPr>
        <w:t xml:space="preserve">أصل </w:t>
      </w:r>
      <w:r>
        <w:rPr>
          <w:rtl w:val="true"/>
        </w:rPr>
        <w:t xml:space="preserve">[ </w:t>
      </w:r>
      <w:r>
        <w:rPr>
          <w:rtl w:val="true"/>
        </w:rPr>
        <w:t xml:space="preserve">في أنّ إرادة القبيح قبيحة </w:t>
      </w:r>
      <w:r>
        <w:rPr>
          <w:rtl w:val="true"/>
        </w:rPr>
        <w:t>]</w:t>
      </w:r>
      <w:bookmarkEnd w:id="2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إرادة القبيح والأمر به وترك إرادة الحسن قبيحة، لأنّ ذلك كلّه قبيح، وقد تقدّم استحالته عليه تعالى، ولأنّه تعالى نهى عن القبيح وأمر بالحسن فيكون كارهاً للأوّل مريداً للثانى، ولأنّه يلزم منه الرضا بالكفر، والرضا بالكفر كفرٌ </w:t>
      </w:r>
      <w:bookmarkStart w:id="258" w:name="pg10769_112207"/>
    </w:p>
    <w:p>
      <w:pPr>
        <w:pStyle w:val="BookText"/>
        <w:rPr/>
      </w:pPr>
      <w:bookmarkEnd w:id="258"/>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يَرْضَى لِعِبَادِهِ الْكُفْرَ</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7543503_1051229030"/>
      <w:bookmarkStart w:id="260" w:name="_Toc95"/>
      <w:bookmarkEnd w:id="259"/>
      <w:r>
        <w:rPr>
          <w:rtl w:val="true"/>
        </w:rPr>
        <w:t xml:space="preserve">أصل </w:t>
      </w:r>
      <w:r>
        <w:rPr>
          <w:rtl w:val="true"/>
        </w:rPr>
        <w:t xml:space="preserve">[ </w:t>
      </w:r>
      <w:r>
        <w:rPr>
          <w:rtl w:val="true"/>
        </w:rPr>
        <w:t xml:space="preserve">فى التكليف </w:t>
      </w:r>
      <w:r>
        <w:rPr>
          <w:rtl w:val="true"/>
        </w:rPr>
        <w:t>]</w:t>
      </w:r>
      <w:bookmarkEnd w:id="260"/>
    </w:p>
    <w:p>
      <w:pPr>
        <w:pStyle w:val="BookText"/>
        <w:rPr/>
      </w:pPr>
      <w:r>
        <w:rPr>
          <w:rFonts w:ascii="Amiri" w:hAnsi="Amiri" w:eastAsia="Amiri" w:cs="Amiri"/>
          <w:color w:val="111111"/>
          <w:sz w:val="28"/>
          <w:sz w:val="28"/>
          <w:szCs w:val="28"/>
          <w:rtl w:val="true"/>
          <w:lang w:bidi="ar-SA"/>
        </w:rPr>
        <w:t xml:space="preserve">التكليف بعث من تجب طاعته ابتداءً على ما فيه مشقّة بشرط الإعلام، فبقيد الابتداء خرج النبيّ والإمام وغيرهما ممّا تجب طاعته، وبقيد المشقّة خرج ما لا مشقّة فيه كالنكاح المستلذّ </w:t>
      </w:r>
      <w:r>
        <w:rPr>
          <w:rStyle w:val="FootnoteAnchor"/>
          <w:rtl w:val="true"/>
        </w:rPr>
        <w:footnoteReference w:id="215"/>
      </w:r>
      <w:r>
        <w:rPr>
          <w:rFonts w:ascii="Amiri" w:hAnsi="Amiri" w:eastAsia="Amiri" w:cs="Amiri"/>
          <w:color w:val="111111"/>
          <w:sz w:val="28"/>
          <w:sz w:val="28"/>
          <w:szCs w:val="28"/>
          <w:rtl w:val="true"/>
          <w:lang w:bidi="ar-SA"/>
        </w:rPr>
        <w:t xml:space="preserve">، واشتراط الإعلام لأنّه شرط لا أنّه تمام حقيقته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7543505_1051229030"/>
      <w:bookmarkStart w:id="262" w:name="_Toc96"/>
      <w:bookmarkEnd w:id="261"/>
      <w:r>
        <w:rPr>
          <w:rtl w:val="true"/>
        </w:rPr>
        <w:t xml:space="preserve">أصل </w:t>
      </w:r>
      <w:r>
        <w:rPr>
          <w:rtl w:val="true"/>
        </w:rPr>
        <w:t xml:space="preserve">[ </w:t>
      </w:r>
      <w:r>
        <w:rPr>
          <w:rtl w:val="true"/>
        </w:rPr>
        <w:t xml:space="preserve">في أقسام التكليف </w:t>
      </w:r>
      <w:r>
        <w:rPr>
          <w:rtl w:val="true"/>
        </w:rPr>
        <w:t>]</w:t>
      </w:r>
      <w:bookmarkEnd w:id="262"/>
    </w:p>
    <w:p>
      <w:pPr>
        <w:pStyle w:val="BookText"/>
        <w:rPr/>
      </w:pPr>
      <w:r>
        <w:rPr>
          <w:rFonts w:ascii="Amiri" w:hAnsi="Amiri" w:eastAsia="Amiri" w:cs="Amiri"/>
          <w:color w:val="111111"/>
          <w:sz w:val="28"/>
          <w:sz w:val="28"/>
          <w:szCs w:val="28"/>
          <w:rtl w:val="true"/>
          <w:lang w:bidi="ar-SA"/>
        </w:rPr>
        <w:t>التكليف ينقسم إلى علم وعملٍ؛ فالعلم العقليّ كالمعرفة بالله وصفاته، وإلى شرعّي كالعبادات، وإلى ظنّ كالقبلة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 إمّا عقليّ كردّ الوديعة وشكر المنعم من الواجب والفضل وحسن المعاش من الندب وشرعيّ كفعل العبادات وغيرها بما لا يستقلّ العقل بدركه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7543507_1051229030"/>
      <w:bookmarkStart w:id="264" w:name="_Toc97"/>
      <w:bookmarkEnd w:id="263"/>
      <w:r>
        <w:rPr>
          <w:rtl w:val="true"/>
        </w:rPr>
        <w:t xml:space="preserve">أصل </w:t>
      </w:r>
      <w:r>
        <w:rPr>
          <w:rtl w:val="true"/>
        </w:rPr>
        <w:t xml:space="preserve">[ </w:t>
      </w:r>
      <w:r>
        <w:rPr>
          <w:rtl w:val="true"/>
        </w:rPr>
        <w:t xml:space="preserve">في شرائط التكليف </w:t>
      </w:r>
      <w:r>
        <w:rPr>
          <w:rtl w:val="true"/>
        </w:rPr>
        <w:t>]</w:t>
      </w:r>
      <w:bookmarkEnd w:id="264"/>
    </w:p>
    <w:p>
      <w:pPr>
        <w:pStyle w:val="BookText"/>
        <w:rPr/>
      </w:pPr>
      <w:r>
        <w:rPr>
          <w:rFonts w:ascii="Amiri" w:hAnsi="Amiri" w:eastAsia="Amiri" w:cs="Amiri"/>
          <w:color w:val="111111"/>
          <w:sz w:val="28"/>
          <w:sz w:val="28"/>
          <w:szCs w:val="28"/>
          <w:rtl w:val="true"/>
          <w:lang w:bidi="ar-SA"/>
        </w:rPr>
        <w:t xml:space="preserve">شرائط التكليف إمّا راجعة إلى الربّ ، وهى أربعة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عالماً بصفات الأفعال وإلّا لجاز عليه فعل القبيح وترك الحسن، </w:t>
      </w:r>
      <w:bookmarkStart w:id="265" w:name="pg10769_112208"/>
    </w:p>
    <w:p>
      <w:pPr>
        <w:pStyle w:val="BookText"/>
        <w:rPr/>
      </w:pPr>
      <w:bookmarkEnd w:id="265"/>
      <w:r>
        <w:rPr>
          <w:rFonts w:ascii="Amiri" w:hAnsi="Amiri" w:eastAsia="Amiri" w:cs="Amiri"/>
          <w:color w:val="111111"/>
          <w:sz w:val="28"/>
          <w:sz w:val="28"/>
          <w:szCs w:val="28"/>
          <w:rtl w:val="true"/>
          <w:lang w:bidi="ar-SA"/>
        </w:rPr>
        <w:t xml:space="preserve">وهما محالان عليه لما </w:t>
      </w:r>
      <w:r>
        <w:rPr>
          <w:rStyle w:val="FootnoteAnchor"/>
          <w:rtl w:val="true"/>
        </w:rPr>
        <w:footnoteReference w:id="218"/>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عالماً بقدر الثواب والعقاب وإلا لجاز منه إيصال المكلّف دون حقّه أو عاقب فوق مستحقّه فيكون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قادراً على إيصال المستحقّ حقّه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لا يخلّ بالواجب وإلّا لجاز تركه فيكون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راجعة إلى العبد، وهى أربعة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قادراً على فعل ما كُلِّف به لقبح تكليف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عالماً به أو إمكان </w:t>
      </w:r>
      <w:r>
        <w:rPr>
          <w:rStyle w:val="FootnoteAnchor"/>
          <w:rtl w:val="true"/>
        </w:rPr>
        <w:footnoteReference w:id="219"/>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تمكّنه من الشرائط والآلات لعدم إمكان الفعل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المحلّ قابلاً فلو كان صبيّاً غير مميّز أو مجنوناً أو غافلاً لم يصحّ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راجعة إلى التكليف نفسه </w:t>
      </w:r>
      <w:r>
        <w:rPr>
          <w:rStyle w:val="FootnoteAnchor"/>
          <w:rtl w:val="true"/>
        </w:rPr>
        <w:footnoteReference w:id="220"/>
      </w:r>
      <w:r>
        <w:rPr>
          <w:rFonts w:ascii="Amiri" w:hAnsi="Amiri" w:eastAsia="Amiri" w:cs="Amiri"/>
          <w:color w:val="111111"/>
          <w:sz w:val="28"/>
          <w:sz w:val="28"/>
          <w:szCs w:val="28"/>
          <w:rtl w:val="true"/>
          <w:lang w:bidi="ar-SA"/>
        </w:rPr>
        <w:t>وهي هي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حسنه زائداً فلا تكليف بالمباح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 على زمان الفعل بقدر يتمكّن فيه من الاستدلال </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7543509_1051229030"/>
      <w:bookmarkStart w:id="267" w:name="_Toc98"/>
      <w:bookmarkEnd w:id="266"/>
      <w:r>
        <w:rPr>
          <w:rtl w:val="true"/>
        </w:rPr>
        <w:t xml:space="preserve">أصل </w:t>
      </w:r>
      <w:r>
        <w:rPr>
          <w:rtl w:val="true"/>
        </w:rPr>
        <w:t xml:space="preserve">[ </w:t>
      </w:r>
      <w:r>
        <w:rPr>
          <w:rtl w:val="true"/>
        </w:rPr>
        <w:t xml:space="preserve">في حسن التكليف </w:t>
      </w:r>
      <w:r>
        <w:rPr>
          <w:rtl w:val="true"/>
        </w:rPr>
        <w:t>]</w:t>
      </w:r>
      <w:bookmarkEnd w:id="26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التكليف حسن ، لأنّه من فعله تعالى وقد تقدّم نفي القبيح عنه، ووجه حسنه </w:t>
      </w:r>
      <w:bookmarkStart w:id="268" w:name="pg10769_112209"/>
    </w:p>
    <w:p>
      <w:pPr>
        <w:pStyle w:val="BookText"/>
        <w:rPr/>
      </w:pPr>
      <w:bookmarkEnd w:id="268"/>
      <w:r>
        <w:rPr>
          <w:rFonts w:ascii="Amiri" w:hAnsi="Amiri" w:eastAsia="Amiri" w:cs="Amiri"/>
          <w:color w:val="111111"/>
          <w:sz w:val="28"/>
          <w:sz w:val="28"/>
          <w:szCs w:val="28"/>
          <w:rtl w:val="true"/>
          <w:lang w:bidi="ar-SA"/>
        </w:rPr>
        <w:t xml:space="preserve">التعريض للثواب الدائم، ولا يمكن إيصال ذلك إلّا مع الاستحقاق، لأنّ تعظيم </w:t>
      </w:r>
      <w:r>
        <w:rPr>
          <w:rStyle w:val="FootnoteAnchor"/>
          <w:rtl w:val="true"/>
        </w:rPr>
        <w:footnoteReference w:id="222"/>
      </w:r>
      <w:r>
        <w:rPr>
          <w:rFonts w:ascii="Amiri" w:hAnsi="Amiri" w:eastAsia="Amiri" w:cs="Amiri"/>
          <w:color w:val="111111"/>
          <w:sz w:val="28"/>
          <w:sz w:val="28"/>
          <w:szCs w:val="28"/>
          <w:rtl w:val="true"/>
          <w:lang w:bidi="ar-SA"/>
        </w:rPr>
        <w:t xml:space="preserve">من لا يستحقّ وإهانته قبيحان عقلاً وشرعاً، ولأنّه لولاه لكان مغرياً بالقبيح، واللازم كالملزوم في البطلان، والملازمة ظاهرة فإنّ الله تعالى خلق الإنسان وجعل فيه شهوة القبيح والنفرة عن الحسن والعقل لا يستقلّ بجمع القبح والحسن ، فلو لم يكلّفه بفعل الحسن واجتناب القبيح لكان مغرياً له بفعل القبيح </w:t>
      </w:r>
      <w:r>
        <w:rPr>
          <w:rStyle w:val="FootnoteAnchor"/>
          <w:rtl w:val="true"/>
        </w:rPr>
        <w:footnoteReference w:id="223"/>
      </w:r>
      <w:r>
        <w:rPr>
          <w:rFonts w:ascii="Amiri" w:hAnsi="Amiri" w:eastAsia="Amiri" w:cs="Amiri"/>
          <w:color w:val="111111"/>
          <w:sz w:val="28"/>
          <w:sz w:val="28"/>
          <w:szCs w:val="28"/>
          <w:rtl w:val="true"/>
          <w:lang w:bidi="ar-SA"/>
        </w:rPr>
        <w:t xml:space="preserve">وترك الحسن وهو قبيح، والعلم بذلك غير كافٍ ، فإنّ </w:t>
      </w:r>
      <w:r>
        <w:rPr>
          <w:rStyle w:val="FootnoteAnchor"/>
          <w:rtl w:val="true"/>
        </w:rPr>
        <w:footnoteReference w:id="224"/>
      </w:r>
      <w:r>
        <w:rPr>
          <w:rFonts w:ascii="Amiri" w:hAnsi="Amiri" w:eastAsia="Amiri" w:cs="Amiri"/>
          <w:color w:val="111111"/>
          <w:sz w:val="28"/>
          <w:sz w:val="28"/>
          <w:szCs w:val="28"/>
          <w:rtl w:val="true"/>
          <w:lang w:bidi="ar-SA"/>
        </w:rPr>
        <w:t xml:space="preserve">كثيراً من العقلاء يعرفون ذلك ويقضون أوطارهم من اللذّات القبيحة مستسهلين بالذمّ غير محتفين </w:t>
      </w:r>
      <w:r>
        <w:rPr>
          <w:rStyle w:val="FootnoteAnchor"/>
          <w:rtl w:val="true"/>
        </w:rPr>
        <w:footnoteReference w:id="225"/>
      </w:r>
      <w:r>
        <w:rPr>
          <w:rFonts w:ascii="Amiri" w:hAnsi="Amiri" w:eastAsia="Amiri" w:cs="Amiri"/>
          <w:color w:val="111111"/>
          <w:sz w:val="28"/>
          <w:sz w:val="28"/>
          <w:szCs w:val="28"/>
          <w:rtl w:val="true"/>
          <w:lang w:bidi="ar-SA"/>
        </w:rPr>
        <w:t xml:space="preserve">بالمدح، وقد ظهر في أثناء ذلك وجه وجوبه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7543511_1051229030"/>
      <w:bookmarkStart w:id="270" w:name="_Toc99"/>
      <w:bookmarkEnd w:id="269"/>
      <w:r>
        <w:rPr>
          <w:rtl w:val="true"/>
        </w:rPr>
        <w:t xml:space="preserve">أصل </w:t>
      </w:r>
      <w:r>
        <w:rPr>
          <w:rtl w:val="true"/>
        </w:rPr>
        <w:t xml:space="preserve">[ </w:t>
      </w:r>
      <w:r>
        <w:rPr>
          <w:rtl w:val="true"/>
        </w:rPr>
        <w:t xml:space="preserve">في عموم التكليف </w:t>
      </w:r>
      <w:r>
        <w:rPr>
          <w:rtl w:val="true"/>
        </w:rPr>
        <w:t>]</w:t>
      </w:r>
      <w:bookmarkEnd w:id="270"/>
    </w:p>
    <w:p>
      <w:pPr>
        <w:pStyle w:val="BookText"/>
        <w:rPr/>
      </w:pPr>
      <w:r>
        <w:rPr>
          <w:rFonts w:ascii="Amiri" w:hAnsi="Amiri" w:eastAsia="Amiri" w:cs="Amiri"/>
          <w:color w:val="111111"/>
          <w:sz w:val="28"/>
          <w:sz w:val="28"/>
          <w:szCs w:val="28"/>
          <w:rtl w:val="true"/>
          <w:lang w:bidi="ar-SA"/>
        </w:rPr>
        <w:t xml:space="preserve">التكليف عامٌ في حقّ المؤمن والكافر لأنّ علّة حسنه التعريض، وكون الكافر لا ينتفع به لا يقتضي عدم حسنه، لأنّ ذلك من سوء اختياره لوجود التمكين </w:t>
      </w:r>
      <w:r>
        <w:rPr>
          <w:rStyle w:val="FootnoteAnchor"/>
          <w:rtl w:val="true"/>
        </w:rPr>
        <w:footnoteReference w:id="226"/>
      </w:r>
      <w:r>
        <w:rPr>
          <w:rFonts w:ascii="Amiri" w:hAnsi="Amiri" w:eastAsia="Amiri" w:cs="Amiri"/>
          <w:color w:val="111111"/>
          <w:sz w:val="28"/>
          <w:sz w:val="28"/>
          <w:szCs w:val="28"/>
          <w:rtl w:val="true"/>
          <w:lang w:bidi="ar-SA"/>
        </w:rPr>
        <w:t>كما في حقّ المؤمن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الجبّائيّان </w:t>
      </w:r>
      <w:r>
        <w:rPr>
          <w:rStyle w:val="FootnoteAnchor"/>
          <w:rtl w:val="true"/>
        </w:rPr>
        <w:footnoteReference w:id="227"/>
      </w:r>
      <w:r>
        <w:rPr>
          <w:rFonts w:ascii="Amiri" w:hAnsi="Amiri" w:eastAsia="Amiri" w:cs="Amiri"/>
          <w:color w:val="111111"/>
          <w:sz w:val="28"/>
          <w:sz w:val="28"/>
          <w:szCs w:val="28"/>
          <w:rtl w:val="true"/>
          <w:lang w:bidi="ar-SA"/>
        </w:rPr>
        <w:t xml:space="preserve">إلى أنّ المؤمن إذا علم كفره لم تجب إماتته لأنّ تكليفه في المستقبل حسن كالابتداء ، والخوارزميّ أوجب إماتته لأنّ بقاءه مفسدة لا تحسن من </w:t>
      </w:r>
      <w:bookmarkStart w:id="271" w:name="pg10769_112210"/>
    </w:p>
    <w:p>
      <w:pPr>
        <w:pStyle w:val="BookText"/>
        <w:rPr/>
      </w:pPr>
      <w:bookmarkEnd w:id="271"/>
      <w:r>
        <w:rPr>
          <w:rFonts w:ascii="Amiri" w:hAnsi="Amiri" w:eastAsia="Amiri" w:cs="Amiri"/>
          <w:color w:val="111111"/>
          <w:sz w:val="28"/>
          <w:sz w:val="28"/>
          <w:szCs w:val="28"/>
          <w:rtl w:val="true"/>
          <w:lang w:bidi="ar-SA"/>
        </w:rPr>
        <w:t xml:space="preserve">الحكيم، واختلفا في وجوب إبقاء الكافر المعلوم إيمانه فأوجبه أبو علىّ لما فيه من اللطفيّة، ومنعه أبو هاشم لأنّه تمكين فليس بلطف فلا يكون واجباً </w:t>
      </w:r>
      <w:r>
        <w:rPr>
          <w:rStyle w:val="FootnoteAnchor"/>
          <w:rtl w:val="true"/>
        </w:rPr>
        <w:footnoteReference w:id="228"/>
      </w:r>
      <w:r>
        <w:rPr>
          <w:rFonts w:ascii="IRNazanin" w:hAnsi="IRNazanin" w:eastAsia="IRNazanin"/>
          <w:color w:val="111111"/>
          <w:sz w:val="28"/>
          <w:sz w:val="28"/>
          <w:szCs w:val="28"/>
          <w:rtl w:val="true"/>
          <w:lang w:bidi="fa-IR"/>
        </w:rPr>
        <w:t>وهو أقوى</w:t>
      </w:r>
      <w:r>
        <w:rPr>
          <w:rFonts w:eastAsia="IRNazanin" w:cs="IRNazanin"/>
          <w:color w:val="111111"/>
          <w:sz w:val="28"/>
          <w:szCs w:val="28"/>
          <w:rtl w:val="true"/>
          <w:lang w:bidi="fa-IR"/>
        </w:rPr>
        <w:t>.</w:t>
      </w:r>
    </w:p>
    <w:p>
      <w:pPr>
        <w:pStyle w:val="Heading3"/>
        <w:numPr>
          <w:ilvl w:val="2"/>
          <w:numId w:val="1"/>
        </w:numPr>
        <w:rPr/>
      </w:pPr>
      <w:bookmarkStart w:id="272" w:name="__RefHeading___Toc7543513_1051229030"/>
      <w:bookmarkStart w:id="273" w:name="_Toc100"/>
      <w:bookmarkEnd w:id="272"/>
      <w:r>
        <w:rPr>
          <w:rtl w:val="true"/>
        </w:rPr>
        <w:t xml:space="preserve">أصل </w:t>
      </w:r>
      <w:r>
        <w:rPr>
          <w:rtl w:val="true"/>
        </w:rPr>
        <w:t xml:space="preserve">[ </w:t>
      </w:r>
      <w:r>
        <w:rPr>
          <w:rtl w:val="true"/>
        </w:rPr>
        <w:t xml:space="preserve">في انقطاع التكليف </w:t>
      </w:r>
      <w:r>
        <w:rPr>
          <w:rtl w:val="true"/>
        </w:rPr>
        <w:t>]</w:t>
      </w:r>
      <w:bookmarkEnd w:id="273"/>
    </w:p>
    <w:p>
      <w:pPr>
        <w:pStyle w:val="BookText"/>
        <w:rPr/>
      </w:pPr>
      <w:r>
        <w:rPr>
          <w:rFonts w:ascii="Amiri" w:hAnsi="Amiri" w:eastAsia="Amiri" w:cs="Amiri"/>
          <w:color w:val="111111"/>
          <w:sz w:val="28"/>
          <w:sz w:val="28"/>
          <w:szCs w:val="28"/>
          <w:rtl w:val="true"/>
          <w:lang w:bidi="ar-SA"/>
        </w:rPr>
        <w:t xml:space="preserve">التكليف منقطع للإجماع، ولأنّه لولاه لما أمكن إيصال الثواب، والتالي </w:t>
      </w:r>
      <w:r>
        <w:rPr>
          <w:rStyle w:val="FootnoteAnchor"/>
          <w:rtl w:val="true"/>
        </w:rPr>
        <w:footnoteReference w:id="229"/>
      </w:r>
      <w:r>
        <w:rPr>
          <w:rFonts w:ascii="Amiri" w:hAnsi="Amiri" w:eastAsia="Amiri" w:cs="Amiri"/>
          <w:color w:val="111111"/>
          <w:sz w:val="28"/>
          <w:sz w:val="28"/>
          <w:szCs w:val="28"/>
          <w:rtl w:val="true"/>
          <w:lang w:bidi="ar-SA"/>
        </w:rPr>
        <w:t xml:space="preserve">كالمقدّم فى البطلان، وبيان الشرطيّة أنّ التكليف مشقّة، والثواب لابدّ أن يكون خالياً عن المشاقّ فالجمع </w:t>
      </w:r>
      <w:r>
        <w:rPr>
          <w:rStyle w:val="FootnoteAnchor"/>
          <w:rtl w:val="true"/>
        </w:rPr>
        <w:footnoteReference w:id="230"/>
      </w:r>
      <w:r>
        <w:rPr>
          <w:rFonts w:ascii="Amiri" w:hAnsi="Amiri" w:eastAsia="Amiri" w:cs="Amiri"/>
          <w:color w:val="111111"/>
          <w:sz w:val="28"/>
          <w:sz w:val="28"/>
          <w:szCs w:val="28"/>
          <w:rtl w:val="true"/>
          <w:lang w:bidi="ar-SA"/>
        </w:rPr>
        <w:t xml:space="preserve">بينهما محال ، ولأنّه لولا انقطاعه للزم الإلجاء لأنّه إذا علم المكلّف حصول الثواب حال الطاعة </w:t>
      </w:r>
      <w:r>
        <w:rPr>
          <w:rStyle w:val="FootnoteAnchor"/>
          <w:rtl w:val="true"/>
        </w:rPr>
        <w:footnoteReference w:id="231"/>
      </w:r>
      <w:r>
        <w:rPr>
          <w:rFonts w:ascii="Amiri" w:hAnsi="Amiri" w:eastAsia="Amiri" w:cs="Amiri"/>
          <w:color w:val="111111"/>
          <w:sz w:val="28"/>
          <w:sz w:val="28"/>
          <w:szCs w:val="28"/>
          <w:rtl w:val="true"/>
          <w:lang w:bidi="ar-SA"/>
        </w:rPr>
        <w:t xml:space="preserve">والعقاب حال المعصية يكون ملجأ إلى فعل الطاعة وترك </w:t>
      </w:r>
      <w:r>
        <w:rPr>
          <w:rStyle w:val="FootnoteAnchor"/>
          <w:rtl w:val="true"/>
        </w:rPr>
        <w:footnoteReference w:id="232"/>
      </w:r>
      <w:r>
        <w:rPr>
          <w:rFonts w:ascii="Amiri" w:hAnsi="Amiri" w:eastAsia="Amiri" w:cs="Amiri"/>
          <w:color w:val="111111"/>
          <w:sz w:val="28"/>
          <w:sz w:val="28"/>
          <w:szCs w:val="28"/>
          <w:rtl w:val="true"/>
          <w:lang w:bidi="ar-SA"/>
        </w:rPr>
        <w:t xml:space="preserve">المعصية، والحدود ليست ملجئة لتجويز العاصي عدم الشعور ، والإلجاء في ابتداء الإسلام حسن لاطلاعه على أدلّة الحقّ فيدخل فيه وإسلامه الأوّل لا يستحقّ عليه ثواباً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7543515_1051229030"/>
      <w:bookmarkStart w:id="275" w:name="_Toc101"/>
      <w:bookmarkEnd w:id="274"/>
      <w:r>
        <w:rPr>
          <w:rtl w:val="true"/>
        </w:rPr>
        <w:t xml:space="preserve">أصل </w:t>
      </w:r>
      <w:r>
        <w:rPr>
          <w:rtl w:val="true"/>
        </w:rPr>
        <w:t xml:space="preserve">[ </w:t>
      </w:r>
      <w:r>
        <w:rPr>
          <w:rtl w:val="true"/>
        </w:rPr>
        <w:t xml:space="preserve">في اللُّطف </w:t>
      </w:r>
      <w:r>
        <w:rPr>
          <w:rtl w:val="true"/>
        </w:rPr>
        <w:t>]</w:t>
      </w:r>
      <w:bookmarkEnd w:id="2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اللطف ما يكون المكلّف معه أقرب إلى الطاعة وترك المعصية، ولاحظّ له في </w:t>
      </w:r>
      <w:bookmarkStart w:id="276" w:name="pg10769_112211"/>
    </w:p>
    <w:p>
      <w:pPr>
        <w:pStyle w:val="BookText"/>
        <w:rPr/>
      </w:pPr>
      <w:bookmarkEnd w:id="276"/>
      <w:r>
        <w:rPr>
          <w:rFonts w:ascii="Amiri" w:hAnsi="Amiri" w:eastAsia="Amiri" w:cs="Amiri"/>
          <w:color w:val="111111"/>
          <w:sz w:val="28"/>
          <w:sz w:val="28"/>
          <w:szCs w:val="28"/>
          <w:rtl w:val="true"/>
          <w:lang w:bidi="ar-SA"/>
        </w:rPr>
        <w:t xml:space="preserve">التمكين ، ولا يبلغ الإلجاء ، وهو واجب في الحكمة وإلّا لزم مناقضة الغرض، وهو سفه لا يفعله </w:t>
      </w:r>
      <w:r>
        <w:rPr>
          <w:rStyle w:val="FootnoteAnchor"/>
          <w:rtl w:val="true"/>
        </w:rPr>
        <w:footnoteReference w:id="233"/>
      </w:r>
      <w:r>
        <w:rPr>
          <w:rFonts w:ascii="Amiri" w:hAnsi="Amiri" w:eastAsia="Amiri" w:cs="Amiri"/>
          <w:color w:val="111111"/>
          <w:sz w:val="28"/>
          <w:sz w:val="28"/>
          <w:szCs w:val="28"/>
          <w:rtl w:val="true"/>
          <w:lang w:bidi="ar-SA"/>
        </w:rPr>
        <w:t xml:space="preserve">الحكيم كمن أراد حضور شخص مائدته وعلم أنّه لا يحضر إلّا بمراسلة أو نوع ملاطفة ، فلو لم يفعل ذلك لكان ناقضاً لغرضه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7543517_1051229030"/>
      <w:bookmarkStart w:id="278" w:name="_Toc102"/>
      <w:bookmarkEnd w:id="277"/>
      <w:r>
        <w:rPr>
          <w:rtl w:val="true"/>
        </w:rPr>
        <w:t xml:space="preserve">أصل </w:t>
      </w:r>
      <w:r>
        <w:rPr>
          <w:rtl w:val="true"/>
        </w:rPr>
        <w:t xml:space="preserve">[ </w:t>
      </w:r>
      <w:r>
        <w:rPr>
          <w:rtl w:val="true"/>
        </w:rPr>
        <w:t xml:space="preserve">في أنواع اللطف </w:t>
      </w:r>
      <w:r>
        <w:rPr>
          <w:rtl w:val="true"/>
        </w:rPr>
        <w:t>]</w:t>
      </w:r>
      <w:bookmarkEnd w:id="278"/>
    </w:p>
    <w:p>
      <w:pPr>
        <w:pStyle w:val="BookText"/>
        <w:rPr/>
      </w:pPr>
      <w:r>
        <w:rPr>
          <w:rFonts w:ascii="Amiri" w:hAnsi="Amiri" w:eastAsia="Amiri" w:cs="Amiri"/>
          <w:color w:val="111111"/>
          <w:sz w:val="28"/>
          <w:sz w:val="28"/>
          <w:szCs w:val="28"/>
          <w:rtl w:val="true"/>
          <w:lang w:bidi="ar-SA"/>
        </w:rPr>
        <w:t xml:space="preserve">قد يكون اللطف من فعل الله كإرسال الرسل ونصب الأدلّة، وقد يكون من فعل المكلّف نفسه، ويجب في حكمته تعالى أن يعرّفه به ويوجبه عليه كمتابعة الرسل، وقد يكون من فعل غيرهما، ويجب في الحكمة إيجابه عليه كتبليغ الرسالة ، ويجب أن يكون له في مقابله نفع يعود إليه لأنّ إيجابه عليه لمصلحة </w:t>
      </w:r>
      <w:r>
        <w:rPr>
          <w:rStyle w:val="FootnoteAnchor"/>
          <w:rtl w:val="true"/>
        </w:rPr>
        <w:footnoteReference w:id="234"/>
      </w:r>
      <w:r>
        <w:rPr>
          <w:rFonts w:ascii="Amiri" w:hAnsi="Amiri" w:eastAsia="Amiri" w:cs="Amiri"/>
          <w:color w:val="111111"/>
          <w:sz w:val="28"/>
          <w:sz w:val="28"/>
          <w:szCs w:val="28"/>
          <w:rtl w:val="true"/>
          <w:lang w:bidi="ar-SA"/>
        </w:rPr>
        <w:t xml:space="preserve">غيره مع عدم نفع يصل إليه ،ظلم تعالى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لابدّ من العلم أنّ ذلك الغير يوقعه وإلّا لزم نقض الغرض</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7543519_1051229030"/>
      <w:bookmarkStart w:id="280" w:name="_Toc103"/>
      <w:bookmarkEnd w:id="279"/>
      <w:r>
        <w:rPr>
          <w:rtl w:val="true"/>
        </w:rPr>
        <w:t xml:space="preserve">أصل </w:t>
      </w:r>
      <w:r>
        <w:rPr>
          <w:rtl w:val="true"/>
        </w:rPr>
        <w:t xml:space="preserve">[ </w:t>
      </w:r>
      <w:r>
        <w:rPr>
          <w:rtl w:val="true"/>
        </w:rPr>
        <w:t xml:space="preserve">في أنّ اللطف للمسلم والكافر </w:t>
      </w:r>
      <w:r>
        <w:rPr>
          <w:rtl w:val="true"/>
        </w:rPr>
        <w:t>]</w:t>
      </w:r>
      <w:bookmarkEnd w:id="2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اللطف عامٌ للمسلم والكافر لأنّه لطف من حيث إنّه مقرّب للطاعة، وعدم الطاعة من الكافر لسوء اختياره فيقبح عقاب المكلّف إذا لم يفعل المكلّف للطف </w:t>
      </w:r>
      <w:r>
        <w:rPr>
          <w:rStyle w:val="FootnoteAnchor"/>
          <w:rtl w:val="true"/>
        </w:rPr>
        <w:footnoteReference w:id="235"/>
      </w:r>
      <w:r>
        <w:rPr>
          <w:rFonts w:ascii="Amiri" w:hAnsi="Amiri" w:eastAsia="Amiri" w:cs="Amiri"/>
          <w:color w:val="111111"/>
          <w:sz w:val="28"/>
          <w:sz w:val="28"/>
          <w:szCs w:val="28"/>
          <w:rtl w:val="true"/>
          <w:lang w:bidi="ar-SA"/>
        </w:rPr>
        <w:t>، لأنّه بذلك كالأمر بالمعصية، ويجب أن لا يبلغ الإلجاء وإلّا لكان منافياً للتكليف، ويجوز أن يقوم غيره مقامه لاشتمال كلّ من الفعلين على مصلحة اللطفيّة</w:t>
      </w:r>
      <w:r>
        <w:rPr>
          <w:rFonts w:eastAsia="Amiri" w:cs="Amiri" w:ascii="Amiri" w:hAnsi="Amiri"/>
          <w:color w:val="111111"/>
          <w:sz w:val="28"/>
          <w:szCs w:val="28"/>
          <w:rtl w:val="true"/>
          <w:lang w:bidi="ar-SA"/>
        </w:rPr>
        <w:t xml:space="preserve">. </w:t>
      </w:r>
      <w:bookmarkStart w:id="281" w:name="pg10769_112212"/>
    </w:p>
    <w:p>
      <w:pPr>
        <w:pStyle w:val="Heading3"/>
        <w:numPr>
          <w:ilvl w:val="2"/>
          <w:numId w:val="1"/>
        </w:numPr>
        <w:rPr/>
      </w:pPr>
      <w:bookmarkStart w:id="282" w:name="__RefHeading___Toc7543521_1051229030"/>
      <w:bookmarkStart w:id="283" w:name="_Toc104"/>
      <w:bookmarkEnd w:id="281"/>
      <w:bookmarkEnd w:id="282"/>
      <w:r>
        <w:rPr>
          <w:rtl w:val="true"/>
        </w:rPr>
        <w:t xml:space="preserve">أصل </w:t>
      </w:r>
      <w:r>
        <w:rPr>
          <w:rtl w:val="true"/>
        </w:rPr>
        <w:t xml:space="preserve">[ </w:t>
      </w:r>
      <w:r>
        <w:rPr>
          <w:rtl w:val="true"/>
        </w:rPr>
        <w:t xml:space="preserve">فى الامر بالمعروف والنهي عن المنكر </w:t>
      </w:r>
      <w:r>
        <w:rPr>
          <w:rtl w:val="true"/>
        </w:rPr>
        <w:t>]</w:t>
      </w:r>
      <w:bookmarkEnd w:id="283"/>
    </w:p>
    <w:p>
      <w:pPr>
        <w:pStyle w:val="BookText"/>
        <w:rPr/>
      </w:pPr>
      <w:r>
        <w:rPr>
          <w:rFonts w:ascii="Amiri" w:hAnsi="Amiri" w:eastAsia="Amiri" w:cs="Amiri"/>
          <w:color w:val="111111"/>
          <w:sz w:val="28"/>
          <w:sz w:val="28"/>
          <w:szCs w:val="28"/>
          <w:rtl w:val="true"/>
          <w:lang w:bidi="ar-SA"/>
        </w:rPr>
        <w:t xml:space="preserve">الأمر بالمعروف والنهي عن المنكر واجب عقلاً للطفيّة، لأن المكلّف إذا علم أنّه إذا ترك الواجب أو فعل المعصية منع أو عوقب كان ذلك مقرباً له إلى فعل الطاعة وترك المعصية </w:t>
      </w:r>
      <w:r>
        <w:rPr>
          <w:rStyle w:val="FootnoteAnchor"/>
          <w:rtl w:val="true"/>
        </w:rPr>
        <w:footnoteReference w:id="236"/>
      </w:r>
      <w:r>
        <w:rPr>
          <w:rFonts w:ascii="Amiri" w:hAnsi="Amiri" w:eastAsia="Amiri" w:cs="Amiri"/>
          <w:color w:val="111111"/>
          <w:sz w:val="28"/>
          <w:sz w:val="28"/>
          <w:szCs w:val="28"/>
          <w:rtl w:val="true"/>
          <w:lang w:bidi="ar-SA"/>
        </w:rPr>
        <w:t xml:space="preserve">فيكون واجباً، ووجوبه كفاية لأنّ الغرض وقوع المعروف وارتفاع المنكر ، فيكفي حصولهما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والوجوب ليس مطلقاً ، بل مشروطاً بعلم الأمر والناهي بالوجه، وإلّا لجاز الخلاف فيقع المنكر ويرتفع المعروف، وتجويز التأثير وإلّا لزم العبث، وعدم حصول مفسدة غير مستحقّة وإلّا لحصل ما هو أعظم من المقصود ، ولا ينتقل إلى الأشقّ مع إنجاع الأسهل سواء كان بالقلب أو اللسان أو الجوارح، والأمر بالندب ندب</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7543523_1051229030"/>
      <w:bookmarkStart w:id="285" w:name="_Toc105"/>
      <w:bookmarkEnd w:id="284"/>
      <w:r>
        <w:rPr>
          <w:rtl w:val="true"/>
        </w:rPr>
        <w:t xml:space="preserve">اصل </w:t>
      </w:r>
      <w:r>
        <w:rPr>
          <w:rtl w:val="true"/>
        </w:rPr>
        <w:t xml:space="preserve">[ </w:t>
      </w:r>
      <w:r>
        <w:rPr>
          <w:rtl w:val="true"/>
        </w:rPr>
        <w:t xml:space="preserve">في الرزق </w:t>
      </w:r>
      <w:r>
        <w:rPr>
          <w:rtl w:val="true"/>
        </w:rPr>
        <w:t>]</w:t>
      </w:r>
      <w:bookmarkEnd w:id="285"/>
    </w:p>
    <w:p>
      <w:pPr>
        <w:pStyle w:val="BookText"/>
        <w:rPr/>
      </w:pPr>
      <w:r>
        <w:rPr>
          <w:rFonts w:ascii="Amiri" w:hAnsi="Amiri" w:eastAsia="Amiri" w:cs="Amiri"/>
          <w:color w:val="111111"/>
          <w:sz w:val="28"/>
          <w:sz w:val="28"/>
          <w:szCs w:val="28"/>
          <w:rtl w:val="true"/>
          <w:lang w:bidi="ar-SA"/>
        </w:rPr>
        <w:t xml:space="preserve">الرزق ما جاز في العقل والشرع الانتفاع به ولم يكن للغير المنع منه، فالبهيمة </w:t>
      </w:r>
      <w:r>
        <w:rPr>
          <w:rStyle w:val="FootnoteAnchor"/>
          <w:rtl w:val="true"/>
        </w:rPr>
        <w:footnoteReference w:id="237"/>
      </w:r>
      <w:r>
        <w:rPr>
          <w:rFonts w:ascii="IRNazanin" w:hAnsi="IRNazanin" w:eastAsia="IRNazanin"/>
          <w:color w:val="111111"/>
          <w:sz w:val="28"/>
          <w:sz w:val="28"/>
          <w:szCs w:val="28"/>
          <w:rtl w:val="true"/>
          <w:lang w:bidi="fa-IR"/>
        </w:rPr>
        <w:t>مرزوقة ، وقد يكون مالاً وولداً وجاهاً وعلماً وحياة وزوجة، والضيافة قبل استهلاكها لیست رزقاً لأنّ لصاحبها المنع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والحرام كذلك، وقد يأكل الإنسان رزق غيره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الرزق قد لا يجب عليه تعالى إلّا مع الطلب لاشتماله على اللطفيّة في الاجتهاد في المنافع الأُخروية، لأنّها إذا كانت المنافع الدنيويّة تحتاج إلى الكسب </w:t>
      </w:r>
      <w:bookmarkStart w:id="286" w:name="pg10769_112213"/>
    </w:p>
    <w:p>
      <w:pPr>
        <w:pStyle w:val="BookText"/>
        <w:rPr/>
      </w:pPr>
      <w:bookmarkEnd w:id="286"/>
      <w:r>
        <w:rPr>
          <w:rFonts w:ascii="Amiri" w:hAnsi="Amiri" w:eastAsia="Amiri" w:cs="Amiri"/>
          <w:color w:val="111111"/>
          <w:sz w:val="28"/>
          <w:sz w:val="28"/>
          <w:szCs w:val="28"/>
          <w:rtl w:val="true"/>
          <w:lang w:bidi="ar-SA"/>
        </w:rPr>
        <w:t>فالمنافع الأُخرويّة أولى، وقد يمنع منه تعالى لاشتماله على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ينقسم إلى الأحكام الخمسة، وتمسّك الصوفيّة بالمنع من الطلب </w:t>
      </w:r>
      <w:r>
        <w:rPr>
          <w:rStyle w:val="FootnoteAnchor"/>
          <w:rtl w:val="true"/>
        </w:rPr>
        <w:footnoteReference w:id="238"/>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7543525_1051229030"/>
      <w:bookmarkStart w:id="288" w:name="_Toc106"/>
      <w:bookmarkEnd w:id="287"/>
      <w:r>
        <w:rPr>
          <w:rtl w:val="true"/>
        </w:rPr>
        <w:t xml:space="preserve">أصل </w:t>
      </w:r>
      <w:r>
        <w:rPr>
          <w:rtl w:val="true"/>
        </w:rPr>
        <w:t xml:space="preserve">[ </w:t>
      </w:r>
      <w:r>
        <w:rPr>
          <w:rtl w:val="true"/>
        </w:rPr>
        <w:t xml:space="preserve">في الأسعار </w:t>
      </w:r>
      <w:r>
        <w:rPr>
          <w:rtl w:val="true"/>
        </w:rPr>
        <w:t>]</w:t>
      </w:r>
      <w:bookmarkEnd w:id="288"/>
    </w:p>
    <w:p>
      <w:pPr>
        <w:pStyle w:val="BookText"/>
        <w:rPr/>
      </w:pPr>
      <w:r>
        <w:rPr>
          <w:rFonts w:ascii="Amiri" w:hAnsi="Amiri" w:eastAsia="Amiri" w:cs="Amiri"/>
          <w:color w:val="111111"/>
          <w:sz w:val="28"/>
          <w:sz w:val="28"/>
          <w:szCs w:val="28"/>
          <w:rtl w:val="true"/>
          <w:lang w:bidi="ar-SA"/>
        </w:rPr>
        <w:t xml:space="preserve">السعر رخصاً وهو القدر المنحطّ عمّا جرت به العادة مع اتّحاد الوقت والمكان ، وغلاءاً وهو ضدّه ، واعتبر الاتّحاد في الوقت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رخيص في الشتاء حال نزوله ، ويقال حال عدمه في الصيف ، وكذا الكلام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إنّهما إن اشتملا على وجه حسن فمنه تعالى ومنّا، وإن اشتملا على وجه قبح فمنّا خاصّة، وما يكون منه تعالى فقد يكون لطفاً وقد يكون </w:t>
      </w:r>
      <w:r>
        <w:rPr>
          <w:rStyle w:val="FootnoteAnchor"/>
          <w:rtl w:val="true"/>
        </w:rPr>
        <w:footnoteReference w:id="239"/>
      </w:r>
      <w:r>
        <w:rPr>
          <w:rFonts w:ascii="Amiri" w:hAnsi="Amiri" w:eastAsia="Amiri" w:cs="Amiri"/>
          <w:color w:val="111111"/>
          <w:sz w:val="28"/>
          <w:sz w:val="28"/>
          <w:szCs w:val="28"/>
          <w:rtl w:val="true"/>
          <w:lang w:bidi="ar-SA"/>
        </w:rPr>
        <w:t>ابتلاءاً</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7543527_1051229030"/>
      <w:bookmarkStart w:id="290" w:name="_Toc107"/>
      <w:bookmarkEnd w:id="289"/>
      <w:r>
        <w:rPr>
          <w:rtl w:val="true"/>
        </w:rPr>
        <w:t xml:space="preserve">أصل </w:t>
      </w:r>
      <w:r>
        <w:rPr>
          <w:rtl w:val="true"/>
        </w:rPr>
        <w:t xml:space="preserve">[ </w:t>
      </w:r>
      <w:r>
        <w:rPr>
          <w:rtl w:val="true"/>
        </w:rPr>
        <w:t xml:space="preserve">في الأَجَل </w:t>
      </w:r>
      <w:r>
        <w:rPr>
          <w:rtl w:val="true"/>
        </w:rPr>
        <w:t>]</w:t>
      </w:r>
      <w:bookmarkEnd w:id="29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الأجل هو الوقت الذي علم الله تعالى بطلان الحياة فيه، وقد يكون لُطفاً لغیر صاحبه، واتّفق على أنّ من مات حتف أنفه مات بأجله، واختلف في من مات </w:t>
      </w:r>
    </w:p>
    <w:p>
      <w:pPr>
        <w:pStyle w:val="BookText"/>
        <w:rPr/>
      </w:pPr>
      <w:r>
        <w:rPr>
          <w:rFonts w:ascii="Amiri" w:hAnsi="Amiri" w:eastAsia="Amiri" w:cs="Amiri"/>
          <w:color w:val="111111"/>
          <w:sz w:val="28"/>
          <w:sz w:val="28"/>
          <w:szCs w:val="28"/>
          <w:rtl w:val="true"/>
          <w:lang w:bidi="ar-SA"/>
        </w:rPr>
        <w:t xml:space="preserve">بسبب خارج فقال أبو الهذيل </w:t>
      </w:r>
      <w:r>
        <w:rPr>
          <w:rStyle w:val="FootnoteAnchor"/>
          <w:rtl w:val="true"/>
        </w:rPr>
        <w:footnoteReference w:id="240"/>
      </w:r>
      <w:r>
        <w:rPr>
          <w:rFonts w:ascii="Amiri" w:hAnsi="Amiri" w:eastAsia="Amiri" w:cs="Amiri"/>
          <w:color w:val="111111"/>
          <w:sz w:val="28"/>
          <w:sz w:val="28"/>
          <w:szCs w:val="28"/>
          <w:rtl w:val="true"/>
          <w:lang w:bidi="ar-SA"/>
        </w:rPr>
        <w:t xml:space="preserve">كالأوّل وإنّه لولا السبب لمات حتماً وإلا لكان القاتل قاطعاً لحياة المعلومة له تعالى للزوم انقلاب علمه تعالى جهلاً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البغداديّون من المعتزلة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بأجله وإنّه لولا هذا السبب لوجبت </w:t>
      </w:r>
      <w:r>
        <w:rPr>
          <w:rStyle w:val="FootnoteAnchor"/>
          <w:rtl w:val="true"/>
        </w:rPr>
        <w:footnoteReference w:id="243"/>
      </w:r>
      <w:r>
        <w:rPr>
          <w:rFonts w:ascii="Amiri" w:hAnsi="Amiri" w:eastAsia="Amiri" w:cs="Amiri"/>
          <w:color w:val="111111"/>
          <w:sz w:val="28"/>
          <w:sz w:val="28"/>
          <w:szCs w:val="28"/>
          <w:rtl w:val="true"/>
          <w:lang w:bidi="ar-SA"/>
        </w:rPr>
        <w:t xml:space="preserve">حياته وإلّا لكان من ذبح غنم غيره محسناً إليه </w:t>
      </w:r>
      <w:r>
        <w:rPr>
          <w:rStyle w:val="FootnoteAnchor"/>
          <w:rtl w:val="true"/>
        </w:rPr>
        <w:footnoteReference w:id="244"/>
      </w:r>
      <w:r>
        <w:rPr>
          <w:rFonts w:ascii="IRNazanin" w:hAnsi="IRNazanin" w:eastAsia="IRNazanin"/>
          <w:color w:val="111111"/>
          <w:sz w:val="28"/>
          <w:sz w:val="28"/>
          <w:szCs w:val="28"/>
          <w:rtl w:val="true"/>
          <w:lang w:bidi="fa-IR"/>
        </w:rPr>
        <w:t xml:space="preserve">وهو باطل للذم </w:t>
      </w:r>
      <w:r>
        <w:rPr>
          <w:rStyle w:val="FootnoteAnchor"/>
          <w:rtl w:val="true"/>
        </w:rPr>
        <w:footnoteReference w:id="245"/>
      </w:r>
      <w:r>
        <w:rPr>
          <w:rFonts w:ascii="Amiri" w:hAnsi="Amiri" w:eastAsia="Amiri" w:cs="Amiri"/>
          <w:color w:val="111111"/>
          <w:sz w:val="28"/>
          <w:sz w:val="28"/>
          <w:szCs w:val="28"/>
          <w:rtl w:val="true"/>
          <w:lang w:bidi="ar-SA"/>
        </w:rPr>
        <w:t>وإنّه يغرم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مشروط وهو تابع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الثاني بأن ذمّه باعتبار تفويته العوض الكثير عليه تعالى وبإقدامه على مال غيره، ولهذا يغرم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البصريّون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الأمران لعدم دليل قاطع على أحدهما </w:t>
      </w:r>
      <w:r>
        <w:rPr>
          <w:rStyle w:val="FootnoteAnchor"/>
          <w:rtl w:val="true"/>
        </w:rPr>
        <w:footnoteReference w:id="247"/>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bookmarkStart w:id="291" w:name="pg10769_112215"/>
    </w:p>
    <w:p>
      <w:pPr>
        <w:pStyle w:val="Heading3"/>
        <w:numPr>
          <w:ilvl w:val="2"/>
          <w:numId w:val="1"/>
        </w:numPr>
        <w:rPr/>
      </w:pPr>
      <w:bookmarkStart w:id="292" w:name="__RefHeading___Toc7543529_1051229030"/>
      <w:bookmarkStart w:id="293" w:name="_Toc108"/>
      <w:bookmarkEnd w:id="291"/>
      <w:bookmarkEnd w:id="292"/>
      <w:r>
        <w:rPr>
          <w:rtl w:val="true"/>
        </w:rPr>
        <w:t xml:space="preserve">أصل </w:t>
      </w:r>
      <w:r>
        <w:rPr>
          <w:rtl w:val="true"/>
        </w:rPr>
        <w:t xml:space="preserve">[ </w:t>
      </w:r>
      <w:r>
        <w:rPr>
          <w:rtl w:val="true"/>
        </w:rPr>
        <w:t xml:space="preserve">في العوض </w:t>
      </w:r>
      <w:r>
        <w:rPr>
          <w:rtl w:val="true"/>
        </w:rPr>
        <w:t>]</w:t>
      </w:r>
      <w:bookmarkEnd w:id="293"/>
    </w:p>
    <w:p>
      <w:pPr>
        <w:pStyle w:val="BookText"/>
        <w:rPr/>
      </w:pPr>
      <w:r>
        <w:rPr>
          <w:rFonts w:ascii="Amiri" w:hAnsi="Amiri" w:eastAsia="Amiri" w:cs="Amiri"/>
          <w:color w:val="111111"/>
          <w:sz w:val="28"/>
          <w:sz w:val="28"/>
          <w:szCs w:val="28"/>
          <w:rtl w:val="true"/>
          <w:lang w:bidi="ar-SA"/>
        </w:rPr>
        <w:t xml:space="preserve">العوض هو النفع المستحقّ الخالي من تعظيم وإجلال، وهو إمّا مساوٍ للألم أو زائد عليه، والأوّل علينا خاصّة والثاني عليه تعالى، وله </w:t>
      </w:r>
      <w:r>
        <w:rPr>
          <w:rStyle w:val="FootnoteAnchor"/>
          <w:rtl w:val="true"/>
        </w:rPr>
        <w:footnoteReference w:id="248"/>
      </w:r>
      <w:r>
        <w:rPr>
          <w:rFonts w:ascii="IRNazanin" w:hAnsi="IRNazanin" w:eastAsia="IRNazanin"/>
          <w:color w:val="111111"/>
          <w:sz w:val="28"/>
          <w:sz w:val="28"/>
          <w:szCs w:val="28"/>
          <w:rtl w:val="true"/>
          <w:lang w:bidi="fa-IR"/>
        </w:rPr>
        <w:t>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الألم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المنافع لمصلحة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الغموم لأنّه الخالق والناصب للدليل والأمارة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منا فله 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منّا لوجوبه أو ندبه أو إباحته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بتمكين غير العاقل والحيوان العُجم لتمكينه إيّاه وخلق الميل فيه ولم يخلق عنده زاجراً، فكان كالمغري له فيكون العوض عليه تعالى،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الحيوان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ينتصف للجمّاء </w:t>
      </w:r>
      <w:r>
        <w:rPr>
          <w:rStyle w:val="FootnoteAnchor"/>
          <w:rtl w:val="true"/>
        </w:rPr>
        <w:footnoteReference w:id="249"/>
      </w:r>
      <w:r>
        <w:rPr>
          <w:rFonts w:ascii="Amiri" w:hAnsi="Amiri" w:eastAsia="Amiri" w:cs="Amiri"/>
          <w:color w:val="111111"/>
          <w:sz w:val="28"/>
          <w:sz w:val="28"/>
          <w:szCs w:val="28"/>
          <w:rtl w:val="true"/>
          <w:lang w:bidi="ar-SA"/>
        </w:rPr>
        <w:t>من القُرناء</w:t>
      </w:r>
      <w:r>
        <w:rPr>
          <w:rFonts w:eastAsia="Amiri" w:cs="Amiri" w:ascii="Amiri" w:hAnsi="Amiri"/>
          <w:color w:val="111111"/>
          <w:sz w:val="28"/>
          <w:szCs w:val="28"/>
          <w:rtl w:val="true"/>
          <w:lang w:bidi="ar-SA"/>
        </w:rPr>
        <w:t xml:space="preserve">» </w:t>
      </w:r>
      <w:r>
        <w:rPr>
          <w:rStyle w:val="FootnoteAnchor"/>
          <w:rtl w:val="true"/>
        </w:rPr>
        <w:footnoteReference w:id="250"/>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إذ لا دلالة فيه لأنّ الانتصاف هو إيصال العوض، وهو أعمّ من أن يكون من المؤلم أو غيره، ولأنّه يمكن حمله على المظلوم والظالم مجازاً، لضعف الجمّاء فشبهها بالمظلوم وقوّة القرناء فشبهها بالظالم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عوض </w:t>
      </w:r>
      <w:bookmarkStart w:id="294" w:name="pg10769_112216"/>
    </w:p>
    <w:p>
      <w:pPr>
        <w:pStyle w:val="BookText"/>
        <w:rPr/>
      </w:pPr>
      <w:bookmarkEnd w:id="294"/>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ويضعف بإمكان حمله على عدم القصاص؛ والحقّ الأوّل لما تقدّم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7543531_1051229030"/>
      <w:bookmarkStart w:id="296" w:name="_Toc109"/>
      <w:bookmarkEnd w:id="295"/>
      <w:r>
        <w:rPr>
          <w:rtl w:val="true"/>
        </w:rPr>
        <w:t xml:space="preserve">أصل </w:t>
      </w:r>
      <w:r>
        <w:rPr>
          <w:rtl w:val="true"/>
        </w:rPr>
        <w:t xml:space="preserve">[ </w:t>
      </w:r>
      <w:r>
        <w:rPr>
          <w:rtl w:val="true"/>
        </w:rPr>
        <w:t xml:space="preserve">في الألم </w:t>
      </w:r>
      <w:r>
        <w:rPr>
          <w:rtl w:val="true"/>
        </w:rPr>
        <w:t>]</w:t>
      </w:r>
      <w:bookmarkEnd w:id="296"/>
    </w:p>
    <w:p>
      <w:pPr>
        <w:pStyle w:val="BookText"/>
        <w:rPr/>
      </w:pPr>
      <w:r>
        <w:rPr>
          <w:rFonts w:ascii="Amiri" w:hAnsi="Amiri" w:eastAsia="Amiri" w:cs="Amiri"/>
          <w:color w:val="111111"/>
          <w:sz w:val="28"/>
          <w:sz w:val="28"/>
          <w:szCs w:val="28"/>
          <w:rtl w:val="true"/>
          <w:lang w:bidi="ar-SA"/>
        </w:rPr>
        <w:t xml:space="preserve">الألم إمّا أن يكون فيه وجه قبح، وقد ذكر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ظُلماً كظلم اليتيم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مشتملاً على مفسدة كإيلام الظالم، وذلك يصدر منّا خاصّةً لما تقدّم من نفي القبيح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يعلم فيه ذلك، وله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مستحقّاً كالعقاب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مشتملاً على النفع الزائد العائد إلى المتألّم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كضرب العبد على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دافعاً لضرر كشرب الدواء المرّ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جالباً للنفع</w:t>
      </w:r>
      <w:r>
        <w:rPr>
          <w:rFonts w:eastAsia="Amiri" w:cs="Amiri" w:ascii="Amiri" w:hAnsi="Amiri"/>
          <w:color w:val="111111"/>
          <w:sz w:val="28"/>
          <w:szCs w:val="28"/>
          <w:rtl w:val="true"/>
          <w:lang w:bidi="ar-SA"/>
        </w:rPr>
        <w:t xml:space="preserve">. </w:t>
      </w:r>
      <w:bookmarkStart w:id="297" w:name="pg10769_112217"/>
    </w:p>
    <w:p>
      <w:pPr>
        <w:pStyle w:val="BookText"/>
        <w:rPr/>
      </w:pPr>
      <w:bookmarkEnd w:id="297"/>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بمجرى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دافعاً لضرر متوقّع كقتلنا من يقصدنا </w:t>
      </w:r>
      <w:r>
        <w:rPr>
          <w:rStyle w:val="FootnoteAnchor"/>
          <w:rtl w:val="true"/>
        </w:rPr>
        <w:footnoteReference w:id="255"/>
      </w:r>
      <w:r>
        <w:rPr>
          <w:rFonts w:ascii="IRNazanin" w:hAnsi="IRNazanin" w:eastAsia="IRNazanin"/>
          <w:color w:val="111111"/>
          <w:sz w:val="28"/>
          <w:sz w:val="28"/>
          <w:szCs w:val="28"/>
          <w:rtl w:val="true"/>
          <w:lang w:bidi="fa-IR"/>
        </w:rPr>
        <w:t>بالقتل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ويُسمّى هذا كلّه حسناً، فقد يكون منه تعالى وقد يكون منّا؛ فإمّا أن يكون صادراً منّا ، إمّا لوجوبه كالهدي، أو ندبه كالأضحية، أو إباحته كالذبح للأكل، والعوض فيه كلّه على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w:t>
      </w:r>
      <w:r>
        <w:rPr>
          <w:rStyle w:val="FootnoteAnchor"/>
          <w:rtl w:val="true"/>
        </w:rPr>
        <w:footnoteReference w:id="256"/>
      </w:r>
      <w:r>
        <w:rPr>
          <w:rFonts w:ascii="Amiri" w:hAnsi="Amiri" w:eastAsia="Amiri" w:cs="Amiri"/>
          <w:color w:val="111111"/>
          <w:sz w:val="28"/>
          <w:sz w:val="28"/>
          <w:szCs w:val="28"/>
          <w:rtl w:val="true"/>
          <w:lang w:bidi="ar-SA"/>
        </w:rPr>
        <w:t xml:space="preserve">يصدر عنّا بالاستحقاق والدفع فلا عوض فيه، وأمّا ما كان بمجرى العادة كالإلقاء في النار المحرقة فالعوض علينا لقصدنا الإيلام وما يكون صادراً منه تعالى باستحقاق </w:t>
      </w:r>
      <w:r>
        <w:rPr>
          <w:rStyle w:val="FootnoteAnchor"/>
          <w:rtl w:val="true"/>
        </w:rPr>
        <w:footnoteReference w:id="257"/>
      </w:r>
      <w:r>
        <w:rPr>
          <w:rFonts w:ascii="Amiri" w:hAnsi="Amiri" w:eastAsia="Amiri" w:cs="Amiri"/>
          <w:color w:val="111111"/>
          <w:sz w:val="28"/>
          <w:sz w:val="28"/>
          <w:szCs w:val="28"/>
          <w:rtl w:val="true"/>
          <w:lang w:bidi="ar-SA"/>
        </w:rPr>
        <w:t xml:space="preserve">فلا عوض فيه ، وما كان مبتدءاً فعليه عوضه زائداً إلى </w:t>
      </w:r>
      <w:r>
        <w:rPr>
          <w:rStyle w:val="FootnoteAnchor"/>
          <w:rtl w:val="true"/>
        </w:rPr>
        <w:footnoteReference w:id="258"/>
      </w:r>
      <w:r>
        <w:rPr>
          <w:rFonts w:ascii="Amiri" w:hAnsi="Amiri" w:eastAsia="Amiri" w:cs="Amiri"/>
          <w:color w:val="111111"/>
          <w:sz w:val="28"/>
          <w:sz w:val="28"/>
          <w:szCs w:val="28"/>
          <w:rtl w:val="true"/>
          <w:lang w:bidi="ar-SA"/>
        </w:rPr>
        <w:t xml:space="preserve">حدّ الرضا بحيث لو خُيّر بين الألم والعوض وبين عدم الألم والعوض لاختار </w:t>
      </w:r>
      <w:r>
        <w:rPr>
          <w:rStyle w:val="FootnoteAnchor"/>
          <w:rtl w:val="true"/>
        </w:rPr>
        <w:footnoteReference w:id="259"/>
      </w:r>
      <w:r>
        <w:rPr>
          <w:rFonts w:ascii="Amiri" w:hAnsi="Amiri" w:eastAsia="Amiri" w:cs="Amiri"/>
          <w:color w:val="111111"/>
          <w:sz w:val="28"/>
          <w:sz w:val="28"/>
          <w:szCs w:val="28"/>
          <w:rtl w:val="true"/>
          <w:lang w:bidi="ar-SA"/>
        </w:rPr>
        <w:t xml:space="preserve">الألم مع العوض، وهذا وجه حسنه لكن مع اللطفيّة إمّا للمتألّم أو الغيره </w:t>
      </w:r>
      <w:r>
        <w:rPr>
          <w:rStyle w:val="FootnoteAnchor"/>
          <w:rtl w:val="true"/>
        </w:rPr>
        <w:footnoteReference w:id="260"/>
      </w:r>
      <w:r>
        <w:rPr>
          <w:rFonts w:ascii="Amiri" w:hAnsi="Amiri" w:eastAsia="Amiri" w:cs="Amiri"/>
          <w:color w:val="111111"/>
          <w:sz w:val="28"/>
          <w:sz w:val="28"/>
          <w:szCs w:val="28"/>
          <w:rtl w:val="true"/>
          <w:lang w:bidi="ar-SA"/>
        </w:rPr>
        <w:t>إذ لولاهما لزم الظلم لعدم العوض والعبث لعدم اللطفيّة</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7543533_1051229030"/>
      <w:bookmarkStart w:id="299" w:name="_Toc110"/>
      <w:bookmarkEnd w:id="298"/>
      <w:r>
        <w:rPr>
          <w:rtl w:val="true"/>
        </w:rPr>
        <w:t xml:space="preserve">أصل </w:t>
      </w:r>
      <w:r>
        <w:rPr>
          <w:rtl w:val="true"/>
        </w:rPr>
        <w:t xml:space="preserve">[ </w:t>
      </w:r>
      <w:r>
        <w:rPr>
          <w:rtl w:val="true"/>
        </w:rPr>
        <w:t xml:space="preserve">في الانتصاف للمظلوم </w:t>
      </w:r>
      <w:r>
        <w:rPr>
          <w:rtl w:val="true"/>
        </w:rPr>
        <w:t>]</w:t>
      </w:r>
      <w:bookmarkEnd w:id="2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عليه تعالى انتصاف المظلوم من ظالمه بأخذ المنافع المستحقّة له إمّا عليه أو على غيره وإيصالها إلى المظلوم لتمكينه وعدم منعه بالجبر فيكون ظالماً إذا لم ينتصف له مع قدرته، وهو قبيح</w:t>
      </w:r>
      <w:r>
        <w:rPr>
          <w:rFonts w:eastAsia="Amiri" w:cs="Amiri" w:ascii="Amiri" w:hAnsi="Amiri"/>
          <w:color w:val="111111"/>
          <w:sz w:val="28"/>
          <w:szCs w:val="28"/>
          <w:rtl w:val="true"/>
          <w:lang w:bidi="ar-SA"/>
        </w:rPr>
        <w:t xml:space="preserve">. </w:t>
      </w:r>
      <w:bookmarkStart w:id="300" w:name="pg10769_112218"/>
    </w:p>
    <w:p>
      <w:pPr>
        <w:pStyle w:val="BookText"/>
        <w:rPr/>
      </w:pPr>
      <w:bookmarkEnd w:id="300"/>
      <w:r>
        <w:rPr>
          <w:rFonts w:ascii="Amiri" w:hAnsi="Amiri" w:eastAsia="Amiri" w:cs="Amiri"/>
          <w:color w:val="111111"/>
          <w:sz w:val="28"/>
          <w:sz w:val="28"/>
          <w:szCs w:val="28"/>
          <w:rtl w:val="true"/>
          <w:lang w:bidi="ar-SA"/>
        </w:rPr>
        <w:t xml:space="preserve">وهل يجوز تمكينه ولا عوض له في الحال يوازي ظلمه ؟ جوّزه البلخيّ وأبو هاشم للوقوع الدالّ على الجواز كما في الظَلَمة الذين يصدر عنهم الظلم العظيم، وجوّز البلخيّ جواز خروجهم من الدنيا من غير عوض لهم، بل الله يتفضّل عليهم في الآخرة، وأوجب أبو هاشم التبقية حتّى يكتسبوا أعواضاً لأنّ التفضّل جائز فلا يتعلّق بالواجب </w:t>
      </w:r>
      <w:r>
        <w:rPr>
          <w:rStyle w:val="FootnoteAnchor"/>
          <w:rtl w:val="true"/>
        </w:rPr>
        <w:footnoteReference w:id="261"/>
      </w:r>
      <w:r>
        <w:rPr>
          <w:rFonts w:ascii="IRNazanin" w:hAnsi="IRNazanin" w:eastAsia="IRNazanin"/>
          <w:color w:val="111111"/>
          <w:sz w:val="28"/>
          <w:sz w:val="28"/>
          <w:szCs w:val="28"/>
          <w:rtl w:val="true"/>
          <w:lang w:bidi="fa-IR"/>
        </w:rPr>
        <w:t xml:space="preserve">، ومنع المرتضى </w:t>
      </w:r>
      <w:r>
        <w:rPr>
          <w:rStyle w:val="FootnoteAnchor"/>
          <w:rtl w:val="true"/>
        </w:rPr>
        <w:footnoteReference w:id="262"/>
      </w:r>
      <w:r>
        <w:rPr>
          <w:rFonts w:ascii="Amiri" w:hAnsi="Amiri" w:eastAsia="Amiri" w:cs="Amiri"/>
          <w:color w:val="111111"/>
          <w:sz w:val="28"/>
          <w:sz w:val="28"/>
          <w:szCs w:val="28"/>
          <w:rtl w:val="true"/>
          <w:lang w:bidi="ar-SA"/>
        </w:rPr>
        <w:t xml:space="preserve">من تمكين من هذا حاله لأنّ التفضّل والتبقية جائزان فلا يتعلّق بهما الواجب </w:t>
      </w:r>
      <w:r>
        <w:rPr>
          <w:rStyle w:val="FootnoteAnchor"/>
          <w:rtl w:val="true"/>
        </w:rPr>
        <w:footnoteReference w:id="263"/>
      </w:r>
      <w:r>
        <w:rPr>
          <w:rFonts w:ascii="Amiri" w:hAnsi="Amiri" w:eastAsia="Amiri" w:cs="Amiri"/>
          <w:color w:val="111111"/>
          <w:sz w:val="28"/>
          <w:sz w:val="28"/>
          <w:szCs w:val="28"/>
          <w:rtl w:val="true"/>
          <w:lang w:bidi="ar-SA"/>
        </w:rPr>
        <w:t xml:space="preserve">، والحقّ </w:t>
      </w:r>
      <w:r>
        <w:rPr>
          <w:rStyle w:val="FootnoteAnchor"/>
          <w:rtl w:val="true"/>
        </w:rPr>
        <w:footnoteReference w:id="264"/>
      </w:r>
      <w:r>
        <w:rPr>
          <w:rFonts w:ascii="Amiri" w:hAnsi="Amiri" w:eastAsia="Amiri" w:cs="Amiri"/>
          <w:color w:val="111111"/>
          <w:sz w:val="28"/>
          <w:sz w:val="28"/>
          <w:szCs w:val="28"/>
          <w:rtl w:val="true"/>
          <w:lang w:bidi="ar-SA"/>
        </w:rPr>
        <w:t>الجواز لجواز تمكين من لا عقل له فكذا من له عقل، ويكون العوض عليه تعالى</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7543535_1051229030"/>
      <w:bookmarkStart w:id="302" w:name="_Toc111"/>
      <w:bookmarkEnd w:id="301"/>
      <w:r>
        <w:rPr>
          <w:rtl w:val="true"/>
        </w:rPr>
        <w:t xml:space="preserve">أصل </w:t>
      </w:r>
      <w:r>
        <w:rPr>
          <w:rtl w:val="true"/>
        </w:rPr>
        <w:t xml:space="preserve">[ </w:t>
      </w:r>
      <w:r>
        <w:rPr>
          <w:rtl w:val="true"/>
        </w:rPr>
        <w:t xml:space="preserve">في دوام العوض </w:t>
      </w:r>
      <w:r>
        <w:rPr>
          <w:rtl w:val="true"/>
        </w:rPr>
        <w:t>]</w:t>
      </w:r>
      <w:bookmarkEnd w:id="302"/>
    </w:p>
    <w:p>
      <w:pPr>
        <w:pStyle w:val="BookText"/>
        <w:rPr/>
      </w:pPr>
      <w:r>
        <w:rPr>
          <w:rFonts w:ascii="Amiri" w:hAnsi="Amiri" w:eastAsia="Amiri" w:cs="Amiri"/>
          <w:color w:val="111111"/>
          <w:sz w:val="28"/>
          <w:sz w:val="28"/>
          <w:szCs w:val="28"/>
          <w:rtl w:val="true"/>
          <w:lang w:bidi="ar-SA"/>
        </w:rPr>
        <w:t xml:space="preserve">لا يجب دوام العوض بل تكفي فيه الزيادة بحيث يختاره المتألّم لأنّه يحسن </w:t>
      </w:r>
      <w:r>
        <w:rPr>
          <w:rStyle w:val="FootnoteAnchor"/>
          <w:rtl w:val="true"/>
        </w:rPr>
        <w:footnoteReference w:id="265"/>
      </w:r>
      <w:r>
        <w:rPr>
          <w:rFonts w:ascii="Amiri" w:hAnsi="Amiri" w:eastAsia="Amiri" w:cs="Amiri"/>
          <w:color w:val="111111"/>
          <w:sz w:val="28"/>
          <w:sz w:val="28"/>
          <w:szCs w:val="28"/>
          <w:rtl w:val="true"/>
          <w:lang w:bidi="ar-SA"/>
        </w:rPr>
        <w:t>منّا ركوب الأهوال الخطيرة لنفع منقطع ، فإن كان المتألّم من أهل الجنّة فرّق الله أعواضه على الأوقات أو تفضّل عليه فتصير دائمة، وإن كان من أهل العقاب أسقط جزءاً من عقابه بحيث لا يظهر له التخفيف ، ولا يجب إشعار صاحبه به لأنّه مجرّد نفع والتذاذ، فلا يجب به تعظيم بخلاف الثواب فلا يحصل إلّا مع الشعور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والعوض لا يتعيّن في نوع بل كلّ ما حصل به لذّة أو نفع، بخلاف الثواب فإنّه </w:t>
      </w:r>
      <w:bookmarkStart w:id="303" w:name="pg10769_112219"/>
    </w:p>
    <w:p>
      <w:pPr>
        <w:pStyle w:val="BookText"/>
        <w:rPr/>
      </w:pPr>
      <w:bookmarkEnd w:id="303"/>
      <w:r>
        <w:rPr>
          <w:rFonts w:ascii="Amiri" w:hAnsi="Amiri" w:eastAsia="Amiri" w:cs="Amiri"/>
          <w:color w:val="111111"/>
          <w:sz w:val="28"/>
          <w:sz w:val="28"/>
          <w:szCs w:val="28"/>
          <w:rtl w:val="true"/>
          <w:lang w:bidi="ar-SA"/>
        </w:rPr>
        <w:t>يجب أن يكون ما ألفه المكلّف كالأكل والشرب والنكاح، ويجوز إسقاطه دنياً وآخرة في حقّ الظالم لأنّه حقّ للمظلوم ، وهو إحسان، وكلّ إحسان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يهب ما يستحقّه عليه تعالى لغيرنا لانتفاعه به فهو إحسانٌ إليه</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7543537_1051229030"/>
      <w:bookmarkStart w:id="305" w:name="_Toc112"/>
      <w:bookmarkEnd w:id="304"/>
      <w:r>
        <w:rPr>
          <w:rtl w:val="true"/>
        </w:rPr>
        <w:t xml:space="preserve">أصل </w:t>
      </w:r>
      <w:r>
        <w:rPr>
          <w:rtl w:val="true"/>
        </w:rPr>
        <w:t>[</w:t>
      </w:r>
      <w:r>
        <w:rPr>
          <w:rtl w:val="true"/>
        </w:rPr>
        <w:t xml:space="preserve">في فعل الأصلح </w:t>
      </w:r>
      <w:r>
        <w:rPr>
          <w:rtl w:val="true"/>
        </w:rPr>
        <w:t>]</w:t>
      </w:r>
      <w:bookmarkEnd w:id="305"/>
    </w:p>
    <w:p>
      <w:pPr>
        <w:pStyle w:val="BookText"/>
        <w:rPr/>
      </w:pPr>
      <w:r>
        <w:rPr>
          <w:rFonts w:ascii="Amiri" w:hAnsi="Amiri" w:eastAsia="Amiri" w:cs="Amiri"/>
          <w:color w:val="111111"/>
          <w:sz w:val="28"/>
          <w:sz w:val="28"/>
          <w:szCs w:val="28"/>
          <w:rtl w:val="true"/>
          <w:lang w:bidi="ar-SA"/>
        </w:rPr>
        <w:t xml:space="preserve">هل يجب على الله تعالى فعل الأصلح </w:t>
      </w:r>
      <w:r>
        <w:rPr>
          <w:rStyle w:val="FootnoteAnchor"/>
          <w:rtl w:val="true"/>
        </w:rPr>
        <w:footnoteReference w:id="266"/>
      </w:r>
      <w:r>
        <w:rPr>
          <w:rFonts w:ascii="Amiri" w:hAnsi="Amiri" w:eastAsia="Amiri" w:cs="Amiri"/>
          <w:color w:val="111111"/>
          <w:sz w:val="28"/>
          <w:sz w:val="28"/>
          <w:szCs w:val="28"/>
          <w:rtl w:val="true"/>
          <w:lang w:bidi="ar-SA"/>
        </w:rPr>
        <w:t xml:space="preserve">بالعبد ؟ ذهب البلخيّ والبغداديوّن وجماعة من البصريّين إلى ذلك، لأنّ له داعياً إليه لأنّه إحسان خالٍ عن جهات المفسدة فيجب فعله </w:t>
      </w:r>
      <w:r>
        <w:rPr>
          <w:rStyle w:val="FootnoteAnchor"/>
          <w:rtl w:val="true"/>
        </w:rPr>
        <w:footnoteReference w:id="267"/>
      </w:r>
      <w:r>
        <w:rPr>
          <w:rFonts w:ascii="Amiri" w:hAnsi="Amiri" w:eastAsia="Amiri" w:cs="Amiri"/>
          <w:color w:val="111111"/>
          <w:sz w:val="28"/>
          <w:sz w:val="28"/>
          <w:szCs w:val="28"/>
          <w:rtl w:val="true"/>
          <w:lang w:bidi="ar-SA"/>
        </w:rPr>
        <w:t xml:space="preserve">، ومنعه الجبّائيّان وإلّا لأدّى إلى ما لا نهاية له </w:t>
      </w:r>
      <w:r>
        <w:rPr>
          <w:rStyle w:val="FootnoteAnchor"/>
          <w:rtl w:val="true"/>
        </w:rPr>
        <w:footnoteReference w:id="268"/>
      </w:r>
      <w:r>
        <w:rPr>
          <w:rFonts w:ascii="Amiri" w:hAnsi="Amiri" w:eastAsia="Amiri" w:cs="Amiri"/>
          <w:color w:val="111111"/>
          <w:sz w:val="28"/>
          <w:sz w:val="28"/>
          <w:szCs w:val="28"/>
          <w:rtl w:val="true"/>
          <w:lang w:bidi="ar-SA"/>
        </w:rPr>
        <w:t>وهو باطل، إذ ما من أصلح إلّا وفوقه مرتبة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الحسين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حال دون حال، لأنّه إذا كان ذلك القدر مصلحة ولا مفسدة فيه وجب إعطاء ذلك القدر إن كان ما فوقه مفسدة، وإن كان ما فوقه مصلحة فله أن يفعله وأن لا يفعله </w:t>
      </w:r>
      <w:r>
        <w:rPr>
          <w:rStyle w:val="FootnoteAnchor"/>
          <w:rtl w:val="true"/>
        </w:rPr>
        <w:footnoteReference w:id="270"/>
      </w:r>
      <w:r>
        <w:rPr>
          <w:rFonts w:ascii="IRNazanin" w:hAnsi="IRNazanin" w:eastAsia="IRNazanin"/>
          <w:color w:val="111111"/>
          <w:sz w:val="28"/>
          <w:sz w:val="28"/>
          <w:szCs w:val="28"/>
          <w:rtl w:val="true"/>
          <w:lang w:bidi="fa-IR"/>
        </w:rPr>
        <w:t xml:space="preserve">، والحقّ الوقف لأنّه ولى الخلق </w:t>
      </w:r>
      <w:r>
        <w:rPr>
          <w:rStyle w:val="FootnoteAnchor"/>
          <w:rtl w:val="true"/>
        </w:rPr>
        <w:footnoteReference w:id="271"/>
      </w:r>
      <w:r>
        <w:rPr>
          <w:rFonts w:ascii="Amiri" w:hAnsi="Amiri" w:eastAsia="Amiri" w:cs="Amiri"/>
          <w:color w:val="111111"/>
          <w:sz w:val="28"/>
          <w:sz w:val="28"/>
          <w:szCs w:val="28"/>
          <w:rtl w:val="true"/>
          <w:lang w:bidi="ar-SA"/>
        </w:rPr>
        <w:t>يُعطى ويمنع ما يشاء، وهو على كلّ شيء قدير</w:t>
      </w:r>
      <w:r>
        <w:rPr>
          <w:rFonts w:eastAsia="Amiri" w:cs="Amiri" w:ascii="Amiri" w:hAnsi="Amiri"/>
          <w:color w:val="111111"/>
          <w:sz w:val="28"/>
          <w:szCs w:val="28"/>
          <w:rtl w:val="true"/>
          <w:lang w:bidi="ar-SA"/>
        </w:rPr>
        <w:t xml:space="preserve">. </w:t>
      </w:r>
      <w:bookmarkStart w:id="306" w:name="pg10769_112220"/>
    </w:p>
    <w:p>
      <w:pPr>
        <w:pStyle w:val="Heading2"/>
        <w:numPr>
          <w:ilvl w:val="1"/>
          <w:numId w:val="1"/>
        </w:numPr>
        <w:rPr/>
      </w:pPr>
      <w:bookmarkStart w:id="307" w:name="__RefHeading___Toc7543539_1051229030"/>
      <w:bookmarkStart w:id="308" w:name="_Toc113"/>
      <w:bookmarkEnd w:id="306"/>
      <w:bookmarkEnd w:id="307"/>
      <w:r>
        <w:rPr>
          <w:rtl w:val="true"/>
        </w:rPr>
        <w:t>المعراج الثالث في النبوة</w:t>
      </w:r>
      <w:bookmarkEnd w:id="30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7543541_1051229030"/>
      <w:bookmarkStart w:id="310" w:name="_Toc114"/>
      <w:bookmarkEnd w:id="309"/>
      <w:r>
        <w:rPr>
          <w:rtl w:val="true"/>
        </w:rPr>
        <w:t>اشارة</w:t>
      </w:r>
      <w:bookmarkEnd w:id="31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0769_112222"/>
      <w:bookmarkStart w:id="312" w:name="pg10769_112222"/>
      <w:bookmarkEnd w:id="312"/>
    </w:p>
    <w:p>
      <w:pPr>
        <w:pStyle w:val="Heading3"/>
        <w:numPr>
          <w:ilvl w:val="2"/>
          <w:numId w:val="1"/>
        </w:numPr>
        <w:rPr/>
      </w:pPr>
      <w:bookmarkStart w:id="313" w:name="pg10769_112222"/>
      <w:bookmarkStart w:id="314" w:name="__RefHeading___Toc7543543_1051229030"/>
      <w:bookmarkStart w:id="315" w:name="_Toc115"/>
      <w:bookmarkEnd w:id="313"/>
      <w:bookmarkEnd w:id="314"/>
      <w:r>
        <w:rPr>
          <w:rtl w:val="true"/>
        </w:rPr>
        <w:t xml:space="preserve">أصل </w:t>
      </w:r>
      <w:r>
        <w:rPr>
          <w:rtl w:val="true"/>
        </w:rPr>
        <w:t xml:space="preserve">[ </w:t>
      </w:r>
      <w:r>
        <w:rPr>
          <w:rtl w:val="true"/>
        </w:rPr>
        <w:t xml:space="preserve">فى النبوّة وفوائدها </w:t>
      </w:r>
      <w:r>
        <w:rPr>
          <w:rtl w:val="true"/>
        </w:rPr>
        <w:t>]</w:t>
      </w:r>
      <w:bookmarkEnd w:id="315"/>
    </w:p>
    <w:p>
      <w:pPr>
        <w:pStyle w:val="Heading3"/>
        <w:numPr>
          <w:ilvl w:val="2"/>
          <w:numId w:val="1"/>
        </w:numPr>
        <w:rPr/>
      </w:pPr>
      <w:bookmarkStart w:id="316" w:name="__RefHeading___Toc7543545_1051229030"/>
      <w:bookmarkStart w:id="317" w:name="_Toc116"/>
      <w:bookmarkEnd w:id="316"/>
      <w:r>
        <w:rPr>
          <w:rtl w:val="true"/>
        </w:rPr>
        <w:t xml:space="preserve">أصل </w:t>
      </w:r>
      <w:r>
        <w:rPr>
          <w:rtl w:val="true"/>
        </w:rPr>
        <w:t xml:space="preserve">[ </w:t>
      </w:r>
      <w:r>
        <w:rPr>
          <w:rtl w:val="true"/>
        </w:rPr>
        <w:t xml:space="preserve">فى النبوّة وفوائدها </w:t>
      </w:r>
      <w:r>
        <w:rPr>
          <w:rtl w:val="true"/>
        </w:rPr>
        <w:t>]</w:t>
      </w:r>
      <w:bookmarkEnd w:id="317"/>
    </w:p>
    <w:p>
      <w:pPr>
        <w:pStyle w:val="BookText"/>
        <w:rPr/>
      </w:pPr>
      <w:r>
        <w:rPr>
          <w:rFonts w:ascii="Amiri" w:hAnsi="Amiri" w:eastAsia="Amiri" w:cs="Amiri"/>
          <w:color w:val="111111"/>
          <w:sz w:val="28"/>
          <w:sz w:val="28"/>
          <w:szCs w:val="28"/>
          <w:rtl w:val="true"/>
          <w:lang w:bidi="ar-SA"/>
        </w:rPr>
        <w:t xml:space="preserve">النبى هو الإنسان المأمور من السماء بإصلاح حال الناس في معاشهم ومعادهم ، العالم بكيفيّة ذلك ، المُستغني في أمره وعلمه عن واسطة بشر، المقترنة دعواه بظهور المعجزة، فيخرج الملك المتلقّي الوحي </w:t>
      </w:r>
      <w:r>
        <w:rPr>
          <w:rStyle w:val="FootnoteAnchor"/>
          <w:rtl w:val="true"/>
        </w:rPr>
        <w:footnoteReference w:id="272"/>
      </w:r>
      <w:r>
        <w:rPr>
          <w:rFonts w:ascii="IRNazanin" w:hAnsi="IRNazanin" w:eastAsia="IRNazanin"/>
          <w:color w:val="111111"/>
          <w:sz w:val="28"/>
          <w:sz w:val="28"/>
          <w:szCs w:val="28"/>
          <w:rtl w:val="true"/>
          <w:lang w:bidi="fa-IR"/>
        </w:rPr>
        <w:t xml:space="preserve">من السماء، ويخرج الإمام ، لأنّ الإمام وإن تلقّى الحكم من السماء، لكنّه بواسطة البشر وهو النبيّ صلّی الله علیه و آله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النبوّة فوائد معاضدة العقل في أحكامه كتوحيد الله تعالى وقدرته، وما لا يستقلّ العقل بحسنه وقبحه يعرف من النبيّ ، وكذا معرفة كيفيّات الشرع، وشكر المنعم، وإزالة خوف المكلّف في تصرّفاته، وكون بعض الأغذية نافع وبعضها ضارّ والتجربة تفتقر إلى أدوار تقصر فيها الأعمار وحفظ نوع الإنسان بشرع العدل الذي لا يعلم إلّا منه، وتعليم نوع الإنسان الصنائع الخفيفة </w:t>
      </w:r>
      <w:r>
        <w:rPr>
          <w:rStyle w:val="FootnoteAnchor"/>
          <w:rtl w:val="true"/>
        </w:rPr>
        <w:footnoteReference w:id="273"/>
      </w:r>
      <w:r>
        <w:rPr>
          <w:rFonts w:ascii="Amiri" w:hAnsi="Amiri" w:eastAsia="Amiri" w:cs="Amiri"/>
          <w:color w:val="111111"/>
          <w:sz w:val="28"/>
          <w:sz w:val="28"/>
          <w:szCs w:val="28"/>
          <w:rtl w:val="true"/>
          <w:lang w:bidi="ar-SA"/>
        </w:rPr>
        <w:t xml:space="preserve">والأخلاق الحسنة والسياسات، وما هذا شأنه حسن بضرورة العقل، وخلاف البراهمة </w:t>
      </w:r>
      <w:r>
        <w:rPr>
          <w:rStyle w:val="FootnoteAnchor"/>
          <w:rtl w:val="true"/>
        </w:rPr>
        <w:footnoteReference w:id="274"/>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bookmarkStart w:id="318" w:name="pg10769_112223"/>
    </w:p>
    <w:p>
      <w:pPr>
        <w:pStyle w:val="Heading3"/>
        <w:numPr>
          <w:ilvl w:val="2"/>
          <w:numId w:val="1"/>
        </w:numPr>
        <w:rPr/>
      </w:pPr>
      <w:bookmarkStart w:id="319" w:name="__RefHeading___Toc7543547_1051229030"/>
      <w:bookmarkStart w:id="320" w:name="_Toc117"/>
      <w:bookmarkEnd w:id="318"/>
      <w:bookmarkEnd w:id="319"/>
      <w:r>
        <w:rPr>
          <w:rtl w:val="true"/>
        </w:rPr>
        <w:t xml:space="preserve">أصل </w:t>
      </w:r>
      <w:r>
        <w:rPr>
          <w:rtl w:val="true"/>
        </w:rPr>
        <w:t xml:space="preserve">[ </w:t>
      </w:r>
      <w:r>
        <w:rPr>
          <w:rtl w:val="true"/>
        </w:rPr>
        <w:t xml:space="preserve">في وجوب البعثة </w:t>
      </w:r>
      <w:r>
        <w:rPr>
          <w:rtl w:val="true"/>
        </w:rPr>
        <w:t>]</w:t>
      </w:r>
      <w:bookmarkEnd w:id="320"/>
    </w:p>
    <w:p>
      <w:pPr>
        <w:pStyle w:val="BookText"/>
        <w:rPr/>
      </w:pPr>
      <w:r>
        <w:rPr>
          <w:rFonts w:ascii="Amiri" w:hAnsi="Amiri" w:eastAsia="Amiri" w:cs="Amiri"/>
          <w:color w:val="111111"/>
          <w:sz w:val="28"/>
          <w:sz w:val="28"/>
          <w:szCs w:val="28"/>
          <w:rtl w:val="true"/>
          <w:lang w:bidi="ar-SA"/>
        </w:rPr>
        <w:t>تجب البعثة لوجوب التكاليف العقليّة والشرعيّة ، لأنّها لطف فى الأوّل وشرط في الثاني، وما كان كذلك فهو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العبادات متلقّاة من النبيّ صلّی الله علیه و آله والمدوامة باعثة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عرفة المعبود الواجب عقلاً فتكون لطفاً، وكونها شرطه </w:t>
      </w:r>
      <w:r>
        <w:rPr>
          <w:rStyle w:val="FootnoteAnchor"/>
          <w:rtl w:val="true"/>
        </w:rPr>
        <w:footnoteReference w:id="275"/>
      </w:r>
      <w:r>
        <w:rPr>
          <w:rFonts w:ascii="Amiri" w:hAnsi="Amiri" w:eastAsia="Amiri" w:cs="Amiri"/>
          <w:color w:val="111111"/>
          <w:sz w:val="28"/>
          <w:sz w:val="28"/>
          <w:szCs w:val="28"/>
          <w:rtl w:val="true"/>
          <w:lang w:bidi="ar-SA"/>
        </w:rPr>
        <w:t xml:space="preserve">في السمعيّ فظاهر، وقد تقدّم وجوب اللطف وكون شرط الواجب واجب، ولأنّ الإنسان مدنيّ بالطبع لا يمكن أن يعيش وحده وذلك ظاهر، والاجتماع مظنّة النزاع لأنّ التغليب موجود في الطباع فكلّ يرى العمل بشهوته، ويرى حفظ ماله وبطلان حقّ غيره فتدعوه شهوته وغضبه إلى المنازعة المؤدية </w:t>
      </w:r>
      <w:r>
        <w:rPr>
          <w:rStyle w:val="FootnoteAnchor"/>
          <w:rtl w:val="true"/>
        </w:rPr>
        <w:footnoteReference w:id="276"/>
      </w:r>
      <w:r>
        <w:rPr>
          <w:rFonts w:ascii="Amiri" w:hAnsi="Amiri" w:eastAsia="Amiri" w:cs="Amiri"/>
          <w:color w:val="111111"/>
          <w:sz w:val="28"/>
          <w:sz w:val="28"/>
          <w:szCs w:val="28"/>
          <w:rtl w:val="true"/>
          <w:lang w:bidi="ar-SA"/>
        </w:rPr>
        <w:t>إلى هلاك النوع وفساده؛ فلابدّ من معاملة وعدل يجمعهما قوانين كلّيّة ، وتلك هى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تفويضها إلى أفراد النوع الإنساني وإلّا لوقع النزاع المؤدّي إلى الفساد ؛ فوجب تفويضها إلى القدير </w:t>
      </w:r>
      <w:r>
        <w:rPr>
          <w:rStyle w:val="FootnoteAnchor"/>
          <w:rtl w:val="true"/>
        </w:rPr>
        <w:footnoteReference w:id="277"/>
      </w:r>
      <w:r>
        <w:rPr>
          <w:rFonts w:ascii="Amiri" w:hAnsi="Amiri" w:eastAsia="Amiri" w:cs="Amiri"/>
          <w:color w:val="111111"/>
          <w:sz w:val="28"/>
          <w:sz w:val="28"/>
          <w:szCs w:val="28"/>
          <w:rtl w:val="true"/>
          <w:lang w:bidi="ar-SA"/>
        </w:rPr>
        <w:t>العليم، ولمّا تعذّر مشافهته وجب وجود واسطة وذلك هو النبيّ ، ويجب اختصاصه بآيات ودلالات يمتاز بها عن بني نوعه يدلّ بها على أنّه مبعوث من عند ربّه ويكون طريقاً إلى تصديقه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اشتمال الشريعة على وعد ووعيد أُخرويات، لأنّه ربّما غلبت القوّة </w:t>
      </w:r>
      <w:bookmarkStart w:id="321" w:name="pg10769_112224"/>
    </w:p>
    <w:p>
      <w:pPr>
        <w:pStyle w:val="BookText"/>
        <w:rPr/>
      </w:pPr>
      <w:bookmarkEnd w:id="321"/>
      <w:r>
        <w:rPr>
          <w:rFonts w:ascii="Amiri" w:hAnsi="Amiri" w:eastAsia="Amiri" w:cs="Amiri"/>
          <w:color w:val="111111"/>
          <w:sz w:val="28"/>
          <w:sz w:val="28"/>
          <w:szCs w:val="28"/>
          <w:rtl w:val="true"/>
          <w:lang w:bidi="ar-SA"/>
        </w:rPr>
        <w:t xml:space="preserve">الشهوية </w:t>
      </w:r>
      <w:r>
        <w:rPr>
          <w:rStyle w:val="FootnoteAnchor"/>
          <w:rtl w:val="true"/>
        </w:rPr>
        <w:footnoteReference w:id="278"/>
      </w:r>
      <w:r>
        <w:rPr>
          <w:rFonts w:ascii="Amiri" w:hAnsi="Amiri" w:eastAsia="Amiri" w:cs="Amiri"/>
          <w:color w:val="111111"/>
          <w:sz w:val="28"/>
          <w:sz w:val="28"/>
          <w:szCs w:val="28"/>
          <w:rtl w:val="true"/>
          <w:lang w:bidi="ar-SA"/>
        </w:rPr>
        <w:t xml:space="preserve">فتنبعث على مخالفة الشريعة، والخوف والرجاء </w:t>
      </w:r>
      <w:r>
        <w:rPr>
          <w:rStyle w:val="FootnoteAnchor"/>
          <w:rtl w:val="true"/>
        </w:rPr>
        <w:footnoteReference w:id="279"/>
      </w:r>
      <w:r>
        <w:rPr>
          <w:rFonts w:ascii="Amiri" w:hAnsi="Amiri" w:eastAsia="Amiri" w:cs="Amiri"/>
          <w:color w:val="111111"/>
          <w:sz w:val="28"/>
          <w:sz w:val="28"/>
          <w:szCs w:val="28"/>
          <w:rtl w:val="true"/>
          <w:lang w:bidi="ar-SA"/>
        </w:rPr>
        <w:t>يحملهم على متابعتها، وأن تكون مشتملة على عبادات مذكّرة للمعبود لاستيلاء السهو والنسيان على أفراد نوع الإنسان</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7543549_1051229030"/>
      <w:bookmarkStart w:id="323" w:name="_Toc118"/>
      <w:bookmarkEnd w:id="322"/>
      <w:r>
        <w:rPr>
          <w:rtl w:val="true"/>
        </w:rPr>
        <w:t xml:space="preserve">أصل </w:t>
      </w:r>
      <w:r>
        <w:rPr>
          <w:rtl w:val="true"/>
        </w:rPr>
        <w:t xml:space="preserve">[ </w:t>
      </w:r>
      <w:r>
        <w:rPr>
          <w:rtl w:val="true"/>
        </w:rPr>
        <w:t xml:space="preserve">في العصمة </w:t>
      </w:r>
      <w:r>
        <w:rPr>
          <w:rtl w:val="true"/>
        </w:rPr>
        <w:t>]</w:t>
      </w:r>
      <w:bookmarkEnd w:id="323"/>
    </w:p>
    <w:p>
      <w:pPr>
        <w:pStyle w:val="BookText"/>
        <w:rPr/>
      </w:pPr>
      <w:r>
        <w:rPr>
          <w:rFonts w:ascii="Amiri" w:hAnsi="Amiri" w:eastAsia="Amiri" w:cs="Amiri"/>
          <w:color w:val="111111"/>
          <w:sz w:val="28"/>
          <w:sz w:val="28"/>
          <w:szCs w:val="28"/>
          <w:rtl w:val="true"/>
          <w:lang w:bidi="ar-SA"/>
        </w:rPr>
        <w:t>العصمة لطف يفعله الله بالمكلّف بحيث يمتنع منه وقوع المعصية لانتفاء داعيه ، ووجود صارفه مع قدرته عليها ، لأنّه لولا القدرة لما استحقّ مدحاً ولا ثواباً لكونه مجبوراً ، لكنه يستحقّ المدح والثواب إجماعاً فيكون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ملكة نفسانيّة تمنع المتّصف بها من الفجور مع قدرته عليه </w:t>
      </w:r>
      <w:r>
        <w:rPr>
          <w:rStyle w:val="FootnoteAnchor"/>
          <w:rtl w:val="true"/>
        </w:rPr>
        <w:footnoteReference w:id="280"/>
      </w:r>
      <w:r>
        <w:rPr>
          <w:rFonts w:ascii="Amiri" w:hAnsi="Amiri" w:eastAsia="Amiri" w:cs="Amiri"/>
          <w:color w:val="111111"/>
          <w:sz w:val="28"/>
          <w:sz w:val="28"/>
          <w:szCs w:val="28"/>
          <w:rtl w:val="true"/>
          <w:lang w:bidi="ar-SA"/>
        </w:rPr>
        <w:t>، والعفّة تتوقّف على العلم بمناقب الطاعات ومثالب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معصومون من جميع المعاصي عمداً وسهواً وخطاءاً وتأويلاً كبيراً وصغيراً، من أوّل العمر إلى آخره، وخلاف من خالف </w:t>
      </w:r>
      <w:r>
        <w:rPr>
          <w:rStyle w:val="FootnoteAnchor"/>
          <w:rtl w:val="true"/>
        </w:rPr>
        <w:footnoteReference w:id="281"/>
      </w:r>
      <w:r>
        <w:rPr>
          <w:rFonts w:ascii="Amiri" w:hAnsi="Amiri" w:eastAsia="Amiri" w:cs="Amiri"/>
          <w:color w:val="111111"/>
          <w:sz w:val="28"/>
          <w:sz w:val="28"/>
          <w:szCs w:val="28"/>
          <w:rtl w:val="true"/>
          <w:lang w:bidi="ar-SA"/>
        </w:rPr>
        <w:t>ضعيف لا اعتداد 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ذلك لزم نقض الغرض، واللازم كالملزوم في البطلان وبيان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فلانّه بتقدير وقوع المعصية جاز أمر الناس بما فيه مفسدتهم ونهيهم عمّا فيه مصلحتهم، وهو يستلزم الفساد، وهو قبيح على الحكيم، وبطلان اللازم تقدّم </w:t>
      </w:r>
      <w:bookmarkStart w:id="324" w:name="pg10769_112225"/>
    </w:p>
    <w:p>
      <w:pPr>
        <w:pStyle w:val="BookText"/>
        <w:rPr/>
      </w:pPr>
      <w:bookmarkEnd w:id="324"/>
      <w:r>
        <w:rPr>
          <w:rFonts w:ascii="Amiri" w:hAnsi="Amiri" w:eastAsia="Amiri" w:cs="Amiri"/>
          <w:color w:val="111111"/>
          <w:sz w:val="28"/>
          <w:sz w:val="28"/>
          <w:szCs w:val="28"/>
          <w:rtl w:val="true"/>
          <w:lang w:bidi="ar-SA"/>
        </w:rPr>
        <w:t xml:space="preserve">لأنّ مناقضة الغرض سفه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كان جائز الخطأ فلنفرضه واقعاً، فإمّا أن يجب الإنكار عليه فيسقط محلّه من القلوب أو لا فيسقط وجوب النهي عن المنكر، وكلاهما محال ، ولجاز أن لا يؤدّي بعض ما أُمر به بل يجوز إخفاء الرسالة ، لكن اللازم كالملزوم في البطلان، والملازمة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 علیه السّلام موصوفاً بصفات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العقل، والذكاء والفطنة وقوّة الرأي، وأن يكون أفضل أهل زمانه في كلّ ما يُعدُّ من الكمالات لقبح تقديم المفضول على الفاضل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أن يكون منزّهاً عن الجهل والجبن والحقد والحسد والفضاضة والغلظة </w:t>
      </w:r>
      <w:r>
        <w:rPr>
          <w:rStyle w:val="FootnoteAnchor"/>
          <w:rtl w:val="true"/>
        </w:rPr>
        <w:footnoteReference w:id="283"/>
      </w:r>
      <w:r>
        <w:rPr>
          <w:rFonts w:ascii="Amiri" w:hAnsi="Amiri" w:eastAsia="Amiri" w:cs="Amiri"/>
          <w:color w:val="111111"/>
          <w:sz w:val="28"/>
          <w:sz w:val="28"/>
          <w:szCs w:val="28"/>
          <w:rtl w:val="true"/>
          <w:lang w:bidi="ar-SA"/>
        </w:rPr>
        <w:t xml:space="preserve">والبُخل والحرص والسهو والنسيان والجذام والبرص، وما شابه ذلك من العيوب البدنيّة، ولا يكون فى آبائه دناءة ولا عاهراً </w:t>
      </w:r>
      <w:r>
        <w:rPr>
          <w:rStyle w:val="FootnoteAnchor"/>
          <w:rtl w:val="true"/>
        </w:rPr>
        <w:footnoteReference w:id="284"/>
      </w:r>
      <w:r>
        <w:rPr>
          <w:rFonts w:ascii="Amiri" w:hAnsi="Amiri" w:eastAsia="Amiri" w:cs="Amiri"/>
          <w:color w:val="111111"/>
          <w:sz w:val="28"/>
          <w:sz w:val="28"/>
          <w:szCs w:val="28"/>
          <w:rtl w:val="true"/>
          <w:lang w:bidi="ar-SA"/>
        </w:rPr>
        <w:t>ولا مجنوناً ولا فاعلاً للمباحات التي ينفر منها عرفاً ، ولا حائكاً ولا زبّالاً ، لأن جميع هذه الأُمور تمنع من الانقياد والمقصود خلافه</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7543551_1051229030"/>
      <w:bookmarkStart w:id="326" w:name="_Toc119"/>
      <w:bookmarkEnd w:id="325"/>
      <w:r>
        <w:rPr>
          <w:rtl w:val="true"/>
        </w:rPr>
        <w:t xml:space="preserve">أصل </w:t>
      </w:r>
      <w:r>
        <w:rPr>
          <w:rtl w:val="true"/>
        </w:rPr>
        <w:t xml:space="preserve">[ </w:t>
      </w:r>
      <w:r>
        <w:rPr>
          <w:rtl w:val="true"/>
        </w:rPr>
        <w:t xml:space="preserve">في المعجز </w:t>
      </w:r>
      <w:r>
        <w:rPr>
          <w:rtl w:val="true"/>
        </w:rPr>
        <w:t>]</w:t>
      </w:r>
      <w:bookmarkEnd w:id="32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المعجز أمر خارق للعادة مطابق للدعوى، مقرون بالتحدّي، متعذر على الخلق الإتيان بمثله جنساً أو صفة، فالأمر شامل للإثبات كقلب العصا حيّة، وللنفي كمنع القادر، وبالخارق خرج المعتاد وإن كان متعذّراً كطلوع الشمس من المشرق، </w:t>
      </w:r>
      <w:bookmarkStart w:id="327" w:name="pg10769_112226"/>
    </w:p>
    <w:p>
      <w:pPr>
        <w:pStyle w:val="BookText"/>
        <w:rPr/>
      </w:pPr>
      <w:bookmarkEnd w:id="327"/>
      <w:r>
        <w:rPr>
          <w:rFonts w:ascii="Amiri" w:hAnsi="Amiri" w:eastAsia="Amiri" w:cs="Amiri"/>
          <w:color w:val="111111"/>
          <w:sz w:val="28"/>
          <w:sz w:val="28"/>
          <w:szCs w:val="28"/>
          <w:rtl w:val="true"/>
          <w:lang w:bidi="ar-SA"/>
        </w:rPr>
        <w:t xml:space="preserve">وبالمطابِِق خرج ما جاء على العكس كقصّة مسيلمة </w:t>
      </w:r>
      <w:r>
        <w:rPr>
          <w:rStyle w:val="FootnoteAnchor"/>
          <w:rtl w:val="true"/>
        </w:rPr>
        <w:footnoteReference w:id="285"/>
      </w:r>
      <w:r>
        <w:rPr>
          <w:rFonts w:ascii="Amiri" w:hAnsi="Amiri" w:eastAsia="Amiri" w:cs="Amiri"/>
          <w:color w:val="111111"/>
          <w:sz w:val="28"/>
          <w:sz w:val="28"/>
          <w:szCs w:val="28"/>
          <w:rtl w:val="true"/>
          <w:lang w:bidi="ar-SA"/>
        </w:rPr>
        <w:t xml:space="preserve">، وبالتحدّي خرج الكرامات والإرهاص </w:t>
      </w:r>
      <w:r>
        <w:rPr>
          <w:rStyle w:val="FootnoteAnchor"/>
          <w:rtl w:val="true"/>
        </w:rPr>
        <w:footnoteReference w:id="286"/>
      </w:r>
      <w:r>
        <w:rPr>
          <w:rFonts w:ascii="Amiri" w:hAnsi="Amiri" w:eastAsia="Amiri" w:cs="Amiri"/>
          <w:color w:val="111111"/>
          <w:sz w:val="28"/>
          <w:sz w:val="28"/>
          <w:szCs w:val="28"/>
          <w:rtl w:val="true"/>
          <w:lang w:bidi="ar-SA"/>
        </w:rPr>
        <w:t>، وبالتعذّر خرج ما لا يكون كذلك والسحر والشعبذة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بتعذّر جنسه كخلق الحياة، وصفته كقلع مدينة 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أن يكون من فعل الله ، وأن يكون في زمن التكليف، وأن يكون عقيب الدعوى، أو في زمان نبيّ، ولم يدّعِ أحدٌ غيره، ويجوز ظهور هذا المعنى على الأولياء كقصّة مريم </w:t>
      </w:r>
      <w:r>
        <w:rPr>
          <w:rStyle w:val="FootnoteAnchor"/>
          <w:rtl w:val="true"/>
        </w:rPr>
        <w:footnoteReference w:id="287"/>
      </w:r>
      <w:r>
        <w:rPr>
          <w:rFonts w:ascii="IRNazanin" w:hAnsi="IRNazanin" w:eastAsia="IRNazanin"/>
          <w:color w:val="111111"/>
          <w:sz w:val="28"/>
          <w:sz w:val="28"/>
          <w:szCs w:val="28"/>
          <w:rtl w:val="true"/>
          <w:lang w:bidi="fa-IR"/>
        </w:rPr>
        <w:t xml:space="preserve">وآصف </w:t>
      </w:r>
      <w:r>
        <w:rPr>
          <w:rStyle w:val="FootnoteAnchor"/>
          <w:rtl w:val="true"/>
        </w:rPr>
        <w:footnoteReference w:id="288"/>
      </w:r>
      <w:r>
        <w:rPr>
          <w:rFonts w:ascii="IRNazanin" w:hAnsi="IRNazanin" w:eastAsia="IRNazanin"/>
          <w:color w:val="111111"/>
          <w:sz w:val="28"/>
          <w:sz w:val="28"/>
          <w:szCs w:val="28"/>
          <w:rtl w:val="true"/>
          <w:lang w:bidi="fa-IR"/>
        </w:rPr>
        <w:t xml:space="preserve">وفعل الأئمّة علیهم السّلام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7543553_1051229030"/>
      <w:bookmarkStart w:id="329" w:name="_Toc120"/>
      <w:bookmarkEnd w:id="328"/>
      <w:r>
        <w:rPr>
          <w:rtl w:val="true"/>
        </w:rPr>
        <w:t xml:space="preserve">أصل </w:t>
      </w:r>
      <w:r>
        <w:rPr>
          <w:rtl w:val="true"/>
        </w:rPr>
        <w:t xml:space="preserve">[ </w:t>
      </w:r>
      <w:r>
        <w:rPr>
          <w:rtl w:val="true"/>
        </w:rPr>
        <w:t>في نبوّة نبيّنا صلّی الله علیه و آله</w:t>
      </w:r>
      <w:r>
        <w:rPr>
          <w:rtl w:val="true"/>
        </w:rPr>
        <w:t>]</w:t>
      </w:r>
      <w:bookmarkEnd w:id="32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سيّدنا محمد بن عبدالله نبيّ حقّ لأنّه ادعى ذلك وظهر المعجز </w:t>
      </w:r>
      <w:r>
        <w:rPr>
          <w:rStyle w:val="FootnoteAnchor"/>
          <w:rtl w:val="true"/>
        </w:rPr>
        <w:footnoteReference w:id="290"/>
      </w:r>
      <w:r>
        <w:rPr>
          <w:rFonts w:ascii="Amiri" w:hAnsi="Amiri" w:eastAsia="Amiri" w:cs="Amiri"/>
          <w:color w:val="111111"/>
          <w:sz w:val="28"/>
          <w:sz w:val="28"/>
          <w:szCs w:val="28"/>
          <w:rtl w:val="true"/>
          <w:lang w:bidi="ar-SA"/>
        </w:rPr>
        <w:t xml:space="preserve">على يديه، وكلّ من كان كذلك كان نبيّاً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الدعوى فمعلومة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إتيانه بالمعجز فالقرآن، وهو معلوم تواتراً، وتحدّى به العرب الذين هم أهل الفصاحة والبلاغة بسورة من مثله </w:t>
      </w:r>
      <w:r>
        <w:rPr>
          <w:rStyle w:val="FootnoteAnchor"/>
          <w:rtl w:val="true"/>
        </w:rPr>
        <w:footnoteReference w:id="291"/>
      </w:r>
      <w:r>
        <w:rPr>
          <w:rFonts w:ascii="Amiri" w:hAnsi="Amiri" w:eastAsia="Amiri" w:cs="Amiri"/>
          <w:color w:val="111111"/>
          <w:sz w:val="28"/>
          <w:sz w:val="28"/>
          <w:szCs w:val="28"/>
          <w:rtl w:val="true"/>
          <w:lang w:bidi="ar-SA"/>
        </w:rPr>
        <w:t xml:space="preserve">، وهو معلوم بالتواتر، فعجزوا عن الإتيان بمثله، وإلّا لما عدلوا إلى محاربته التي فيها قتل أنفسهم وذهاب أموالهم مع سهولة الكلام عليهم، فيكون القرآن معجزاً مع انطباق تعريفه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الإعجاز فيه الفصاحة البالغة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الصرفة </w:t>
      </w:r>
      <w:r>
        <w:rPr>
          <w:rStyle w:val="FootnoteAnchor"/>
          <w:rtl w:val="true"/>
        </w:rPr>
        <w:footnoteReference w:id="293"/>
      </w:r>
      <w:r>
        <w:rPr>
          <w:rFonts w:ascii="Amiri" w:hAnsi="Amiri" w:eastAsia="Amiri" w:cs="Amiri"/>
          <w:color w:val="111111"/>
          <w:sz w:val="28"/>
          <w:sz w:val="28"/>
          <w:szCs w:val="28"/>
          <w:rtl w:val="true"/>
          <w:lang w:bidi="ar-SA"/>
        </w:rPr>
        <w:t>إمّا بمعنى أنّ الله صرفهم عن معارضته ، وإمّا بسلب القدرة أو الداعي أو العلم الذي به تحصل المكنة لقدرتهم على المفردات وعلى التركيب ويضعف القول بالصرفة أنّه لو كان الأمر كذلك لنقلوا ذلك وتحدّثوا به في مجالسهم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الأُسلوب </w:t>
      </w:r>
      <w:r>
        <w:rPr>
          <w:rStyle w:val="FootnoteAnchor"/>
          <w:rtl w:val="true"/>
        </w:rPr>
        <w:footnoteReference w:id="29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الفصاحة والأُسلوب </w:t>
      </w:r>
      <w:r>
        <w:rPr>
          <w:rStyle w:val="FootnoteAnchor"/>
          <w:rtl w:val="true"/>
        </w:rPr>
        <w:footnoteReference w:id="295"/>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مع الاشتمال على العلوم الشريفة كعلم التوحيد وتهذيب الأخلاق </w:t>
      </w:r>
      <w:r>
        <w:rPr>
          <w:rStyle w:val="FootnoteAnchor"/>
          <w:rtl w:val="true"/>
        </w:rPr>
        <w:footnoteReference w:id="297"/>
      </w:r>
      <w:r>
        <w:rPr>
          <w:rFonts w:ascii="Amiri" w:hAnsi="Amiri" w:eastAsia="Amiri" w:cs="Amiri"/>
          <w:color w:val="111111"/>
          <w:sz w:val="28"/>
          <w:sz w:val="28"/>
          <w:szCs w:val="28"/>
          <w:rtl w:val="true"/>
          <w:lang w:bidi="ar-SA"/>
        </w:rPr>
        <w:t>، وهو الحقّ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فقد نقل المسلمون أنّه ظهر عنه أمور خارقة كنبوع الماء من بين </w:t>
      </w:r>
      <w:bookmarkStart w:id="330" w:name="pg10769_112228"/>
    </w:p>
    <w:p>
      <w:pPr>
        <w:pStyle w:val="BookText"/>
        <w:rPr/>
      </w:pPr>
      <w:bookmarkEnd w:id="330"/>
      <w:r>
        <w:rPr>
          <w:rFonts w:ascii="Amiri" w:hAnsi="Amiri" w:eastAsia="Amiri" w:cs="Amiri"/>
          <w:color w:val="111111"/>
          <w:sz w:val="28"/>
          <w:sz w:val="28"/>
          <w:szCs w:val="28"/>
          <w:rtl w:val="true"/>
          <w:lang w:bidi="ar-SA"/>
        </w:rPr>
        <w:t xml:space="preserve">أصابعه، وتسبيح الحصا في كفّه، وحنين الجذع ، وإطعام الخلق الكثير من الطعام اليسير حتّى أُحصي له نحو من ألف </w:t>
      </w:r>
      <w:r>
        <w:rPr>
          <w:rStyle w:val="FootnoteAnchor"/>
          <w:rtl w:val="true"/>
        </w:rPr>
        <w:footnoteReference w:id="298"/>
      </w:r>
      <w:r>
        <w:rPr>
          <w:rFonts w:ascii="Amiri" w:hAnsi="Amiri" w:eastAsia="Amiri" w:cs="Amiri"/>
          <w:color w:val="111111"/>
          <w:sz w:val="28"/>
          <w:sz w:val="28"/>
          <w:szCs w:val="28"/>
          <w:rtl w:val="true"/>
          <w:lang w:bidi="ar-SA"/>
        </w:rPr>
        <w:t xml:space="preserve">، وهي متواترة المعنى كشجاعة عليّ وسخاء حاتم ، ولإحالة العقل كذبها كلّها فصدق واحد 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على يده هذا الكتاب المشتمل على العلوم الشريفة والمعاني الدقيقة، وانضمّ إلى ذلك إخبار عن الغيب ومواظبة على مكارم الأخلاق </w:t>
      </w:r>
      <w:r>
        <w:rPr>
          <w:rStyle w:val="FootnoteAnchor"/>
          <w:rtl w:val="true"/>
        </w:rPr>
        <w:footnoteReference w:id="299"/>
      </w:r>
      <w:r>
        <w:rPr>
          <w:rFonts w:ascii="Amiri" w:hAnsi="Amiri" w:eastAsia="Amiri" w:cs="Amiri"/>
          <w:color w:val="111111"/>
          <w:sz w:val="28"/>
          <w:sz w:val="28"/>
          <w:szCs w:val="28"/>
          <w:rtl w:val="true"/>
          <w:lang w:bidi="ar-SA"/>
        </w:rPr>
        <w:t xml:space="preserve">وتقريرات شرعيّة تتمّ بها نظام النوع ، ولا شكّ أنّ هذه لا تحصل إلّا بتأييد إلهيّ وتمكين ربّانيّ، وأمّا الكبرى فلانّه لو لم يكن صادقاً لما جاز من الله </w:t>
      </w:r>
      <w:r>
        <w:rPr>
          <w:rStyle w:val="FootnoteAnchor"/>
          <w:rtl w:val="true"/>
        </w:rPr>
        <w:footnoteReference w:id="300"/>
      </w:r>
      <w:r>
        <w:rPr>
          <w:rFonts w:ascii="Amiri" w:hAnsi="Amiri" w:eastAsia="Amiri" w:cs="Amiri"/>
          <w:color w:val="111111"/>
          <w:sz w:val="28"/>
          <w:sz w:val="28"/>
          <w:szCs w:val="28"/>
          <w:rtl w:val="true"/>
          <w:lang w:bidi="ar-SA"/>
        </w:rPr>
        <w:t>خلق المعجز عقيب دعواه، فلو كان كاذباً لكان الله تعالى مصدّقاً للكاذب وتصديق الكاذب قبيح لما تقدّم؛ فيكون محمد عبدالله نبيّاً حقّاً ورسولاً صدقاً</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7543555_1051229030"/>
      <w:bookmarkStart w:id="332" w:name="_Toc121"/>
      <w:bookmarkEnd w:id="331"/>
      <w:r>
        <w:rPr>
          <w:rtl w:val="true"/>
        </w:rPr>
        <w:t xml:space="preserve">أصل </w:t>
      </w:r>
      <w:r>
        <w:rPr>
          <w:rtl w:val="true"/>
        </w:rPr>
        <w:t xml:space="preserve">[ </w:t>
      </w:r>
      <w:r>
        <w:rPr>
          <w:rtl w:val="true"/>
        </w:rPr>
        <w:t xml:space="preserve">في البعثة للعالمين </w:t>
      </w:r>
      <w:r>
        <w:rPr>
          <w:rtl w:val="true"/>
        </w:rPr>
        <w:t>]</w:t>
      </w:r>
      <w:bookmarkEnd w:id="33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صلى الله عليه و آله مبعوث إلى كافّة الخلق، ودليله إخباره علیه السّلام المعلوم صدقه من نبوّته </w:t>
      </w:r>
      <w:r>
        <w:rPr>
          <w:rStyle w:val="FootnoteAnchor"/>
          <w:rtl w:val="true"/>
        </w:rPr>
        <w:footnoteReference w:id="301"/>
      </w:r>
      <w:r>
        <w:rPr>
          <w:rFonts w:ascii="Amiri" w:hAnsi="Amiri" w:eastAsia="Amiri" w:cs="Amiri"/>
          <w:color w:val="111111"/>
          <w:sz w:val="28"/>
          <w:sz w:val="28"/>
          <w:szCs w:val="28"/>
          <w:rtl w:val="true"/>
          <w:lang w:bidi="ar-SA"/>
        </w:rPr>
        <w:t>المستلزم لثبوت عصمته المانعة من الكذب،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رَسُولُ اللَّهِ إِلَيْكُمْ جَمِيعاً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إلى الأسود والأحمر</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ويلزم من عموم نبوّته كونه خاتم الأنبياء وإلّا لم تكن </w:t>
      </w:r>
      <w:bookmarkStart w:id="333" w:name="pg10769_112229"/>
    </w:p>
    <w:p>
      <w:pPr>
        <w:pStyle w:val="BookText"/>
        <w:rPr/>
      </w:pPr>
      <w:bookmarkEnd w:id="333"/>
      <w:r>
        <w:rPr>
          <w:rFonts w:ascii="Amiri" w:hAnsi="Amiri" w:eastAsia="Amiri" w:cs="Amiri"/>
          <w:color w:val="111111"/>
          <w:sz w:val="28"/>
          <w:sz w:val="28"/>
          <w:szCs w:val="28"/>
          <w:rtl w:val="true"/>
          <w:lang w:bidi="ar-SA"/>
        </w:rPr>
        <w:t>عامّة للخلق،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وَخَاتَمَ النَّبِيِّينَ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7543557_1051229030"/>
      <w:bookmarkStart w:id="335" w:name="_Toc122"/>
      <w:bookmarkEnd w:id="334"/>
      <w:r>
        <w:rPr>
          <w:rtl w:val="true"/>
        </w:rPr>
        <w:t xml:space="preserve">أصل </w:t>
      </w:r>
      <w:r>
        <w:rPr>
          <w:rtl w:val="true"/>
        </w:rPr>
        <w:t>[</w:t>
      </w:r>
      <w:r>
        <w:rPr>
          <w:rtl w:val="true"/>
        </w:rPr>
        <w:t xml:space="preserve">نبيّنا صلّی الله علیه و آله بين أفضل الأنبياء </w:t>
      </w:r>
      <w:r>
        <w:rPr>
          <w:rtl w:val="true"/>
        </w:rPr>
        <w:t>]</w:t>
      </w:r>
      <w:bookmarkEnd w:id="335"/>
    </w:p>
    <w:p>
      <w:pPr>
        <w:pStyle w:val="BookText"/>
        <w:rPr/>
      </w:pPr>
      <w:r>
        <w:rPr>
          <w:rFonts w:ascii="Amiri" w:hAnsi="Amiri" w:eastAsia="Amiri" w:cs="Amiri"/>
          <w:color w:val="111111"/>
          <w:sz w:val="28"/>
          <w:sz w:val="28"/>
          <w:szCs w:val="28"/>
          <w:rtl w:val="true"/>
          <w:lang w:bidi="ar-SA"/>
        </w:rPr>
        <w:t xml:space="preserve">إنّه صلّی الله علیه و آله أفضل من غيره من الأنبياء لقوله تعالى بعد ذكر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أمره بالاقتداء بهداهم المشترك، فوجب أن يأتي بكلّ ما أتى به كلّ واحد منهم، فيحصل على مثل كمالات جميعهم، فيكون أفضل من كلّ واحدٍ منهم، ولقوله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أشرف البشره</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ولد آدم</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وكذا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ومن دونه تحت لوائي يوم القيامة</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7543559_1051229030"/>
      <w:bookmarkStart w:id="337" w:name="_Toc123"/>
      <w:bookmarkEnd w:id="336"/>
      <w:r>
        <w:rPr>
          <w:rtl w:val="true"/>
        </w:rPr>
        <w:t xml:space="preserve">أصل </w:t>
      </w:r>
      <w:r>
        <w:rPr>
          <w:rtl w:val="true"/>
        </w:rPr>
        <w:t xml:space="preserve">[ </w:t>
      </w:r>
      <w:r>
        <w:rPr>
          <w:rtl w:val="true"/>
        </w:rPr>
        <w:t xml:space="preserve">في تعبّده صلّی الله علیه و آله بالشرائع السابقة وعدمه </w:t>
      </w:r>
      <w:r>
        <w:rPr>
          <w:rtl w:val="true"/>
        </w:rPr>
        <w:t>]</w:t>
      </w:r>
      <w:bookmarkEnd w:id="3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علیه السّلام كان متعبّداً بشرع من قبله من الأنبياء التي انقضت الأنبياء عليها، ودلّت بصحّتها البراهين كالتوحيد والعدل والقول بالمعاد واستكمال النفوس بالعلوم </w:t>
      </w:r>
      <w:bookmarkStart w:id="338" w:name="pg10769_112230"/>
    </w:p>
    <w:p>
      <w:pPr>
        <w:pStyle w:val="BookText"/>
        <w:rPr/>
      </w:pPr>
      <w:bookmarkEnd w:id="338"/>
      <w:r>
        <w:rPr>
          <w:rFonts w:ascii="Amiri" w:hAnsi="Amiri" w:eastAsia="Amiri" w:cs="Amiri"/>
          <w:color w:val="111111"/>
          <w:sz w:val="28"/>
          <w:sz w:val="28"/>
          <w:szCs w:val="28"/>
          <w:rtl w:val="true"/>
          <w:lang w:bidi="ar-SA"/>
        </w:rPr>
        <w:t>والكمالات ومكارم الأخلاق، وذلك هو المشار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بِهدَاهُمُ اقْتَدِه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هَدَانِي رَبِّي إِلَى صِرَاطٍ مُسْتَقِيمٍ دِيناً قِيَماً مِلَّةَ إِبْرَاهِیمَ حَنِيفاً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لا من حيث إنّهم تعبّدوا </w:t>
      </w:r>
      <w:r>
        <w:rPr>
          <w:rStyle w:val="FootnoteAnchor"/>
          <w:rtl w:val="true"/>
        </w:rPr>
        <w:footnoteReference w:id="312"/>
      </w:r>
      <w:r>
        <w:rPr>
          <w:rFonts w:ascii="Amiri" w:hAnsi="Amiri" w:eastAsia="Amiri" w:cs="Amiri"/>
          <w:color w:val="111111"/>
          <w:sz w:val="28"/>
          <w:sz w:val="28"/>
          <w:szCs w:val="28"/>
          <w:rtl w:val="true"/>
          <w:lang w:bidi="ar-SA"/>
        </w:rPr>
        <w:t>بها ، بل من حيث إنّها كمالات في أنفسها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الفروع المختلف في الشرائع فالحقّ إنّه علیه السّلام لم يكن متعبّداً بها وإلّا لاشتهر ذلك ولافتخر به أربابها، ولأنّها منسوخة فلا يكون متعبّداً بشيء من الشرائع لا قبل النبوّة ولا بعدها إلّا بما تقدّم ، وتحقيقه في أّصول الفقه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7543561_1051229030"/>
      <w:bookmarkStart w:id="340" w:name="_Toc124"/>
      <w:bookmarkEnd w:id="339"/>
      <w:r>
        <w:rPr>
          <w:rtl w:val="true"/>
        </w:rPr>
        <w:t xml:space="preserve">أصل </w:t>
      </w:r>
      <w:r>
        <w:rPr>
          <w:rtl w:val="true"/>
        </w:rPr>
        <w:t xml:space="preserve">[ </w:t>
      </w:r>
      <w:r>
        <w:rPr>
          <w:rtl w:val="true"/>
        </w:rPr>
        <w:t xml:space="preserve">في وجوب قبول كلامه </w:t>
      </w:r>
      <w:r>
        <w:rPr>
          <w:rtl w:val="true"/>
        </w:rPr>
        <w:t>]</w:t>
      </w:r>
      <w:bookmarkEnd w:id="3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ثبتت نبوّته وعصمته وجب أنّ كلّ ما جاء به من الأحكام وأخبر به أُمّته من أحوال القرون الماضية، وأخبار السماء وأحوال القيامة، وكيفيّة حشر الأجساد والجنّة والنار حقٌّ وصدقٌ لإمكانه وإخبار الصادق بوقوعه، وشرعه علیه السّلام محفوظ بالإمام المعصوم الذي لا يجوز خلوّ زمان التكليف منه كما يجيء، فيتلقّاه المكلّفون حال الحضور وفي </w:t>
      </w:r>
      <w:r>
        <w:rPr>
          <w:rStyle w:val="FootnoteAnchor"/>
          <w:rtl w:val="true"/>
        </w:rPr>
        <w:footnoteReference w:id="314"/>
      </w:r>
      <w:r>
        <w:rPr>
          <w:rFonts w:ascii="IRNazanin" w:hAnsi="IRNazanin" w:eastAsia="IRNazanin"/>
          <w:color w:val="111111"/>
          <w:sz w:val="28"/>
          <w:sz w:val="28"/>
          <w:szCs w:val="28"/>
          <w:rtl w:val="true"/>
          <w:lang w:bidi="fa-IR"/>
        </w:rPr>
        <w:t>حال الغيبة؛ فأُُصول الشرع مضبوطة مقبولة بالتواتر عن المعصوم ، وفروعه معلومة بالإجماع أو بطريق الاجتهاد كما ورد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أن نلقي إليكم الأُصول وعليكم أن تفرّعوا</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وكما </w:t>
      </w:r>
      <w:bookmarkStart w:id="341" w:name="pg10769_112231"/>
    </w:p>
    <w:p>
      <w:pPr>
        <w:pStyle w:val="BookText"/>
        <w:rPr/>
      </w:pPr>
      <w:bookmarkEnd w:id="341"/>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قد عرف من حلالنا وحرامنا فاجعلوه قاضياً فإنّي قد جعلته قاضياً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7543563_1051229030"/>
      <w:bookmarkStart w:id="343" w:name="_Toc125"/>
      <w:bookmarkEnd w:id="342"/>
      <w:r>
        <w:rPr>
          <w:rtl w:val="true"/>
        </w:rPr>
        <w:t xml:space="preserve">أصل </w:t>
      </w:r>
      <w:r>
        <w:rPr>
          <w:rtl w:val="true"/>
        </w:rPr>
        <w:t xml:space="preserve">[ </w:t>
      </w:r>
      <w:r>
        <w:rPr>
          <w:rtl w:val="true"/>
        </w:rPr>
        <w:t xml:space="preserve">الأنبياء علیهم السّلام أفضل من الملائكة </w:t>
      </w:r>
      <w:r>
        <w:rPr>
          <w:rtl w:val="true"/>
        </w:rPr>
        <w:t>]</w:t>
      </w:r>
      <w:bookmarkEnd w:id="343"/>
    </w:p>
    <w:p>
      <w:pPr>
        <w:pStyle w:val="BookText"/>
        <w:rPr/>
      </w:pPr>
      <w:r>
        <w:rPr>
          <w:rFonts w:ascii="IRNazanin" w:hAnsi="IRNazanin" w:eastAsia="IRNazanin"/>
          <w:color w:val="111111"/>
          <w:sz w:val="28"/>
          <w:sz w:val="28"/>
          <w:szCs w:val="28"/>
          <w:rtl w:val="true"/>
          <w:lang w:bidi="fa-IR"/>
        </w:rPr>
        <w:t>الأنبياء علیهم السّلام أفضل من الملائكة، لأنّهم يعبدون الله الشهوة والغضب</w:t>
      </w:r>
    </w:p>
    <w:p>
      <w:pPr>
        <w:pStyle w:val="BookText"/>
        <w:rPr/>
      </w:pPr>
      <w:r>
        <w:rPr>
          <w:rFonts w:ascii="Amiri" w:hAnsi="Amiri" w:eastAsia="Amiri" w:cs="Amiri"/>
          <w:color w:val="111111"/>
          <w:sz w:val="28"/>
          <w:sz w:val="28"/>
          <w:szCs w:val="28"/>
          <w:rtl w:val="true"/>
          <w:lang w:bidi="ar-SA"/>
        </w:rPr>
        <w:t xml:space="preserve">مع والاهتمام بالأهل والولد بخلاف الملائكة فإنّهم مجبلون </w:t>
      </w:r>
      <w:r>
        <w:rPr>
          <w:rStyle w:val="FootnoteAnchor"/>
          <w:rtl w:val="true"/>
        </w:rPr>
        <w:footnoteReference w:id="317"/>
      </w:r>
      <w:r>
        <w:rPr>
          <w:rFonts w:ascii="Amiri" w:hAnsi="Amiri" w:eastAsia="Amiri" w:cs="Amiri"/>
          <w:color w:val="111111"/>
          <w:sz w:val="28"/>
          <w:sz w:val="28"/>
          <w:szCs w:val="28"/>
          <w:rtl w:val="true"/>
          <w:lang w:bidi="ar-SA"/>
        </w:rPr>
        <w:t xml:space="preserve">على الخير ، فيكون الأوّل أشقّ، وهو ظاهر، فيكون أفضل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أي أشقّها،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فتدخل الملائكة، ولأنّه أمر الملائكة بالسجود لآدم وهو أعظم ما يكون من الخضوع، وأمر العالي بذلك للسافل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للحكمة، ولأنّه معلّم فيكون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 المعتزلة والحكماء </w:t>
      </w:r>
      <w:r>
        <w:rPr>
          <w:rStyle w:val="FootnoteAnchor"/>
          <w:rtl w:val="true"/>
        </w:rPr>
        <w:footnoteReference w:id="320"/>
      </w:r>
      <w:r>
        <w:rPr>
          <w:rFonts w:ascii="Amiri" w:hAnsi="Amiri" w:eastAsia="Amiri" w:cs="Amiri"/>
          <w:color w:val="111111"/>
          <w:sz w:val="28"/>
          <w:sz w:val="28"/>
          <w:szCs w:val="28"/>
          <w:rtl w:val="true"/>
          <w:lang w:bidi="ar-SA"/>
        </w:rPr>
        <w:t xml:space="preserve">هنا ضعيف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والملائكة معصومون كالأنبياء ؛ أمّا الرسل فظاهر، وأمّا غيرهم فلقوله تعالى</w:t>
      </w:r>
      <w:r>
        <w:rPr>
          <w:rFonts w:eastAsia="Amiri" w:cs="Amiri" w:ascii="Amiri" w:hAnsi="Amiri"/>
          <w:color w:val="111111"/>
          <w:sz w:val="28"/>
          <w:szCs w:val="28"/>
          <w:rtl w:val="true"/>
          <w:lang w:bidi="ar-SA"/>
        </w:rPr>
        <w:t xml:space="preserve">: </w:t>
      </w:r>
      <w:bookmarkStart w:id="344" w:name="pg10769_112232"/>
    </w:p>
    <w:p>
      <w:pPr>
        <w:pStyle w:val="BookText"/>
        <w:rPr/>
      </w:pPr>
      <w:bookmarkEnd w:id="3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 وللإجماع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والملائكة أجسام شفّافة نورانيّة قادرون على التشكّل بالأشكال، مجبولون </w:t>
      </w:r>
      <w:r>
        <w:rPr>
          <w:rStyle w:val="FootnoteAnchor"/>
          <w:rtl w:val="true"/>
        </w:rPr>
        <w:footnoteReference w:id="323"/>
      </w:r>
      <w:r>
        <w:rPr>
          <w:rFonts w:ascii="Amiri" w:hAnsi="Amiri" w:eastAsia="Amiri" w:cs="Amiri"/>
          <w:color w:val="111111"/>
          <w:sz w:val="28"/>
          <w:sz w:val="28"/>
          <w:szCs w:val="28"/>
          <w:rtl w:val="true"/>
          <w:lang w:bidi="ar-SA"/>
        </w:rPr>
        <w:t>على الخير والطاعة، فاعلون بالاختيار لدلالة الإجماع</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7543565_1051229030"/>
      <w:bookmarkStart w:id="346" w:name="_Toc126"/>
      <w:bookmarkEnd w:id="345"/>
      <w:r>
        <w:rPr>
          <w:rtl w:val="true"/>
        </w:rPr>
        <w:t xml:space="preserve">أصل </w:t>
      </w:r>
      <w:r>
        <w:rPr>
          <w:rtl w:val="true"/>
        </w:rPr>
        <w:t xml:space="preserve">[ </w:t>
      </w:r>
      <w:r>
        <w:rPr>
          <w:rtl w:val="true"/>
        </w:rPr>
        <w:t xml:space="preserve">النسخ </w:t>
      </w:r>
      <w:r>
        <w:rPr>
          <w:rtl w:val="true"/>
        </w:rPr>
        <w:t>]</w:t>
      </w:r>
      <w:bookmarkEnd w:id="346"/>
    </w:p>
    <w:p>
      <w:pPr>
        <w:pStyle w:val="BookText"/>
        <w:rPr/>
      </w:pPr>
      <w:r>
        <w:rPr>
          <w:rFonts w:ascii="Amiri" w:hAnsi="Amiri" w:eastAsia="Amiri" w:cs="Amiri"/>
          <w:color w:val="111111"/>
          <w:sz w:val="28"/>
          <w:sz w:val="28"/>
          <w:szCs w:val="28"/>
          <w:rtl w:val="true"/>
          <w:lang w:bidi="ar-SA"/>
        </w:rPr>
        <w:t xml:space="preserve">النسخ رفع حكم شرعي متراخ عنه على وجه لولا الثاني لبقي الأوّل </w:t>
      </w:r>
      <w:r>
        <w:rPr>
          <w:rStyle w:val="FootnoteAnchor"/>
          <w:rtl w:val="true"/>
        </w:rPr>
        <w:footnoteReference w:id="324"/>
      </w:r>
      <w:r>
        <w:rPr>
          <w:rFonts w:ascii="IRNazanin" w:hAnsi="IRNazanin" w:eastAsia="IRNazanin"/>
          <w:color w:val="111111"/>
          <w:sz w:val="28"/>
          <w:sz w:val="28"/>
          <w:szCs w:val="28"/>
          <w:rtl w:val="true"/>
          <w:lang w:bidi="fa-IR"/>
        </w:rPr>
        <w:t>، وهو واقع لأنّ الأحكام منوطة بالمصالح والمصالح تختلف باختلاف الأوقات والأشخاص فيتغيّر الحكم المعلّق بها فيجب النسخ وإلّا لزم التكليف بالقبيح وهو محال على الحكيم، وإذا ثبتت نبوّة نبيّنا محمّد صلّی الله علیه و آله استلزم رفع كثير من الشرائع فقد وقع النسخ والإجماع واقع به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تقرّر ذلك فاعلم أنّ من اليهود من منعه عقلاً وسمعاً ؛ أمّا عقلاً فلاستلزامه البداء، وهو رفع الحكم قبل العمل به، وهو محال عليه تعالى لأنّ رفع الحكم قبل العمل به جهل بمصلحته </w:t>
      </w:r>
      <w:r>
        <w:rPr>
          <w:rStyle w:val="FootnoteAnchor"/>
          <w:rtl w:val="true"/>
        </w:rPr>
        <w:footnoteReference w:id="325"/>
      </w:r>
      <w:r>
        <w:rPr>
          <w:rFonts w:ascii="IRNazanin" w:hAnsi="IRNazanin" w:eastAsia="IRNazanin"/>
          <w:color w:val="111111"/>
          <w:sz w:val="28"/>
          <w:sz w:val="28"/>
          <w:szCs w:val="28"/>
          <w:rtl w:val="true"/>
          <w:lang w:bidi="fa-IR"/>
        </w:rPr>
        <w:t>التي شرع لأجلها، وأمّا سمعاً فلقول موسى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تمسّكوا بالسبت أبداً</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وأُجيب بأنّ النسخ ليس كالبداء، فإنّ النسخ يشترط فيه اختلاف الوقت، والبداء الوقت فيه واحد، وعن الخبر بالمنع من صحّته </w:t>
      </w:r>
      <w:r>
        <w:rPr>
          <w:rStyle w:val="FootnoteAnchor"/>
          <w:rtl w:val="true"/>
        </w:rPr>
        <w:footnoteReference w:id="327"/>
      </w:r>
      <w:r>
        <w:rPr>
          <w:rFonts w:ascii="Amiri" w:hAnsi="Amiri" w:eastAsia="Amiri" w:cs="Amiri"/>
          <w:color w:val="111111"/>
          <w:sz w:val="28"/>
          <w:sz w:val="28"/>
          <w:szCs w:val="28"/>
          <w:rtl w:val="true"/>
          <w:lang w:bidi="ar-SA"/>
        </w:rPr>
        <w:t xml:space="preserve">،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والمراد بالمذكور فى المتن أعلاه ابن الراونديّ المشتهر بالزندقة والإلحاد والذي تنسب إليه الفرقة الراونديّة،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مشاهير الزنادقة، طلبه السلطان فهرب ولجأ إلى ابن لاويّ اليهوديّ بالأهواز ، وصنّف له في مدّة مقامه عنده كتابه الذي سمّاه الدامع للقرآن</w:t>
      </w:r>
    </w:p>
    <w:p>
      <w:pPr>
        <w:pStyle w:val="BookText"/>
        <w:rPr/>
      </w:pPr>
      <w:r>
        <w:rPr>
          <w:rFonts w:ascii="IRNazanin" w:hAnsi="IRNazanin" w:eastAsia="IRNazanin"/>
          <w:color w:val="111111"/>
          <w:sz w:val="28"/>
          <w:sz w:val="28"/>
          <w:szCs w:val="28"/>
          <w:rtl w:val="true"/>
          <w:lang w:bidi="fa-IR"/>
        </w:rPr>
        <w:t>وضعه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سلّمنا لكنّه آحاد والمسألة علميّة، سلّمنا لكنّه يحتمل التأويل وهو أن يراد بالأبد المدّة الطويلة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0769_112234"/>
    </w:p>
    <w:p>
      <w:pPr>
        <w:pStyle w:val="Heading2"/>
        <w:numPr>
          <w:ilvl w:val="1"/>
          <w:numId w:val="1"/>
        </w:numPr>
        <w:rPr/>
      </w:pPr>
      <w:bookmarkStart w:id="348" w:name="__RefHeading___Toc7543567_1051229030"/>
      <w:bookmarkStart w:id="349" w:name="_Toc127"/>
      <w:bookmarkEnd w:id="347"/>
      <w:bookmarkEnd w:id="348"/>
      <w:r>
        <w:rPr>
          <w:rtl w:val="true"/>
        </w:rPr>
        <w:t>المعراج الرابع في الإمامة</w:t>
      </w:r>
      <w:bookmarkEnd w:id="34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0" w:name="__RefHeading___Toc7543569_1051229030"/>
      <w:bookmarkStart w:id="351" w:name="_Toc128"/>
      <w:bookmarkEnd w:id="350"/>
      <w:r>
        <w:rPr>
          <w:rtl w:val="true"/>
        </w:rPr>
        <w:t>اشارة</w:t>
      </w:r>
      <w:bookmarkEnd w:id="35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0769_112236"/>
      <w:bookmarkStart w:id="353" w:name="pg10769_112236"/>
      <w:bookmarkEnd w:id="353"/>
    </w:p>
    <w:p>
      <w:pPr>
        <w:pStyle w:val="Heading3"/>
        <w:numPr>
          <w:ilvl w:val="2"/>
          <w:numId w:val="1"/>
        </w:numPr>
        <w:rPr/>
      </w:pPr>
      <w:bookmarkStart w:id="354" w:name="pg10769_112236"/>
      <w:bookmarkStart w:id="355" w:name="__RefHeading___Toc7543571_1051229030"/>
      <w:bookmarkStart w:id="356" w:name="_Toc129"/>
      <w:bookmarkEnd w:id="354"/>
      <w:bookmarkEnd w:id="355"/>
      <w:r>
        <w:rPr>
          <w:rtl w:val="true"/>
        </w:rPr>
        <w:t xml:space="preserve">أصل </w:t>
      </w:r>
      <w:r>
        <w:rPr>
          <w:rtl w:val="true"/>
        </w:rPr>
        <w:t xml:space="preserve">[ </w:t>
      </w:r>
      <w:r>
        <w:rPr>
          <w:rtl w:val="true"/>
        </w:rPr>
        <w:t xml:space="preserve">تعريف الإمامة ووجوبها </w:t>
      </w:r>
      <w:r>
        <w:rPr>
          <w:rtl w:val="true"/>
        </w:rPr>
        <w:t>]</w:t>
      </w:r>
      <w:bookmarkEnd w:id="356"/>
    </w:p>
    <w:p>
      <w:pPr>
        <w:pStyle w:val="BookText"/>
        <w:rPr/>
      </w:pPr>
      <w:r>
        <w:rPr>
          <w:rFonts w:ascii="Amiri" w:hAnsi="Amiri" w:eastAsia="Amiri" w:cs="Amiri"/>
          <w:color w:val="111111"/>
          <w:sz w:val="28"/>
          <w:sz w:val="28"/>
          <w:szCs w:val="28"/>
          <w:rtl w:val="true"/>
          <w:lang w:bidi="ar-SA"/>
        </w:rPr>
        <w:t xml:space="preserve">الإمامة رئاسة عامّة </w:t>
      </w:r>
      <w:r>
        <w:rPr>
          <w:rStyle w:val="FootnoteAnchor"/>
          <w:rtl w:val="true"/>
        </w:rPr>
        <w:footnoteReference w:id="329"/>
      </w:r>
      <w:r>
        <w:rPr>
          <w:rFonts w:ascii="Amiri" w:hAnsi="Amiri" w:eastAsia="Amiri" w:cs="Amiri"/>
          <w:color w:val="111111"/>
          <w:sz w:val="28"/>
          <w:sz w:val="28"/>
          <w:szCs w:val="28"/>
          <w:rtl w:val="true"/>
          <w:lang w:bidi="ar-SA"/>
        </w:rPr>
        <w:t>الشخص إنسانيّ في الدين والدنيا خلافة عن النبيّ ؛ فالرئاسة جنسٌ قريبٌ، والبعيد النسبة، وبالعموم خرج ولاية قرية، وتعلّقها بالدين يخرج الملوك والدنيا يخرج العلماء، وبقيد الشخص الإنسانيّ يخرج الملك والجنّ ، وبقيد الخلافة يخرج النبوّة لانطباق التعريف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فذهب الأكثر إلى وجوبها مطلقاً </w:t>
      </w:r>
      <w:r>
        <w:rPr>
          <w:rStyle w:val="FootnoteAnchor"/>
          <w:rtl w:val="true"/>
        </w:rPr>
        <w:footnoteReference w:id="330"/>
      </w:r>
      <w:r>
        <w:rPr>
          <w:rFonts w:ascii="Amiri" w:hAnsi="Amiri" w:eastAsia="Amiri" w:cs="Amiri"/>
          <w:color w:val="111111"/>
          <w:sz w:val="28"/>
          <w:sz w:val="28"/>
          <w:szCs w:val="28"/>
          <w:rtl w:val="true"/>
          <w:lang w:bidi="ar-SA"/>
        </w:rPr>
        <w:t xml:space="preserve">ثمّ اختلفوا، فقالت الأشاعرة بوجوبها سمعاً </w:t>
      </w:r>
      <w:r>
        <w:rPr>
          <w:rStyle w:val="FootnoteAnchor"/>
          <w:rtl w:val="true"/>
        </w:rPr>
        <w:footnoteReference w:id="331"/>
      </w:r>
      <w:r>
        <w:rPr>
          <w:rFonts w:ascii="Amiri" w:hAnsi="Amiri" w:eastAsia="Amiri" w:cs="Amiri"/>
          <w:color w:val="111111"/>
          <w:sz w:val="28"/>
          <w:sz w:val="28"/>
          <w:szCs w:val="28"/>
          <w:rtl w:val="true"/>
          <w:lang w:bidi="ar-SA"/>
        </w:rPr>
        <w:t xml:space="preserve">، وقالت الإماميّة وجماعة من المعتزلة بوجوبها عقلاً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اختلفوا، فبوجوبها على الخلق قالت المعتزلة </w:t>
      </w:r>
      <w:r>
        <w:rPr>
          <w:rStyle w:val="FootnoteAnchor"/>
          <w:rtl w:val="true"/>
        </w:rPr>
        <w:footnoteReference w:id="333"/>
      </w:r>
      <w:r>
        <w:rPr>
          <w:rFonts w:ascii="Amiri" w:hAnsi="Amiri" w:eastAsia="Amiri" w:cs="Amiri"/>
          <w:color w:val="111111"/>
          <w:sz w:val="28"/>
          <w:sz w:val="28"/>
          <w:szCs w:val="28"/>
          <w:rtl w:val="true"/>
          <w:lang w:bidi="ar-SA"/>
        </w:rPr>
        <w:t xml:space="preserve">وقالت الإماميّة بوجوبها على </w:t>
      </w:r>
      <w:bookmarkStart w:id="357" w:name="pg10769_112237"/>
    </w:p>
    <w:p>
      <w:pPr>
        <w:pStyle w:val="BookText"/>
        <w:rPr/>
      </w:pPr>
      <w:bookmarkEnd w:id="357"/>
      <w:r>
        <w:rPr>
          <w:rFonts w:ascii="Amiri" w:hAnsi="Amiri" w:eastAsia="Amiri" w:cs="Amiri"/>
          <w:color w:val="111111"/>
          <w:sz w:val="28"/>
          <w:sz w:val="28"/>
          <w:szCs w:val="28"/>
          <w:rtl w:val="true"/>
          <w:lang w:bidi="ar-SA"/>
        </w:rPr>
        <w:t xml:space="preserve">الله من حيث الحكمة </w:t>
      </w:r>
      <w:r>
        <w:rPr>
          <w:rStyle w:val="FootnoteAnchor"/>
          <w:rtl w:val="true"/>
        </w:rPr>
        <w:footnoteReference w:id="334"/>
      </w:r>
      <w:r>
        <w:rPr>
          <w:rFonts w:ascii="Amiri" w:hAnsi="Amiri" w:eastAsia="Amiri" w:cs="Amiri"/>
          <w:color w:val="111111"/>
          <w:sz w:val="28"/>
          <w:sz w:val="28"/>
          <w:szCs w:val="28"/>
          <w:rtl w:val="true"/>
          <w:lang w:bidi="ar-SA"/>
        </w:rPr>
        <w:t>، وهو الحقّ لأنّها لطف وكلّ لطف واجب؛ أمّا صغرى فلأنّ الناس إذا كان لهم رئيس مُرشد آخذ على يد الزاني والجاني كانوا معه إلى الصلاح أقرب ومن الفساد أبعد، ولا نعنى باللطف إلّا ذلك، وأمّا الكبرى فقد تقدّمت</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7543573_1051229030"/>
      <w:bookmarkStart w:id="359" w:name="_Toc130"/>
      <w:bookmarkEnd w:id="358"/>
      <w:r>
        <w:rPr>
          <w:rtl w:val="true"/>
        </w:rPr>
        <w:t xml:space="preserve">أصل </w:t>
      </w:r>
      <w:r>
        <w:rPr>
          <w:rtl w:val="true"/>
        </w:rPr>
        <w:t xml:space="preserve">[ </w:t>
      </w:r>
      <w:r>
        <w:rPr>
          <w:rtl w:val="true"/>
        </w:rPr>
        <w:t xml:space="preserve">في طريق تعيين الإمام </w:t>
      </w:r>
      <w:r>
        <w:rPr>
          <w:rtl w:val="true"/>
        </w:rPr>
        <w:t>]</w:t>
      </w:r>
      <w:bookmarkEnd w:id="359"/>
    </w:p>
    <w:p>
      <w:pPr>
        <w:pStyle w:val="BookText"/>
        <w:rPr/>
      </w:pPr>
      <w:r>
        <w:rPr>
          <w:rFonts w:ascii="Amiri" w:hAnsi="Amiri" w:eastAsia="Amiri" w:cs="Amiri"/>
          <w:color w:val="111111"/>
          <w:sz w:val="28"/>
          <w:sz w:val="28"/>
          <w:szCs w:val="28"/>
          <w:rtl w:val="true"/>
          <w:lang w:bidi="ar-SA"/>
        </w:rPr>
        <w:t>اختلف في الطريق إلى تعيين الإمام، فقال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البيعة لمن هو مستعدّ للإمامة ولو </w:t>
      </w:r>
      <w:r>
        <w:rPr>
          <w:rStyle w:val="FootnoteAnchor"/>
          <w:rtl w:val="true"/>
        </w:rPr>
        <w:footnoteReference w:id="335"/>
      </w:r>
      <w:r>
        <w:rPr>
          <w:rFonts w:ascii="Amiri" w:hAnsi="Amiri" w:eastAsia="Amiri" w:cs="Amiri"/>
          <w:color w:val="111111"/>
          <w:sz w:val="28"/>
          <w:sz w:val="28"/>
          <w:szCs w:val="28"/>
          <w:rtl w:val="true"/>
          <w:lang w:bidi="ar-SA"/>
        </w:rPr>
        <w:t xml:space="preserve">استولى ذو الشوكة بشوكته على خطط الإسلام فقد تعيّنت إمامته ، أو </w:t>
      </w:r>
      <w:r>
        <w:rPr>
          <w:rStyle w:val="FootnoteAnchor"/>
          <w:rtl w:val="true"/>
        </w:rPr>
        <w:footnoteReference w:id="336"/>
      </w:r>
      <w:r>
        <w:rPr>
          <w:rFonts w:ascii="Amiri" w:hAnsi="Amiri" w:eastAsia="Amiri" w:cs="Amiri"/>
          <w:color w:val="111111"/>
          <w:sz w:val="28"/>
          <w:sz w:val="28"/>
          <w:szCs w:val="28"/>
          <w:rtl w:val="true"/>
          <w:lang w:bidi="ar-SA"/>
        </w:rPr>
        <w:t xml:space="preserve">النصّ على تعيينه كما اتَّفق في أبي بكر وعمر ، فإنّ أبا بكر أخذها بالبيعة له، وعمر بالنصّ منه ، وعثمان بالشورى، وبعض الأُمويّة والعبّاسيّة بالشوكة والاستيلاء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طريق إلى التعيين إلّا النصّ الجلي القولي أو الفعلي، وهو الحق لأنّ العصمة شرط في الإمامة كما يجيء ، وهي ليست معلومة لكلّ أحد لأنّها من الأُمور الباطنة التي لا يعلمها إلّا الله فلا بد فيها من النصّ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7543575_1051229030"/>
      <w:bookmarkStart w:id="361" w:name="_Toc131"/>
      <w:bookmarkEnd w:id="360"/>
      <w:r>
        <w:rPr>
          <w:rtl w:val="true"/>
        </w:rPr>
        <w:t xml:space="preserve">أصل </w:t>
      </w:r>
      <w:r>
        <w:rPr>
          <w:rtl w:val="true"/>
        </w:rPr>
        <w:t xml:space="preserve">[ </w:t>
      </w:r>
      <w:r>
        <w:rPr>
          <w:rtl w:val="true"/>
        </w:rPr>
        <w:t xml:space="preserve">في أنّ الإمامة لطف </w:t>
      </w:r>
      <w:r>
        <w:rPr>
          <w:rtl w:val="true"/>
        </w:rPr>
        <w:t>]</w:t>
      </w:r>
      <w:bookmarkEnd w:id="36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الحقّ أنّ الإمامة لطف، وكلّ لطف واجب ، وقد تقدّم بيان ذلك</w:t>
      </w:r>
      <w:r>
        <w:rPr>
          <w:rFonts w:eastAsia="Amiri" w:cs="Amiri" w:ascii="Amiri" w:hAnsi="Amiri"/>
          <w:color w:val="111111"/>
          <w:sz w:val="28"/>
          <w:szCs w:val="28"/>
          <w:rtl w:val="true"/>
          <w:lang w:bidi="ar-SA"/>
        </w:rPr>
        <w:t xml:space="preserve">. </w:t>
      </w:r>
      <w:bookmarkStart w:id="362" w:name="pg10769_112238"/>
    </w:p>
    <w:p>
      <w:pPr>
        <w:pStyle w:val="BookText"/>
        <w:rPr/>
      </w:pPr>
      <w:bookmarkEnd w:id="362"/>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اللطف قد يقوم غيره مقامه فلا يجب، وقد يشتمل على وجه مفسدة لا نعلمها ، وأين اللطف إذا كان غائباً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w:t>
      </w:r>
      <w:r>
        <w:rPr>
          <w:rStyle w:val="FootnoteAnchor"/>
          <w:rtl w:val="true"/>
        </w:rPr>
        <w:footnoteReference w:id="339"/>
      </w:r>
      <w:r>
        <w:rPr>
          <w:rFonts w:ascii="Amiri" w:hAnsi="Amiri" w:eastAsia="Amiri" w:cs="Amiri"/>
          <w:color w:val="111111"/>
          <w:sz w:val="28"/>
          <w:sz w:val="28"/>
          <w:szCs w:val="28"/>
          <w:rtl w:val="true"/>
          <w:lang w:bidi="ar-SA"/>
        </w:rPr>
        <w:t>الناس في سائر البلدان إلى نصب الرؤساء دليل على أنّ غيره لا يقوم مقامه ، ووجوه المفاسد معلومة لنا لأنّا مكلّفون باجتنابها ، وليس في الإمامة شيء منها، والإمامة لطف مطلقاً أمّا مع حضوره فظاهر، وأمّا مع غيبته فلأنّ تجويز ظهوره كلّ وقتٍ لطف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فاللطف يتمّ بأُمور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الله تعالى وهو تعيينه ونصبه وقد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صلّی الله علیه و آله وهو قيامه بأعبائها وقد 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وهو الانقياد له ولم يحصل فعدم تمامه منّا </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7543577_1051229030"/>
      <w:bookmarkStart w:id="364" w:name="_Toc132"/>
      <w:bookmarkEnd w:id="363"/>
      <w:r>
        <w:rPr>
          <w:rtl w:val="true"/>
        </w:rPr>
        <w:t xml:space="preserve">أصل </w:t>
      </w:r>
      <w:r>
        <w:rPr>
          <w:rtl w:val="true"/>
        </w:rPr>
        <w:t xml:space="preserve">[ </w:t>
      </w:r>
      <w:r>
        <w:rPr>
          <w:rtl w:val="true"/>
        </w:rPr>
        <w:t xml:space="preserve">في شرطيّة العصمة للإمام </w:t>
      </w:r>
      <w:r>
        <w:rPr>
          <w:rtl w:val="true"/>
        </w:rPr>
        <w:t>]</w:t>
      </w:r>
      <w:bookmarkEnd w:id="364"/>
    </w:p>
    <w:p>
      <w:pPr>
        <w:pStyle w:val="BookText"/>
        <w:rPr/>
      </w:pPr>
      <w:r>
        <w:rPr>
          <w:rFonts w:ascii="Amiri" w:hAnsi="Amiri" w:eastAsia="Amiri" w:cs="Amiri"/>
          <w:color w:val="111111"/>
          <w:sz w:val="28"/>
          <w:sz w:val="28"/>
          <w:szCs w:val="28"/>
          <w:rtl w:val="true"/>
          <w:lang w:bidi="ar-SA"/>
        </w:rPr>
        <w:t xml:space="preserve">العصمة شرط وإلّا لزم التسلسل، واللازم كالملزوم في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علّة احتياج الناس إلى الإمام هو جواز الخطأ ، فلو جاز عليه لاحتاج </w:t>
      </w:r>
      <w:r>
        <w:rPr>
          <w:rStyle w:val="FootnoteAnchor"/>
          <w:rtl w:val="true"/>
        </w:rPr>
        <w:footnoteReference w:id="340"/>
      </w:r>
      <w:r>
        <w:rPr>
          <w:rFonts w:ascii="Amiri" w:hAnsi="Amiri" w:eastAsia="Amiri" w:cs="Amiri"/>
          <w:color w:val="111111"/>
          <w:sz w:val="28"/>
          <w:sz w:val="28"/>
          <w:szCs w:val="28"/>
          <w:rtl w:val="true"/>
          <w:lang w:bidi="ar-SA"/>
        </w:rPr>
        <w:t xml:space="preserve">إلى إمام آخر وتسلسل، ولأنّه حافظ للشرع، وكلّما كان حافظاً وجب كونه معصوماً ؛ أمّا الصغرى فلأنّ الحافظ ليس الكتاب العزيز ولا السنّة المتواترة لأنّ كلّ واحد منهما غير وافٍ بأحكام الشرع، ولأنّ فيهما إجمال وتشابه </w:t>
      </w:r>
      <w:r>
        <w:rPr>
          <w:rStyle w:val="FootnoteAnchor"/>
          <w:rtl w:val="true"/>
        </w:rPr>
        <w:footnoteReference w:id="341"/>
      </w:r>
      <w:r>
        <w:rPr>
          <w:rFonts w:ascii="Amiri" w:hAnsi="Amiri" w:eastAsia="Amiri" w:cs="Amiri"/>
          <w:color w:val="111111"/>
          <w:sz w:val="28"/>
          <w:sz w:val="28"/>
          <w:szCs w:val="28"/>
          <w:rtl w:val="true"/>
          <w:lang w:bidi="ar-SA"/>
        </w:rPr>
        <w:t>، فلابدّ لهما من مُفصّل ومُبيّن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الإجماع لعدم حصوله في الكلّ، ولأن من شرط صحّته دخول المعصوم </w:t>
      </w:r>
      <w:bookmarkStart w:id="365" w:name="pg10769_112239"/>
    </w:p>
    <w:p>
      <w:pPr>
        <w:pStyle w:val="BookText"/>
        <w:rPr/>
      </w:pPr>
      <w:bookmarkEnd w:id="365"/>
      <w:r>
        <w:rPr>
          <w:rFonts w:ascii="Amiri" w:hAnsi="Amiri" w:eastAsia="Amiri" w:cs="Amiri"/>
          <w:color w:val="111111"/>
          <w:sz w:val="28"/>
          <w:sz w:val="28"/>
          <w:szCs w:val="28"/>
          <w:rtl w:val="true"/>
          <w:lang w:bidi="ar-SA"/>
        </w:rPr>
        <w:t>لجواز الخطأ على كلّ واحدٍ فيجوز على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القياس للنهي عن العمل به، وكذا ما شابهه من الاستصحاب والاستحسان للنهى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البراءة الأصليّة لأنّها تنفي جميع الأحكام، فلم يبق إلّا الإمام، فيجب أن يكون معصوماً لنا من التغيير والتبديل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لو لم يكن معصوماً لجاز منه الخطاً، فلنفرض ، وقوعه فإن أنكر عليه سقط محله </w:t>
      </w:r>
      <w:r>
        <w:rPr>
          <w:rStyle w:val="FootnoteAnchor"/>
          <w:rtl w:val="true"/>
        </w:rPr>
        <w:footnoteReference w:id="342"/>
      </w:r>
      <w:r>
        <w:rPr>
          <w:rFonts w:ascii="Amiri" w:hAnsi="Amiri" w:eastAsia="Amiri" w:cs="Amiri"/>
          <w:color w:val="111111"/>
          <w:sz w:val="28"/>
          <w:sz w:val="28"/>
          <w:szCs w:val="28"/>
          <w:rtl w:val="true"/>
          <w:lang w:bidi="ar-SA"/>
        </w:rPr>
        <w:t xml:space="preserve">وانتفت فائدة ،نصبه وإن لم ينكر عليه لزم سقوط </w:t>
      </w:r>
      <w:r>
        <w:rPr>
          <w:rStyle w:val="FootnoteAnchor"/>
          <w:rtl w:val="true"/>
        </w:rPr>
        <w:footnoteReference w:id="343"/>
      </w:r>
      <w:r>
        <w:rPr>
          <w:rFonts w:ascii="Amiri" w:hAnsi="Amiri" w:eastAsia="Amiri" w:cs="Amiri"/>
          <w:color w:val="111111"/>
          <w:sz w:val="28"/>
          <w:sz w:val="28"/>
          <w:szCs w:val="28"/>
          <w:rtl w:val="true"/>
          <w:lang w:bidi="ar-SA"/>
        </w:rPr>
        <w:t xml:space="preserve">الأمر بالمعروف والنهي عن المنكر، وكلا الأمرين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الله تعالى أمرنا باتّباعه مطلقاً، والحكيم لا يأمر باتّباع غير المعصوم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غير المعصوم ظالم ، والظالم لا تصحّ إمامته لأن الظالم من يضع الشيء في غير موضعه، وغير المعصوم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أنّ الظالم لا تصحّ إمامته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والمراد عهد الإمامة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7543579_1051229030"/>
      <w:bookmarkStart w:id="367" w:name="_Toc133"/>
      <w:bookmarkEnd w:id="366"/>
      <w:r>
        <w:rPr>
          <w:rtl w:val="true"/>
        </w:rPr>
        <w:t xml:space="preserve">أصل </w:t>
      </w:r>
      <w:r>
        <w:rPr>
          <w:rtl w:val="true"/>
        </w:rPr>
        <w:t xml:space="preserve">[ </w:t>
      </w:r>
      <w:r>
        <w:rPr>
          <w:rtl w:val="true"/>
        </w:rPr>
        <w:t xml:space="preserve">الإمام أكمل أهل زمانه </w:t>
      </w:r>
      <w:r>
        <w:rPr>
          <w:rtl w:val="true"/>
        </w:rPr>
        <w:t>]</w:t>
      </w:r>
      <w:bookmarkEnd w:id="36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كونه أفضل أهل زمانه في سائر الكمالات وإلا لكان إمّا مساوياً أو مفضولاً؛ والأوّل ترجيح بلا مرجّح ، والثاني قبيح عقلاً وسمعاً، وقد تقدّم في </w:t>
      </w:r>
      <w:bookmarkStart w:id="368" w:name="pg10769_112240"/>
    </w:p>
    <w:p>
      <w:pPr>
        <w:pStyle w:val="BookText"/>
        <w:rPr/>
      </w:pPr>
      <w:bookmarkEnd w:id="368"/>
      <w:r>
        <w:rPr>
          <w:rFonts w:ascii="Amiri" w:hAnsi="Amiri" w:eastAsia="Amiri" w:cs="Amiri"/>
          <w:color w:val="111111"/>
          <w:sz w:val="28"/>
          <w:sz w:val="28"/>
          <w:szCs w:val="28"/>
          <w:rtl w:val="true"/>
          <w:lang w:bidi="ar-SA"/>
        </w:rPr>
        <w:t>النبوّة ، فكلّ ما شرطناه من الكمال شرط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تنزيهه عن كلّ ما تقدّم تنزيهه في باب النبوة من المنفّر، فإنّ الدليل بعينه قائم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 منصوصاً عليه، وقد تقدّم أنّه لا طريق إلى معرفة الإمام إلّا النصّ الجلي، وهو الذي لا يحتاج إلى مقدّمة فى المطلوب إن كان قوليّاً، وقد يكون النصّ فعليّاً كخلق </w:t>
      </w:r>
      <w:r>
        <w:rPr>
          <w:rStyle w:val="FootnoteAnchor"/>
          <w:rtl w:val="true"/>
        </w:rPr>
        <w:footnoteReference w:id="346"/>
      </w:r>
      <w:r>
        <w:rPr>
          <w:rFonts w:ascii="Amiri" w:hAnsi="Amiri" w:eastAsia="Amiri" w:cs="Amiri"/>
          <w:color w:val="111111"/>
          <w:sz w:val="28"/>
          <w:sz w:val="28"/>
          <w:szCs w:val="28"/>
          <w:rtl w:val="true"/>
          <w:lang w:bidi="ar-SA"/>
        </w:rPr>
        <w:t>المعجز على يديه فى بعض الأوقات، فيجب أن يكون له آيات ودلالات خارقة للعادة</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7543581_1051229030"/>
      <w:bookmarkStart w:id="370" w:name="_Toc134"/>
      <w:bookmarkEnd w:id="369"/>
      <w:r>
        <w:rPr>
          <w:rtl w:val="true"/>
        </w:rPr>
        <w:t>أصل في إثبات إمامة عليّ علیه السّلام</w:t>
      </w:r>
      <w:bookmarkEnd w:id="370"/>
    </w:p>
    <w:p>
      <w:pPr>
        <w:pStyle w:val="BookText"/>
        <w:rPr/>
      </w:pPr>
      <w:r>
        <w:rPr>
          <w:rFonts w:ascii="Amiri" w:hAnsi="Amiri" w:eastAsia="Amiri" w:cs="Amiri"/>
          <w:color w:val="111111"/>
          <w:sz w:val="28"/>
          <w:sz w:val="28"/>
          <w:szCs w:val="28"/>
          <w:rtl w:val="true"/>
          <w:lang w:bidi="ar-SA"/>
        </w:rPr>
        <w:t xml:space="preserve">ويدلّ على إمامته بعد رسول الله صلى الله عليه و آله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وجب أن يكون الإمام معصوماً وجب أن يكون هو عليّ ، لكن المقدّم حقّ لما تقدّم فالتالي مثله، بيان الشرطيّة أنّ القائل قائلان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باشتراط العصمة والإمام عليّ علیه السّلام ، وقائل بعدم اشتراطها فالإمام أبوبكر أو العبّاس ، وكونهما معصومین باطل اتّفاقاً فلا يكونا إمامين فيكون علياً،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وجب كونه أفضل فالإمام عليّ علیه السّلام ،والمقدّم حقّ والتالي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والتقرير كما سبق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وجب كونه منصوصاً عليه فالإمام هو عليّ علیه السّلام ، لكن المقدّم حقّ فالتالي مثله وبيانه كما سبق آنفاً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الجلي أي غير المفتقر إلى ضمّ مقدّمة كقوله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الخليفة من </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وعن ابن عبّاس عن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اطلّع إلى الأرض فاختارني منها فجعلني نبياًّ ثم اطلع ثانياً فاختار منها عليّاً </w:t>
      </w:r>
      <w:r>
        <w:rPr>
          <w:rStyle w:val="FootnoteAnchor"/>
          <w:rtl w:val="true"/>
        </w:rPr>
        <w:footnoteReference w:id="348"/>
      </w:r>
      <w:r>
        <w:rPr>
          <w:rFonts w:ascii="Amiri" w:hAnsi="Amiri" w:eastAsia="Amiri" w:cs="Amiri"/>
          <w:color w:val="111111"/>
          <w:sz w:val="28"/>
          <w:sz w:val="28"/>
          <w:szCs w:val="28"/>
          <w:rtl w:val="true"/>
          <w:lang w:bidi="ar-SA"/>
        </w:rPr>
        <w:t>فجعله إماماً ثمّ أمرني أن أتّخذه أخاً ووصيّاً ووزيراً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سمرة إذا اختلفت الأهواء وتفرّقت الآراء فعليك بعليّ بن أبي طالب، فإنّه إمام أُمّتي وخليفتي عليهم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وإذا الحسين على فخذيه وهو يقبّل عينيه ويلثم فاه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سيّد ابن سيّد، أنت إمام ابن إمام أبو أئمّة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حجّة ابن حجّة أبو حجج تسعة من صلبك تاسعهم قائمهم</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إلى غير ذلك من الأحاديث، وهي متواترة لفظاً ومعنى، وقد نقلها المؤلف والمخالف كصاحب حلية الأولياء أبو نعيم والخوارزميّ </w:t>
      </w:r>
      <w:r>
        <w:rPr>
          <w:rStyle w:val="FootnoteAnchor"/>
          <w:rtl w:val="true"/>
        </w:rPr>
        <w:footnoteReference w:id="352"/>
      </w:r>
      <w:r>
        <w:rPr>
          <w:rFonts w:ascii="Amiri" w:hAnsi="Amiri" w:eastAsia="Amiri" w:cs="Amiri"/>
          <w:color w:val="111111"/>
          <w:sz w:val="28"/>
          <w:sz w:val="28"/>
          <w:szCs w:val="28"/>
          <w:rtl w:val="true"/>
          <w:lang w:bidi="ar-SA"/>
        </w:rPr>
        <w:t xml:space="preserve">وقاضي القضاة الشيخ كمال الدين ابن طلحة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 مسند ابن حنبل </w:t>
      </w:r>
      <w:r>
        <w:rPr>
          <w:rStyle w:val="FootnoteAnchor"/>
          <w:rtl w:val="true"/>
        </w:rPr>
        <w:footnoteReference w:id="354"/>
      </w:r>
      <w:r>
        <w:rPr>
          <w:rFonts w:ascii="Amiri" w:hAnsi="Amiri" w:eastAsia="Amiri" w:cs="Amiri"/>
          <w:color w:val="111111"/>
          <w:sz w:val="28"/>
          <w:sz w:val="28"/>
          <w:szCs w:val="28"/>
          <w:rtl w:val="true"/>
          <w:lang w:bidi="ar-SA"/>
        </w:rPr>
        <w:t xml:space="preserve">وغير ذلك من كتب المخالفين </w:t>
      </w:r>
      <w:r>
        <w:rPr>
          <w:rStyle w:val="FootnoteAnchor"/>
          <w:rtl w:val="true"/>
        </w:rPr>
        <w:footnoteReference w:id="355"/>
      </w:r>
      <w:r>
        <w:rPr>
          <w:rFonts w:ascii="Amiri" w:hAnsi="Amiri" w:eastAsia="Amiri" w:cs="Amiri"/>
          <w:color w:val="111111"/>
          <w:sz w:val="28"/>
          <w:sz w:val="28"/>
          <w:szCs w:val="28"/>
          <w:rtl w:val="true"/>
          <w:lang w:bidi="ar-SA"/>
        </w:rPr>
        <w:t xml:space="preserve">، وأمّا كتب الإمامية فكثيرة جدّاً من أرادها وقف عليها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 الخفي فأنواعه كثيرة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الآية ، وحديث الغدير </w:t>
      </w:r>
      <w:r>
        <w:rPr>
          <w:rStyle w:val="FootnoteAnchor"/>
          <w:rtl w:val="true"/>
        </w:rPr>
        <w:footnoteReference w:id="357"/>
      </w:r>
      <w:r>
        <w:rPr>
          <w:rFonts w:ascii="Amiri" w:hAnsi="Amiri" w:eastAsia="Amiri" w:cs="Amiri"/>
          <w:color w:val="111111"/>
          <w:sz w:val="28"/>
          <w:sz w:val="28"/>
          <w:szCs w:val="28"/>
          <w:rtl w:val="true"/>
          <w:lang w:bidi="ar-SA"/>
        </w:rPr>
        <w:t xml:space="preserve">، وآية أُولي الأرحام </w:t>
      </w:r>
      <w:r>
        <w:rPr>
          <w:rStyle w:val="FootnoteAnchor"/>
          <w:rtl w:val="true"/>
        </w:rPr>
        <w:footnoteReference w:id="358"/>
      </w:r>
      <w:r>
        <w:rPr>
          <w:rFonts w:ascii="IRNazanin" w:hAnsi="IRNazanin" w:eastAsia="IRNazanin"/>
          <w:color w:val="111111"/>
          <w:sz w:val="28"/>
          <w:sz w:val="28"/>
          <w:szCs w:val="28"/>
          <w:rtl w:val="true"/>
          <w:lang w:bidi="fa-IR"/>
        </w:rPr>
        <w:t xml:space="preserve">، والنجوى </w:t>
      </w:r>
      <w:r>
        <w:rPr>
          <w:rStyle w:val="FootnoteAnchor"/>
          <w:rtl w:val="true"/>
        </w:rPr>
        <w:footnoteReference w:id="359"/>
      </w:r>
      <w:r>
        <w:rPr>
          <w:rFonts w:ascii="Amiri" w:hAnsi="Amiri" w:eastAsia="Amiri" w:cs="Amiri"/>
          <w:color w:val="111111"/>
          <w:sz w:val="28"/>
          <w:sz w:val="28"/>
          <w:szCs w:val="28"/>
          <w:rtl w:val="true"/>
          <w:lang w:bidi="ar-SA"/>
        </w:rPr>
        <w:t xml:space="preserve">، والمباهلة </w:t>
      </w:r>
      <w:r>
        <w:rPr>
          <w:rStyle w:val="FootnoteAnchor"/>
          <w:rtl w:val="true"/>
        </w:rPr>
        <w:footnoteReference w:id="360"/>
      </w:r>
      <w:r>
        <w:rPr>
          <w:rFonts w:ascii="IRNazanin" w:hAnsi="IRNazanin" w:eastAsia="IRNazanin"/>
          <w:color w:val="111111"/>
          <w:sz w:val="28"/>
          <w:sz w:val="28"/>
          <w:szCs w:val="28"/>
          <w:rtl w:val="true"/>
          <w:lang w:bidi="fa-IR"/>
        </w:rPr>
        <w:t>، وكتقديمه فى السرايا والحروب والتنويه بفضائله، ومؤاخاته، وتزوّجه ابنته، وتصويب فتاويه وأحكامه، وتوليته المدينة لمّا خرج إلى تبوك، 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المدينة لا تصلح إلّا بي أو بك</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وحديث المنزلة، وقصّة براءة، 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ووصيّي وخليفتي من بعدي وقاضي ديني</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وقد ورد فيه بكسر الدال وهو صريح في الإمامة </w:t>
      </w:r>
      <w:r>
        <w:rPr>
          <w:rFonts w:eastAsia="Amiri" w:cs="Amiri" w:ascii="Amiri" w:hAnsi="Amiri"/>
          <w:color w:val="111111"/>
          <w:sz w:val="28"/>
          <w:szCs w:val="28"/>
          <w:rtl w:val="true"/>
          <w:lang w:bidi="ar-SA"/>
        </w:rPr>
        <w:t xml:space="preserve">. </w:t>
      </w:r>
      <w:bookmarkStart w:id="371" w:name="pg10769_112243"/>
    </w:p>
    <w:p>
      <w:pPr>
        <w:pStyle w:val="BookText"/>
        <w:rPr/>
      </w:pPr>
      <w:bookmarkEnd w:id="371"/>
      <w:r>
        <w:rPr>
          <w:rFonts w:ascii="IRNazanin" w:hAnsi="IRNazanin" w:eastAsia="IRNazanin"/>
          <w:color w:val="111111"/>
          <w:sz w:val="28"/>
          <w:sz w:val="28"/>
          <w:szCs w:val="28"/>
          <w:rtl w:val="true"/>
          <w:lang w:bidi="fa-IR"/>
        </w:rPr>
        <w:t>وكذا ادّعاؤه الإمامة، وظهور المعجز على يديه، وكونه أفضل الخلق، وكون العبّاس وأبي بكر غير صالحين للإمامة لسبق كفرهم وعدم ادّعاء الإمامة لغير هذه الثلاثة ، وإذا بطلت إمامتهما لعدم العصمة وجب أن يكون عليّاً علیه السّلام، وهو المطلوب</w:t>
      </w:r>
      <w:r>
        <w:rPr>
          <w:rFonts w:eastAsia="IRNazanin" w:cs="IRNazanin"/>
          <w:color w:val="111111"/>
          <w:sz w:val="28"/>
          <w:szCs w:val="28"/>
          <w:rtl w:val="true"/>
          <w:lang w:bidi="fa-IR"/>
        </w:rPr>
        <w:t>.</w:t>
      </w:r>
    </w:p>
    <w:p>
      <w:pPr>
        <w:pStyle w:val="Heading3"/>
        <w:numPr>
          <w:ilvl w:val="2"/>
          <w:numId w:val="1"/>
        </w:numPr>
        <w:rPr/>
      </w:pPr>
      <w:bookmarkStart w:id="372" w:name="__RefHeading___Toc7543583_1051229030"/>
      <w:bookmarkStart w:id="373" w:name="_Toc135"/>
      <w:bookmarkEnd w:id="372"/>
      <w:r>
        <w:rPr>
          <w:rtl w:val="true"/>
        </w:rPr>
        <w:t xml:space="preserve">أصل </w:t>
      </w:r>
      <w:r>
        <w:rPr>
          <w:rtl w:val="true"/>
        </w:rPr>
        <w:t xml:space="preserve">[ </w:t>
      </w:r>
      <w:r>
        <w:rPr>
          <w:rtl w:val="true"/>
        </w:rPr>
        <w:t xml:space="preserve">في إمامة أولاد علي </w:t>
      </w:r>
      <w:r>
        <w:rPr>
          <w:rtl w:val="true"/>
        </w:rPr>
        <w:t>]</w:t>
      </w:r>
      <w:bookmarkEnd w:id="373"/>
    </w:p>
    <w:p>
      <w:pPr>
        <w:pStyle w:val="BookText"/>
        <w:rPr/>
      </w:pPr>
      <w:r>
        <w:rPr>
          <w:rFonts w:ascii="Amiri" w:hAnsi="Amiri" w:eastAsia="Amiri" w:cs="Amiri"/>
          <w:color w:val="111111"/>
          <w:sz w:val="28"/>
          <w:sz w:val="28"/>
          <w:szCs w:val="28"/>
          <w:rtl w:val="true"/>
          <w:lang w:bidi="ar-SA"/>
        </w:rPr>
        <w:t xml:space="preserve">تجب إمامة </w:t>
      </w:r>
      <w:r>
        <w:rPr>
          <w:rStyle w:val="FootnoteAnchor"/>
          <w:rtl w:val="true"/>
        </w:rPr>
        <w:footnoteReference w:id="363"/>
      </w:r>
      <w:r>
        <w:rPr>
          <w:rFonts w:ascii="IRNazanin" w:hAnsi="IRNazanin" w:eastAsia="IRNazanin"/>
          <w:color w:val="111111"/>
          <w:sz w:val="28"/>
          <w:sz w:val="28"/>
          <w:szCs w:val="28"/>
          <w:rtl w:val="true"/>
          <w:lang w:bidi="fa-IR"/>
        </w:rPr>
        <w:t xml:space="preserve">الأحد عشر علیهم السّلام لأنّ كلّ من قال بالعصمة والأفضليّة والنصّ قال بإمامتهم ، ومن لم يقل لم يقل، فمن قال بإمامة غيرهم مع كون العصمة والأفضليّة والنصّ شرطاً كان خرقاً للإجماع فتعيّن القول بإمامتهم، وقد نقلت الإماميّة تواتر النصّ عليهم من النبيّ صلّی الله علیه و آله بأسمائهم ، وذلك مشهورٌ في الأحاديث </w:t>
      </w:r>
      <w:r>
        <w:rPr>
          <w:rStyle w:val="FootnoteAnchor"/>
          <w:rtl w:val="true"/>
        </w:rPr>
        <w:footnoteReference w:id="364"/>
      </w:r>
      <w:r>
        <w:rPr>
          <w:rFonts w:ascii="Amiri" w:hAnsi="Amiri" w:eastAsia="Amiri" w:cs="Amiri"/>
          <w:color w:val="111111"/>
          <w:sz w:val="28"/>
          <w:sz w:val="28"/>
          <w:szCs w:val="28"/>
          <w:rtl w:val="true"/>
          <w:lang w:bidi="ar-SA"/>
        </w:rPr>
        <w:t>، وكذا نقلت الإماميّة نصّ كلّ واحد منهم على من بعده متواتراً، ولمّا ثبتت عصمة الأوّل وإمامته وجب قبول قوله فى من بعده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من طرق الجمهور متّصلاً إلى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رواه البخاريّ عن جابر بن سمرة </w:t>
      </w:r>
      <w:r>
        <w:rPr>
          <w:rStyle w:val="FootnoteAnchor"/>
          <w:rtl w:val="true"/>
        </w:rPr>
        <w:footnoteReference w:id="366"/>
      </w:r>
      <w:r>
        <w:rPr>
          <w:rFonts w:ascii="Amiri" w:hAnsi="Amiri" w:eastAsia="Amiri" w:cs="Amiri"/>
          <w:color w:val="111111"/>
          <w:sz w:val="28"/>
          <w:sz w:val="28"/>
          <w:szCs w:val="28"/>
          <w:rtl w:val="true"/>
          <w:lang w:bidi="ar-SA"/>
        </w:rPr>
        <w:t>، وكلّ من قال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المعنون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374" w:name="pg10769_112244"/>
    </w:p>
    <w:p>
      <w:pPr>
        <w:pStyle w:val="BookText"/>
        <w:rPr/>
      </w:pPr>
      <w:bookmarkEnd w:id="374"/>
      <w:r>
        <w:rPr>
          <w:rFonts w:ascii="Amiri" w:hAnsi="Amiri" w:eastAsia="Amiri" w:cs="Amiri"/>
          <w:color w:val="111111"/>
          <w:sz w:val="28"/>
          <w:sz w:val="28"/>
          <w:szCs w:val="28"/>
          <w:rtl w:val="true"/>
          <w:lang w:bidi="ar-SA"/>
        </w:rPr>
        <w:t xml:space="preserve">ولأنّهم ادّعوا الإمامة وظهر على يديهم المعاجز، وكلّ واحد واحد أفضل أهل زمانه، وكلّ من كان كذلك كان إماماً ؛ أمّا الدعوى وظهور المعاجز وكونهم أفضل أهل زمانهم فإنّ ذلك معلوم بتواتر الشيعة، ويكفيك كتاب الخرائج </w:t>
      </w:r>
      <w:r>
        <w:rPr>
          <w:rStyle w:val="FootnoteAnchor"/>
          <w:rtl w:val="true"/>
        </w:rPr>
        <w:footnoteReference w:id="368"/>
      </w:r>
      <w:r>
        <w:rPr>
          <w:rFonts w:ascii="Amiri" w:hAnsi="Amiri" w:eastAsia="Amiri" w:cs="Amiri"/>
          <w:color w:val="111111"/>
          <w:sz w:val="28"/>
          <w:sz w:val="28"/>
          <w:szCs w:val="28"/>
          <w:rtl w:val="true"/>
          <w:lang w:bidi="ar-SA"/>
        </w:rPr>
        <w:t xml:space="preserve">وغيره في معاجزهم وفضلهم </w:t>
      </w:r>
      <w:r>
        <w:rPr>
          <w:rStyle w:val="FootnoteAnchor"/>
          <w:rtl w:val="true"/>
        </w:rPr>
        <w:footnoteReference w:id="369"/>
      </w:r>
      <w:r>
        <w:rPr>
          <w:rFonts w:ascii="Amiri" w:hAnsi="Amiri" w:eastAsia="Amiri" w:cs="Amiri"/>
          <w:color w:val="111111"/>
          <w:sz w:val="28"/>
          <w:sz w:val="28"/>
          <w:szCs w:val="28"/>
          <w:rtl w:val="true"/>
          <w:lang w:bidi="ar-SA"/>
        </w:rPr>
        <w:t>لا ينكره إلّا معاند ، وأمّا الكبرى فتقريرها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والأئمّة أفضل من الملائكة لزيادة المشقّة في طاعتهم بمعارضة الشهوة والغضب ولأنّهم من آل إبراهيم وآل إبراهيم أفضل للآية</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7543585_1051229030"/>
      <w:bookmarkStart w:id="376" w:name="_Toc136"/>
      <w:bookmarkEnd w:id="375"/>
      <w:r>
        <w:rPr>
          <w:rtl w:val="true"/>
        </w:rPr>
        <w:t xml:space="preserve">أصل </w:t>
      </w:r>
      <w:r>
        <w:rPr>
          <w:rtl w:val="true"/>
        </w:rPr>
        <w:t xml:space="preserve">[ </w:t>
      </w:r>
      <w:r>
        <w:rPr>
          <w:rtl w:val="true"/>
        </w:rPr>
        <w:t xml:space="preserve">في إمامة المهدي علیه السّلام </w:t>
      </w:r>
      <w:r>
        <w:rPr>
          <w:rtl w:val="true"/>
        </w:rPr>
        <w:t>]</w:t>
      </w:r>
      <w:bookmarkEnd w:id="37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تقرّر أن كلّ زمان لا يخلو من إمام معصوم وجب القول بأنّ الإمام المهدي محمّد بن الحسن علیهماالسّلام حيّ موجود من حين موت أبيه إلى آخر زمان التكليف وإلّا وجب القول بإمامة معصوم غيره ، أو خلوّ الزمان عن إمام معصوم ؛ والأوّل خلاف الإجماع، والثاني باطل بما تقدّم، ولدلالة الأخبار المتواترة على بقائه وغيبته وظهوره بعد ذلك </w:t>
      </w:r>
      <w:r>
        <w:rPr>
          <w:rStyle w:val="FootnoteAnchor"/>
          <w:rtl w:val="true"/>
        </w:rPr>
        <w:footnoteReference w:id="370"/>
      </w:r>
      <w:r>
        <w:rPr>
          <w:rFonts w:ascii="Amiri" w:hAnsi="Amiri" w:eastAsia="Amiri" w:cs="Amiri"/>
          <w:color w:val="111111"/>
          <w:sz w:val="28"/>
          <w:sz w:val="28"/>
          <w:szCs w:val="28"/>
          <w:rtl w:val="true"/>
          <w:lang w:bidi="ar-SA"/>
        </w:rPr>
        <w:t xml:space="preserve">فيكون وجوده حقّاً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تقدّم وجه لطفيّته حال غيبته ، وغيبته علیه السّلام لا يجوز أن تكون قبيحة ، لأنّها إمّا منه أو بأمره تعالى، وكلاهما لا يفعل القبيح فتكون حسنة، ولا يجب علينا معرفة وجه حسنها تفصيلاً، ويجوز أن يكون للخوف كما استتر النبيّ صلى الله عليه و آله في الغار</w:t>
      </w:r>
      <w:r>
        <w:rPr>
          <w:rStyle w:val="FootnoteAnchor"/>
          <w:rtl w:val="true"/>
        </w:rPr>
        <w:footnoteReference w:id="371"/>
      </w:r>
      <w:r>
        <w:rPr>
          <w:rFonts w:ascii="Amiri" w:hAnsi="Amiri" w:eastAsia="Amiri" w:cs="Amiri"/>
          <w:color w:val="111111"/>
          <w:sz w:val="28"/>
          <w:sz w:val="28"/>
          <w:szCs w:val="28"/>
          <w:rtl w:val="true"/>
          <w:lang w:bidi="ar-SA"/>
        </w:rPr>
        <w:t xml:space="preserve">، وتارة في الشعب الشعب </w:t>
      </w:r>
      <w:r>
        <w:rPr>
          <w:rStyle w:val="FootnoteAnchor"/>
          <w:rtl w:val="true"/>
        </w:rPr>
        <w:footnoteReference w:id="372"/>
      </w:r>
      <w:r>
        <w:rPr>
          <w:rFonts w:ascii="Amiri" w:hAnsi="Amiri" w:eastAsia="Amiri" w:cs="Amiri"/>
          <w:color w:val="111111"/>
          <w:sz w:val="28"/>
          <w:sz w:val="28"/>
          <w:szCs w:val="28"/>
          <w:rtl w:val="true"/>
          <w:lang w:bidi="ar-SA"/>
        </w:rPr>
        <w:t xml:space="preserve">خوفاً من المشركين، وقد دلّ بعض الأخبار على أنّ غيبته كذلك </w:t>
      </w:r>
      <w:r>
        <w:rPr>
          <w:rStyle w:val="FootnoteAnchor"/>
          <w:rtl w:val="true"/>
        </w:rPr>
        <w:footnoteReference w:id="373"/>
      </w:r>
      <w:r>
        <w:rPr>
          <w:rFonts w:ascii="IRNazanin" w:hAnsi="IRNazanin" w:eastAsia="IRNazanin"/>
          <w:color w:val="111111"/>
          <w:sz w:val="28"/>
          <w:sz w:val="28"/>
          <w:szCs w:val="28"/>
          <w:rtl w:val="true"/>
          <w:lang w:bidi="fa-IR"/>
        </w:rPr>
        <w:t>، ويكون الإثم في تعطيل الحدود والأحكام على من أخافه، وهو علیه السّلام غير متعبّد بالتقيّة كفعل آبائه بل فرضه الجهاد ومنابذة الأعداء كما دلّ عليه الأخبار المتواترة لما ورد عنهم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من وقعت في عنقه بيعة لطاغية زمانه إلّا قائمنا فإنّه يخرج ولا بيعة لأحد في عنقه</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لم يظهر لشيعته لأنّ كلّ واحد منهم غير معصوم فجاز أن يدعوهم دواعي الشيطان إلى الإغراء به طمعاً في الدنيا كما دعت أُمم الأنبياء إلى الارتداد عن شرايعهم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واستبعاد طول عمره بعد إمكانه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ووجود المعمّرين من الصلحاء كالخضر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ونوح علیهماالسّلام، والأشقياء كالدّجال والسامريّ، وأخبار المعمّرين مشهورة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محض </w:t>
      </w:r>
      <w:r>
        <w:rPr>
          <w:rFonts w:eastAsia="IRNazanin" w:cs="IRNazanin"/>
          <w:color w:val="111111"/>
          <w:sz w:val="28"/>
          <w:szCs w:val="28"/>
          <w:rtl w:val="true"/>
          <w:lang w:bidi="fa-IR"/>
        </w:rPr>
        <w:t xml:space="preserve">. </w:t>
      </w:r>
      <w:bookmarkStart w:id="377" w:name="pg10769_112246"/>
    </w:p>
    <w:p>
      <w:pPr>
        <w:pStyle w:val="Heading3"/>
        <w:numPr>
          <w:ilvl w:val="2"/>
          <w:numId w:val="1"/>
        </w:numPr>
        <w:rPr/>
      </w:pPr>
      <w:bookmarkStart w:id="378" w:name="__RefHeading___Toc7543587_1051229030"/>
      <w:bookmarkStart w:id="379" w:name="_Toc137"/>
      <w:bookmarkEnd w:id="377"/>
      <w:bookmarkEnd w:id="378"/>
      <w:r>
        <w:rPr>
          <w:rtl w:val="true"/>
        </w:rPr>
        <w:t xml:space="preserve">أصل </w:t>
      </w:r>
      <w:r>
        <w:rPr>
          <w:rtl w:val="true"/>
        </w:rPr>
        <w:t xml:space="preserve">[ </w:t>
      </w:r>
      <w:r>
        <w:rPr>
          <w:rtl w:val="true"/>
        </w:rPr>
        <w:t xml:space="preserve">بطلان إمامة غيرهم علیهم السّلام </w:t>
      </w:r>
      <w:r>
        <w:rPr>
          <w:rtl w:val="true"/>
        </w:rPr>
        <w:t>]</w:t>
      </w:r>
      <w:bookmarkEnd w:id="379"/>
    </w:p>
    <w:p>
      <w:pPr>
        <w:pStyle w:val="BookText"/>
        <w:rPr/>
      </w:pPr>
      <w:r>
        <w:rPr>
          <w:rFonts w:ascii="Amiri" w:hAnsi="Amiri" w:eastAsia="Amiri" w:cs="Amiri"/>
          <w:color w:val="111111"/>
          <w:sz w:val="28"/>
          <w:sz w:val="28"/>
          <w:szCs w:val="28"/>
          <w:rtl w:val="true"/>
          <w:lang w:bidi="ar-SA"/>
        </w:rPr>
        <w:t xml:space="preserve">إمامة العبّاس والثلاثة باطلة لعدم العصمة والأفضليّة، والنصّ الذي تقدّم الاستدلال على كون جميع </w:t>
      </w:r>
      <w:r>
        <w:rPr>
          <w:rStyle w:val="FootnoteAnchor"/>
          <w:rtl w:val="true"/>
        </w:rPr>
        <w:footnoteReference w:id="376"/>
      </w:r>
      <w:r>
        <w:rPr>
          <w:rFonts w:ascii="Amiri" w:hAnsi="Amiri" w:eastAsia="Amiri" w:cs="Amiri"/>
          <w:color w:val="111111"/>
          <w:sz w:val="28"/>
          <w:sz w:val="28"/>
          <w:szCs w:val="28"/>
          <w:rtl w:val="true"/>
          <w:lang w:bidi="ar-SA"/>
        </w:rPr>
        <w:t>ذلك شرط في الإمام، وعدم دعوى العبّاس و انقراض من قال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والطعن الوارد على المشايخ الثلاثة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فقد خالف كتاب الله في عدم توريث بنت رسول الله بخبر 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وهذا صريح في تكذيب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 ولما ورد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عنّي حديث فأعرضوه على كتاب الله ؛ فإن وافق فخذوه، وإن خالف فاضربوا به عرض الحائط</w:t>
      </w:r>
      <w:r>
        <w:rPr>
          <w:rFonts w:eastAsia="IRNazanin" w:cs="IRNazanin"/>
          <w:color w:val="111111"/>
          <w:sz w:val="28"/>
          <w:szCs w:val="28"/>
          <w:rtl w:val="true"/>
          <w:lang w:bidi="fa-IR"/>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بالميراث المال لأنّ غيره مجاز فلا يصار إليه إلّا بدليل ولأنّه لو أراد وراثة العلم لكان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 إذ مع وراثة العلم </w:t>
      </w:r>
      <w:r>
        <w:rPr>
          <w:rStyle w:val="FootnoteAnchor"/>
          <w:rtl w:val="true"/>
        </w:rPr>
        <w:footnoteReference w:id="381"/>
      </w:r>
      <w:r>
        <w:rPr>
          <w:rFonts w:ascii="Amiri" w:hAnsi="Amiri" w:eastAsia="Amiri" w:cs="Amiri"/>
          <w:color w:val="111111"/>
          <w:sz w:val="28"/>
          <w:sz w:val="28"/>
          <w:szCs w:val="28"/>
          <w:rtl w:val="true"/>
          <w:lang w:bidi="ar-SA"/>
        </w:rPr>
        <w:t>والنبوّة يكون رضياً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وكذّب فاطمة علیهاالسّلام في دعواها وكذّب عليّاً علیه السّلام في شهادته </w:t>
      </w:r>
      <w:r>
        <w:rPr>
          <w:rStyle w:val="FootnoteAnchor"/>
          <w:rtl w:val="true"/>
        </w:rPr>
        <w:footnoteReference w:id="382"/>
      </w:r>
      <w:r>
        <w:rPr>
          <w:rFonts w:ascii="IRNazanin" w:hAnsi="IRNazanin" w:eastAsia="IRNazanin"/>
          <w:color w:val="111111"/>
          <w:sz w:val="28"/>
          <w:sz w:val="28"/>
          <w:szCs w:val="28"/>
          <w:rtl w:val="true"/>
          <w:lang w:bidi="fa-IR"/>
        </w:rPr>
        <w:t>، وهما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شهادة أُمّ أيمن وقد شهد لها بالجنّة النبي صلّی الله علیه و آله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وناقض قوله في تصديق أزواج النبيّ صلّی الله علیه و آله في ادّعاء الحُجَر لهنّ وقبل قولهنّ بغير 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عمر إلى بيت فاطمة علیهاالسّلام فضربها على بطنها وأسقطت بمحسن، وأضرم النار ليحرق عليهم البيت وفيه فاطمة وعليّ وجماعة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عليّاً بحمائل سيفه يُقاد ، روته الشيعة </w:t>
      </w:r>
      <w:r>
        <w:rPr>
          <w:rStyle w:val="FootnoteAnchor"/>
          <w:rtl w:val="true"/>
        </w:rPr>
        <w:footnoteReference w:id="384"/>
      </w:r>
      <w:r>
        <w:rPr>
          <w:rFonts w:ascii="Amiri" w:hAnsi="Amiri" w:eastAsia="Amiri" w:cs="Amiri"/>
          <w:color w:val="111111"/>
          <w:sz w:val="28"/>
          <w:sz w:val="28"/>
          <w:szCs w:val="28"/>
          <w:rtl w:val="true"/>
          <w:lang w:bidi="ar-SA"/>
        </w:rPr>
        <w:t xml:space="preserve">ورواه البلاذريّ وغيره ، ويؤيّده قوله عند موته ليتني تركت بيت فاطمة لم أكشفه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وشكّ في كونه محقّاً بقوله عند موته ليتني سألت رسول الله هل للأنصار في هذا الأمر حقّ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في ظلّ بني ساعدة ضربت على يد أحد الرجلين فكان هو الأمير وكنت الوزير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وتخلّف عن جيش أُسامة وقد أمر رسول الله بتنفيذه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فلست بخيركم وعليٌّ فيكم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بيعته فلتة وقى الله المسلمين شرّها فمن عاد إلى مثلها فاقتلوه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والهفاه على سليل بني تيم مرّة تقدّمني ظالماً وخرج إلي منها إثماً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جاهلاً بالأحكام؛ فقطع يسار سارق </w:t>
      </w:r>
      <w:r>
        <w:rPr>
          <w:rStyle w:val="FootnoteAnchor"/>
          <w:rtl w:val="true"/>
        </w:rPr>
        <w:footnoteReference w:id="392"/>
      </w:r>
      <w:r>
        <w:rPr>
          <w:rFonts w:ascii="Amiri" w:hAnsi="Amiri" w:eastAsia="Amiri" w:cs="Amiri"/>
          <w:color w:val="111111"/>
          <w:sz w:val="28"/>
          <w:sz w:val="28"/>
          <w:szCs w:val="28"/>
          <w:rtl w:val="true"/>
          <w:lang w:bidi="ar-SA"/>
        </w:rPr>
        <w:t>، وقال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وكان جاهد برأيي فإن كان صواباً فمن الله وإن كان خطأ فمنّي ومن الشيطان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وولّى عليه النبيّ صلّی الله علیه و آله أُسامة بن زيد </w:t>
      </w:r>
      <w:r>
        <w:rPr>
          <w:rStyle w:val="FootnoteAnchor"/>
          <w:rtl w:val="true"/>
        </w:rPr>
        <w:footnoteReference w:id="394"/>
      </w:r>
      <w:r>
        <w:rPr>
          <w:rFonts w:ascii="Amiri" w:hAnsi="Amiri" w:eastAsia="Amiri" w:cs="Amiri"/>
          <w:color w:val="111111"/>
          <w:sz w:val="28"/>
          <w:sz w:val="28"/>
          <w:szCs w:val="28"/>
          <w:rtl w:val="true"/>
          <w:lang w:bidi="ar-SA"/>
        </w:rPr>
        <w:t xml:space="preserve">، وعزله لمّا بعثه ببراءة </w:t>
      </w:r>
      <w:r>
        <w:rPr>
          <w:rStyle w:val="FootnoteAnchor"/>
          <w:rtl w:val="true"/>
        </w:rPr>
        <w:footnoteReference w:id="395"/>
      </w:r>
      <w:r>
        <w:rPr>
          <w:rFonts w:ascii="Amiri" w:hAnsi="Amiri" w:eastAsia="Amiri" w:cs="Amiri"/>
          <w:color w:val="111111"/>
          <w:sz w:val="28"/>
          <w:sz w:val="28"/>
          <w:szCs w:val="28"/>
          <w:rtl w:val="true"/>
          <w:lang w:bidi="ar-SA"/>
        </w:rPr>
        <w:t xml:space="preserve">، ورجع في خيبر منهزماً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فجَهْلُه بالأحكام ظاهر لأنّه أمر برجم امرأة حامل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عليها سبيل فلا سبيل لك على ما في بطنها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وأمر برجم مجنونة فنهاه عليّ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علىّ لهلك عمر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 في مهر امرأته جعلته في بيت المال، فقالت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تمنعنا ما فرضه الله لنا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آتَيْتُمْ إِحْدَاهُنَّ قِنْطاراً فَلَا تَأْخُذُوا مِنْهُ شَيْئاً</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أفقه من عمر حتّى المخدّرات في البيوت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فضّل عائشة وحفصة في العطاء من بيت المال على غيرهنّ من </w:t>
      </w:r>
    </w:p>
    <w:p>
      <w:pPr>
        <w:pStyle w:val="BookText"/>
        <w:rPr/>
      </w:pPr>
      <w:r>
        <w:rPr>
          <w:rFonts w:ascii="IRNazanin" w:hAnsi="IRNazanin" w:eastAsia="IRNazanin"/>
          <w:color w:val="111111"/>
          <w:sz w:val="28"/>
          <w:sz w:val="28"/>
          <w:szCs w:val="28"/>
          <w:rtl w:val="true"/>
          <w:lang w:bidi="fa-IR"/>
        </w:rPr>
        <w:t xml:space="preserve">نسائه صلّی الله علیه و آله </w:t>
      </w:r>
      <w:r>
        <w:rPr>
          <w:rStyle w:val="FootnoteAnchor"/>
          <w:rtl w:val="true"/>
        </w:rPr>
        <w:footnoteReference w:id="401"/>
      </w:r>
      <w:r>
        <w:rPr>
          <w:rFonts w:ascii="Amiri" w:hAnsi="Amiri" w:eastAsia="Amiri" w:cs="Amiri"/>
          <w:color w:val="111111"/>
          <w:sz w:val="28"/>
          <w:sz w:val="28"/>
          <w:szCs w:val="28"/>
          <w:rtl w:val="true"/>
          <w:lang w:bidi="ar-SA"/>
        </w:rPr>
        <w:t xml:space="preserve">، ومنع أهل البيت خمسهم </w:t>
      </w:r>
      <w:r>
        <w:rPr>
          <w:rStyle w:val="FootnoteAnchor"/>
          <w:rtl w:val="true"/>
        </w:rPr>
        <w:footnoteReference w:id="402"/>
      </w:r>
      <w:r>
        <w:rPr>
          <w:rFonts w:ascii="Amiri" w:hAnsi="Amiri" w:eastAsia="Amiri" w:cs="Amiri"/>
          <w:color w:val="111111"/>
          <w:sz w:val="28"/>
          <w:sz w:val="28"/>
          <w:szCs w:val="28"/>
          <w:rtl w:val="true"/>
          <w:lang w:bidi="ar-SA"/>
        </w:rPr>
        <w:t xml:space="preserve">، ونهى عن المتعتين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وخرق كتاب فاطمة فدعت عليه واستجيب منها بما وقع من بقر بطنه روي ذلك في التاسع من ربيع الأوّل، وقد وردت فيه رواية عن الهادي علیه السّلام وأنّه من أفضل الأعياد عند آل محمّد </w:t>
      </w:r>
      <w:r>
        <w:rPr>
          <w:rStyle w:val="FootnoteAnchor"/>
          <w:rtl w:val="true"/>
        </w:rPr>
        <w:footnoteReference w:id="404"/>
      </w:r>
      <w:r>
        <w:rPr>
          <w:rFonts w:ascii="Amiri" w:hAnsi="Amiri" w:eastAsia="Amiri" w:cs="Amiri"/>
          <w:color w:val="111111"/>
          <w:sz w:val="28"/>
          <w:sz w:val="28"/>
          <w:szCs w:val="28"/>
          <w:rtl w:val="true"/>
          <w:lang w:bidi="ar-SA"/>
        </w:rPr>
        <w:t xml:space="preserve">، واستخرجنا منه ما ينيف عن ثلاثين فائدة، ويستخرج منه أكثر من ذلك لمن نظر فيه واعتبره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السادس والعشرون من ذي الحجّة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هذا قول المصنّف في تعيين يوم هلاكه ، ولكن قال ابن إدريس في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يلتبس على بعض أصحابنا يوم قبض عمر بن الخطّاب، فيظنّ أنّه يوم التاسع من ربيع الأوّل، وهذا خطأ من قائله بإجماع أهل التاريخ والسير، وقد حقّق ذلك شيخنا المفيد في كتابه كتاب التواريخ وذهب إلى ما قلناه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الدلائل التي تقوّي القول بهلاكه في يوم تاسع من ربيع الأوّل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التي وردت عن الإمام الهادي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التي أخبر عنها السيد ابن طاوس في زوائد الفوائد عن الإمام الصادق علیه السّلام بروايته عن ابن بابويه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التي وردت عن المعصومين علیهم السّلام لهذا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الغسل 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تدلّ على أنّه يوم عيد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بعض أصحابنا الإماميّة على هلاكه في هذا اليوم كما قال ابن إدريس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ابن طاوس في تحقيق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هذا اليوم وجدنا فيه رواية عظيمة الشأن ووجدنا جماعة من العجم والإخوان يعظّمون السرور فيه، يذكرون أنّه يوم هلاك بعض من كان يهوّن بالله ورسوله صلوات الله عليه ويعاديه ولم أجد فيما تصفّحت من الكتب إلى الآن موافقة أعتمد عليها للرواية التي رويناها عن ابن بابويه تغمّده الله بالرضوان، فإن أراد أحد تعظيمه مطلقاً لسرّ يكون في مطاويه عن غير الوجه الذي ظهر فيه احتياطاً للرواية الشريفة عن الشيخ الشق محمّد بن جرير بن رستم الطبريّ الإماميّ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وفاة مولانا الحسن العسكريّ صلوات الله عليه كانت لثمان خلون من شهر ربيع الأوّل وكذلك ذكر محمّد بن يعقوب الكلينيّ رحمه الله في 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وفاة مولانا الحسن العسكريّ علیه السّلام كما ذكر هؤلاء لثمان خلون من ربيع الأوّل فيكون ابتداء ولاية المهدي علیه السّلام على الأُمّة يوم تاسع ربيع الأوّل لهذا الوقت المفضل والعناية لمولى المعظّم المكمل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وإن كان يمكن أن يكون تأويل ما رواه أبو جعفر ابن بابويه في أنّ قتل من ذكر كان يوم تاسع ربيع الأوّل لعلّ معناه أنّ السبب الذي اقتضى عزم القاتل على القتل كان ذلك السبب يوم تاسع ربيع الأوّل فيكون اليوم الذي فيه سبب القتل أصل القتل، ويمكن أن يسمّى مجازاً بالقتل، ويمكن أن يتأوّل بتأويل آخر وهو أن يكون توجّه القاتل من بلده إلى البلد الذي وقع القتل فيه يوم تاسع من ربيع الأوّل، أو يوم وصول القاتل إلى المدينة التي وقع فيها القتل كان يوم تاسع من ربيع الأوّل، أمّا تأويل من تأوّل أنّ الخبر بالقتل وصل إلى بلد أبي جعفر ابن بابويه يوم تاسع من ربيع الأوّل فلانّه لا يصحّ لأنّ الحديث الذي رواه ابن بابويه عن الصادق علیه السّلام ضمن أنّ القتل كان في يوم تاسع ربيع الأوّل فكيف يصحّ تأويل أنّه يوم بلغ الخبر إليهم ، انتهى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يقال في تأويل الخبر أنّ الأئمّة علیهم السّلام أبدلوا ثواب التعظيم والسرور بسبب قتل من قتل لأشياعهم إلى يوم تاسع من ربيع الأوّل من باب التقية،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 عن العلّامة الخبير محمّد باقر المجلسيّ رحمه الله لتحقيق المطلب رسالة فارسيّة بعنوان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قتل عمر بن الخطّاب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ولعل مرجعه إلى أهل التواريخ</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يهذي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قال صلى الله عليه و آله في مرض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أتوني بدواة وكتف أكتب ما لا تضلّون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إنّه ليهجر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وشهد لأهل الشورى بالجنّة والرضا من رسول الله ثمّ أحضرهم وذكر لكل واحد منهم عيباً، وقال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دعابة، أمّا والله لإن ولّيتهم لتحملنّهم على المحجّة البيضاء، والحقّ الواضح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لأبي طلحة الأنصاريّ مع خمسين من الأنصار أن يحمل سنّة على التشاور والاتّفاق، فإن اتّفق خمسة وأبى واحد فاضرب عنقه، وكذا الاثنان والثلاثة الذين ليس فيهم عبد الرحمن، وإن مضى ثلاثة أيّام ولم يتّفقوا على واحد فليضرب أعناق الجميع ودع المسلمين وشأنهم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مثالب كثيرة يعرفها من كان له نظر وفكر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على أن يعمل بسيرة الشيخين وعلى الكتاب والسنّة </w:t>
      </w:r>
      <w:r>
        <w:rPr>
          <w:rStyle w:val="FootnoteAnchor"/>
          <w:rtl w:val="true"/>
        </w:rPr>
        <w:footnoteReference w:id="410"/>
      </w:r>
      <w:r>
        <w:rPr>
          <w:rFonts w:ascii="Amiri" w:hAnsi="Amiri" w:eastAsia="Amiri" w:cs="Amiri"/>
          <w:color w:val="111111"/>
          <w:sz w:val="28"/>
          <w:sz w:val="28"/>
          <w:szCs w:val="28"/>
          <w:rtl w:val="true"/>
          <w:lang w:bidi="ar-SA"/>
        </w:rPr>
        <w:t xml:space="preserve">ولم يفعل واستعمل الوليد بن عقبة </w:t>
      </w:r>
      <w:r>
        <w:rPr>
          <w:rStyle w:val="FootnoteAnchor"/>
          <w:rtl w:val="true"/>
        </w:rPr>
        <w:footnoteReference w:id="411"/>
      </w:r>
      <w:r>
        <w:rPr>
          <w:rFonts w:ascii="Amiri" w:hAnsi="Amiri" w:eastAsia="Amiri" w:cs="Amiri"/>
          <w:color w:val="111111"/>
          <w:sz w:val="28"/>
          <w:sz w:val="28"/>
          <w:szCs w:val="28"/>
          <w:rtl w:val="true"/>
          <w:lang w:bidi="ar-SA"/>
        </w:rPr>
        <w:t>حتّى شرب الخمر وسكر ودخل عليه من نزع خاتمه وصلّى وهو سكران ثمّ التفت وقال أزيدكم،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صلّينا صلاتنا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واستعمل سعيد بن العاص على الكوفة حتّى ظهر منه ما لأجله أخرج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عبد الله بن أبي سرح </w:t>
      </w:r>
      <w:r>
        <w:rPr>
          <w:rStyle w:val="FootnoteAnchor"/>
          <w:rtl w:val="true"/>
        </w:rPr>
        <w:footnoteReference w:id="414"/>
      </w:r>
      <w:r>
        <w:rPr>
          <w:rFonts w:ascii="Amiri" w:hAnsi="Amiri" w:eastAsia="Amiri" w:cs="Amiri"/>
          <w:color w:val="111111"/>
          <w:sz w:val="28"/>
          <w:sz w:val="28"/>
          <w:szCs w:val="28"/>
          <w:rtl w:val="true"/>
          <w:lang w:bidi="ar-SA"/>
        </w:rPr>
        <w:t xml:space="preserve">على مصر فلمّا تظلّموا منه صرفه عنهم وولّى محمّد بن أبي بكر ثمّ كتب إلى عبد الله أن استمرّ على ولايتك </w:t>
      </w:r>
      <w:r>
        <w:rPr>
          <w:rStyle w:val="FootnoteAnchor"/>
          <w:rtl w:val="true"/>
        </w:rPr>
        <w:footnoteReference w:id="41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كتب بقتل محمّد بن أبي بكر فظفر بالكتاب وجرى عليه ما جرى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وأعطى الحكم بن العاص مائة ألف بعد ما ردّه، وكان طريد رسول الله ولم </w:t>
      </w:r>
      <w:r>
        <w:rPr>
          <w:rStyle w:val="FootnoteAnchor"/>
          <w:rtl w:val="true"/>
        </w:rPr>
        <w:footnoteReference w:id="417"/>
      </w:r>
      <w:r>
        <w:rPr>
          <w:rFonts w:ascii="Amiri" w:hAnsi="Amiri" w:eastAsia="Amiri" w:cs="Amiri"/>
          <w:color w:val="111111"/>
          <w:sz w:val="28"/>
          <w:sz w:val="28"/>
          <w:szCs w:val="28"/>
          <w:rtl w:val="true"/>
          <w:lang w:bidi="ar-SA"/>
        </w:rPr>
        <w:t xml:space="preserve">يردّه أبو بكر ولا عمر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وأعطى أقاربه من مال المسلمين ما لا يجوز إعطاؤه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وأقطع الحارث بن الحكم </w:t>
      </w:r>
      <w:r>
        <w:rPr>
          <w:rStyle w:val="FootnoteAnchor"/>
          <w:rtl w:val="true"/>
        </w:rPr>
        <w:footnoteReference w:id="420"/>
      </w:r>
      <w:r>
        <w:rPr>
          <w:rFonts w:ascii="Amiri" w:hAnsi="Amiri" w:eastAsia="Amiri" w:cs="Amiri"/>
          <w:color w:val="111111"/>
          <w:sz w:val="28"/>
          <w:sz w:val="28"/>
          <w:szCs w:val="28"/>
          <w:rtl w:val="true"/>
          <w:lang w:bidi="ar-SA"/>
        </w:rPr>
        <w:t xml:space="preserve">موضع سوق بالمدينة يُعرف بمهزور </w:t>
      </w:r>
      <w:r>
        <w:rPr>
          <w:rStyle w:val="FootnoteAnchor"/>
          <w:rtl w:val="true"/>
        </w:rPr>
        <w:footnoteReference w:id="421"/>
      </w:r>
      <w:r>
        <w:rPr>
          <w:rFonts w:ascii="Amiri" w:hAnsi="Amiri" w:eastAsia="Amiri" w:cs="Amiri"/>
          <w:color w:val="111111"/>
          <w:sz w:val="28"/>
          <w:sz w:val="28"/>
          <w:szCs w:val="28"/>
          <w:rtl w:val="true"/>
          <w:lang w:bidi="ar-SA"/>
        </w:rPr>
        <w:t xml:space="preserve">، وكان رسول الله قد تصدّق به على المسلمين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وأقطع مروان فدكاً ملك فاطمة علیهاالسّلام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واذى كبار الصحابة، فضرب ابن مسعود حتّى كسر أضلاعه، وأحرق </w:t>
      </w:r>
    </w:p>
    <w:p>
      <w:pPr>
        <w:pStyle w:val="BookText"/>
        <w:rPr/>
      </w:pPr>
      <w:r>
        <w:rPr>
          <w:rFonts w:ascii="IRNazanin" w:hAnsi="IRNazanin" w:eastAsia="IRNazanin"/>
          <w:color w:val="111111"/>
          <w:sz w:val="28"/>
          <w:sz w:val="28"/>
          <w:szCs w:val="28"/>
          <w:rtl w:val="true"/>
          <w:lang w:bidi="fa-IR"/>
        </w:rPr>
        <w:t xml:space="preserve">مصحفه </w:t>
      </w:r>
      <w:r>
        <w:rPr>
          <w:rStyle w:val="FootnoteAnchor"/>
          <w:rtl w:val="true"/>
        </w:rPr>
        <w:footnoteReference w:id="424"/>
      </w:r>
      <w:r>
        <w:rPr>
          <w:rFonts w:ascii="Amiri" w:hAnsi="Amiri" w:eastAsia="Amiri" w:cs="Amiri"/>
          <w:color w:val="111111"/>
          <w:sz w:val="28"/>
          <w:sz w:val="28"/>
          <w:szCs w:val="28"/>
          <w:rtl w:val="true"/>
          <w:lang w:bidi="ar-SA"/>
        </w:rPr>
        <w:t xml:space="preserve">، وضرب عمّاراً حتّى أصابه فتق </w:t>
      </w:r>
      <w:r>
        <w:rPr>
          <w:rStyle w:val="FootnoteAnchor"/>
          <w:rtl w:val="true"/>
        </w:rPr>
        <w:footnoteReference w:id="425"/>
      </w:r>
      <w:r>
        <w:rPr>
          <w:rFonts w:ascii="IRNazanin" w:hAnsi="IRNazanin" w:eastAsia="IRNazanin"/>
          <w:color w:val="111111"/>
          <w:sz w:val="28"/>
          <w:sz w:val="28"/>
          <w:szCs w:val="28"/>
          <w:rtl w:val="true"/>
          <w:lang w:bidi="fa-IR"/>
        </w:rPr>
        <w:t xml:space="preserve">، ونفى أبو ذرّ بعد ما ضربه </w:t>
      </w:r>
      <w:r>
        <w:rPr>
          <w:rStyle w:val="FootnoteAnchor"/>
          <w:rtl w:val="true"/>
        </w:rPr>
        <w:footnoteReference w:id="426"/>
      </w:r>
      <w:r>
        <w:rPr>
          <w:rStyle w:val="FootnoteAnchor"/>
          <w:rtl w:val="true"/>
        </w:rPr>
        <w:footnoteReference w:id="427"/>
      </w:r>
      <w:r>
        <w:rPr>
          <w:rFonts w:ascii="IRNazanin" w:hAnsi="IRNazanin" w:eastAsia="IRNazanin"/>
          <w:color w:val="111111"/>
          <w:sz w:val="28"/>
          <w:sz w:val="28"/>
          <w:szCs w:val="28"/>
          <w:rtl w:val="true"/>
          <w:lang w:bidi="fa-IR"/>
        </w:rPr>
        <w:t>ولبس خاتم ذهب وجعل على بابه حُجّاباً، وبالجملة أحدث أمُوراً كثيرة منكرة حتّى أنّ أهل البصرة والكوفة ومصر اجتمعوا عليه وحاصروه وقتلوه بعد ما أوردوا عليه أحداثه، وكبار الصحابة لم يعينوه بل خذلوه، ودلّت القرائن على أنّهم راضون بماجرى عليه حتّى أنّ عليّاً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قتله وأنا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الله ، ولم يدفن إلا بعد ثلاثة أيام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حال هذه الثلاثة كذلك فكيف يجوز لمسلم </w:t>
      </w:r>
      <w:r>
        <w:rPr>
          <w:rStyle w:val="FootnoteAnchor"/>
          <w:rtl w:val="true"/>
        </w:rPr>
        <w:footnoteReference w:id="429"/>
      </w:r>
      <w:r>
        <w:rPr>
          <w:rFonts w:ascii="IRNazanin" w:hAnsi="IRNazanin" w:eastAsia="IRNazanin"/>
          <w:color w:val="111111"/>
          <w:sz w:val="28"/>
          <w:sz w:val="28"/>
          <w:szCs w:val="28"/>
          <w:rtl w:val="true"/>
          <w:lang w:bidi="fa-IR"/>
        </w:rPr>
        <w:t xml:space="preserve">اعتقاد إمامتهم وأنّهم نوّاب الله في أرضه، ولا يجوز فى العقل والنقل أن يكون خلفاء الله فسقة ولا ظلمة ، بل تجب عصمتهم لقيامهم مقام النبيّ صلّی الله علیه و آله ، وإذاً </w:t>
      </w:r>
      <w:r>
        <w:rPr>
          <w:rStyle w:val="FootnoteAnchor"/>
          <w:rtl w:val="true"/>
        </w:rPr>
        <w:footnoteReference w:id="430"/>
      </w:r>
      <w:r>
        <w:rPr>
          <w:rFonts w:ascii="Amiri" w:hAnsi="Amiri" w:eastAsia="Amiri" w:cs="Amiri"/>
          <w:color w:val="111111"/>
          <w:sz w:val="28"/>
          <w:sz w:val="28"/>
          <w:szCs w:val="28"/>
          <w:rtl w:val="true"/>
          <w:lang w:bidi="ar-SA"/>
        </w:rPr>
        <w:t>بطل ما تعتقده أهل السنّة من خلافة الثلاثة وخلافة العبّاس وما خرج عن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افترقت أُمّة أخي موسى على إحدى وسبعين فرقة؛ فرقة واحدة ناجية والباقي في النار، وافترقت أُمّة أخي عيسى على اثنين وسبعين فرقة؛ فرقة واحدة ناجية والباقي في النار، وستفترق أُمّتي على ثلاث وسبعين فرقه؛ فرقة واحدة ناجية والباقي في النار</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شكّ أنّ أهل البيت فرقة من هذه الثلاثة وسبعين ولا يجوز أن يكونوا من الفرق الهالكة إجماعاً لما دلّ عليه البراهين من عصمتهم وطهارتهم وشرف أُصولهم وفضلهم وعلمهم وزهدهم والنصّ على إمامتهم وظهور كراماتهم ، فيقي ما عداهم من الفرق الهالكة قطعاً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هنا رسالة حسنة سمّيناها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المُهدية إلى مذهب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على أربعين دليلاً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منها دالّة على أنّ مذهب الإماميّة الذي يجب على كلّ عاقل أن يختاره ويرتضيه لنفسه، ويقتدي بالأئمّة من آل محمّد، ويخالف من ارتكب غير طريقهم وتمسّك بغير شريعتهم، وعشرين دالة على أنّ أمير المؤمنين عليّ علیه السّلام أفضل من جميع الأنبياء والأولياء والملائكة ما عدا رسول الله صلى الله عليه و آله فإنّ له الفضل على جميع خلق الله كما دلّ القرآن والأثر وحصل عليه الإجماع من كافّة البشر؛ فمن أرادها وقف عليها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380" w:name="pg10769_112256"/>
    </w:p>
    <w:p>
      <w:pPr>
        <w:pStyle w:val="Heading2"/>
        <w:numPr>
          <w:ilvl w:val="1"/>
          <w:numId w:val="1"/>
        </w:numPr>
        <w:rPr/>
      </w:pPr>
      <w:bookmarkStart w:id="381" w:name="__RefHeading___Toc7543589_1051229030"/>
      <w:bookmarkStart w:id="382" w:name="_Toc138"/>
      <w:bookmarkEnd w:id="380"/>
      <w:bookmarkEnd w:id="381"/>
      <w:r>
        <w:rPr>
          <w:rtl w:val="true"/>
        </w:rPr>
        <w:t>المعراج الخامس في المعاد</w:t>
      </w:r>
      <w:bookmarkEnd w:id="3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7543591_1051229030"/>
      <w:bookmarkStart w:id="384" w:name="_Toc139"/>
      <w:bookmarkEnd w:id="383"/>
      <w:r>
        <w:rPr>
          <w:rtl w:val="true"/>
        </w:rPr>
        <w:t>اشارة</w:t>
      </w:r>
      <w:bookmarkEnd w:id="3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0769_112258"/>
      <w:bookmarkStart w:id="386" w:name="pg10769_112258"/>
      <w:bookmarkEnd w:id="386"/>
    </w:p>
    <w:p>
      <w:pPr>
        <w:pStyle w:val="Heading3"/>
        <w:numPr>
          <w:ilvl w:val="2"/>
          <w:numId w:val="1"/>
        </w:numPr>
        <w:rPr/>
      </w:pPr>
      <w:bookmarkStart w:id="387" w:name="pg10769_112258"/>
      <w:bookmarkStart w:id="388" w:name="__RefHeading___Toc7543593_1051229030"/>
      <w:bookmarkStart w:id="389" w:name="_Toc140"/>
      <w:bookmarkEnd w:id="387"/>
      <w:bookmarkEnd w:id="388"/>
      <w:r>
        <w:rPr>
          <w:rtl w:val="true"/>
        </w:rPr>
        <w:t xml:space="preserve">أصل </w:t>
      </w:r>
      <w:r>
        <w:rPr>
          <w:rtl w:val="true"/>
        </w:rPr>
        <w:t xml:space="preserve">[ </w:t>
      </w:r>
      <w:r>
        <w:rPr>
          <w:rtl w:val="true"/>
        </w:rPr>
        <w:t xml:space="preserve">في إمكان إعدام العالم </w:t>
      </w:r>
      <w:r>
        <w:rPr>
          <w:rtl w:val="true"/>
        </w:rPr>
        <w:t>]</w:t>
      </w:r>
      <w:bookmarkEnd w:id="389"/>
    </w:p>
    <w:p>
      <w:pPr>
        <w:pStyle w:val="BookText"/>
        <w:rPr/>
      </w:pPr>
      <w:r>
        <w:rPr>
          <w:rFonts w:ascii="Amiri" w:hAnsi="Amiri" w:eastAsia="Amiri" w:cs="Amiri"/>
          <w:color w:val="111111"/>
          <w:sz w:val="28"/>
          <w:sz w:val="28"/>
          <w:szCs w:val="28"/>
          <w:rtl w:val="true"/>
          <w:lang w:bidi="ar-SA"/>
        </w:rPr>
        <w:t>العالم ممكن ، وكلّ ممكن يجوز ،عدمه، فهذا العالم يجوز عدمه، والمقدّمتان تقدّمتا، ولأنّه لو امتنع فإن كان لذاته لزم الوجوب وهو باطل، وإن كان لغيره كان جائزاً نظراً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الحكماء </w:t>
      </w:r>
      <w:r>
        <w:rPr>
          <w:rStyle w:val="FootnoteAnchor"/>
          <w:rtl w:val="true"/>
        </w:rPr>
        <w:footnoteReference w:id="433"/>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يقع هذا الجائز؟ منع أبو الحسين </w:t>
      </w:r>
      <w:r>
        <w:rPr>
          <w:rStyle w:val="FootnoteAnchor"/>
          <w:rtl w:val="true"/>
        </w:rPr>
        <w:footnoteReference w:id="434"/>
      </w:r>
      <w:r>
        <w:rPr>
          <w:rStyle w:val="FootnoteAnchor"/>
          <w:rtl w:val="true"/>
        </w:rPr>
        <w:footnoteReference w:id="435"/>
      </w:r>
      <w:r>
        <w:rPr>
          <w:rFonts w:ascii="Amiri" w:hAnsi="Amiri" w:eastAsia="Amiri" w:cs="Amiri"/>
          <w:color w:val="111111"/>
          <w:sz w:val="28"/>
          <w:sz w:val="28"/>
          <w:szCs w:val="28"/>
          <w:rtl w:val="true"/>
          <w:lang w:bidi="ar-SA"/>
        </w:rPr>
        <w:t xml:space="preserve">وإلّا لما أُعيد واللازم باطل بالإجماع على وقوع المعاد، وبيان الملازمة بامتناع إعادة المعدوم كما يجيء، وجوّزه </w:t>
      </w:r>
      <w:r>
        <w:rPr>
          <w:rStyle w:val="FootnoteAnchor"/>
          <w:rtl w:val="true"/>
        </w:rPr>
        <w:footnoteReference w:id="436"/>
      </w:r>
      <w:r>
        <w:rPr>
          <w:rFonts w:ascii="Amiri" w:hAnsi="Amiri" w:eastAsia="Amiri" w:cs="Amiri"/>
          <w:color w:val="111111"/>
          <w:sz w:val="28"/>
          <w:sz w:val="28"/>
          <w:szCs w:val="28"/>
          <w:rtl w:val="true"/>
          <w:lang w:bidi="ar-SA"/>
        </w:rPr>
        <w:t>آخرون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وأوّله </w:t>
      </w:r>
      <w:r>
        <w:rPr>
          <w:rStyle w:val="FootnoteAnchor"/>
          <w:rtl w:val="true"/>
        </w:rPr>
        <w:footnoteReference w:id="438"/>
      </w:r>
      <w:r>
        <w:rPr>
          <w:rFonts w:ascii="IRNazanin" w:hAnsi="IRNazanin" w:eastAsia="IRNazanin"/>
          <w:color w:val="111111"/>
          <w:sz w:val="28"/>
          <w:sz w:val="28"/>
          <w:szCs w:val="28"/>
          <w:rtl w:val="true"/>
          <w:lang w:bidi="fa-IR"/>
        </w:rPr>
        <w:t xml:space="preserve">بخروجه </w:t>
      </w:r>
      <w:bookmarkStart w:id="390" w:name="pg10769_112259"/>
    </w:p>
    <w:p>
      <w:pPr>
        <w:pStyle w:val="BookText"/>
        <w:rPr/>
      </w:pPr>
      <w:bookmarkEnd w:id="390"/>
      <w:r>
        <w:rPr>
          <w:rFonts w:ascii="IRNazanin" w:hAnsi="IRNazanin" w:eastAsia="IRNazanin"/>
          <w:color w:val="111111"/>
          <w:sz w:val="28"/>
          <w:sz w:val="28"/>
          <w:szCs w:val="28"/>
          <w:rtl w:val="true"/>
          <w:lang w:bidi="fa-IR"/>
        </w:rPr>
        <w:t xml:space="preserve">عن </w:t>
      </w:r>
      <w:r>
        <w:rPr>
          <w:rStyle w:val="FootnoteAnchor"/>
          <w:rtl w:val="true"/>
        </w:rPr>
        <w:footnoteReference w:id="439"/>
      </w:r>
      <w:r>
        <w:rPr>
          <w:rFonts w:ascii="IRNazanin" w:hAnsi="IRNazanin" w:eastAsia="IRNazanin"/>
          <w:color w:val="111111"/>
          <w:sz w:val="28"/>
          <w:sz w:val="28"/>
          <w:szCs w:val="28"/>
          <w:rtl w:val="true"/>
          <w:lang w:bidi="fa-IR"/>
        </w:rPr>
        <w:t xml:space="preserve">الانتفاع </w:t>
      </w:r>
      <w:r>
        <w:rPr>
          <w:rStyle w:val="FootnoteAnchor"/>
          <w:rtl w:val="true"/>
        </w:rPr>
        <w:footnoteReference w:id="440"/>
      </w:r>
      <w:r>
        <w:rPr>
          <w:rFonts w:ascii="Amiri" w:hAnsi="Amiri" w:eastAsia="Amiri" w:cs="Amiri"/>
          <w:color w:val="111111"/>
          <w:sz w:val="28"/>
          <w:sz w:val="28"/>
          <w:szCs w:val="28"/>
          <w:rtl w:val="true"/>
          <w:lang w:bidi="ar-SA"/>
        </w:rPr>
        <w:t xml:space="preserve">، ويجوز انحراف </w:t>
      </w:r>
      <w:r>
        <w:rPr>
          <w:rStyle w:val="FootnoteAnchor"/>
          <w:rtl w:val="true"/>
        </w:rPr>
        <w:footnoteReference w:id="441"/>
      </w:r>
      <w:r>
        <w:rPr>
          <w:rFonts w:ascii="Amiri" w:hAnsi="Amiri" w:eastAsia="Amiri" w:cs="Amiri"/>
          <w:color w:val="111111"/>
          <w:sz w:val="28"/>
          <w:sz w:val="28"/>
          <w:szCs w:val="28"/>
          <w:rtl w:val="true"/>
          <w:lang w:bidi="ar-SA"/>
        </w:rPr>
        <w:t xml:space="preserve">الأفلاك وانتشار الكواكب لأنّها ممكنة، والنقل متواتر بها والعدم بالفاعل المختار لا بطريان الضدّ الذي هو الفناء، وأنّه عرض قائم بنفسه تعدم به الجواهر ثمّ يعدم لذاته ؛ فأبو هاشم فناء واحد، وأبو عليّ كلّ جوهر له </w:t>
      </w:r>
      <w:r>
        <w:rPr>
          <w:rStyle w:val="FootnoteAnchor"/>
          <w:rtl w:val="true"/>
        </w:rPr>
        <w:footnoteReference w:id="442"/>
      </w:r>
      <w:r>
        <w:rPr>
          <w:rFonts w:ascii="IRNazanin" w:hAnsi="IRNazanin" w:eastAsia="IRNazanin"/>
          <w:color w:val="111111"/>
          <w:sz w:val="28"/>
          <w:sz w:val="28"/>
          <w:szCs w:val="28"/>
          <w:rtl w:val="true"/>
          <w:lang w:bidi="fa-IR"/>
        </w:rPr>
        <w:t xml:space="preserve">فناء </w:t>
      </w:r>
      <w:r>
        <w:rPr>
          <w:rStyle w:val="FootnoteAnchor"/>
          <w:rtl w:val="true"/>
        </w:rPr>
        <w:footnoteReference w:id="443"/>
      </w:r>
      <w:r>
        <w:rPr>
          <w:rFonts w:ascii="Amiri" w:hAnsi="Amiri" w:eastAsia="Amiri" w:cs="Amiri"/>
          <w:color w:val="111111"/>
          <w:sz w:val="28"/>
          <w:sz w:val="28"/>
          <w:szCs w:val="28"/>
          <w:rtl w:val="true"/>
          <w:lang w:bidi="ar-SA"/>
        </w:rPr>
        <w:t>، وهذا باطل لاستحالة عرض لا في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الكعبيّ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بالمحلّ </w:t>
      </w:r>
      <w:r>
        <w:rPr>
          <w:rStyle w:val="FootnoteAnchor"/>
          <w:rtl w:val="true"/>
        </w:rPr>
        <w:footnoteReference w:id="445"/>
      </w:r>
      <w:r>
        <w:rPr>
          <w:rFonts w:ascii="Amiri" w:hAnsi="Amiri" w:eastAsia="Amiri" w:cs="Amiri"/>
          <w:color w:val="111111"/>
          <w:sz w:val="28"/>
          <w:sz w:val="28"/>
          <w:szCs w:val="28"/>
          <w:rtl w:val="true"/>
          <w:lang w:bidi="ar-SA"/>
        </w:rPr>
        <w:t>باطل أيضاً لأنّه يفتقر إلى الجوهر، فلو افتقر هو إليه دار</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7543595_1051229030"/>
      <w:bookmarkStart w:id="392" w:name="_Toc141"/>
      <w:bookmarkEnd w:id="391"/>
      <w:r>
        <w:rPr>
          <w:rtl w:val="true"/>
        </w:rPr>
        <w:t xml:space="preserve">أصل </w:t>
      </w:r>
      <w:r>
        <w:rPr>
          <w:rtl w:val="true"/>
        </w:rPr>
        <w:t xml:space="preserve">[ </w:t>
      </w:r>
      <w:r>
        <w:rPr>
          <w:rtl w:val="true"/>
        </w:rPr>
        <w:t xml:space="preserve">في إعادة المعدوم وامتناعه </w:t>
      </w:r>
      <w:r>
        <w:rPr>
          <w:rtl w:val="true"/>
        </w:rPr>
        <w:t>]</w:t>
      </w:r>
      <w:bookmarkEnd w:id="392"/>
    </w:p>
    <w:p>
      <w:pPr>
        <w:pStyle w:val="BookText"/>
        <w:rPr/>
      </w:pPr>
      <w:r>
        <w:rPr>
          <w:rFonts w:ascii="Amiri" w:hAnsi="Amiri" w:eastAsia="Amiri" w:cs="Amiri"/>
          <w:color w:val="111111"/>
          <w:sz w:val="28"/>
          <w:sz w:val="28"/>
          <w:szCs w:val="28"/>
          <w:rtl w:val="true"/>
          <w:lang w:bidi="ar-SA"/>
        </w:rPr>
        <w:t xml:space="preserve">المحقّقون على امتناع إعادة المعدوم وادّعوا الضرورة </w:t>
      </w:r>
      <w:r>
        <w:rPr>
          <w:rStyle w:val="FootnoteAnchor"/>
          <w:rtl w:val="true"/>
        </w:rPr>
        <w:footnoteReference w:id="446"/>
      </w:r>
      <w:r>
        <w:rPr>
          <w:rFonts w:ascii="Amiri" w:hAnsi="Amiri" w:eastAsia="Amiri" w:cs="Amiri"/>
          <w:color w:val="111111"/>
          <w:sz w:val="28"/>
          <w:sz w:val="28"/>
          <w:szCs w:val="28"/>
          <w:rtl w:val="true"/>
          <w:lang w:bidi="ar-SA"/>
        </w:rPr>
        <w:t>لأنّ ما عدم لم يبق له هوية يشار إليها فيحكم عليها بصحّة العود مع أنّ الحكم على الشيء مشروط بتحقيق ماهيّته، ولو أُعيد بعينه لزم تخلّل العدم بين الشيء ونفسه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الثانى إن كان هو الأوّل فهو ما قلناه، وإن كان غيره فهو ما طلبناه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نفاة الأشاعرة بإعادته وإلّا لخرج عن الإمكان إلى الامتناع وهو باطل </w:t>
      </w:r>
      <w:bookmarkStart w:id="393" w:name="pg10769_112260"/>
    </w:p>
    <w:p>
      <w:pPr>
        <w:pStyle w:val="BookText"/>
        <w:rPr/>
      </w:pPr>
      <w:bookmarkEnd w:id="393"/>
      <w:r>
        <w:rPr>
          <w:rFonts w:ascii="Amiri" w:hAnsi="Amiri" w:eastAsia="Amiri" w:cs="Amiri"/>
          <w:color w:val="111111"/>
          <w:sz w:val="28"/>
          <w:sz w:val="28"/>
          <w:szCs w:val="28"/>
          <w:rtl w:val="true"/>
          <w:lang w:bidi="ar-SA"/>
        </w:rPr>
        <w:t xml:space="preserve">لما ثبت من إمكانه الذاتي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7543597_1051229030"/>
      <w:bookmarkStart w:id="395" w:name="_Toc142"/>
      <w:bookmarkEnd w:id="394"/>
      <w:r>
        <w:rPr>
          <w:rtl w:val="true"/>
        </w:rPr>
        <w:t xml:space="preserve">أصل </w:t>
      </w:r>
      <w:r>
        <w:rPr>
          <w:rtl w:val="true"/>
        </w:rPr>
        <w:t xml:space="preserve">[ </w:t>
      </w:r>
      <w:r>
        <w:rPr>
          <w:rtl w:val="true"/>
        </w:rPr>
        <w:t xml:space="preserve">في إدراك النفس </w:t>
      </w:r>
      <w:r>
        <w:rPr>
          <w:rtl w:val="true"/>
        </w:rPr>
        <w:t>]</w:t>
      </w:r>
      <w:bookmarkEnd w:id="395"/>
    </w:p>
    <w:p>
      <w:pPr>
        <w:pStyle w:val="BookText"/>
        <w:rPr/>
      </w:pPr>
      <w:r>
        <w:rPr>
          <w:rFonts w:ascii="Amiri" w:hAnsi="Amiri" w:eastAsia="Amiri" w:cs="Amiri"/>
          <w:color w:val="111111"/>
          <w:sz w:val="28"/>
          <w:sz w:val="28"/>
          <w:szCs w:val="28"/>
          <w:rtl w:val="true"/>
          <w:lang w:bidi="ar-SA"/>
        </w:rPr>
        <w:t xml:space="preserve">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جوهر مجرّد لأنّ هنا معلومات غير منقسمة والعلم بها غير منقسم فمحلّ العلم غير منقسم، وكلّ جسم أو جسمانيّ منقسم، ينتج أنّ محلّ العلم ليس جسماً ولا جسمانيّاً فيكون جوهراً مجرّداً ومحلّه النفس الإنسانيّة فتكون النفس عبارة عن الجوهر المجرّد وهو المطلوب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الأُولى فلأنّ واجب الوجود والنقطة والوحدة معلومتان غير منقسمة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أنّ العلم بهذا المعلوم غير منقسم لأنّه لو انقسم لكان جزؤه، إمّا أن يكون علماً بذلك المعلوم أم لا ؛ فمن الأوّل يلزم مساواة الجزء للكلّ وهو باطل، وإن كان الثاني فعند اجتماع الأجزاء إمّا أن يحصل أمراً زائداً على الأجزاء يحصل به العلم بالمعلوم أو لا؛ فإن حصل فذلك الحاصل هو العلم بالحقيقة، إذ بوجوده يوجد المعلوم وبعدمه ينتفي، فإمّا أن يكون حاصلاً من الأجزاء أو من غيرها، فإن كان حاصلاً من الأجزاء كانت فاعلة له فيكون التركيب في فاعل العلم لا فيه، وإن لم يكن حاصلاً من الأجزاء كان التركيب في قابل العلم فهو في الأجزاء لا في العلم، وإن لم يكن أمراً زائداً لم يكن ذلك علماً بالمعلوم وقد فرض</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الثالثة أعنى كون محلّ العلم غير منقسم لأنّه لو انقسم لا يخلو إمّا أن يكون العلم حالّاً في كلّ جزء منه أو في بعضه؛ فإن كان حالّاً في جزء منه لم يكن حالاًّ </w:t>
      </w:r>
      <w:bookmarkStart w:id="396" w:name="pg10769_112261"/>
    </w:p>
    <w:p>
      <w:pPr>
        <w:pStyle w:val="BookText"/>
        <w:rPr/>
      </w:pPr>
      <w:bookmarkEnd w:id="396"/>
      <w:r>
        <w:rPr>
          <w:rFonts w:ascii="Amiri" w:hAnsi="Amiri" w:eastAsia="Amiri" w:cs="Amiri"/>
          <w:color w:val="111111"/>
          <w:sz w:val="28"/>
          <w:sz w:val="28"/>
          <w:szCs w:val="28"/>
          <w:rtl w:val="true"/>
          <w:lang w:bidi="ar-SA"/>
        </w:rPr>
        <w:t>فيه بل في بعضه وقد فرض حلوله فيه، وإن كان حالاًّ في كل جزء من أجزائه يلزم حلول العرض الواحد في محالّ متعدّدة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فإنّ كلّ جسم و جسمانيّ منقسم وهو بناء على نفي الجزء الذي لا يتجزّى فلا يكون محلّ العلم جسماً ولا جسمانيّاً فيكون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المتكلّمون إنّ الإنسان عبارة عن أجزاء أصليّة لا يتطرّق إليها الزيادة والنقصان </w:t>
      </w:r>
      <w:r>
        <w:rPr>
          <w:rStyle w:val="FootnoteAnchor"/>
          <w:rtl w:val="true"/>
        </w:rPr>
        <w:footnoteReference w:id="449"/>
      </w:r>
      <w:r>
        <w:rPr>
          <w:rFonts w:ascii="Amiri" w:hAnsi="Amiri" w:eastAsia="Amiri" w:cs="Amiri"/>
          <w:color w:val="111111"/>
          <w:sz w:val="28"/>
          <w:sz w:val="28"/>
          <w:szCs w:val="28"/>
          <w:rtl w:val="true"/>
          <w:lang w:bidi="ar-SA"/>
        </w:rPr>
        <w:t xml:space="preserve">، وهو الأقرب، لأنّا نحكم على ذواتنا بأحكام صادقة كالقدرة والعلم وغير ذلك، وليس المحكوم عليه هو المجرّد وإلّا لما أمكن تحصيل الأحكام المذكورة إّلا من عالم به وليس الأمر كذلك فإنّ كثيراً من العوام يحكم بها ولم يتصوّر المجرّد ولم يشعر به فيكون غيره، وليس هو هذا الهيكل المحسوس </w:t>
      </w:r>
      <w:r>
        <w:rPr>
          <w:rStyle w:val="FootnoteAnchor"/>
          <w:rtl w:val="true"/>
        </w:rPr>
        <w:footnoteReference w:id="450"/>
      </w:r>
      <w:r>
        <w:rPr>
          <w:rFonts w:ascii="Amiri" w:hAnsi="Amiri" w:eastAsia="Amiri" w:cs="Amiri"/>
          <w:color w:val="111111"/>
          <w:sz w:val="28"/>
          <w:sz w:val="28"/>
          <w:szCs w:val="28"/>
          <w:rtl w:val="true"/>
          <w:lang w:bidi="ar-SA"/>
        </w:rPr>
        <w:t xml:space="preserve">لتغيّره وتبدّله ، وكلّ واحدٍ يعرف أنّه </w:t>
      </w:r>
      <w:r>
        <w:rPr>
          <w:rStyle w:val="FootnoteAnchor"/>
          <w:rtl w:val="true"/>
        </w:rPr>
        <w:footnoteReference w:id="451"/>
      </w:r>
      <w:r>
        <w:rPr>
          <w:rFonts w:ascii="Amiri" w:hAnsi="Amiri" w:eastAsia="Amiri" w:cs="Amiri"/>
          <w:color w:val="111111"/>
          <w:sz w:val="28"/>
          <w:sz w:val="28"/>
          <w:szCs w:val="28"/>
          <w:rtl w:val="true"/>
          <w:lang w:bidi="ar-SA"/>
        </w:rPr>
        <w:t>ذاته لم يزد ولم ينقص ولم يتغيّر فيكون عبارة عن أجزاء أصليّة، ولأنّه لمّا كان مُدرك الجزئيّات جسماً كان مدرك الكلّيّات جسماً ، والمقدّم حقّ باعتراف الحكماء فالتالي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نحكم على زيد بالإنسانيّة، والحاكم على الشيء مدرك له، فالنفس مدركة للجزئيّات فتكون جسماً ، ولأنّ ما عدا هذين القولين ضعيف جدّاً، وإذا بطل الأوّل ثبت الثاني وهو المطلوب</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7543599_1051229030"/>
      <w:bookmarkStart w:id="398" w:name="_Toc143"/>
      <w:bookmarkEnd w:id="397"/>
      <w:r>
        <w:rPr>
          <w:rtl w:val="true"/>
        </w:rPr>
        <w:t xml:space="preserve">أصل </w:t>
      </w:r>
      <w:r>
        <w:rPr>
          <w:rtl w:val="true"/>
        </w:rPr>
        <w:t xml:space="preserve">[ </w:t>
      </w:r>
      <w:r>
        <w:rPr>
          <w:rtl w:val="true"/>
        </w:rPr>
        <w:t xml:space="preserve">في المعاد الجسماني </w:t>
      </w:r>
      <w:r>
        <w:rPr>
          <w:rtl w:val="true"/>
        </w:rPr>
        <w:t>]</w:t>
      </w:r>
      <w:bookmarkEnd w:id="39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المعاد الجسماني حقّ لأنّ الأجسام ممكنة لما تقدّم، وثبت أنّه تعالى قادرٌ على </w:t>
      </w:r>
      <w:bookmarkStart w:id="399" w:name="pg10769_112262"/>
    </w:p>
    <w:p>
      <w:pPr>
        <w:pStyle w:val="BookText"/>
        <w:rPr/>
      </w:pPr>
      <w:bookmarkEnd w:id="399"/>
      <w:r>
        <w:rPr>
          <w:rFonts w:ascii="Amiri" w:hAnsi="Amiri" w:eastAsia="Amiri" w:cs="Amiri"/>
          <w:color w:val="111111"/>
          <w:sz w:val="28"/>
          <w:sz w:val="28"/>
          <w:szCs w:val="28"/>
          <w:rtl w:val="true"/>
          <w:lang w:bidi="ar-SA"/>
        </w:rPr>
        <w:t xml:space="preserve">كلّ ممكن، وعالم بكمّيّة الأجزاء وكيفيّة ترتيبها، والصادق الشارع قد أخبر بها متواتراً، ولأنّه لولاه لقبح التكليف المستلزم للجزاء لما تقدّم من أنّ التكليف حسن واجب، والجزاء أيضاً، وإلّا لزم الظلم عليه تعالى، وهو محال، فيجب أن يكون المعاد حقّاً لأنّ المطيع والعاصي يدركهما الموت من غير أن يصل إلى أحدهما ما يستحقّ ، فلو لم يحشر ليوصل إليهما الجزاء لزم بطلانه، وهو محال </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7543601_1051229030"/>
      <w:bookmarkStart w:id="401" w:name="_Toc144"/>
      <w:bookmarkEnd w:id="400"/>
      <w:r>
        <w:rPr>
          <w:rtl w:val="true"/>
        </w:rPr>
        <w:t xml:space="preserve">أصل </w:t>
      </w:r>
      <w:r>
        <w:rPr>
          <w:rtl w:val="true"/>
        </w:rPr>
        <w:t xml:space="preserve">[ </w:t>
      </w:r>
      <w:r>
        <w:rPr>
          <w:rtl w:val="true"/>
        </w:rPr>
        <w:t xml:space="preserve">في أنّ الجنّة والنار مخلوقتان </w:t>
      </w:r>
      <w:r>
        <w:rPr>
          <w:rtl w:val="true"/>
        </w:rPr>
        <w:t>]</w:t>
      </w:r>
      <w:bookmarkEnd w:id="401"/>
    </w:p>
    <w:p>
      <w:pPr>
        <w:pStyle w:val="BookText"/>
        <w:rPr/>
      </w:pPr>
      <w:r>
        <w:rPr>
          <w:rFonts w:ascii="Amiri" w:hAnsi="Amiri" w:eastAsia="Amiri" w:cs="Amiri"/>
          <w:color w:val="111111"/>
          <w:sz w:val="28"/>
          <w:sz w:val="28"/>
          <w:szCs w:val="28"/>
          <w:rtl w:val="true"/>
          <w:lang w:bidi="ar-SA"/>
        </w:rPr>
        <w:t>الجنّة والنار مخلوقتان الآن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عَرْضُهَا السَّمَاوَاتُ وَالْأَرْضُ</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شبه عرضها بعرضها وإلّا لزم كون الجنّة نفس السماوات والأرض </w:t>
      </w:r>
      <w:r>
        <w:rPr>
          <w:rStyle w:val="FootnoteAnchor"/>
          <w:rtl w:val="true"/>
        </w:rPr>
        <w:footnoteReference w:id="453"/>
      </w:r>
      <w:r>
        <w:rPr>
          <w:rFonts w:ascii="Amiri" w:hAnsi="Amiri" w:eastAsia="Amiri" w:cs="Amiri"/>
          <w:color w:val="111111"/>
          <w:sz w:val="28"/>
          <w:sz w:val="28"/>
          <w:szCs w:val="28"/>
          <w:rtl w:val="true"/>
          <w:lang w:bidi="ar-SA"/>
        </w:rPr>
        <w:t xml:space="preserve">، ثمّ أخبر تعالى عن إعدادها وتهيّئها بلفظ الماضي فتكون الآن واقعة، ولأنّه أخبر عن إسكان آدم الجنّة وإخراجه منها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النار فلقوله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لِلْكَافِرِينَ</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والتقرير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أبو هاشم والقاضي </w:t>
      </w:r>
      <w:r>
        <w:rPr>
          <w:rStyle w:val="FootnoteAnchor"/>
          <w:rtl w:val="true"/>
        </w:rPr>
        <w:footnoteReference w:id="456"/>
      </w:r>
      <w:r>
        <w:rPr>
          <w:rFonts w:ascii="Amiri" w:hAnsi="Amiri" w:eastAsia="Amiri" w:cs="Amiri"/>
          <w:color w:val="111111"/>
          <w:sz w:val="28"/>
          <w:sz w:val="28"/>
          <w:szCs w:val="28"/>
          <w:rtl w:val="true"/>
          <w:lang w:bidi="ar-SA"/>
        </w:rPr>
        <w:t xml:space="preserve">عبد الجبّار </w:t>
      </w:r>
      <w:r>
        <w:rPr>
          <w:rStyle w:val="FootnoteAnchor"/>
          <w:rtl w:val="true"/>
        </w:rPr>
        <w:footnoteReference w:id="457"/>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bookmarkStart w:id="402" w:name="pg10769_112263"/>
    </w:p>
    <w:p>
      <w:pPr>
        <w:pStyle w:val="Heading3"/>
        <w:numPr>
          <w:ilvl w:val="2"/>
          <w:numId w:val="1"/>
        </w:numPr>
        <w:rPr/>
      </w:pPr>
      <w:bookmarkStart w:id="403" w:name="__RefHeading___Toc7543603_1051229030"/>
      <w:bookmarkStart w:id="404" w:name="_Toc145"/>
      <w:bookmarkEnd w:id="402"/>
      <w:bookmarkEnd w:id="403"/>
      <w:r>
        <w:rPr>
          <w:rtl w:val="true"/>
        </w:rPr>
        <w:t xml:space="preserve">[ </w:t>
      </w:r>
      <w:r>
        <w:rPr>
          <w:rtl w:val="true"/>
        </w:rPr>
        <w:t xml:space="preserve">عذاب القبر </w:t>
      </w:r>
      <w:r>
        <w:rPr>
          <w:rtl w:val="true"/>
        </w:rPr>
        <w:t>]</w:t>
      </w:r>
      <w:bookmarkEnd w:id="404"/>
    </w:p>
    <w:p>
      <w:pPr>
        <w:pStyle w:val="BookText"/>
        <w:rPr/>
      </w:pPr>
      <w:r>
        <w:rPr>
          <w:rFonts w:ascii="Amiri" w:hAnsi="Amiri" w:eastAsia="Amiri" w:cs="Amiri"/>
          <w:color w:val="111111"/>
          <w:sz w:val="28"/>
          <w:sz w:val="28"/>
          <w:szCs w:val="28"/>
          <w:rtl w:val="true"/>
          <w:lang w:bidi="ar-SA"/>
        </w:rPr>
        <w:t>وعذاب القبر حقّ لأنه لطف مقرّب،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وَعَشِيّاً وَيَوْمَ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وهو صريح في وقوع تعذيب بعد الموت وقبل البعث، وقوله تعالى عن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أُغْرِقُوا فَأَدْخِلُوا نَاراً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أتى بفاء التعقيب عقب الإغراق فيكون إدخالهم النار عقيب الإغراق وهو قبل يوم القيامة وذلك عذاب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ومنع ضرار </w:t>
      </w:r>
      <w:r>
        <w:rPr>
          <w:rStyle w:val="FootnoteAnchor"/>
          <w:rtl w:val="true"/>
        </w:rPr>
        <w:footnoteReference w:id="460"/>
      </w:r>
      <w:r>
        <w:rPr>
          <w:rFonts w:ascii="Amiri" w:hAnsi="Amiri" w:eastAsia="Amiri" w:cs="Amiri"/>
          <w:color w:val="111111"/>
          <w:sz w:val="28"/>
          <w:sz w:val="28"/>
          <w:szCs w:val="28"/>
          <w:rtl w:val="true"/>
          <w:lang w:bidi="ar-SA"/>
        </w:rPr>
        <w:t xml:space="preserve">وجماعة من المعتزلة عذاب القبر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ولو عذّبهم في القبر لصاروا أحياءً فيه لأنّ تعذيب الجماد غير معقول، ولو صاروا أحياءً فيه لماتوا </w:t>
      </w:r>
      <w:r>
        <w:rPr>
          <w:rStyle w:val="FootnoteAnchor"/>
          <w:rtl w:val="true"/>
        </w:rPr>
        <w:footnoteReference w:id="462"/>
      </w:r>
      <w:r>
        <w:rPr>
          <w:rFonts w:ascii="Amiri" w:hAnsi="Amiri" w:eastAsia="Amiri" w:cs="Amiri"/>
          <w:color w:val="111111"/>
          <w:sz w:val="28"/>
          <w:sz w:val="28"/>
          <w:szCs w:val="28"/>
          <w:rtl w:val="true"/>
          <w:lang w:bidi="ar-SA"/>
        </w:rPr>
        <w:t>مرّة أُخرى فلا تكون الموتة واحدة،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وهو دليل على أنّ من في القبر ليس بحيّ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نعيم الجنّة لا ينقطع بالموت كما انقطع نعيم الدنيا، </w:t>
      </w:r>
      <w:bookmarkStart w:id="405" w:name="pg10769_112264"/>
    </w:p>
    <w:p>
      <w:pPr>
        <w:pStyle w:val="BookText"/>
        <w:rPr/>
      </w:pPr>
      <w:bookmarkEnd w:id="405"/>
      <w:r>
        <w:rPr>
          <w:rFonts w:ascii="Amiri" w:hAnsi="Amiri" w:eastAsia="Amiri" w:cs="Amiri"/>
          <w:color w:val="111111"/>
          <w:sz w:val="28"/>
          <w:sz w:val="28"/>
          <w:szCs w:val="28"/>
          <w:rtl w:val="true"/>
          <w:lang w:bidi="ar-SA"/>
        </w:rPr>
        <w:t xml:space="preserve">وإنّما قلنا ذلك لأنّ الله تعالى أحيى كثيراً من الناس في زمن الأنبياء ثمّ أماتهم ثانياً </w:t>
      </w:r>
      <w:r>
        <w:rPr>
          <w:rStyle w:val="FootnoteAnchor"/>
          <w:rtl w:val="true"/>
        </w:rPr>
        <w:footnoteReference w:id="465"/>
      </w:r>
      <w:r>
        <w:rPr>
          <w:rFonts w:ascii="Amiri" w:hAnsi="Amiri" w:eastAsia="Amiri" w:cs="Amiri"/>
          <w:color w:val="111111"/>
          <w:sz w:val="28"/>
          <w:sz w:val="28"/>
          <w:szCs w:val="28"/>
          <w:rtl w:val="true"/>
          <w:lang w:bidi="ar-SA"/>
        </w:rPr>
        <w:t>، فوجب حمل الآية على ما ذكرناه لإصالة عدم مجاز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استماعهم لا يستلزم عدم إدراكهم لوجود مانع وهو القبر، أو أنّ المراد لا يقدر أن يسمع الجهّال استماعاً ينتفعون به لأنّه لمّا استعار للجهّال </w:t>
      </w:r>
      <w:r>
        <w:rPr>
          <w:rStyle w:val="FootnoteAnchor"/>
          <w:rtl w:val="true"/>
        </w:rPr>
        <w:footnoteReference w:id="466"/>
      </w:r>
      <w:r>
        <w:rPr>
          <w:rFonts w:ascii="Amiri" w:hAnsi="Amiri" w:eastAsia="Amiri" w:cs="Amiri"/>
          <w:color w:val="111111"/>
          <w:sz w:val="28"/>
          <w:sz w:val="28"/>
          <w:szCs w:val="28"/>
          <w:rtl w:val="true"/>
          <w:lang w:bidi="ar-SA"/>
        </w:rPr>
        <w:t xml:space="preserve">اسم الأموات رشح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الأموات من شأنهم ذلك</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7543605_1051229030"/>
      <w:bookmarkStart w:id="407" w:name="_Toc146"/>
      <w:bookmarkEnd w:id="406"/>
      <w:r>
        <w:rPr>
          <w:rtl w:val="true"/>
        </w:rPr>
        <w:t xml:space="preserve">أصل </w:t>
      </w:r>
      <w:r>
        <w:rPr>
          <w:rtl w:val="true"/>
        </w:rPr>
        <w:t xml:space="preserve">[ </w:t>
      </w:r>
      <w:r>
        <w:rPr>
          <w:rtl w:val="true"/>
        </w:rPr>
        <w:t xml:space="preserve">فى الحساب والصراط والميزان </w:t>
      </w:r>
      <w:r>
        <w:rPr>
          <w:rtl w:val="true"/>
        </w:rPr>
        <w:t>]</w:t>
      </w:r>
      <w:bookmarkEnd w:id="407"/>
    </w:p>
    <w:p>
      <w:pPr>
        <w:pStyle w:val="BookText"/>
        <w:rPr/>
      </w:pPr>
      <w:r>
        <w:rPr>
          <w:rFonts w:ascii="Amiri" w:hAnsi="Amiri" w:eastAsia="Amiri" w:cs="Amiri"/>
          <w:color w:val="111111"/>
          <w:sz w:val="28"/>
          <w:sz w:val="28"/>
          <w:szCs w:val="28"/>
          <w:rtl w:val="true"/>
          <w:lang w:bidi="ar-SA"/>
        </w:rPr>
        <w:t xml:space="preserve">الحساب والصراط والميزان وتطائر الكتب وإنطاق الجوارح وأحوال أهل الجنّة والنار أُمور ممكنة أخبر الصادق بوقوعها </w:t>
      </w:r>
      <w:r>
        <w:rPr>
          <w:rStyle w:val="FootnoteAnchor"/>
          <w:rtl w:val="true"/>
        </w:rPr>
        <w:footnoteReference w:id="467"/>
      </w:r>
      <w:r>
        <w:rPr>
          <w:rFonts w:ascii="Amiri" w:hAnsi="Amiri" w:eastAsia="Amiri" w:cs="Amiri"/>
          <w:color w:val="111111"/>
          <w:sz w:val="28"/>
          <w:sz w:val="28"/>
          <w:szCs w:val="28"/>
          <w:rtl w:val="true"/>
          <w:lang w:bidi="ar-SA"/>
        </w:rPr>
        <w:t>فتكون حقّاً وإلّا لخرج عن كونه صادقاً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فالحساب إيقاف العبد على أعماله الصالحة والطالحة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والصراط دنيويّ وهو ما قصر عن العلوّ وارتفع عن التقصير واستقام، ولم يعدل إلى شيء من الباطل، وأُخرويّ وهو المراد هنا،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جسر بين الجنّة والنار </w:t>
      </w:r>
      <w:r>
        <w:rPr>
          <w:rStyle w:val="FootnoteAnchor"/>
          <w:rtl w:val="true"/>
        </w:rPr>
        <w:footnoteReference w:id="46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الرديّة التي يسأل عنها ويؤاخذ بها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408" w:name="pg10769_112265"/>
    </w:p>
    <w:p>
      <w:pPr>
        <w:pStyle w:val="BookText"/>
        <w:rPr/>
      </w:pPr>
      <w:bookmarkEnd w:id="408"/>
      <w:r>
        <w:rPr>
          <w:rFonts w:ascii="Amiri" w:hAnsi="Amiri" w:eastAsia="Amiri" w:cs="Amiri"/>
          <w:color w:val="111111"/>
          <w:sz w:val="28"/>
          <w:sz w:val="28"/>
          <w:szCs w:val="28"/>
          <w:rtl w:val="true"/>
          <w:lang w:bidi="ar-SA"/>
        </w:rPr>
        <w:t>وأمّا الميزان فالمشهور أن يوزن صحائف الأعمال،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العدل في القضاء </w:t>
      </w:r>
      <w:r>
        <w:rPr>
          <w:rStyle w:val="FootnoteAnchor"/>
          <w:rtl w:val="true"/>
        </w:rPr>
        <w:footnoteReference w:id="470"/>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يقابل الحسنات بالسيّئات </w:t>
      </w:r>
      <w:r>
        <w:rPr>
          <w:rStyle w:val="FootnoteAnchor"/>
          <w:rtl w:val="true"/>
        </w:rPr>
        <w:footnoteReference w:id="471"/>
      </w:r>
      <w:r>
        <w:rPr>
          <w:rFonts w:ascii="Amiri" w:hAnsi="Amiri" w:eastAsia="Amiri" w:cs="Amiri"/>
          <w:color w:val="111111"/>
          <w:sz w:val="28"/>
          <w:sz w:val="28"/>
          <w:szCs w:val="28"/>
          <w:rtl w:val="true"/>
          <w:lang w:bidi="ar-SA"/>
        </w:rPr>
        <w:t xml:space="preserve">، وباقى المعاني ظاهر </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7543607_1051229030"/>
      <w:bookmarkStart w:id="410" w:name="_Toc147"/>
      <w:bookmarkEnd w:id="409"/>
      <w:r>
        <w:rPr>
          <w:rtl w:val="true"/>
        </w:rPr>
        <w:t>أصل</w:t>
      </w:r>
      <w:bookmarkEnd w:id="410"/>
    </w:p>
    <w:p>
      <w:pPr>
        <w:pStyle w:val="BookText"/>
        <w:rPr/>
      </w:pPr>
      <w:r>
        <w:rPr>
          <w:rFonts w:ascii="Amiri" w:hAnsi="Amiri" w:eastAsia="Amiri" w:cs="Amiri"/>
          <w:color w:val="111111"/>
          <w:sz w:val="28"/>
          <w:sz w:val="28"/>
          <w:szCs w:val="28"/>
          <w:rtl w:val="true"/>
          <w:lang w:bidi="ar-SA"/>
        </w:rPr>
        <w:t>النقل الشريف دلّ على أنّ جميع المخلوقات الحيوانيّة تحشر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طَائِرُ يَطِيرُ بِجَنَاحَيْهِ إِلَّا أُمَمٌ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إِلَى رَبِّهِمْ يُحْشَرُونَ</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فالذي عليه حقّ أو له حق تجب بعثته عقلاً وما عدا ذلك يجوز عقلاً ويجب نقلاً </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7543609_1051229030"/>
      <w:bookmarkStart w:id="412" w:name="_Toc148"/>
      <w:bookmarkEnd w:id="411"/>
      <w:r>
        <w:rPr>
          <w:rtl w:val="true"/>
        </w:rPr>
        <w:t xml:space="preserve">أصل </w:t>
      </w:r>
      <w:r>
        <w:rPr>
          <w:rtl w:val="true"/>
        </w:rPr>
        <w:t xml:space="preserve">[ </w:t>
      </w:r>
      <w:r>
        <w:rPr>
          <w:rtl w:val="true"/>
        </w:rPr>
        <w:t xml:space="preserve">في الوعد والوعيد </w:t>
      </w:r>
      <w:r>
        <w:rPr>
          <w:rtl w:val="true"/>
        </w:rPr>
        <w:t>]</w:t>
      </w:r>
      <w:bookmarkEnd w:id="41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الوعد إخبار بوصول نفع أو دفع ضرر من المخبر مستقبلاً، والوعيد إخبار بوصول ضرر أو فوات نفع كذلك ، والمدح هو قول منبئ عن تعظيم حال الغير مع القصد، والذمّ قول منبئ عن اتّضاع حال الغير كذلك، والثواب نفع خالص مستحقّ مقارن للتعظيم والإجلال، والعقاب ضرر مستحقۀ مقارن للاستحقاق والإهانة، ويستحقۀ المدح والثواب بفعل الواجب لوجوبه ، والندب لندبه ، أو </w:t>
      </w:r>
      <w:r>
        <w:rPr>
          <w:rStyle w:val="FootnoteAnchor"/>
          <w:rtl w:val="true"/>
        </w:rPr>
        <w:footnoteReference w:id="473"/>
      </w:r>
      <w:r>
        <w:rPr>
          <w:rFonts w:ascii="Amiri" w:hAnsi="Amiri" w:eastAsia="Amiri" w:cs="Amiri"/>
          <w:color w:val="111111"/>
          <w:sz w:val="28"/>
          <w:sz w:val="28"/>
          <w:szCs w:val="28"/>
          <w:rtl w:val="true"/>
          <w:lang w:bidi="ar-SA"/>
        </w:rPr>
        <w:t>لوجههما، وترك القبيح لقبحه أو لوجه ،قبحه، وترك المكروه كذلك، ويُستحقۀ الذمّ والعقاب بفعل القبيح والإخلال بالواجب</w:t>
      </w:r>
      <w:r>
        <w:rPr>
          <w:rFonts w:eastAsia="Amiri" w:cs="Amiri" w:ascii="Amiri" w:hAnsi="Amiri"/>
          <w:color w:val="111111"/>
          <w:sz w:val="28"/>
          <w:szCs w:val="28"/>
          <w:rtl w:val="true"/>
          <w:lang w:bidi="ar-SA"/>
        </w:rPr>
        <w:t xml:space="preserve">. </w:t>
      </w:r>
      <w:bookmarkStart w:id="413" w:name="pg10769_112266"/>
    </w:p>
    <w:p>
      <w:pPr>
        <w:pStyle w:val="Heading3"/>
        <w:numPr>
          <w:ilvl w:val="2"/>
          <w:numId w:val="1"/>
        </w:numPr>
        <w:rPr/>
      </w:pPr>
      <w:bookmarkStart w:id="414" w:name="__RefHeading___Toc7543611_1051229030"/>
      <w:bookmarkStart w:id="415" w:name="_Toc149"/>
      <w:bookmarkEnd w:id="413"/>
      <w:bookmarkEnd w:id="414"/>
      <w:r>
        <w:rPr>
          <w:rtl w:val="true"/>
        </w:rPr>
        <w:t xml:space="preserve">أصل </w:t>
      </w:r>
      <w:r>
        <w:rPr>
          <w:rtl w:val="true"/>
        </w:rPr>
        <w:t xml:space="preserve">[ </w:t>
      </w:r>
      <w:r>
        <w:rPr>
          <w:rtl w:val="true"/>
        </w:rPr>
        <w:t xml:space="preserve">في الثواب والعقاب </w:t>
      </w:r>
      <w:r>
        <w:rPr>
          <w:rtl w:val="true"/>
        </w:rPr>
        <w:t>]</w:t>
      </w:r>
      <w:bookmarkEnd w:id="415"/>
    </w:p>
    <w:p>
      <w:pPr>
        <w:pStyle w:val="BookText"/>
        <w:rPr/>
      </w:pPr>
      <w:r>
        <w:rPr>
          <w:rFonts w:ascii="Amiri" w:hAnsi="Amiri" w:eastAsia="Amiri" w:cs="Amiri"/>
          <w:color w:val="111111"/>
          <w:sz w:val="28"/>
          <w:sz w:val="28"/>
          <w:szCs w:val="28"/>
          <w:rtl w:val="true"/>
          <w:lang w:bidi="ar-SA"/>
        </w:rPr>
        <w:t xml:space="preserve">الطاعة علّة في استحقاق الثواب إذا كانت شاقّة لأنّها مشقّة أُلزم المكلّف بها ، فلو لم يكن في مقابلها نفع لزم الظلم والمقدّمتان ظاهرتان، والمعصية علّة لاستحقاق العقاب إذا كان تركها شاقّاً </w:t>
      </w:r>
      <w:r>
        <w:rPr>
          <w:rStyle w:val="FootnoteAnchor"/>
          <w:rtl w:val="true"/>
        </w:rPr>
        <w:footnoteReference w:id="474"/>
      </w:r>
      <w:r>
        <w:rPr>
          <w:rFonts w:ascii="Amiri" w:hAnsi="Amiri" w:eastAsia="Amiri" w:cs="Amiri"/>
          <w:color w:val="111111"/>
          <w:sz w:val="28"/>
          <w:sz w:val="28"/>
          <w:szCs w:val="28"/>
          <w:rtl w:val="true"/>
          <w:lang w:bidi="ar-SA"/>
        </w:rPr>
        <w:t>لاشتمالها على اللطفيّة، واللطف واجب كما تقدّم، وأمّا الأُولى فلأنّ المكلّف إذا عرف استحقاق العقاب على المعصية يبعد من فعلها وهو ظاهر ، ولدلالة السمع في البابين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وخلاف الأشعريّة </w:t>
      </w:r>
      <w:r>
        <w:rPr>
          <w:rStyle w:val="FootnoteAnchor"/>
          <w:rtl w:val="true"/>
        </w:rPr>
        <w:footnoteReference w:id="476"/>
      </w:r>
      <w:r>
        <w:rPr>
          <w:rFonts w:ascii="Amiri" w:hAnsi="Amiri" w:eastAsia="Amiri" w:cs="Amiri"/>
          <w:color w:val="111111"/>
          <w:sz w:val="28"/>
          <w:sz w:val="28"/>
          <w:szCs w:val="28"/>
          <w:rtl w:val="true"/>
          <w:lang w:bidi="ar-SA"/>
        </w:rPr>
        <w:t xml:space="preserve">ضعيف بناءاً على أنّه لا فاعل إلّا الله، وأنّه لا حكم </w:t>
      </w:r>
      <w:r>
        <w:rPr>
          <w:rStyle w:val="FootnoteAnchor"/>
          <w:rtl w:val="true"/>
        </w:rPr>
        <w:footnoteReference w:id="477"/>
      </w:r>
      <w:r>
        <w:rPr>
          <w:rFonts w:ascii="Amiri" w:hAnsi="Amiri" w:eastAsia="Amiri" w:cs="Amiri"/>
          <w:color w:val="111111"/>
          <w:sz w:val="28"/>
          <w:sz w:val="28"/>
          <w:szCs w:val="28"/>
          <w:rtl w:val="true"/>
          <w:lang w:bidi="ar-SA"/>
        </w:rPr>
        <w:t xml:space="preserve">عليه، وقد أبطلناهما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الطاعة وقعت شكراً لإنعام عظيم فلا يستحقّ فاعلها شيئاً، والثواب تفضّل </w:t>
      </w:r>
      <w:r>
        <w:rPr>
          <w:rStyle w:val="FootnoteAnchor"/>
          <w:rtl w:val="true"/>
        </w:rPr>
        <w:footnoteReference w:id="478"/>
      </w:r>
      <w:r>
        <w:rPr>
          <w:rFonts w:ascii="Amiri" w:hAnsi="Amiri" w:eastAsia="Amiri" w:cs="Amiri"/>
          <w:color w:val="111111"/>
          <w:sz w:val="28"/>
          <w:sz w:val="28"/>
          <w:szCs w:val="28"/>
          <w:rtl w:val="true"/>
          <w:lang w:bidi="ar-SA"/>
        </w:rPr>
        <w:t>وأُجيب بأنّه يقبح في الشاهد أن ينعم على غيره ثمّ يكلّفه ويوجب عليه شكره ولا يعوّضه ولا يثيبه فلا ينسب إلى أكرم الأكرمين</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7543613_1051229030"/>
      <w:bookmarkStart w:id="417" w:name="_Toc150"/>
      <w:bookmarkEnd w:id="416"/>
      <w:r>
        <w:rPr>
          <w:rtl w:val="true"/>
        </w:rPr>
        <w:t xml:space="preserve">أصل </w:t>
      </w:r>
      <w:r>
        <w:rPr>
          <w:rtl w:val="true"/>
        </w:rPr>
        <w:t xml:space="preserve">[ </w:t>
      </w:r>
      <w:r>
        <w:rPr>
          <w:rtl w:val="true"/>
        </w:rPr>
        <w:t xml:space="preserve">في دوام الثواب والعقاب </w:t>
      </w:r>
      <w:r>
        <w:rPr>
          <w:rtl w:val="true"/>
        </w:rPr>
        <w:t>]</w:t>
      </w:r>
      <w:bookmarkEnd w:id="41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بدوام العقاب والثواب عقلىّ لأنّ ذلك باعث للعبد على فعل الطاعة </w:t>
      </w:r>
      <w:bookmarkStart w:id="418" w:name="pg10769_112267"/>
    </w:p>
    <w:p>
      <w:pPr>
        <w:pStyle w:val="BookText"/>
        <w:rPr/>
      </w:pPr>
      <w:bookmarkEnd w:id="418"/>
      <w:r>
        <w:rPr>
          <w:rFonts w:ascii="Amiri" w:hAnsi="Amiri" w:eastAsia="Amiri" w:cs="Amiri"/>
          <w:color w:val="111111"/>
          <w:sz w:val="28"/>
          <w:sz w:val="28"/>
          <w:szCs w:val="28"/>
          <w:rtl w:val="true"/>
          <w:lang w:bidi="ar-SA"/>
        </w:rPr>
        <w:t>وترك المعصية، فيكون لطفاً، وهو واجب، ولأنّ فاعلهما إذا لم يظهر منه ندم استحقّ المدح على الطاعة والذمّ على المعصية دائماً فكذا استحقاق الثواب والعقاب دائماً ، لأنّ دوام إحدى المعلولين يستلزم دوام الآخر لأنّ العلّة تكون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يكونا خالصين من شوائب الضدّ ؛ أمّا الثواب فلأنّه لو لم يكن خالصاً لكان أنقص من درجة التفضّل والعوض، لأنّا نوجب فيهما خلوّهما اتّفاقاً ، فلو لم يكونا كذلك لكان أنقص وهو باطل، ولأنّ ذلك أشدّ في اللطفيّة فيكونا خاليين من الشوائب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توقّف الثواب على شرط ، وكذا العقاب وإلّا لاستحقّ العارف بالله الجاهل بالنبيّ الثواب، وهو باطل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طاعة الله تعالى مستقلّة بنفسها فتكون موجبة للثواب؛ هذا خلف لأنّ الإجماع على أنّ العارف بالله الجاهل بالنبيّ لا يستحقّ ثواباً فهو مشروط بالموافاة وهو بقاؤه على الأُمور المعتبرة إلى حين الموت</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7543615_1051229030"/>
      <w:bookmarkStart w:id="420" w:name="_Toc151"/>
      <w:bookmarkEnd w:id="419"/>
      <w:r>
        <w:rPr>
          <w:rtl w:val="true"/>
        </w:rPr>
        <w:t xml:space="preserve">أصل </w:t>
      </w:r>
      <w:r>
        <w:rPr>
          <w:rtl w:val="true"/>
        </w:rPr>
        <w:t xml:space="preserve">[ </w:t>
      </w:r>
      <w:r>
        <w:rPr>
          <w:rtl w:val="true"/>
        </w:rPr>
        <w:t xml:space="preserve">في استحقاق الثواب والعقاب معاً </w:t>
      </w:r>
      <w:r>
        <w:rPr>
          <w:rtl w:val="true"/>
        </w:rPr>
        <w:t>]</w:t>
      </w:r>
      <w:bookmarkEnd w:id="42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عندنا يجوز استحقاق الثواب والعقاب معاً، ويوصلان على التعاقب للمؤمن الفاسق لما تقدّم أنّ الطاعة والمعصية سببان في استحقاق الثواب والعقاب، فلا يجوز اجتماعهما دفعة لتنافيهما ، ولا خلوّه عنهما لاستحقاقهما ولا استحقاق الثواب أوّلاً ثمّ العقاب فبقى العكس وهو استحقاق العقاب أوّلاً ثمّ الثواب لأنّ استحقاق الثواب أوّلاً ثمّ العقاب خلاف الإجماع، فبقي القسم الرابع وهو المطلوب</w:t>
      </w:r>
      <w:r>
        <w:rPr>
          <w:rFonts w:eastAsia="Amiri" w:cs="Amiri" w:ascii="Amiri" w:hAnsi="Amiri"/>
          <w:color w:val="111111"/>
          <w:sz w:val="28"/>
          <w:szCs w:val="28"/>
          <w:rtl w:val="true"/>
          <w:lang w:bidi="ar-SA"/>
        </w:rPr>
        <w:t xml:space="preserve">. </w:t>
      </w:r>
      <w:bookmarkStart w:id="421" w:name="pg10769_112268"/>
    </w:p>
    <w:p>
      <w:pPr>
        <w:pStyle w:val="Heading3"/>
        <w:numPr>
          <w:ilvl w:val="2"/>
          <w:numId w:val="1"/>
        </w:numPr>
        <w:rPr/>
      </w:pPr>
      <w:bookmarkStart w:id="422" w:name="__RefHeading___Toc7543617_1051229030"/>
      <w:bookmarkStart w:id="423" w:name="_Toc152"/>
      <w:bookmarkEnd w:id="421"/>
      <w:bookmarkEnd w:id="422"/>
      <w:r>
        <w:rPr>
          <w:rtl w:val="true"/>
        </w:rPr>
        <w:t xml:space="preserve">أصل </w:t>
      </w:r>
      <w:r>
        <w:rPr>
          <w:rtl w:val="true"/>
        </w:rPr>
        <w:t xml:space="preserve">[ </w:t>
      </w:r>
      <w:r>
        <w:rPr>
          <w:rtl w:val="true"/>
        </w:rPr>
        <w:t xml:space="preserve">في الإيمان والكفر والنفاق والفسق </w:t>
      </w:r>
      <w:r>
        <w:rPr>
          <w:rtl w:val="true"/>
        </w:rPr>
        <w:t>]</w:t>
      </w:r>
      <w:bookmarkEnd w:id="423"/>
    </w:p>
    <w:p>
      <w:pPr>
        <w:pStyle w:val="BookText"/>
        <w:rPr/>
      </w:pPr>
      <w:r>
        <w:rPr>
          <w:rFonts w:ascii="Amiri" w:hAnsi="Amiri" w:eastAsia="Amiri" w:cs="Amiri"/>
          <w:color w:val="111111"/>
          <w:sz w:val="28"/>
          <w:sz w:val="28"/>
          <w:szCs w:val="28"/>
          <w:rtl w:val="true"/>
          <w:lang w:bidi="ar-SA"/>
        </w:rPr>
        <w:t xml:space="preserve">الإيمان لغة التصديق </w:t>
      </w:r>
      <w:r>
        <w:rPr>
          <w:rStyle w:val="FootnoteAnchor"/>
          <w:rtl w:val="true"/>
        </w:rPr>
        <w:footnoteReference w:id="479"/>
      </w:r>
      <w:r>
        <w:rPr>
          <w:rFonts w:ascii="Amiri" w:hAnsi="Amiri" w:eastAsia="Amiri" w:cs="Amiri"/>
          <w:color w:val="111111"/>
          <w:sz w:val="28"/>
          <w:sz w:val="28"/>
          <w:szCs w:val="28"/>
          <w:rtl w:val="true"/>
          <w:lang w:bidi="ar-SA"/>
        </w:rPr>
        <w:t xml:space="preserve">، وعرفاً التصديق بجميع ما جاء به النبيّ </w:t>
      </w:r>
      <w:r>
        <w:rPr>
          <w:rStyle w:val="FootnoteAnchor"/>
          <w:rtl w:val="true"/>
        </w:rPr>
        <w:footnoteReference w:id="480"/>
      </w:r>
      <w:r>
        <w:rPr>
          <w:rFonts w:ascii="Amiri" w:hAnsi="Amiri" w:eastAsia="Amiri" w:cs="Amiri"/>
          <w:color w:val="111111"/>
          <w:sz w:val="28"/>
          <w:sz w:val="28"/>
          <w:szCs w:val="28"/>
          <w:rtl w:val="true"/>
          <w:lang w:bidi="ar-SA"/>
        </w:rPr>
        <w:t xml:space="preserve">في كلّ ما علم به ضرورة مجيئه </w:t>
      </w:r>
      <w:r>
        <w:rPr>
          <w:rStyle w:val="FootnoteAnchor"/>
          <w:rtl w:val="true"/>
        </w:rPr>
        <w:footnoteReference w:id="481"/>
      </w:r>
      <w:r>
        <w:rPr>
          <w:rFonts w:ascii="Amiri" w:hAnsi="Amiri" w:eastAsia="Amiri" w:cs="Amiri"/>
          <w:color w:val="111111"/>
          <w:sz w:val="28"/>
          <w:sz w:val="28"/>
          <w:szCs w:val="28"/>
          <w:rtl w:val="true"/>
          <w:lang w:bidi="ar-SA"/>
        </w:rPr>
        <w:t xml:space="preserve">، نعم الإقرار باللسان كاشف ، والأعمال ثمرات فلا يقبل الزيادة والنقصان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والكفر لغة الستر </w:t>
      </w:r>
      <w:r>
        <w:rPr>
          <w:rStyle w:val="FootnoteAnchor"/>
          <w:rtl w:val="true"/>
        </w:rPr>
        <w:footnoteReference w:id="482"/>
      </w:r>
      <w:r>
        <w:rPr>
          <w:rFonts w:ascii="Amiri" w:hAnsi="Amiri" w:eastAsia="Amiri" w:cs="Amiri"/>
          <w:color w:val="111111"/>
          <w:sz w:val="28"/>
          <w:sz w:val="28"/>
          <w:szCs w:val="28"/>
          <w:rtl w:val="true"/>
          <w:lang w:bidi="ar-SA"/>
        </w:rPr>
        <w:t xml:space="preserve">، وعرفاً إنكار ما علم بالضرورة مجيء الرسول به فقد يكون من المسلمين وهو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w:t>
      </w:r>
      <w:r>
        <w:rPr>
          <w:rStyle w:val="FootnoteAnchor"/>
          <w:rtl w:val="true"/>
        </w:rPr>
        <w:footnoteReference w:id="483"/>
      </w:r>
      <w:r>
        <w:rPr>
          <w:rFonts w:ascii="Amiri" w:hAnsi="Amiri" w:eastAsia="Amiri" w:cs="Amiri"/>
          <w:color w:val="111111"/>
          <w:sz w:val="28"/>
          <w:sz w:val="28"/>
          <w:szCs w:val="28"/>
          <w:rtl w:val="true"/>
          <w:lang w:bidi="ar-SA"/>
        </w:rPr>
        <w:t xml:space="preserve">والمجسّمة </w:t>
      </w:r>
      <w:r>
        <w:rPr>
          <w:rStyle w:val="FootnoteAnchor"/>
          <w:rtl w:val="true"/>
        </w:rPr>
        <w:footnoteReference w:id="484"/>
      </w:r>
      <w:r>
        <w:rPr>
          <w:rFonts w:ascii="Amiri" w:hAnsi="Amiri" w:eastAsia="Amiri" w:cs="Amiri"/>
          <w:color w:val="111111"/>
          <w:sz w:val="28"/>
          <w:sz w:val="28"/>
          <w:szCs w:val="28"/>
          <w:rtl w:val="true"/>
          <w:lang w:bidi="ar-SA"/>
        </w:rPr>
        <w:t xml:space="preserve">والمشبّهة </w:t>
      </w:r>
      <w:r>
        <w:rPr>
          <w:rStyle w:val="FootnoteAnchor"/>
          <w:rtl w:val="true"/>
        </w:rPr>
        <w:footnoteReference w:id="485"/>
      </w:r>
      <w:r>
        <w:rPr>
          <w:rFonts w:ascii="IRNazanin" w:hAnsi="IRNazanin" w:eastAsia="IRNazanin"/>
          <w:color w:val="111111"/>
          <w:sz w:val="28"/>
          <w:sz w:val="28"/>
          <w:szCs w:val="28"/>
          <w:rtl w:val="true"/>
          <w:lang w:bidi="fa-IR"/>
        </w:rPr>
        <w:t xml:space="preserve">والخوارج </w:t>
      </w:r>
      <w:r>
        <w:rPr>
          <w:rStyle w:val="FootnoteAnchor"/>
          <w:rtl w:val="true"/>
        </w:rPr>
        <w:footnoteReference w:id="486"/>
      </w:r>
      <w:r>
        <w:rPr>
          <w:rFonts w:ascii="Amiri" w:hAnsi="Amiri" w:eastAsia="Amiri" w:cs="Amiri"/>
          <w:color w:val="111111"/>
          <w:sz w:val="28"/>
          <w:sz w:val="28"/>
          <w:szCs w:val="28"/>
          <w:rtl w:val="true"/>
          <w:lang w:bidi="ar-SA"/>
        </w:rPr>
        <w:t xml:space="preserve">ومنكر ما أجمع عليه كالصلاة والزكاة، ومنكر النصّ المتواتر على إمامة أمير المؤمنين أو ما ثبت بطريق يعتقد صحّته </w:t>
      </w:r>
      <w:r>
        <w:rPr>
          <w:rStyle w:val="FootnoteAnchor"/>
          <w:rtl w:val="true"/>
        </w:rPr>
        <w:footnoteReference w:id="487"/>
      </w:r>
      <w:r>
        <w:rPr>
          <w:rFonts w:ascii="Amiri" w:hAnsi="Amiri" w:eastAsia="Amiri" w:cs="Amiri"/>
          <w:color w:val="111111"/>
          <w:sz w:val="28"/>
          <w:sz w:val="28"/>
          <w:szCs w:val="28"/>
          <w:rtl w:val="true"/>
          <w:lang w:bidi="ar-SA"/>
        </w:rPr>
        <w:t xml:space="preserve">، وكذا سابّ أحد الأئمّة الذين اجتمعت الإماميّة على عصمتهم وطهارتهم، ومن إذا نسب إلى أهل البيت فضيلة كرهها وإذا نسب </w:t>
      </w:r>
      <w:r>
        <w:rPr>
          <w:rStyle w:val="FootnoteAnchor"/>
          <w:rtl w:val="true"/>
        </w:rPr>
        <w:footnoteReference w:id="488"/>
      </w:r>
      <w:r>
        <w:rPr>
          <w:rFonts w:ascii="Amiri" w:hAnsi="Amiri" w:eastAsia="Amiri" w:cs="Amiri"/>
          <w:color w:val="111111"/>
          <w:sz w:val="28"/>
          <w:sz w:val="28"/>
          <w:szCs w:val="28"/>
          <w:rtl w:val="true"/>
          <w:lang w:bidi="ar-SA"/>
        </w:rPr>
        <w:t xml:space="preserve">إليهم شيئاً من النقص فرح بفعل ذلك، وكذا أذيّة الشيعة لأجل ولايتهم لأهل بيت رسول الله ، أمّا القائل بالفضيلة والتقدمة لشبه </w:t>
      </w:r>
    </w:p>
    <w:p>
      <w:pPr>
        <w:pStyle w:val="BookText"/>
        <w:rPr/>
      </w:pPr>
      <w:r>
        <w:rPr>
          <w:rFonts w:ascii="Amiri" w:hAnsi="Amiri" w:eastAsia="Amiri" w:cs="Amiri"/>
          <w:color w:val="111111"/>
          <w:sz w:val="28"/>
          <w:sz w:val="28"/>
          <w:szCs w:val="28"/>
          <w:rtl w:val="true"/>
          <w:lang w:bidi="ar-SA"/>
        </w:rPr>
        <w:t xml:space="preserve">التقليد وهو عاجز عن النظر في </w:t>
      </w:r>
      <w:r>
        <w:rPr>
          <w:rStyle w:val="FootnoteAnchor"/>
          <w:rtl w:val="true"/>
        </w:rPr>
        <w:footnoteReference w:id="489"/>
      </w:r>
      <w:r>
        <w:rPr>
          <w:rFonts w:ascii="Amiri" w:hAnsi="Amiri" w:eastAsia="Amiri" w:cs="Amiri"/>
          <w:color w:val="111111"/>
          <w:sz w:val="28"/>
          <w:sz w:val="28"/>
          <w:szCs w:val="28"/>
          <w:rtl w:val="true"/>
          <w:lang w:bidi="ar-SA"/>
        </w:rPr>
        <w:t>الأدلّة غير معاند فالأقرب الحكم بفسقه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والنفاق لغة إبطان الشخص خلاف ما يظهر </w:t>
      </w:r>
      <w:r>
        <w:rPr>
          <w:rStyle w:val="FootnoteAnchor"/>
          <w:rtl w:val="true"/>
        </w:rPr>
        <w:footnoteReference w:id="490"/>
      </w:r>
      <w:r>
        <w:rPr>
          <w:rFonts w:ascii="Amiri" w:hAnsi="Amiri" w:eastAsia="Amiri" w:cs="Amiri"/>
          <w:color w:val="111111"/>
          <w:sz w:val="28"/>
          <w:sz w:val="28"/>
          <w:szCs w:val="28"/>
          <w:rtl w:val="true"/>
          <w:lang w:bidi="ar-SA"/>
        </w:rPr>
        <w:t>، وعرفاً إظهار الإيمان وإبطان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والفسق لغة الخروج </w:t>
      </w:r>
      <w:r>
        <w:rPr>
          <w:rStyle w:val="FootnoteAnchor"/>
          <w:rtl w:val="true"/>
        </w:rPr>
        <w:footnoteReference w:id="491"/>
      </w:r>
      <w:r>
        <w:rPr>
          <w:rFonts w:ascii="Amiri" w:hAnsi="Amiri" w:eastAsia="Amiri" w:cs="Amiri"/>
          <w:color w:val="111111"/>
          <w:sz w:val="28"/>
          <w:sz w:val="28"/>
          <w:szCs w:val="28"/>
          <w:rtl w:val="true"/>
          <w:lang w:bidi="ar-SA"/>
        </w:rPr>
        <w:t xml:space="preserve">، وعرفاً الخروج عن طاعة الله مع الإيمان، ففاعل الكبيرة مؤمن لتصديقه والخوارج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w:t>
      </w:r>
      <w:r>
        <w:rPr>
          <w:rStyle w:val="FootnoteAnchor"/>
          <w:rtl w:val="true"/>
        </w:rPr>
        <w:footnoteReference w:id="492"/>
      </w:r>
      <w:r>
        <w:rPr>
          <w:rFonts w:ascii="Amiri" w:hAnsi="Amiri" w:eastAsia="Amiri" w:cs="Amiri"/>
          <w:color w:val="111111"/>
          <w:sz w:val="28"/>
          <w:sz w:val="28"/>
          <w:szCs w:val="28"/>
          <w:rtl w:val="true"/>
          <w:lang w:bidi="ar-SA"/>
        </w:rPr>
        <w:t xml:space="preserve">، والحسن البصريّ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w:t>
      </w:r>
      <w:r>
        <w:rPr>
          <w:rStyle w:val="FootnoteAnchor"/>
          <w:rtl w:val="true"/>
        </w:rPr>
        <w:footnoteReference w:id="494"/>
      </w:r>
      <w:r>
        <w:rPr>
          <w:rFonts w:ascii="Amiri" w:hAnsi="Amiri" w:eastAsia="Amiri" w:cs="Amiri"/>
          <w:color w:val="111111"/>
          <w:sz w:val="28"/>
          <w:sz w:val="28"/>
          <w:szCs w:val="28"/>
          <w:rtl w:val="true"/>
          <w:lang w:bidi="ar-SA"/>
        </w:rPr>
        <w:t xml:space="preserve">، والمعتزلة له منزلة بين المنزلتين </w:t>
      </w:r>
      <w:r>
        <w:rPr>
          <w:rStyle w:val="FootnoteAnchor"/>
          <w:rtl w:val="true"/>
        </w:rPr>
        <w:footnoteReference w:id="495"/>
      </w:r>
      <w:r>
        <w:rPr>
          <w:rFonts w:ascii="Amiri" w:hAnsi="Amiri" w:eastAsia="Amiri" w:cs="Amiri"/>
          <w:color w:val="111111"/>
          <w:sz w:val="28"/>
          <w:sz w:val="28"/>
          <w:szCs w:val="28"/>
          <w:rtl w:val="true"/>
          <w:lang w:bidi="ar-SA"/>
        </w:rPr>
        <w:t>والحقّ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المؤمن في الدنيا المدح والتعظيم والمناكحة والموارثة والغسل والصلاة والدفن في مقابر المسلمين وفي الآخرة استحقاق الثواب الدائم للإجماع، وأطفالهم تابعون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الكافر ضدّ ما تقدّم في الدنيا والآخرة، وقد دلّ الإجماع والقرآن على تخليدهم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أطفالهم فالحقّ أنّ عقابهم قبيح لا يفعله الحكيم لعدم التكليف، ويجوز التفضّل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 وَسِعَتْ كُلّ شَيْءٍ</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وللمرتدّ أحكام وجوب القتل إن كان عن فطرة، ولا تقبل توبته ظاهراً، وفي قبولها باطناً وجه قويّ، وعن ملّة لا يقتل بل يستتاب؛ فإن تاب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w:t>
      </w:r>
    </w:p>
    <w:p>
      <w:pPr>
        <w:pStyle w:val="BookText"/>
        <w:rPr/>
      </w:pPr>
      <w:r>
        <w:rPr>
          <w:rFonts w:ascii="Amiri" w:hAnsi="Amiri" w:eastAsia="Amiri" w:cs="Amiri"/>
          <w:color w:val="111111"/>
          <w:sz w:val="28"/>
          <w:sz w:val="28"/>
          <w:szCs w:val="28"/>
          <w:rtl w:val="true"/>
          <w:lang w:bidi="ar-SA"/>
        </w:rPr>
        <w:t>لا تُقتل مطلقاً بل تحبس وتضرب أوقات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المرتدّ الإمام أو نائبه، فلو بادر غيرهما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وتمنع الردّة قبول الجزية وصحّة النكاح لكافرة أو مسلمة، وحلّ الذبيحة والإرقاق، والحكم بنجاسته فلا يغسّل ولا يكفّن ولا يدفن بين المسلمين ولا بين الكفّار ، ولا يدرأ عنه غرامة المتلفات، ولا عقوبة الجنايات، وأمّا ماله فيخرج عنه إلى الوارث إن كان عن فطرة، وتقضى منه ديونه ولا ينفق عليه منه إذا فات السلطان، وإن كان عن ملّة حجر عليه ولم يزل ملكه ويدخل في ملكه المتجدّدات وينفق عليه مادام حيّاً، وكذا من تجب نفقته عليه، ولهما أحكام كثيرة هي بالفقه أنسب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والمنافق إن أظهر الإسلام عومل بأحكامه في الدنيا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الفاسق المدح له على إيمانه والذمّ له على عصيانه؛ فهو ممدوح مذموم باعتبارين، وأمّا الآخرة فإن كانت صغيرة فهي مغفورة إجماعاً، وإن كانت كبيرةً فإن مات ولم يتب فقالت المرجئة </w:t>
      </w:r>
      <w:r>
        <w:rPr>
          <w:rStyle w:val="FootnoteAnchor"/>
          <w:rtl w:val="true"/>
        </w:rPr>
        <w:footnoteReference w:id="497"/>
      </w:r>
      <w:r>
        <w:rPr>
          <w:rFonts w:ascii="IRNazanin" w:hAnsi="IRNazanin" w:eastAsia="IRNazanin"/>
          <w:color w:val="111111"/>
          <w:sz w:val="28"/>
          <w:sz w:val="28"/>
          <w:szCs w:val="28"/>
          <w:rtl w:val="true"/>
          <w:lang w:bidi="fa-IR"/>
        </w:rPr>
        <w:t xml:space="preserve">بعدم عقابه </w:t>
      </w:r>
      <w:r>
        <w:rPr>
          <w:rStyle w:val="FootnoteAnchor"/>
          <w:rtl w:val="true"/>
        </w:rPr>
        <w:footnoteReference w:id="498"/>
      </w:r>
      <w:r>
        <w:rPr>
          <w:rFonts w:ascii="Amiri" w:hAnsi="Amiri" w:eastAsia="Amiri" w:cs="Amiri"/>
          <w:color w:val="111111"/>
          <w:sz w:val="28"/>
          <w:sz w:val="28"/>
          <w:szCs w:val="28"/>
          <w:rtl w:val="true"/>
          <w:lang w:bidi="ar-SA"/>
        </w:rPr>
        <w:t xml:space="preserve">وقطع الوعيديّة </w:t>
      </w:r>
      <w:r>
        <w:rPr>
          <w:rStyle w:val="FootnoteAnchor"/>
          <w:rtl w:val="true"/>
        </w:rPr>
        <w:footnoteReference w:id="499"/>
      </w:r>
      <w:r>
        <w:rPr>
          <w:rFonts w:ascii="Amiri" w:hAnsi="Amiri" w:eastAsia="Amiri" w:cs="Amiri"/>
          <w:color w:val="111111"/>
          <w:sz w:val="28"/>
          <w:sz w:val="28"/>
          <w:szCs w:val="28"/>
          <w:rtl w:val="true"/>
          <w:lang w:bidi="ar-SA"/>
        </w:rPr>
        <w:t xml:space="preserve">بعقابه وتخليده </w:t>
      </w:r>
      <w:r>
        <w:rPr>
          <w:rStyle w:val="FootnoteAnchor"/>
          <w:rtl w:val="true"/>
        </w:rPr>
        <w:footnoteReference w:id="500"/>
      </w:r>
      <w:r>
        <w:rPr>
          <w:rFonts w:ascii="Amiri" w:hAnsi="Amiri" w:eastAsia="Amiri" w:cs="Amiri"/>
          <w:color w:val="111111"/>
          <w:sz w:val="28"/>
          <w:sz w:val="28"/>
          <w:szCs w:val="28"/>
          <w:rtl w:val="true"/>
          <w:lang w:bidi="ar-SA"/>
        </w:rPr>
        <w:t>، وقالت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عقابه وعدمه لكن لو عوقب لكان عقابه منقطعاً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الذنوب كلّها كبائر نظراً </w:t>
      </w:r>
      <w:bookmarkStart w:id="424" w:name="pg10769_112271"/>
    </w:p>
    <w:p>
      <w:pPr>
        <w:pStyle w:val="BookText"/>
        <w:rPr/>
      </w:pPr>
      <w:bookmarkEnd w:id="424"/>
      <w:r>
        <w:rPr>
          <w:rFonts w:ascii="Amiri" w:hAnsi="Amiri" w:eastAsia="Amiri" w:cs="Amiri"/>
          <w:color w:val="111111"/>
          <w:sz w:val="28"/>
          <w:sz w:val="28"/>
          <w:szCs w:val="28"/>
          <w:rtl w:val="true"/>
          <w:lang w:bidi="ar-SA"/>
        </w:rPr>
        <w:t xml:space="preserve">لاشتراكها </w:t>
      </w:r>
      <w:r>
        <w:rPr>
          <w:rStyle w:val="FootnoteAnchor"/>
          <w:rtl w:val="true"/>
        </w:rPr>
        <w:footnoteReference w:id="502"/>
      </w:r>
      <w:r>
        <w:rPr>
          <w:rFonts w:ascii="Amiri" w:hAnsi="Amiri" w:eastAsia="Amiri" w:cs="Amiri"/>
          <w:color w:val="111111"/>
          <w:sz w:val="28"/>
          <w:sz w:val="28"/>
          <w:szCs w:val="28"/>
          <w:rtl w:val="true"/>
          <w:lang w:bidi="ar-SA"/>
        </w:rPr>
        <w:t xml:space="preserve">في المخالفة </w:t>
      </w:r>
      <w:r>
        <w:rPr>
          <w:rStyle w:val="FootnoteAnchor"/>
          <w:rtl w:val="true"/>
        </w:rPr>
        <w:footnoteReference w:id="503"/>
      </w:r>
      <w:r>
        <w:rPr>
          <w:rFonts w:ascii="Amiri" w:hAnsi="Amiri" w:eastAsia="Amiri" w:cs="Amiri"/>
          <w:color w:val="111111"/>
          <w:sz w:val="28"/>
          <w:sz w:val="28"/>
          <w:szCs w:val="28"/>
          <w:rtl w:val="true"/>
          <w:lang w:bidi="ar-SA"/>
        </w:rPr>
        <w:t>، وإنّما سمّي بعضها صغيراً بالنسبة إلى ما فوقه كالقبلة فإنّها صغيرة بالنسبة إلى الزنا وكبيرة بالنسبة إلى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ما توعّد عليه بالنار </w:t>
      </w:r>
      <w:r>
        <w:rPr>
          <w:rStyle w:val="FootnoteAnchor"/>
          <w:rtl w:val="true"/>
        </w:rPr>
        <w:footnoteReference w:id="504"/>
      </w:r>
      <w:r>
        <w:rPr>
          <w:rFonts w:ascii="Amiri" w:hAnsi="Amiri" w:eastAsia="Amiri" w:cs="Amiri"/>
          <w:color w:val="111111"/>
          <w:sz w:val="28"/>
          <w:sz w:val="28"/>
          <w:szCs w:val="28"/>
          <w:rtl w:val="true"/>
          <w:lang w:bidi="ar-SA"/>
        </w:rPr>
        <w:t xml:space="preserve">، فبعض عدّ سبعة </w:t>
      </w:r>
      <w:r>
        <w:rPr>
          <w:rStyle w:val="FootnoteAnchor"/>
          <w:rtl w:val="true"/>
        </w:rPr>
        <w:footnoteReference w:id="505"/>
      </w:r>
      <w:r>
        <w:rPr>
          <w:rFonts w:ascii="Amiri" w:hAnsi="Amiri" w:eastAsia="Amiri" w:cs="Amiri"/>
          <w:color w:val="111111"/>
          <w:sz w:val="28"/>
          <w:sz w:val="28"/>
          <w:szCs w:val="28"/>
          <w:rtl w:val="true"/>
          <w:lang w:bidi="ar-SA"/>
        </w:rPr>
        <w:t xml:space="preserve">، وبعض سبعين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إلى سبعمائة أقرب، غير أنّه لا صغيرة مع إصرار، ولا كبيرة</w:t>
      </w:r>
    </w:p>
    <w:p>
      <w:pPr>
        <w:pStyle w:val="BookText"/>
        <w:rPr/>
      </w:pPr>
      <w:r>
        <w:rPr>
          <w:rFonts w:ascii="IRNazanin" w:hAnsi="IRNazanin" w:eastAsia="IRNazanin"/>
          <w:color w:val="111111"/>
          <w:sz w:val="28"/>
          <w:sz w:val="28"/>
          <w:szCs w:val="28"/>
          <w:rtl w:val="true"/>
          <w:lang w:bidi="fa-IR"/>
        </w:rPr>
        <w:t xml:space="preserve">استغفار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7543619_1051229030"/>
      <w:bookmarkStart w:id="426" w:name="_Toc153"/>
      <w:bookmarkEnd w:id="425"/>
      <w:r>
        <w:rPr>
          <w:rtl w:val="true"/>
        </w:rPr>
        <w:t xml:space="preserve">أصل </w:t>
      </w:r>
      <w:r>
        <w:rPr>
          <w:rtl w:val="true"/>
        </w:rPr>
        <w:t xml:space="preserve">[ </w:t>
      </w:r>
      <w:r>
        <w:rPr>
          <w:rtl w:val="true"/>
        </w:rPr>
        <w:t xml:space="preserve">في التوبة </w:t>
      </w:r>
      <w:r>
        <w:rPr>
          <w:rtl w:val="true"/>
        </w:rPr>
        <w:t>]</w:t>
      </w:r>
      <w:bookmarkEnd w:id="426"/>
    </w:p>
    <w:p>
      <w:pPr>
        <w:pStyle w:val="BookText"/>
        <w:rPr/>
      </w:pPr>
      <w:r>
        <w:rPr>
          <w:rFonts w:ascii="Amiri" w:hAnsi="Amiri" w:eastAsia="Amiri" w:cs="Amiri"/>
          <w:color w:val="111111"/>
          <w:sz w:val="28"/>
          <w:sz w:val="28"/>
          <w:szCs w:val="28"/>
          <w:rtl w:val="true"/>
          <w:lang w:bidi="ar-SA"/>
        </w:rPr>
        <w:t xml:space="preserve">التوبة واجبة لأنّها دافعة للخوف، وللأمر بها ، ووجوب قبولها تفضّل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واجب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وهى العزم على ترك المعاودة مع الندم على المعصية </w:t>
      </w:r>
      <w:r>
        <w:rPr>
          <w:rStyle w:val="FootnoteAnchor"/>
          <w:rtl w:val="true"/>
        </w:rPr>
        <w:footnoteReference w:id="510"/>
      </w:r>
      <w:r>
        <w:rPr>
          <w:rFonts w:ascii="Amiri" w:hAnsi="Amiri" w:eastAsia="Amiri" w:cs="Amiri"/>
          <w:color w:val="111111"/>
          <w:sz w:val="28"/>
          <w:sz w:val="28"/>
          <w:szCs w:val="28"/>
          <w:rtl w:val="true"/>
          <w:lang w:bidi="ar-SA"/>
        </w:rPr>
        <w:t xml:space="preserve">، وتجب من جميع الذنوب لما تقدّم، وتصحّ من قبيح دون قبيح وإلّا لم يصحّ الإتيان بواجب دون واجب واللازم باطل إجماعاً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 الملازمة بأنّه تجب التوبة عن القبيح لقبحه، وفعل الواجب لوجوبه، والاشتراك في العلّة يوجب المساواة في الحكم وسقوط العقاب لذاتها لا لكثرة ثوابها، ويجب أن يندم على القبيح لكونه قبيحاً، فإنّ من </w:t>
      </w:r>
      <w:r>
        <w:rPr>
          <w:rStyle w:val="FootnoteAnchor"/>
          <w:rtl w:val="true"/>
        </w:rPr>
        <w:footnoteReference w:id="511"/>
      </w:r>
      <w:r>
        <w:rPr>
          <w:rFonts w:ascii="Amiri" w:hAnsi="Amiri" w:eastAsia="Amiri" w:cs="Amiri"/>
          <w:color w:val="111111"/>
          <w:sz w:val="28"/>
          <w:sz w:val="28"/>
          <w:szCs w:val="28"/>
          <w:rtl w:val="true"/>
          <w:lang w:bidi="ar-SA"/>
        </w:rPr>
        <w:t xml:space="preserve">تاب عن شرب الخمر لإضرارها ببدنه غير تائب منها لقبحها ، فعلى هذا لو تاب من المعصية خوفاً من النار أو شوقاً إلى الجنّة </w:t>
      </w:r>
      <w:r>
        <w:rPr>
          <w:rStyle w:val="FootnoteAnchor"/>
          <w:rtl w:val="true"/>
        </w:rPr>
        <w:footnoteReference w:id="512"/>
      </w:r>
      <w:r>
        <w:rPr>
          <w:rFonts w:ascii="Amiri" w:hAnsi="Amiri" w:eastAsia="Amiri" w:cs="Amiri"/>
          <w:color w:val="111111"/>
          <w:sz w:val="28"/>
          <w:sz w:val="28"/>
          <w:szCs w:val="28"/>
          <w:rtl w:val="true"/>
          <w:lang w:bidi="ar-SA"/>
        </w:rPr>
        <w:t>لم يكن تائباً إذا جعل ذلك هو الغابة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القبيح إمّا من حقوق الله أو الآدمى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فعل محرّم كالزنا والشرب للخمر </w:t>
      </w:r>
      <w:r>
        <w:rPr>
          <w:rStyle w:val="FootnoteAnchor"/>
          <w:rtl w:val="true"/>
        </w:rPr>
        <w:footnoteReference w:id="513"/>
      </w:r>
      <w:r>
        <w:rPr>
          <w:rFonts w:ascii="Amiri" w:hAnsi="Amiri" w:eastAsia="Amiri" w:cs="Amiri"/>
          <w:color w:val="111111"/>
          <w:sz w:val="28"/>
          <w:sz w:val="28"/>
          <w:szCs w:val="28"/>
          <w:rtl w:val="true"/>
          <w:lang w:bidi="ar-SA"/>
        </w:rPr>
        <w:t xml:space="preserve">فيكفي الندم والعزم المتقدّمان، أو ترك واجب ؛ فإن لم يكن له وقت معيّن كالزكاة أتى به، وإن كان له وقت معيّن فإن سقط بخروجه كصلاة العيد كفى الندم، وإن لم يسقط وجب قضاؤه كالصلاة اليوميّة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إضلالاً أو غيره، والأوّل يجب إرشاد من أضلّه، والثانى إن كان ممّا يوجب القصاص يجب الانقياد لمستحقّه ليستوفي أو يعفو و </w:t>
      </w:r>
      <w:r>
        <w:rPr>
          <w:rStyle w:val="FootnoteAnchor"/>
          <w:rtl w:val="true"/>
        </w:rPr>
        <w:footnoteReference w:id="514"/>
      </w:r>
      <w:r>
        <w:rPr>
          <w:rFonts w:ascii="Amiri" w:hAnsi="Amiri" w:eastAsia="Amiri" w:cs="Amiri"/>
          <w:color w:val="111111"/>
          <w:sz w:val="28"/>
          <w:sz w:val="28"/>
          <w:szCs w:val="28"/>
          <w:rtl w:val="true"/>
          <w:lang w:bidi="ar-SA"/>
        </w:rPr>
        <w:t xml:space="preserve">إن كان مالاً يجب الإيصال إلى المستحقّ أو وارثه أو الاستيهاب، ومع التعذّر العزم عليهما </w:t>
      </w:r>
      <w:r>
        <w:rPr>
          <w:rStyle w:val="FootnoteAnchor"/>
          <w:rtl w:val="true"/>
        </w:rPr>
        <w:footnoteReference w:id="515"/>
      </w:r>
      <w:r>
        <w:rPr>
          <w:rFonts w:ascii="Amiri" w:hAnsi="Amiri" w:eastAsia="Amiri" w:cs="Amiri"/>
          <w:color w:val="111111"/>
          <w:sz w:val="28"/>
          <w:sz w:val="28"/>
          <w:szCs w:val="28"/>
          <w:rtl w:val="true"/>
          <w:lang w:bidi="ar-SA"/>
        </w:rPr>
        <w:t>عند المكنة وكذا حدّ القذف، وإن كان اغتياباً فإن بلغ المغتاب وجب الندم والاعتذار، وإن لم يبلغ كفى الندم والعزم، ويكفي الندم الإجمالي، وإن كان عارفا بذنوبه وتعدادها والتوبة منها مفصلاً أنسب، ولا يجب تجديد التوبة عند الذكر وإن كان أكمل</w:t>
      </w:r>
      <w:r>
        <w:rPr>
          <w:rFonts w:eastAsia="Amiri" w:cs="Amiri" w:ascii="Amiri" w:hAnsi="Amiri"/>
          <w:color w:val="111111"/>
          <w:sz w:val="28"/>
          <w:szCs w:val="28"/>
          <w:rtl w:val="true"/>
          <w:lang w:bidi="ar-SA"/>
        </w:rPr>
        <w:t xml:space="preserve">. </w:t>
      </w:r>
      <w:bookmarkStart w:id="427" w:name="pg10769_112273"/>
    </w:p>
    <w:p>
      <w:pPr>
        <w:pStyle w:val="Heading3"/>
        <w:numPr>
          <w:ilvl w:val="2"/>
          <w:numId w:val="1"/>
        </w:numPr>
        <w:rPr/>
      </w:pPr>
      <w:bookmarkStart w:id="428" w:name="__RefHeading___Toc7543621_1051229030"/>
      <w:bookmarkStart w:id="429" w:name="_Toc154"/>
      <w:bookmarkEnd w:id="427"/>
      <w:bookmarkEnd w:id="428"/>
      <w:r>
        <w:rPr>
          <w:rtl w:val="true"/>
        </w:rPr>
        <w:t xml:space="preserve">أصل </w:t>
      </w:r>
      <w:r>
        <w:rPr>
          <w:rtl w:val="true"/>
        </w:rPr>
        <w:t xml:space="preserve">[ </w:t>
      </w:r>
      <w:r>
        <w:rPr>
          <w:rtl w:val="true"/>
        </w:rPr>
        <w:t xml:space="preserve">في الشفاعة </w:t>
      </w:r>
      <w:r>
        <w:rPr>
          <w:rtl w:val="true"/>
        </w:rPr>
        <w:t>]</w:t>
      </w:r>
      <w:bookmarkEnd w:id="429"/>
    </w:p>
    <w:p>
      <w:pPr>
        <w:pStyle w:val="BookText"/>
        <w:rPr/>
      </w:pPr>
      <w:r>
        <w:rPr>
          <w:rFonts w:ascii="Amiri" w:hAnsi="Amiri" w:eastAsia="Amiri" w:cs="Amiri"/>
          <w:color w:val="111111"/>
          <w:sz w:val="28"/>
          <w:sz w:val="28"/>
          <w:szCs w:val="28"/>
          <w:rtl w:val="true"/>
          <w:lang w:bidi="ar-SA"/>
        </w:rPr>
        <w:t>الشفاعة من الرسول والأئمّة ثابتة للإجماع ،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مقام الشفاعة </w:t>
      </w:r>
      <w:r>
        <w:rPr>
          <w:rStyle w:val="FootnoteAnchor"/>
          <w:rtl w:val="true"/>
        </w:rPr>
        <w:footnoteReference w:id="51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لِذَنبِكَ وَلِلْمُؤْمِنِينَ</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واستغفاره واجب للأمر به فلا يردّ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519"/>
      </w:r>
      <w:r>
        <w:rPr>
          <w:rFonts w:ascii="IRNazanin" w:hAnsi="IRNazanin" w:eastAsia="IRNazanin"/>
          <w:color w:val="111111"/>
          <w:sz w:val="28"/>
          <w:sz w:val="28"/>
          <w:szCs w:val="28"/>
          <w:rtl w:val="true"/>
          <w:lang w:bidi="fa-IR"/>
        </w:rPr>
        <w:t>وهى لإسقاط المضارّ لا لزيادة الدرجات، وإلّا لكنّا شافعين فيه ولقوله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شفاعتي لأهل الكبائر من أُمّتي</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والعفو جائز لأنّه إحسان وكلّ إحسان حسن، ولأنّه حقّه تعالى فجاز العفو عنه، وواقع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لَذُو مَغْفِرَةٍ لِلنَّاسِ عَلَى ظُلْمِهِمْ</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خرج الكفر بالإجماع فيبقى الباقي على حاله، ولأنّ المؤمن العاصي </w:t>
      </w:r>
    </w:p>
    <w:p>
      <w:pPr>
        <w:pStyle w:val="BookText"/>
        <w:rPr/>
      </w:pPr>
      <w:r>
        <w:rPr>
          <w:rFonts w:ascii="Amiri" w:hAnsi="Amiri" w:eastAsia="Amiri" w:cs="Amiri"/>
          <w:color w:val="111111"/>
          <w:sz w:val="28"/>
          <w:sz w:val="28"/>
          <w:szCs w:val="28"/>
          <w:rtl w:val="true"/>
          <w:lang w:bidi="ar-SA"/>
        </w:rPr>
        <w:t>أتى بأتمّ الطاعات وأعظمها ولم يأت بأعظم المعاصي وهو الكفر، فوجب ترجيح جانب وعده كما قال سيّد العابدين عليّ بن الحسين عليه وعلى آبائه وأبنائه الطاهرين أفضل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كنت عصيتك فقد أطعتك في أُحبّ الأشياء إليك وهو التوحيد ، وإن لم أطعك لم أعصك في أبغض الأشياء إليك وهو الشرك</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ولبعضهم شعر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كانت الأعضاء خالفت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 في سالف الأزمان</w:t>
      </w:r>
    </w:p>
    <w:p>
      <w:pPr>
        <w:pStyle w:val="BookText"/>
        <w:rPr/>
      </w:pPr>
      <w:r>
        <w:rPr>
          <w:rFonts w:ascii="Amiri" w:hAnsi="Amiri" w:eastAsia="Amiri" w:cs="Amiri"/>
          <w:color w:val="111111"/>
          <w:sz w:val="28"/>
          <w:sz w:val="28"/>
          <w:szCs w:val="28"/>
          <w:rtl w:val="true"/>
          <w:lang w:bidi="ar-SA"/>
        </w:rPr>
        <w:t xml:space="preserve">فسلوا الفؤاد عن الذي أودعتم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قيه من التوحيد والإيمان</w:t>
      </w:r>
    </w:p>
    <w:p>
      <w:pPr>
        <w:pStyle w:val="BookText"/>
        <w:rPr/>
      </w:pPr>
      <w:r>
        <w:rPr>
          <w:rFonts w:ascii="Amiri" w:hAnsi="Amiri" w:eastAsia="Amiri" w:cs="Amiri"/>
          <w:color w:val="111111"/>
          <w:sz w:val="28"/>
          <w:sz w:val="28"/>
          <w:szCs w:val="28"/>
          <w:rtl w:val="true"/>
          <w:lang w:bidi="ar-SA"/>
        </w:rPr>
        <w:t xml:space="preserve">تجدوه قد أدّى الأمانة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قهوه ما أخطاه بالجثمان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والآن فلنقطع الكلام حامدين لله على آلائه العظام، شاكرين له على جميل بلائه وجزيل نعمائه في جميع الأقسام، ونسأله في موقف الخضوع والابتهال أن يجعلنا من أهل عفوه ورحمته ويدخلنا مع حزب محمّد صلى الله عليه و آله وذرّيّته، ويرسل علينا شابیب کرمه و میازیب نعمته، ويسلك بنا إلى رياض معرفته مسالك أهل عنايته، وينوّر قلوبنا بأنوار الهداية إلى حقائق دقائق معرفته فهو المسؤول المجيب، فلا تفنى خزائن برّه وكرامته السميع القريب الذي لا تدرك عقول الأولياء كنه ذاته وحقيقته إنه بالإجابة جدير وهو نعم المولى ونعم النصير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الفراغ من تقرير مقاصدها وتحرير مراصدها وإبراز جواهرها من مكامنها، </w:t>
      </w:r>
    </w:p>
    <w:p>
      <w:pPr>
        <w:pStyle w:val="BookText"/>
        <w:rPr/>
      </w:pPr>
      <w:r>
        <w:rPr>
          <w:rFonts w:ascii="Amiri" w:hAnsi="Amiri" w:eastAsia="Amiri" w:cs="Amiri"/>
          <w:color w:val="111111"/>
          <w:sz w:val="28"/>
          <w:sz w:val="28"/>
          <w:szCs w:val="28"/>
          <w:rtl w:val="true"/>
          <w:lang w:bidi="ar-SA"/>
        </w:rPr>
        <w:t xml:space="preserve">وإحراز دُرَرها في معادنها ضحوة نهار الاثنين، ثاني عشر ربيع الأّول من شهور سنة خمس وثمانين وثمانمائة هجريّة على مشرّفها السلام، على يد مؤلّفها الذليل الحقير الضعيف </w:t>
      </w:r>
      <w:r>
        <w:rPr>
          <w:rStyle w:val="FootnoteAnchor"/>
          <w:rtl w:val="true"/>
        </w:rPr>
        <w:footnoteReference w:id="527"/>
      </w:r>
      <w:r>
        <w:rPr>
          <w:rFonts w:ascii="Amiri" w:hAnsi="Amiri" w:eastAsia="Amiri" w:cs="Amiri"/>
          <w:color w:val="111111"/>
          <w:sz w:val="28"/>
          <w:sz w:val="28"/>
          <w:szCs w:val="28"/>
          <w:rtl w:val="true"/>
          <w:lang w:bidi="ar-SA"/>
        </w:rPr>
        <w:t xml:space="preserve">الفقير إلى الله الغنىّ الكبير العلىّ القدير أحمد بن علىّ بن حسن بن محمّد </w:t>
      </w:r>
      <w:r>
        <w:rPr>
          <w:rStyle w:val="FootnoteAnchor"/>
          <w:rtl w:val="true"/>
        </w:rPr>
        <w:footnoteReference w:id="528"/>
      </w:r>
      <w:r>
        <w:rPr>
          <w:rFonts w:ascii="Amiri" w:hAnsi="Amiri" w:eastAsia="Amiri" w:cs="Amiri"/>
          <w:color w:val="111111"/>
          <w:sz w:val="28"/>
          <w:sz w:val="28"/>
          <w:szCs w:val="28"/>
          <w:rtl w:val="true"/>
          <w:lang w:bidi="ar-SA"/>
        </w:rPr>
        <w:t xml:space="preserve">بن إسماعيل بن صالح ؛ أقلّ الناس جِرماً وأكثرهم جُرماً ، القليل عملاً ، الكثير زللاً ، اللويزاويّ </w:t>
      </w:r>
      <w:r>
        <w:rPr>
          <w:rStyle w:val="FootnoteAnchor"/>
          <w:rtl w:val="true"/>
        </w:rPr>
        <w:footnoteReference w:id="529"/>
      </w:r>
      <w:r>
        <w:rPr>
          <w:rFonts w:ascii="Amiri" w:hAnsi="Amiri" w:eastAsia="Amiri" w:cs="Amiri"/>
          <w:color w:val="111111"/>
          <w:sz w:val="28"/>
          <w:sz w:val="28"/>
          <w:szCs w:val="28"/>
          <w:rtl w:val="true"/>
          <w:lang w:bidi="ar-SA"/>
        </w:rPr>
        <w:t xml:space="preserve">محتدّاً </w:t>
      </w:r>
      <w:r>
        <w:rPr>
          <w:rStyle w:val="FootnoteAnchor"/>
          <w:rtl w:val="true"/>
        </w:rPr>
        <w:footnoteReference w:id="530"/>
      </w:r>
      <w:r>
        <w:rPr>
          <w:rFonts w:ascii="Amiri" w:hAnsi="Amiri" w:eastAsia="Amiri" w:cs="Amiri"/>
          <w:color w:val="111111"/>
          <w:sz w:val="28"/>
          <w:sz w:val="28"/>
          <w:szCs w:val="28"/>
          <w:rtl w:val="true"/>
          <w:lang w:bidi="ar-SA"/>
        </w:rPr>
        <w:t xml:space="preserve">، الكفعميّ </w:t>
      </w:r>
      <w:r>
        <w:rPr>
          <w:rStyle w:val="FootnoteAnchor"/>
          <w:rtl w:val="true"/>
        </w:rPr>
        <w:footnoteReference w:id="531"/>
      </w:r>
      <w:r>
        <w:rPr>
          <w:rFonts w:ascii="Amiri" w:hAnsi="Amiri" w:eastAsia="Amiri" w:cs="Amiri"/>
          <w:color w:val="111111"/>
          <w:sz w:val="28"/>
          <w:sz w:val="28"/>
          <w:szCs w:val="28"/>
          <w:rtl w:val="true"/>
          <w:lang w:bidi="ar-SA"/>
        </w:rPr>
        <w:t xml:space="preserve">منشأ ، والأنصاريّ </w:t>
      </w:r>
      <w:r>
        <w:rPr>
          <w:rStyle w:val="FootnoteAnchor"/>
          <w:rtl w:val="true"/>
        </w:rPr>
        <w:footnoteReference w:id="532"/>
      </w:r>
      <w:r>
        <w:rPr>
          <w:rFonts w:ascii="Amiri" w:hAnsi="Amiri" w:eastAsia="Amiri" w:cs="Amiri"/>
          <w:color w:val="111111"/>
          <w:sz w:val="28"/>
          <w:sz w:val="28"/>
          <w:szCs w:val="28"/>
          <w:rtl w:val="true"/>
          <w:lang w:bidi="ar-SA"/>
        </w:rPr>
        <w:t xml:space="preserve">مولداً ، الإمامىّ مذهباً ، الجباعيّ </w:t>
      </w:r>
      <w:r>
        <w:rPr>
          <w:rStyle w:val="FootnoteAnchor"/>
          <w:rtl w:val="true"/>
        </w:rPr>
        <w:footnoteReference w:id="533"/>
      </w:r>
      <w:r>
        <w:rPr>
          <w:rFonts w:ascii="Amiri" w:hAnsi="Amiri" w:eastAsia="Amiri" w:cs="Amiri"/>
          <w:color w:val="111111"/>
          <w:sz w:val="28"/>
          <w:sz w:val="28"/>
          <w:szCs w:val="28"/>
          <w:rtl w:val="true"/>
          <w:lang w:bidi="ar-SA"/>
        </w:rPr>
        <w:t xml:space="preserve">أباً ، أسكنه الله تعالى وجميع إخوانه المؤمنين في جوار الأئمّة المعصومين بمحمّد وآله الطاهرين، والحمد لله ربّ العالمين، وصلى الله على سيّد المرسلين محمّد وذرّيّته الأكرمين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وفي نهاية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 المسماة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معراج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المنقولة من النسخة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0769_112276"/>
    </w:p>
    <w:p>
      <w:pPr>
        <w:pStyle w:val="Heading2"/>
        <w:numPr>
          <w:ilvl w:val="1"/>
          <w:numId w:val="1"/>
        </w:numPr>
        <w:rPr/>
      </w:pPr>
      <w:bookmarkStart w:id="431" w:name="__RefHeading___Toc7543623_1051229030"/>
      <w:bookmarkStart w:id="432" w:name="_Toc155"/>
      <w:bookmarkEnd w:id="430"/>
      <w:bookmarkEnd w:id="431"/>
      <w:r>
        <w:rPr>
          <w:rtl w:val="true"/>
        </w:rPr>
        <w:t>الفهارس الفنية</w:t>
      </w:r>
      <w:bookmarkEnd w:id="432"/>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ascii="IRNazanin" w:hAnsi="IRNazanin" w:eastAsia="IRNazanin"/>
          <w:color w:val="111111"/>
          <w:sz w:val="28"/>
          <w:sz w:val="28"/>
          <w:szCs w:val="28"/>
          <w:rtl w:val="true"/>
          <w:lang w:bidi="fa-IR"/>
        </w:rPr>
        <w:t>فهرس الآثار</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IRNazanin" w:hAnsi="IRNazanin" w:eastAsia="IRNazanin"/>
          <w:color w:val="111111"/>
          <w:sz w:val="28"/>
          <w:sz w:val="28"/>
          <w:szCs w:val="28"/>
          <w:rtl w:val="true"/>
          <w:lang w:bidi="fa-IR"/>
        </w:rPr>
        <w:t>فهرس الطوائف والقبائل والفرق</w:t>
      </w:r>
    </w:p>
    <w:p>
      <w:pPr>
        <w:pStyle w:val="BookText"/>
        <w:rPr/>
      </w:pPr>
      <w:r>
        <w:rPr>
          <w:rFonts w:ascii="Amiri" w:hAnsi="Amiri" w:eastAsia="Amiri" w:cs="Amiri"/>
          <w:color w:val="111111"/>
          <w:sz w:val="28"/>
          <w:sz w:val="28"/>
          <w:szCs w:val="28"/>
          <w:rtl w:val="true"/>
          <w:lang w:bidi="ar-SA"/>
        </w:rPr>
        <w:t>فهرس الأماكن والبلدان</w:t>
      </w:r>
    </w:p>
    <w:p>
      <w:pPr>
        <w:pStyle w:val="BookText"/>
        <w:rPr/>
      </w:pPr>
      <w:r>
        <w:rPr>
          <w:rFonts w:ascii="Amiri" w:hAnsi="Amiri" w:eastAsia="Amiri" w:cs="Amiri"/>
          <w:color w:val="111111"/>
          <w:sz w:val="28"/>
          <w:sz w:val="28"/>
          <w:szCs w:val="28"/>
          <w:rtl w:val="true"/>
          <w:lang w:bidi="ar-SA"/>
        </w:rPr>
        <w:t>فهرس الكتب الواردة في المتن</w:t>
      </w:r>
    </w:p>
    <w:p>
      <w:pPr>
        <w:pStyle w:val="BookText"/>
        <w:rPr/>
      </w:pPr>
      <w:r>
        <w:rPr>
          <w:rFonts w:ascii="IRNazanin" w:hAnsi="IRNazanin" w:eastAsia="IRNazanin"/>
          <w:color w:val="111111"/>
          <w:sz w:val="28"/>
          <w:sz w:val="28"/>
          <w:szCs w:val="28"/>
          <w:rtl w:val="true"/>
          <w:lang w:bidi="fa-IR"/>
        </w:rPr>
        <w:t>فهرس المصادر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0769_112278"/>
      <w:bookmarkStart w:id="434" w:name="pg10769_112278"/>
      <w:bookmarkEnd w:id="434"/>
    </w:p>
    <w:p>
      <w:pPr>
        <w:pStyle w:val="Heading2"/>
        <w:numPr>
          <w:ilvl w:val="1"/>
          <w:numId w:val="1"/>
        </w:numPr>
        <w:rPr/>
      </w:pPr>
      <w:bookmarkStart w:id="435" w:name="pg10769_112278"/>
      <w:bookmarkStart w:id="436" w:name="__RefHeading___Toc7543625_1051229030"/>
      <w:bookmarkStart w:id="437" w:name="_Toc156"/>
      <w:bookmarkEnd w:id="435"/>
      <w:bookmarkEnd w:id="436"/>
      <w:r>
        <w:rPr>
          <w:rtl w:val="true"/>
        </w:rPr>
        <w:t>فهرس الآيات القرآنية</w:t>
      </w:r>
      <w:bookmarkEnd w:id="437"/>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أُعِدَّتْ لِلْكَافِرِينَ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أُغْرِقُوا فَأُدْخِلُوا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أَمْ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بِهدَاهُمُ اقْتَدِة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عَرْضُهَا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 وَسِعَتْ كُلّ 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يُضِلُّ أَعْمَالَهُمْ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قَدَّرْنَاهَا مِنَ الْغَابِرِينَ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يَذُوقُونَ فِيهَا الْمَوْتَ إِلَّا الْمَوْتَةَ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يَعْصُونَ اللهَ ما أَمَرَهُمْ وَيَفْعَلُونَ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نَرَى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يَأْتِيهِم مِن ذِكْرِ مِن رَّبِّهِم مُّحْدَثٍ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القبور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يُعْرَضُونَ عَلَيْهَا غُدُوّاً وَعَشِيّاً وَيَوْمَ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لِذَنبِكَ وَلِلْمُؤْمِنِينَ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صلّی الله علیه و آله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وَإِنْ أَتَيْتُمْ إِحْدَاهُنَّ قِنْطاراً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رَبَّكَ لَذُو مَغْفِرَةٍ لِلنَّاسِ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لَذِكْرٌ لَكَ وَلِقَوْمِك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وَخَاتَمَ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 فِيهَا أَقْوَاتَهَا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يَرْضَى لِعِبَادِهِ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انْظُرْ إِلَى الْجَبَلِ فَإِنِ اسْتَقَرَّ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فِي الأَرْضِ وَلا طائر يطير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سُلَيْمَانُ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هَدَانِي رَبِّي إِلَى صِرَاطٍ مُسْتَقِيمٍ 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إِلى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عِبَادِيَ الَّذِينَ أَسْرَفُوا عَلَى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438" w:name="pg10769_112281"/>
    </w:p>
    <w:p>
      <w:pPr>
        <w:pStyle w:val="Heading2"/>
        <w:numPr>
          <w:ilvl w:val="1"/>
          <w:numId w:val="1"/>
        </w:numPr>
        <w:rPr/>
      </w:pPr>
      <w:bookmarkStart w:id="439" w:name="__RefHeading___Toc7543627_1051229030"/>
      <w:bookmarkStart w:id="440" w:name="_Toc157"/>
      <w:bookmarkEnd w:id="438"/>
      <w:bookmarkEnd w:id="439"/>
      <w:r>
        <w:rPr>
          <w:rtl w:val="true"/>
        </w:rPr>
        <w:t>فهرس الأحاديث</w:t>
      </w:r>
      <w:bookmarkEnd w:id="440"/>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آتوني بدواة وكتف أكتب ما لا تضلّون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آدم و من دونه تحت لوائي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ادّخرت شفاعتي لأهل الكبائر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إذا جاءكم عنّي حديث فأعرضوه على كتاب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افترقت أُمّة أخي موسى على إحدى وسبعين فرقة ؛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أفضل الأعمال أحمزها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الله قتله وأنا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إنّ الله اطّلع إلى الأرض فاختارني منها فجعلني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إنّ المدينة لا تصلح إلّا بي أو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أنا أشرف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أنا سيّد ولد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الخليفة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أنت أخي ووصتي وخليفتي من بعدي وقاضي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أنت حجّة ابن حجّة أبو حجج تسعة من صلبك تاسعهم 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أنت سيّد ابن سيّد ، أنت إمام ابن إمام أبو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انظروا إلى رجل قد عرف من حلالنا وحرامنا فاجعلوه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بعثت إلى الأسود والأحمر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تمسّكوا بالسبت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جرح العجماء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رُفِعَ القلم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ستفترق أُمّتي على ثلاث وسبعين فرقة ؛ فرقة واحدة ناجية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علينا أن نلقي إليكم الأُصول وعليكم أن تفرّعوا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أحدالمعصومین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ما منّا إلّا من وقعت في عنقه بيعة لطاغية زمانه إلّا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أحدالمعصومین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وكمال الإخلاص له نفي الصفات عنه لشهادة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يا بن سمرة إذا اختلفت الأهواء وتفرّقت الآراء فعليك بعليّ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يا ربّ إن كنت عصيتك فقد أطعتك في أحبّ الأشياء إليك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يا من لا يعلم ما هو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يكون بعدي اثنا عشر خليفة 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ينتصف للجمّاء من القَرناء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441" w:name="pg10769_112283"/>
    </w:p>
    <w:p>
      <w:pPr>
        <w:pStyle w:val="Heading2"/>
        <w:numPr>
          <w:ilvl w:val="1"/>
          <w:numId w:val="1"/>
        </w:numPr>
        <w:rPr/>
      </w:pPr>
      <w:bookmarkStart w:id="442" w:name="__RefHeading___Toc7543629_1051229030"/>
      <w:bookmarkStart w:id="443" w:name="_Toc158"/>
      <w:bookmarkEnd w:id="441"/>
      <w:bookmarkEnd w:id="442"/>
      <w:r>
        <w:rPr>
          <w:rtl w:val="true"/>
        </w:rPr>
        <w:t>فهرس الآثار</w:t>
      </w:r>
      <w:bookmarkEnd w:id="443"/>
    </w:p>
    <w:p>
      <w:pPr>
        <w:pStyle w:val="BookText"/>
        <w:rPr/>
      </w:pPr>
      <w:r>
        <w:rPr>
          <w:rFonts w:ascii="Amiri" w:hAnsi="Amiri" w:eastAsia="Amiri" w:cs="Amiri"/>
          <w:color w:val="111111"/>
          <w:sz w:val="28"/>
          <w:sz w:val="28"/>
          <w:szCs w:val="28"/>
          <w:rtl w:val="true"/>
          <w:lang w:bidi="ar-SA"/>
        </w:rPr>
        <w:t xml:space="preserve">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أقيلوني فلست بخيركم وعليٌّ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أمّا والله لإن ولّيتهم لتحملتّهم على المحجّة البيضاء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حسبنا كتاب الله إنّه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دخلت على رسول الله صلّی الله علیه و آله وإذا الحسين على فخذيه وهو يقبل عينيه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أرشدني إلى النجاة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كانت بيعته فلتة وقى الله المسلمين شرّها ؛ فمن 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كلّ أفقه من عمر حتّى المخدّرات في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لو 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ليتني تركت بيت فاطمة لم أكشفه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ليتني سألت رسول الله هل للأنصار في هذا الأمر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ليتني في ظلّ بني ساعدة ضربت على يد أحد الرجلين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من غلا في مهر امرأته جعلته في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والهفاه على سليل بني تيم مرّة تقدّمني ظالماً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444" w:name="pg10769_112284"/>
    </w:p>
    <w:p>
      <w:pPr>
        <w:pStyle w:val="Heading2"/>
        <w:numPr>
          <w:ilvl w:val="1"/>
          <w:numId w:val="1"/>
        </w:numPr>
        <w:rPr/>
      </w:pPr>
      <w:bookmarkStart w:id="445" w:name="__RefHeading___Toc7543631_1051229030"/>
      <w:bookmarkStart w:id="446" w:name="_Toc159"/>
      <w:bookmarkEnd w:id="444"/>
      <w:bookmarkEnd w:id="445"/>
      <w:r>
        <w:rPr>
          <w:rtl w:val="true"/>
        </w:rPr>
        <w:t>فهرس الأعلام</w:t>
      </w:r>
      <w:bookmarkEnd w:id="446"/>
    </w:p>
    <w:p>
      <w:pPr>
        <w:pStyle w:val="BookText"/>
        <w:rPr/>
      </w:pPr>
      <w:r>
        <w:rPr>
          <w:rFonts w:ascii="IRNazanin" w:hAnsi="IRNazanin" w:eastAsia="IRNazanin"/>
          <w:color w:val="111111"/>
          <w:sz w:val="28"/>
          <w:sz w:val="28"/>
          <w:szCs w:val="28"/>
          <w:rtl w:val="true"/>
          <w:lang w:bidi="fa-IR"/>
        </w:rPr>
        <w:t>نقدّم أسماء المعصومين الأربعة عشر علیهم السّلام</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الزهراء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الهادي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المهدى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نوبخت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طلحة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علىّ بن حسن بن محمّد بن إسماعيل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الجبّائيّان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الخضر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سمرة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أبي 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ابن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مريم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المسيح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مسيلمة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447" w:name="pg10769_112287"/>
    </w:p>
    <w:p>
      <w:pPr>
        <w:pStyle w:val="Heading2"/>
        <w:numPr>
          <w:ilvl w:val="1"/>
          <w:numId w:val="1"/>
        </w:numPr>
        <w:rPr/>
      </w:pPr>
      <w:bookmarkStart w:id="448" w:name="__RefHeading___Toc7543633_1051229030"/>
      <w:bookmarkStart w:id="449" w:name="_Toc160"/>
      <w:bookmarkEnd w:id="447"/>
      <w:bookmarkEnd w:id="448"/>
      <w:r>
        <w:rPr>
          <w:rtl w:val="true"/>
        </w:rPr>
        <w:t>فهرس الطوائف والقبائل والفرق</w:t>
      </w:r>
      <w:bookmarkEnd w:id="449"/>
    </w:p>
    <w:p>
      <w:pPr>
        <w:pStyle w:val="BookText"/>
        <w:rPr/>
      </w:pPr>
      <w:r>
        <w:rPr>
          <w:rFonts w:ascii="IRNazanin" w:hAnsi="IRNazanin" w:eastAsia="IRNazanin"/>
          <w:color w:val="111111"/>
          <w:sz w:val="28"/>
          <w:sz w:val="28"/>
          <w:szCs w:val="28"/>
          <w:rtl w:val="true"/>
          <w:lang w:bidi="fa-IR"/>
        </w:rPr>
        <w:t>آل إبراهيم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الأشعريّة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المعتزلة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البغداديّون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المعتزلة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بنوتيم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بني ساعدة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العارفون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المتصوّفة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المتكلّمون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المهندسون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الوعيديّة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450" w:name="pg10769_112289"/>
    </w:p>
    <w:p>
      <w:pPr>
        <w:pStyle w:val="Heading2"/>
        <w:numPr>
          <w:ilvl w:val="1"/>
          <w:numId w:val="1"/>
        </w:numPr>
        <w:rPr/>
      </w:pPr>
      <w:bookmarkStart w:id="451" w:name="__RefHeading___Toc7543635_1051229030"/>
      <w:bookmarkStart w:id="452" w:name="_Toc161"/>
      <w:bookmarkEnd w:id="450"/>
      <w:bookmarkEnd w:id="451"/>
      <w:r>
        <w:rPr>
          <w:rtl w:val="true"/>
        </w:rPr>
        <w:t>فهرس الأماكن والبلدان</w:t>
      </w:r>
      <w:bookmarkEnd w:id="452"/>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453" w:name="pg10769_112290"/>
    </w:p>
    <w:p>
      <w:pPr>
        <w:pStyle w:val="Heading2"/>
        <w:numPr>
          <w:ilvl w:val="1"/>
          <w:numId w:val="1"/>
        </w:numPr>
        <w:rPr/>
      </w:pPr>
      <w:bookmarkStart w:id="454" w:name="__RefHeading___Toc7543637_1051229030"/>
      <w:bookmarkStart w:id="455" w:name="_Toc162"/>
      <w:bookmarkEnd w:id="453"/>
      <w:bookmarkEnd w:id="454"/>
      <w:r>
        <w:rPr>
          <w:rtl w:val="true"/>
        </w:rPr>
        <w:t>فهرس الكتب الواردة في المتن</w:t>
      </w:r>
      <w:bookmarkEnd w:id="455"/>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الرسالة المُهدية إلى مذهب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معارج الأفهام إلى 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456" w:name="pg10769_112291"/>
    </w:p>
    <w:p>
      <w:pPr>
        <w:pStyle w:val="Heading2"/>
        <w:numPr>
          <w:ilvl w:val="1"/>
          <w:numId w:val="1"/>
        </w:numPr>
        <w:rPr/>
      </w:pPr>
      <w:bookmarkStart w:id="457" w:name="__RefHeading___Toc7543639_1051229030"/>
      <w:bookmarkStart w:id="458" w:name="_Toc163"/>
      <w:bookmarkEnd w:id="456"/>
      <w:bookmarkEnd w:id="457"/>
      <w:r>
        <w:rPr>
          <w:rtl w:val="true"/>
        </w:rPr>
        <w:t>فهرس مصادر التحقیق</w:t>
      </w:r>
      <w:bookmarkEnd w:id="458"/>
    </w:p>
    <w:p>
      <w:pPr>
        <w:pStyle w:val="Heading3"/>
        <w:numPr>
          <w:ilvl w:val="2"/>
          <w:numId w:val="1"/>
        </w:numPr>
        <w:rPr/>
      </w:pPr>
      <w:bookmarkStart w:id="459" w:name="__RefHeading___Toc7543641_1051229030"/>
      <w:bookmarkStart w:id="460" w:name="_Toc164"/>
      <w:bookmarkEnd w:id="459"/>
      <w:r>
        <w:rPr>
          <w:rtl w:val="true"/>
        </w:rPr>
        <w:t>«</w:t>
      </w:r>
      <w:r>
        <w:rPr>
          <w:rtl w:val="true"/>
        </w:rPr>
        <w:t>حرف الألف</w:t>
      </w:r>
      <w:r>
        <w:rPr>
          <w:rtl w:val="true"/>
        </w:rPr>
        <w:t>»</w:t>
      </w:r>
      <w:bookmarkEnd w:id="4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الإبانة عن أُصول الديانة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بن إسماعيل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أحمد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بن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ودار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في بيروت والمكتب الإسلامي في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في أُصول الدين الفخر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الكليات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إلى قواطع الأدلّة في أُصول الاعتقاد للجوينيّ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أبي الحسن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للمقداد بن عبد الله السيوريّ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الكراجكيّ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الاستذكار لابن عبد البرّ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الأسرار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عبد القاهر البغداديّ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الدين لمحمّد بن عمر 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الكليّات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اعتقادات فرق المسلمين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في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لخير الدين الزركليّ ، نشر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بن الحسن الطبرسيّ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العالمي للذكرى الألفية للشيخ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الإفصاح في 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يوسف موسى وعبد الفتّاح الصعيد، الدار الإسلاميّة في بيروت ومركز النشر الإسلامى فى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في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bookmarkStart w:id="461" w:name="pg10769_112293"/>
    </w:p>
    <w:p>
      <w:pPr>
        <w:pStyle w:val="BookText"/>
        <w:rPr/>
      </w:pPr>
      <w:bookmarkEnd w:id="461"/>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عبد الكريم بن محمّد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المؤتمر العالمي لألفية الشيخ المفيد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 باشا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7543643_1051229030"/>
      <w:bookmarkStart w:id="463" w:name="_Toc165"/>
      <w:bookmarkEnd w:id="462"/>
      <w:r>
        <w:rPr>
          <w:rtl w:val="true"/>
        </w:rPr>
        <w:t>«</w:t>
      </w:r>
      <w:r>
        <w:rPr>
          <w:rtl w:val="true"/>
        </w:rPr>
        <w:t>حرف الباء</w:t>
      </w:r>
      <w:r>
        <w:rPr>
          <w:rtl w:val="true"/>
        </w:rPr>
        <w:t>»</w:t>
      </w:r>
      <w:bookmarkEnd w:id="463"/>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نجيم المصريّ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الدمشقىّ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7543645_1051229030"/>
      <w:bookmarkStart w:id="465" w:name="_Toc166"/>
      <w:bookmarkEnd w:id="464"/>
      <w:r>
        <w:rPr>
          <w:rtl w:val="true"/>
        </w:rPr>
        <w:t>«</w:t>
      </w:r>
      <w:r>
        <w:rPr>
          <w:rtl w:val="true"/>
        </w:rPr>
        <w:t>حرف التاء</w:t>
      </w:r>
      <w:r>
        <w:rPr>
          <w:rtl w:val="true"/>
        </w:rPr>
        <w:t>»</w:t>
      </w:r>
      <w:bookmarkEnd w:id="465"/>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مرتضى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خلدون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لأحمد بن عليّ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المعتزلة فكرهم وعقائدهم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فالح الربيعيّ ، الدار الثقافية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الحسين الدمشقيّ المعروف بابن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ودار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اليعقوبيّ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التبصير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المظفر الاسفرائينيّ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تثبيت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للقاسم بن إبراهيم الرّسيّ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الغدير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تثبيت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ليحيى بن الحسين بن القاسم الزيديّ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466" w:name="pg10769_112294"/>
    </w:p>
    <w:p>
      <w:pPr>
        <w:pStyle w:val="BookText"/>
        <w:rPr/>
      </w:pPr>
      <w:bookmarkEnd w:id="466"/>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الرحيم المباركفوريّ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الدين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يوسف الحلّىّ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اعتقادات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المؤتمر العالمي لألفية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التبيان لمحمّد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لفخر الدين محمّد بن عمر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لأمين الإسلام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تقي الدين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فارس تبريزيان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الكراجكيّ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للخواجة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لابن عبد البرّ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عموم 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الطيب بن محمد الباقلانيّ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في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لمحمّد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Heading3"/>
        <w:numPr>
          <w:ilvl w:val="2"/>
          <w:numId w:val="1"/>
        </w:numPr>
        <w:rPr/>
      </w:pPr>
      <w:bookmarkStart w:id="467" w:name="__RefHeading___Toc7543647_1051229030"/>
      <w:bookmarkStart w:id="468" w:name="_Toc167"/>
      <w:bookmarkEnd w:id="467"/>
      <w:r>
        <w:rPr>
          <w:rtl w:val="true"/>
        </w:rPr>
        <w:t>«</w:t>
      </w:r>
      <w:r>
        <w:rPr>
          <w:rtl w:val="true"/>
        </w:rPr>
        <w:t>حرف الثاء</w:t>
      </w:r>
      <w:r>
        <w:rPr>
          <w:rtl w:val="true"/>
        </w:rPr>
        <w:t>»</w:t>
      </w:r>
      <w:bookmarkEnd w:id="468"/>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حمزة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7543649_1051229030"/>
      <w:bookmarkStart w:id="470" w:name="_Toc168"/>
      <w:bookmarkEnd w:id="469"/>
      <w:r>
        <w:rPr>
          <w:rtl w:val="true"/>
        </w:rPr>
        <w:t>نحرف الجيم</w:t>
      </w:r>
      <w:r>
        <w:rPr>
          <w:rtl w:val="true"/>
        </w:rPr>
        <w:t>»</w:t>
      </w:r>
      <w:bookmarkEnd w:id="4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471" w:name="pg10769_112295"/>
    </w:p>
    <w:p>
      <w:pPr>
        <w:pStyle w:val="BookText"/>
        <w:rPr/>
      </w:pPr>
      <w:bookmarkEnd w:id="471"/>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عن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المسلم بن الحجّاج النيشابوريّ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الفقه للقاضي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Heading3"/>
        <w:numPr>
          <w:ilvl w:val="2"/>
          <w:numId w:val="1"/>
        </w:numPr>
        <w:rPr/>
      </w:pPr>
      <w:bookmarkStart w:id="472" w:name="__RefHeading___Toc7543651_1051229030"/>
      <w:bookmarkStart w:id="473" w:name="_Toc169"/>
      <w:bookmarkEnd w:id="472"/>
      <w:r>
        <w:rPr>
          <w:rtl w:val="true"/>
        </w:rPr>
        <w:t>«</w:t>
      </w:r>
      <w:r>
        <w:rPr>
          <w:rtl w:val="true"/>
        </w:rPr>
        <w:t>حرف الحاء</w:t>
      </w:r>
      <w:r>
        <w:rPr>
          <w:rtl w:val="true"/>
        </w:rPr>
        <w:t>»</w:t>
      </w:r>
      <w:bookmarkEnd w:id="473"/>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الحدود والحقائق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ضمن رسائله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بن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 الله الإصبهانيّ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7543653_1051229030"/>
      <w:bookmarkStart w:id="475" w:name="_Toc170"/>
      <w:bookmarkEnd w:id="474"/>
      <w:r>
        <w:rPr>
          <w:rtl w:val="true"/>
        </w:rPr>
        <w:t>«</w:t>
      </w:r>
      <w:r>
        <w:rPr>
          <w:rtl w:val="true"/>
        </w:rPr>
        <w:t>حرف الخاء</w:t>
      </w:r>
      <w:r>
        <w:rPr>
          <w:rtl w:val="true"/>
        </w:rPr>
        <w:t>»</w:t>
      </w:r>
      <w:bookmarkEnd w:id="475"/>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الراونديّ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البطريق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وزارة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7543655_1051229030"/>
      <w:bookmarkStart w:id="477" w:name="_Toc171"/>
      <w:bookmarkEnd w:id="476"/>
      <w:r>
        <w:rPr>
          <w:rtl w:val="true"/>
        </w:rPr>
        <w:t>«</w:t>
      </w:r>
      <w:r>
        <w:rPr>
          <w:rtl w:val="true"/>
        </w:rPr>
        <w:t>حرف الدال</w:t>
      </w:r>
      <w:r>
        <w:rPr>
          <w:rtl w:val="true"/>
        </w:rPr>
        <w:t>»</w:t>
      </w:r>
      <w:bookmarkEnd w:id="477"/>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في اختصار المغازي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حاتم الشاميّ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النعمان بن محمّد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7543657_1051229030"/>
      <w:bookmarkStart w:id="479" w:name="_Toc172"/>
      <w:bookmarkEnd w:id="478"/>
      <w:r>
        <w:rPr>
          <w:rtl w:val="true"/>
        </w:rPr>
        <w:t>«</w:t>
      </w:r>
      <w:r>
        <w:rPr>
          <w:rtl w:val="true"/>
        </w:rPr>
        <w:t>حرف الذال</w:t>
      </w:r>
      <w:r>
        <w:rPr>
          <w:rtl w:val="true"/>
        </w:rPr>
        <w:t>»</w:t>
      </w:r>
      <w:bookmarkEnd w:id="479"/>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الذخيرة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بزرگ الطهرانيّ،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bookmarkStart w:id="480" w:name="pg10769_112296"/>
    </w:p>
    <w:p>
      <w:pPr>
        <w:pStyle w:val="BookText"/>
        <w:rPr/>
      </w:pPr>
      <w:bookmarkEnd w:id="480"/>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أُصول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تاريخ بغداد لابن النجار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7543659_1051229030"/>
      <w:bookmarkStart w:id="482" w:name="_Toc173"/>
      <w:bookmarkEnd w:id="481"/>
      <w:r>
        <w:rPr>
          <w:rtl w:val="true"/>
        </w:rPr>
        <w:t>«</w:t>
      </w:r>
      <w:r>
        <w:rPr>
          <w:rtl w:val="true"/>
        </w:rPr>
        <w:t>حرف الراء</w:t>
      </w:r>
      <w:r>
        <w:rPr>
          <w:rtl w:val="true"/>
        </w:rPr>
        <w:t>»</w:t>
      </w:r>
      <w:bookmarkEnd w:id="482"/>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لمحمّد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الخواجة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باقر الخوانساريّ،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لشاذان بن جبرئيل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مركز الأمير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رؤية الله في ضوء الكتاب والسنّة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السبحانيّ ، 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وحياض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عبدالله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على المدرّس ،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7543661_1051229030"/>
      <w:bookmarkStart w:id="484" w:name="_Toc174"/>
      <w:bookmarkEnd w:id="483"/>
      <w:r>
        <w:rPr>
          <w:rtl w:val="true"/>
        </w:rPr>
        <w:t>«</w:t>
      </w:r>
      <w:r>
        <w:rPr>
          <w:rtl w:val="true"/>
        </w:rPr>
        <w:t>حرف السين</w:t>
      </w:r>
      <w:r>
        <w:rPr>
          <w:rtl w:val="true"/>
        </w:rPr>
        <w:t>»</w:t>
      </w:r>
      <w:bookmarkEnd w:id="484"/>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سرح العيون في شرح رسالة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نباتة المصريّ، طبع بولاق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العزيز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يزيد بن ماجة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داود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عيسى محمّد بن عيسى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لأبي بكر أحمد بن الحسين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485" w:name="pg10769_112297"/>
    </w:p>
    <w:p>
      <w:pPr>
        <w:pStyle w:val="Heading3"/>
        <w:numPr>
          <w:ilvl w:val="2"/>
          <w:numId w:val="1"/>
        </w:numPr>
        <w:rPr/>
      </w:pPr>
      <w:bookmarkStart w:id="486" w:name="__RefHeading___Toc7543663_1051229030"/>
      <w:bookmarkStart w:id="487" w:name="_Toc175"/>
      <w:bookmarkEnd w:id="485"/>
      <w:bookmarkEnd w:id="486"/>
      <w:r>
        <w:rPr>
          <w:rtl w:val="true"/>
        </w:rPr>
        <w:t>«</w:t>
      </w:r>
      <w:r>
        <w:rPr>
          <w:rtl w:val="true"/>
        </w:rPr>
        <w:t>حرف الشين</w:t>
      </w:r>
      <w:r>
        <w:rPr>
          <w:rtl w:val="true"/>
        </w:rPr>
        <w:t>»</w:t>
      </w:r>
      <w:bookmarkEnd w:id="487"/>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الشامل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المطالعات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الحيّ بن العماد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النعمان بن محمّد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وهبة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بن محمّد الحنفي القوشجيّ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جمل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المصطلحات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قسم الكلام في مجمع البحوث الإسلاميّة ، الآستانة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مائة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ميثم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السيّد جلال الدين الأُرموي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لأحمد بن محمّد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عليّ بن محمّد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الكتب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الطبيعيات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عليّ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الحسكانيّ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شوارق 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اللاهيجيّ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الشواهد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الدين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جامعة مشهد</w:t>
      </w:r>
    </w:p>
    <w:p>
      <w:pPr>
        <w:pStyle w:val="Heading3"/>
        <w:numPr>
          <w:ilvl w:val="2"/>
          <w:numId w:val="1"/>
        </w:numPr>
        <w:rPr/>
      </w:pPr>
      <w:bookmarkStart w:id="488" w:name="__RefHeading___Toc7543665_1051229030"/>
      <w:bookmarkStart w:id="489" w:name="_Toc176"/>
      <w:bookmarkEnd w:id="488"/>
      <w:r>
        <w:rPr>
          <w:rtl w:val="true"/>
        </w:rPr>
        <w:t>«</w:t>
      </w:r>
      <w:r>
        <w:rPr>
          <w:rtl w:val="true"/>
        </w:rPr>
        <w:t>حرف الصاد</w:t>
      </w:r>
      <w:r>
        <w:rPr>
          <w:rtl w:val="true"/>
        </w:rPr>
        <w:t>»</w:t>
      </w:r>
      <w:bookmarkEnd w:id="489"/>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490" w:name="pg10769_112298"/>
    </w:p>
    <w:p>
      <w:pPr>
        <w:pStyle w:val="BookText"/>
        <w:rPr/>
      </w:pPr>
      <w:bookmarkEnd w:id="490"/>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بن الحجّاج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يونس البياضيّ النّباطيّ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المرتضويّة </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7543667_1051229030"/>
      <w:bookmarkStart w:id="492" w:name="_Toc177"/>
      <w:bookmarkEnd w:id="491"/>
      <w:r>
        <w:rPr>
          <w:rtl w:val="true"/>
        </w:rPr>
        <w:t>«</w:t>
      </w:r>
      <w:r>
        <w:rPr>
          <w:rtl w:val="true"/>
        </w:rPr>
        <w:t>حرف الطاء</w:t>
      </w:r>
      <w:r>
        <w:rPr>
          <w:rtl w:val="true"/>
        </w:rPr>
        <w:t>»</w:t>
      </w:r>
      <w:bookmarkEnd w:id="492"/>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بزرگ الطهرانيّ، مؤسّسة مطبوعاتي إسماعيليان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علىّ 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7543669_1051229030"/>
      <w:bookmarkStart w:id="494" w:name="_Toc178"/>
      <w:bookmarkEnd w:id="493"/>
      <w:r>
        <w:rPr>
          <w:rtl w:val="true"/>
        </w:rPr>
        <w:t>«</w:t>
      </w:r>
      <w:r>
        <w:rPr>
          <w:rtl w:val="true"/>
        </w:rPr>
        <w:t>حرف العين</w:t>
      </w:r>
      <w:r>
        <w:rPr>
          <w:rtl w:val="true"/>
        </w:rPr>
        <w:t>»</w:t>
      </w:r>
      <w:bookmarkEnd w:id="494"/>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في خبر من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حامد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النضيد والدرّ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لأحمد بن عليّ بن عنبة الحسينيّ </w:t>
      </w:r>
      <w:r>
        <w:rPr>
          <w:rFonts w:eastAsia="IRNazanin" w:cs="IRNazanin"/>
          <w:color w:val="111111"/>
          <w:sz w:val="28"/>
          <w:szCs w:val="28"/>
          <w:rtl w:val="true"/>
          <w:lang w:bidi="fa-IR"/>
        </w:rPr>
        <w:t>(</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الشريف الرضي ومؤسّسة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سيد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495" w:name="pg10769_112299"/>
    </w:p>
    <w:p>
      <w:pPr>
        <w:pStyle w:val="Heading3"/>
        <w:numPr>
          <w:ilvl w:val="2"/>
          <w:numId w:val="1"/>
        </w:numPr>
        <w:rPr/>
      </w:pPr>
      <w:bookmarkStart w:id="496" w:name="__RefHeading___Toc7543671_1051229030"/>
      <w:bookmarkStart w:id="497" w:name="_Toc179"/>
      <w:bookmarkEnd w:id="495"/>
      <w:bookmarkEnd w:id="496"/>
      <w:r>
        <w:rPr>
          <w:rtl w:val="true"/>
        </w:rPr>
        <w:t>«</w:t>
      </w:r>
      <w:r>
        <w:rPr>
          <w:rtl w:val="true"/>
        </w:rPr>
        <w:t>حرف الغين</w:t>
      </w:r>
      <w:r>
        <w:rPr>
          <w:rtl w:val="true"/>
        </w:rPr>
        <w:t>»</w:t>
      </w:r>
      <w:bookmarkEnd w:id="497"/>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الحسين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المدينة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7543673_1051229030"/>
      <w:bookmarkStart w:id="499" w:name="_Toc180"/>
      <w:bookmarkEnd w:id="498"/>
      <w:r>
        <w:rPr>
          <w:rtl w:val="true"/>
        </w:rPr>
        <w:t>«</w:t>
      </w:r>
      <w:r>
        <w:rPr>
          <w:rtl w:val="true"/>
        </w:rPr>
        <w:t>حرف الفاء</w:t>
      </w:r>
      <w:r>
        <w:rPr>
          <w:rtl w:val="true"/>
        </w:rPr>
        <w:t>»</w:t>
      </w:r>
      <w:bookmarkEnd w:id="499"/>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القاهر الاسفرايينيّ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ودار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علیهم السّلام لابن الصبّاغ المالكيّ </w:t>
      </w:r>
      <w:r>
        <w:rPr>
          <w:rFonts w:eastAsia="IRNazanin" w:cs="IRNazanin"/>
          <w:color w:val="111111"/>
          <w:sz w:val="28"/>
          <w:szCs w:val="28"/>
          <w:rtl w:val="true"/>
          <w:lang w:bidi="fa-IR"/>
        </w:rPr>
        <w:t>(</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لشاذان بن جبرئيل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المعروف بابن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7543675_1051229030"/>
      <w:bookmarkStart w:id="501" w:name="_Toc181"/>
      <w:bookmarkEnd w:id="500"/>
      <w:r>
        <w:rPr>
          <w:rtl w:val="true"/>
        </w:rPr>
        <w:t>«</w:t>
      </w:r>
      <w:r>
        <w:rPr>
          <w:rtl w:val="true"/>
        </w:rPr>
        <w:t>حرف القاف</w:t>
      </w:r>
      <w:r>
        <w:rPr>
          <w:rtl w:val="true"/>
        </w:rPr>
        <w:t>»</w:t>
      </w:r>
      <w:bookmarkEnd w:id="501"/>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للخواجة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مطالعات إسلامي في طهران بذيل تلخيص 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المرام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ميثم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قوانين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القمّىّ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فسیت انتشارات علمية اسلامی </w:t>
      </w:r>
      <w:r>
        <w:rPr>
          <w:rFonts w:eastAsia="IRNazanin" w:cs="IRNazanin"/>
          <w:color w:val="111111"/>
          <w:sz w:val="28"/>
          <w:szCs w:val="28"/>
          <w:rtl w:val="true"/>
          <w:lang w:bidi="fa-IR"/>
        </w:rPr>
        <w:t xml:space="preserve">. </w:t>
      </w:r>
      <w:bookmarkStart w:id="502" w:name="pg10769_112300"/>
    </w:p>
    <w:p>
      <w:pPr>
        <w:pStyle w:val="Heading3"/>
        <w:numPr>
          <w:ilvl w:val="2"/>
          <w:numId w:val="1"/>
        </w:numPr>
        <w:rPr/>
      </w:pPr>
      <w:bookmarkStart w:id="503" w:name="__RefHeading___Toc7543677_1051229030"/>
      <w:bookmarkStart w:id="504" w:name="_Toc182"/>
      <w:bookmarkEnd w:id="502"/>
      <w:bookmarkEnd w:id="503"/>
      <w:r>
        <w:rPr>
          <w:rtl w:val="true"/>
        </w:rPr>
        <w:t>«</w:t>
      </w:r>
      <w:r>
        <w:rPr>
          <w:rtl w:val="true"/>
        </w:rPr>
        <w:t>حرف الكاف</w:t>
      </w:r>
      <w:r>
        <w:rPr>
          <w:rtl w:val="true"/>
        </w:rPr>
        <w:t>»</w:t>
      </w:r>
      <w:bookmarkEnd w:id="504"/>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يعقوب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الصلاح الحلبي </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الفوائد للحسن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الإربليّ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وزارة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استفدنا من طبعاته الثلاثة بتحقيق الزنجانيّ والأمليّ والسبحانيّ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للخزّاز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بيدار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يوسف الكنجىّ </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إحياء تراث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الكراجكيّ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للمتّقى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7543679_1051229030"/>
      <w:bookmarkStart w:id="506" w:name="_Toc183"/>
      <w:bookmarkEnd w:id="505"/>
      <w:r>
        <w:rPr>
          <w:rtl w:val="true"/>
        </w:rPr>
        <w:t>«</w:t>
      </w:r>
      <w:r>
        <w:rPr>
          <w:rtl w:val="true"/>
        </w:rPr>
        <w:t>حرف اللام</w:t>
      </w:r>
      <w:r>
        <w:rPr>
          <w:rtl w:val="true"/>
        </w:rPr>
        <w:t>»</w:t>
      </w:r>
      <w:bookmarkEnd w:id="506"/>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اللوامع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المقداد السيوريّ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7543681_1051229030"/>
      <w:bookmarkStart w:id="508" w:name="_Toc184"/>
      <w:bookmarkEnd w:id="507"/>
      <w:r>
        <w:rPr>
          <w:rtl w:val="true"/>
        </w:rPr>
        <w:t>«</w:t>
      </w:r>
      <w:r>
        <w:rPr>
          <w:rtl w:val="true"/>
        </w:rPr>
        <w:t>حرف الميم</w:t>
      </w:r>
      <w:r>
        <w:rPr>
          <w:rtl w:val="true"/>
        </w:rPr>
        <w:t>»</w:t>
      </w:r>
      <w:bookmarkEnd w:id="5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المباحث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المبدأ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المطالعات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ودار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مصنّفات شيخ 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الدين السهرورديّ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مطالعات وتحقیقات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محصل أفكار المتقدّمين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في علم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المحيط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المصرية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من كلمات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الغرويّ، 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للحاكم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حسين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المسلك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لأحمد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شيبة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بن همّام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محمّد بن عمر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اللساني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لنجم الدين جعفر بن الحسن الحلّيّ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ملكا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جامعة إصفهان</w:t>
      </w:r>
      <w:r>
        <w:rPr>
          <w:rFonts w:eastAsia="Amiri" w:cs="Amiri" w:ascii="Amiri" w:hAnsi="Amiri"/>
          <w:color w:val="111111"/>
          <w:sz w:val="28"/>
          <w:szCs w:val="28"/>
          <w:rtl w:val="true"/>
          <w:lang w:bidi="ar-SA"/>
        </w:rPr>
        <w:t xml:space="preserve">. </w:t>
      </w:r>
      <w:bookmarkStart w:id="509" w:name="pg10769_112302"/>
    </w:p>
    <w:p>
      <w:pPr>
        <w:pStyle w:val="BookText"/>
        <w:rPr/>
      </w:pPr>
      <w:bookmarkEnd w:id="509"/>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أحاديث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الكورانيّ، مؤسّسة 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الحرمين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لياقوت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أحمد بن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السنن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المؤسّسة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دفتر نشر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إسماعيل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النهضة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الملخّص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مجلس 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الكريم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الأنجلو 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السرويّ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مطيعة ياران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تاسوعاء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المنخول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الفارابي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المنية والأمل في شرح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بن مرتضى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في حيدرآباد في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عضد الدين عبد الرحمن الإيجيّ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الفرق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جواد مشكور ،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وبيروت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المنعم الحنفيّ ، دار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7543683_1051229030"/>
      <w:bookmarkStart w:id="511" w:name="_Toc185"/>
      <w:bookmarkEnd w:id="510"/>
      <w:r>
        <w:rPr>
          <w:rtl w:val="true"/>
        </w:rPr>
        <w:t>«</w:t>
      </w:r>
      <w:r>
        <w:rPr>
          <w:rtl w:val="true"/>
        </w:rPr>
        <w:t>حرف النون</w:t>
      </w:r>
      <w:r>
        <w:rPr>
          <w:rtl w:val="true"/>
        </w:rPr>
        <w:t>»</w:t>
      </w:r>
      <w:bookmarkEnd w:id="51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رابطة الثقافة والعلاقات الإسلاميّة إيران</w:t>
      </w:r>
      <w:r>
        <w:rPr>
          <w:rFonts w:eastAsia="Amiri" w:cs="Amiri" w:ascii="Amiri" w:hAnsi="Amiri"/>
          <w:color w:val="111111"/>
          <w:sz w:val="28"/>
          <w:szCs w:val="28"/>
          <w:rtl w:val="true"/>
          <w:lang w:bidi="ar-SA"/>
        </w:rPr>
        <w:t xml:space="preserve">. </w:t>
      </w:r>
      <w:bookmarkStart w:id="512" w:name="pg10769_112303"/>
    </w:p>
    <w:p>
      <w:pPr>
        <w:pStyle w:val="BookText"/>
        <w:rPr/>
      </w:pPr>
      <w:bookmarkEnd w:id="512"/>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 في 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يوسف الحلّيّ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يوسف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امام 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7543685_1051229030"/>
      <w:bookmarkStart w:id="514" w:name="_Toc186"/>
      <w:bookmarkEnd w:id="513"/>
      <w:r>
        <w:rPr>
          <w:rtl w:val="true"/>
        </w:rPr>
        <w:t>«</w:t>
      </w:r>
      <w:r>
        <w:rPr>
          <w:rtl w:val="true"/>
        </w:rPr>
        <w:t>حرف الواو</w:t>
      </w:r>
      <w:r>
        <w:rPr>
          <w:rtl w:val="true"/>
        </w:rPr>
        <w:t>»</w:t>
      </w:r>
      <w:bookmarkEnd w:id="514"/>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لخليل بن أيبك الصفدي </w:t>
      </w:r>
      <w:r>
        <w:rPr>
          <w:rFonts w:eastAsia="IRNazanin" w:cs="IRNazanin"/>
          <w:color w:val="111111"/>
          <w:sz w:val="28"/>
          <w:szCs w:val="28"/>
          <w:rtl w:val="true"/>
          <w:lang w:bidi="fa-IR"/>
        </w:rPr>
        <w:t>(</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فرانز شتانیز بفيسبادن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حمزة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أبي بكر بن خلكان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7543687_1051229030"/>
      <w:bookmarkStart w:id="516" w:name="_Toc187"/>
      <w:bookmarkEnd w:id="515"/>
      <w:r>
        <w:rPr>
          <w:rtl w:val="true"/>
        </w:rPr>
        <w:t>«</w:t>
      </w:r>
      <w:r>
        <w:rPr>
          <w:rtl w:val="true"/>
        </w:rPr>
        <w:t>حرف الهاء</w:t>
      </w:r>
      <w:r>
        <w:rPr>
          <w:rtl w:val="true"/>
        </w:rPr>
        <w:t>»</w:t>
      </w:r>
      <w:bookmarkEnd w:id="51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الهجوم على بيت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الزهراء مهدي </w:t>
      </w:r>
      <w:r>
        <w:rPr>
          <w:rFonts w:eastAsia="IRNazanin" w:cs="IRNazanin"/>
          <w:color w:val="111111"/>
          <w:sz w:val="28"/>
          <w:szCs w:val="28"/>
          <w:rtl w:val="true"/>
          <w:lang w:bidi="fa-IR"/>
        </w:rPr>
        <w:t xml:space="preserve">. </w:t>
      </w:r>
      <w:bookmarkStart w:id="517" w:name="pg10769_112304"/>
    </w:p>
    <w:p>
      <w:pPr>
        <w:pStyle w:val="Heading2"/>
        <w:numPr>
          <w:ilvl w:val="1"/>
          <w:numId w:val="1"/>
        </w:numPr>
        <w:rPr/>
      </w:pPr>
      <w:bookmarkStart w:id="518" w:name="__RefHeading___Toc7543689_1051229030"/>
      <w:bookmarkStart w:id="519" w:name="_Toc188"/>
      <w:bookmarkEnd w:id="517"/>
      <w:bookmarkEnd w:id="518"/>
      <w:r>
        <w:rPr>
          <w:rtl w:val="true"/>
        </w:rPr>
        <w:t>فهرس الموضوعات</w:t>
      </w:r>
      <w:bookmarkEnd w:id="519"/>
    </w:p>
    <w:p>
      <w:pPr>
        <w:pStyle w:val="BookText"/>
        <w:rPr/>
      </w:pPr>
      <w:r>
        <w:rPr>
          <w:rFonts w:ascii="Amiri" w:hAnsi="Amiri" w:eastAsia="Amiri" w:cs="Amiri"/>
          <w:color w:val="111111"/>
          <w:sz w:val="28"/>
          <w:sz w:val="28"/>
          <w:szCs w:val="28"/>
          <w:rtl w:val="true"/>
          <w:lang w:bidi="ar-SA"/>
        </w:rPr>
        <w:t xml:space="preserve">مقدمة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سطور في حياة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وكلمات العلماء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والده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إخوانه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اتّصال العائلة بالحارث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مشایخه والرواة عنه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مشجّر العائلة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كفر عيما واللويزة وجبع ونسبته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في عمل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المُهدية إلى مذهب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معارج الأفهام إلى 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موضوع الكتاب وترتيبه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عملنا في تحقيق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نماذج من نسخ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المعراج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الموجود والمعدوم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بداهة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اشتراك الوجود معنويّاً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زيادة الوجود على 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الذهني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والإمكان والامتناع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خواص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خواصّ الممكن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العلم عقيب النظر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النظر 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قطعي وظنّي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القديم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علّة للقديم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القديم لا يعدم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الوحدة والكثرة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العلّة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العلّة التامّة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العلّة مركبة وبسيطة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يكون للمعلول الواحد علّة مركبة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أصل في عدم تعاكس العلل و عدم تراميها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الجوهر والعرض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الجواهر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خواص الأعراض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الواجب ممكن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إثبات الصانع وصفاته الثبوتيّة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قدمه تعالى وأزليّته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قدرته تعالى الذاتيّة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قدرته تعالى على كلّ مقدور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عالم بكلّ 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عالم بذاته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إرادته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سميع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متكلّم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حدوث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صفاته تعالى عند 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الصفات الجلاليّة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حقيقته تعالى غير معلومة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حقيقته تعالى ليست مماثلة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أصل فى أنّه تعالى لا ضد له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أنّه تعالى غير محتاج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غير متحد بغيره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غير حالّ في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لا يقوم به شيء من الحوادث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سلب الأعراض عنه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لا مكان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ليس بجسم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ليس حالّ فى المتحيّز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ليس بمرئي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المعراج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والقبح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القضاء والقدر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والضلال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لا يفعل القبيح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إرادة القبيح قبيحة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انقطاع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اللطف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اللطف للمسلم والكافر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الانتصاف للمظلوم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دوام 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الأصلح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المعراج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النبوّة وفوائدها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نبوّة نبيّنا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البعثة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صلّی الله علیه و آله أفضل 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تعبّده صلّی الله علیه و آله بالشرائع السابقة وعدمه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قبول كلامه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علیهم السّلام أفضل من الملائكة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المعراج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الإمامة ووجوبها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تعيين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أصل في أنّ الإمامة 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شرطية العصمة للإمام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أكمل أهل زمانه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إثبات إمامة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إمامة أولاد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إمامة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إمامة غيرهم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المعراج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إعدام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إعادة المعدوم وامتناعه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إدراك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المعاد الجسماني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الجنّة والنار مخلوقتان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عذاب القبر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الحساب والصراط والميزان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فى الوعد والوعيد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الثواب والعقاب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دوام الثواب والعقاب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الثواب والعقاب 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الإيمان والكفر والنفاق والفسق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فهرس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فهرس الطوائف والقبائل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فهرس الأماكن والبلدان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حتد بالمكان يحتد أقام به وثبت والمحتد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أمل الأمل للميرزا عبد الله الأفنديّ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262/285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في 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قرب بعلبك بها قبر طويل يزعم أهل تلك النواحي أنّه قبر نوح علیه السّلام، وقال السيّد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بلدان الشيعة التي أخرجت عدداً وافراً من العلماء، وكانت إليها الرحلة لطلب العلم، وهي بلد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جميع ذلك العلّامة الأمينيّ في 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حول هذه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قد وصل إلينا مجموعة بخط ّالشيخ الجليل شمس الدين محمّد بن عليّ بن الحسن الجباعيّ جدّ شيخنا البهائيّ رحمه الله من كان يلوح منها آثار فضله وسداده وقد كتب في بعض المواضع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محمّد بن عليّ الجبعيّ في سنة سبع وخمسين وثمانمائة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203:107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حسين الموسوىّ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النسخة سابقاً فى مكتبة السيّد حسن الصدر بالكاظميّة على مشرفهما الصلاة والسلام، كما صرّح في مواضع من كتبه، ولكن رأيتها بعد قضيّة الاحتلال عند بيّاع النسخ وأنهّ عرضها بملايين وانتقلت بعدها إلى مكتبة السيّد المرعشيّ رحمه الله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28:1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414:3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ولكن لم نعثر على ترجمة المصنّف الشيخ أحمد في رياض العلماء، لعلّ قصده رحمه الله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وشمس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السيّد الصدر في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الشيخ إبراهيم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الآن فيطلقون الكفر على كل قرية صغيرة بجنب قرية كبيرة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 الفلانية وكفرها وقد تكون القرية الواحدة لها كفور عدّة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من غصن الأندلس الرطيب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بمصر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جميع ذلك السيّد الأمين في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للبغدادي </w:t>
      </w:r>
      <w:r>
        <w:rPr>
          <w:rFonts w:eastAsia="IRNazanin" w:cs="IRNazanin"/>
          <w:b w:val="false"/>
          <w:bCs w:val="false"/>
          <w:i w:val="false"/>
          <w:iCs w:val="false"/>
          <w:color w:val="333333"/>
          <w:sz w:val="20"/>
          <w:szCs w:val="20"/>
        </w:rPr>
        <w:t>609:1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يعقوب بن إسحاق بن أبي قرّة، أبو الفرج، القنائيّ، الكاتب، كان ثقة، وسمع كثيراً، وكتب كثيراً، وكان يورّق لأصحابنا، ومعنا في المجالس ، له كتب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عمل يوم الجمعة، كتاب عمل الشهور كتاب معجم رجال المفضّل، كتاب التهجّد، أخبرني وأجازني جميع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1066/398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والحاشية في 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17:60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العقرقوفيّ، أبو يعقوب، ابن أخت أبي بصير، روى عن أبي عبد الله وأبي الحسن عليه السّلام، ثقة عين، له كتاب، وقال الشيخ في فهرسته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الكتاب إلى هنا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والوجوب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اشتراكاً معنويّاً ؛ لأنّ مورد القسمة واحد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الاثنين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التعيين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والاحتياج</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وفتح الميم مخفّفة، فرقة تعبد الأصنام وتقول بالتناسخ، وتنكر حصول العلم بالأخبار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سومنات بلدة من الهند على غير 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السمنية بوداسف، وعلى هذا المذهب كان أكثر أهل ماوراء النهر قبل الإسلام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الدريعة للسيّد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معارج الفهم في شرح النظم للعلّامة الحلّى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أثر المختار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توقّف على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وحكاه عنهم العلّامة في كشف المراد 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الزنجاني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الفلاسفة العلّامة في كشف المراد 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الوحدة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ونقد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وشوارق الإلهام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والمباحث المشرقيّة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الكلام في قاعدة الواحد إبراماً ونقضاً السيّد الطباطبائيّ في 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لزم استغناؤه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لكوان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يتحرّك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يقابلها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يقابلها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وصفاته الثبوتيّة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تلخيص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الفخر الرازيّ في كتاب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طريقة الخليل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أُحِبُّ الأفلين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الفلاسفة العلّامة في كشف المراد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عباد بن سليمان الضميريّ من أكابر متكلّمي المعتزلة وكان من أصحاب هشام الفوطيّ، وله كتاب يسمّى الأبواب، وقد نقضه أبو هاشم، وله مناظرات مع ابن كلاب، وقد ذكره ابن المرتضى في الطبقة السابعة من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والأمل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وانظر 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حزم في الفصل في الملل والأهواء والنحل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معارج الفهم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وأنوار الملكوت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هو أبو إسحاق إبراهيم بن سيّار بن هائي البصريّ، ابن أُخت أبي هذيل العلّاف، شيخ المعتزلة، وهو أُستاذ الجاحظ ، كان في أيّام هارون الرشيد وإيَّاه عنى أبو نؤاس بقوله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والعلّامة في أنوار الملكوت في شرح الياقوت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وشرح التجريد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السبحانيّ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عبد الله بن أحمد الكعبيّ البلخيّ تلميذ أبي الحسين الخيّاط، وأحد المعتزلة البغداديّين ، كان أصله من بلخ وعاش ببغداد ثمّ عاد إلى بلخ وله آراء منفردة وأتباعه معروفة بالكعبيّة، توفّي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والأمل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طبقات المعتزلة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محمّد بن عبد الوّهاب بن سلام بن خالد مولى عثمان بن عفّان المعروف بأبي علىّ الجبائيّ، نسبة إلى قرية بالبصرة، شيخ المعتزلة في زمانه، وابنه عبد السلام بن محمّد بن عبد الوهّاب، المكنّى بأبي هاشم الجبائيّ ، وكلاهما على مذهب المعتزلة، مات أبو عليّ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ومات ابنه أبو هاشم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الفخر الرازيّ عنهما في تفسيره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والمحقّق في 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في أنوار الملكوت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التجريد 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السبحانيّ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وخلاف عباد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العالم العنصريّ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إشكال وأجاب عليه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الكرامية فرقة من أهل السنّة والجماعة من أصحاب أبي عبد الله محمد بن كرام، المتوفّى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كان من أهل سجستان، وأبوه كان حارساً لأشجار الكروم، وكان مذهبهم التجسيم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جسماً وأعضاءٌ وهو يجلس ويتحرّك، وزعم أنّ الله تعالى جوهر وأنّه تعالى محلّ للحوادث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عقائدهم في موسوعة الفرق الإسلاميّة لمحمّد جواد مشكور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 من الشبهة الأُولى</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 من الشبهة الأُولى</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 من الشبهة الأُولى</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السمع والبصر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ظاهرهما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فجبان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الفخر الرّازي في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الأصحاب وردّه، الكامل في الاستقصاء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وحكاه عن الأشاعرة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 والخَلْد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الفأرة العمياء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ضرب من الجرذان أو دابة عمياء تحت الأرض تحب رائحة البصل والكراث فإن وضع البصل والكراث على جحره خرج له فاصطيد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 اللهُ مُوسى تَكلِيماً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أفكار المتقدمين والمتأخّرين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في أُصول الدين للرازيّ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فى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المسلمين والفلاسفة، وانظر المحصّل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 سكونه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في أُصول الدين 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المحصّل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موافق لحروف الأبجديّة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والعدم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موافق للمصدر</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غير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 وفيه تقديم وتأخير</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بمقتضى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فكذا ذاته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السيدّ المرتضى في الملخّص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والطوسيّ في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والطبرسيّ في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موافق لسياق الكتاب حيث صرّح المصنّف في المعراج الأوّل في التوحيد وفيه مقدّمة ومقصدان أمّا المقدّمة ففيها أُصول ثمّ قال بعد أن انتهى من ذكر المقدّمات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المقصدان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 إثبات الصانع وصفاته الثبوتيّة، وهذا هو المقصد الثاني في الصفات الجلالیّة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بذلك الآيات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فِرْعَوْنُ وَمَا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السَّمَاوَاتِ وَالْأَرْضِ وَمَا بَيْنَهُمَا إِن كُنتُم مُوقِنِينَ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لِمَنْ حَوْلَهُ أَلَا تَسْتَمِعُونَ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رَبُّكُمْ وَرَبُّ آبَائِكُمُ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رَسُولَكُمُ الَّذِي أُرْسِلَ إِلَيْكُمْ لَمَجْنُونٌ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وجد ثالثاً، فإن عدم أحدهما فلا اتّحاد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أقانيم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الأقانيم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السيّد المرتضى في الملخّص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والإيجي في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والطوسي في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التبعية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اللوامع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 من المتصوّفة، وانظر اعتقادات فرق المسلمين والمشركين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الفلاسفة الفخر الرازيّ في كتاب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والخواجة نصير الدين في تلخيص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المصطلحات الكلاميّة؛ </w:t>
      </w:r>
      <w:r>
        <w:rPr>
          <w:rFonts w:eastAsia="IRNazanin" w:cs="IRNazanin"/>
          <w:b w:val="false"/>
          <w:bCs w:val="false"/>
          <w:i w:val="false"/>
          <w:iCs w:val="false"/>
          <w:color w:val="333333"/>
          <w:sz w:val="20"/>
          <w:szCs w:val="20"/>
        </w:rPr>
        <w:t>301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نوبخت أُُسرة معروفة اشتهرت بالكلام، منهم أبو سهل إسماعيل بن عليّ وأبو إسحاق إسماعيل بن إسحاق وأبو إسحاق إبراهيم بن إسحاق وأبو محمّد حسن بن حسين النوبختي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ريحانة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كشف المراد 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فناسبت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موافق للقواعد</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الرؤية واستدلالهم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مرئيتان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أمر عدمي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واحدة 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واحد 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هو الصحيح،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في العلم الإلهي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كشف المراد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رؤية الله في ضوء الكتاب والسنّة للشيخ جعفر سبحانيّ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حركة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عندنا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في أُصول الدين للفخر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 العلّامة في مناهج اليقين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الفلاسفة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لشكر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المغني في أبواب التوحيد والعدل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التعديل والتجوير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جماعة أنكروا ضرورة بعثة الأنبياء مكتفين بالعقل، قال أبو الصلاح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البراهمة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العاقل غنىّ بعقله عن البعثة</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هذه الوجوه في 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هو الصحيح</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المعارض</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جهم بن صفوان أبو محرز العبديّ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راسب رئيس الفرقة الجهميّة، وهو أوّل من قال بالجبر، كان يقضي في عسكر الحارث بن سويج الخارج على أُمراء خراسان، قبض عليه نصر بن سيار وأمر بقتله فقتل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حوادث سنة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هـ،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بشر بن المعتمر الهلاليّ، رئيس معتزلة بغداد وكان من شعرائهم، توفّي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إليه الفرقة البشريّة، وكان يعيش في عصر هارون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المعتزلة وعقائدهم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الفخر الرازيّ في كتاب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سرح العيون في شرح رسالة ابن زيدون لابن نباتة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الأشعري</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الفخر الرازيّ في كتاب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والإيجيّ في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والعلّامة في 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الضرورة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الحسين، ونسب النظر إلى آخرين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إلى أكثر من صفحة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 لاستقامة المعنى</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أضفناه من عندنا لإتمام المعنى</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بقبحهما والنهيه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امتنعا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بأنّ الله تعالى يفعل القبيح كما حكاه عنه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مستلذّ</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لعظيم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مغرياً له بفعل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المتمكن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أنّهما أبو عليّ الجبائيّ، المتوفّى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وابنه أبو هاشم المتوفّى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القاضي عبد الجبّار في المغني في أبواب العدل والتوحيد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والعلّامة في 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فالجميع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للزم الإلجاء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والعقاب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المصلحة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عوقب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بالبهيمة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جمهور العقلاء إلى أنّ الطلب سائغ ، وخالف فيه بعض الصوفيّة لاختلاط الحرام بالحلال بحيث لا يتميّز، وما هذا سبيله يجب الصدقة به فيجب على الغنيّ دفع ما في يده إلى الفقير بحيث يصير فقيراً ليحلّ له أخذ الأموال الممتزجة بالحرام، ولأن ّفي ذلك مساعدة للظالمين بأخذ العشور والخراجات، ومساعدة الظالم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الهذيل العبدي المعروف بالعلّاف المتكلّم، كان شيخ البصريّين في الاعتزال، وكان كثير الاستعمال للأدلّة، توفّي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بسرّ من رأى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المعتزلة فكرهم وعقائدهم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معتزلة بغداد جماعة منهم جعفر بن حرب الهمدانيّ المتوفّى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ومنهم أبو القاسم البلخيّ المتوفّى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ومنهم على بن محمّد بن إبراهيم الخالديّ المتوفّى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البغداديّين العلّامة في 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للزوم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معتزلة البصرة جماعة منهم واصل بن عطاء وعمرو بن عبيد والجبائيّان أبو علىّ وأبو هاشم</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البصريّين العلّامة في 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أنّه قد التزم بذلك السيّد المرتضى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بعد نقل الأقوال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المحقّقون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لو لم يقتل لكان يجوز أن يبقى، ويجوز أن يموت، ولا دليل على أحد الأمرين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الشاة التي لا قرن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وغريب الحديث لابن 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لابن 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كشف المراد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الأُصول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الأثير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الجبّار الهدر، والعجماء الدابة، ومنه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السائمة جبّار أي الدابة المرسلة في رعيها وانظر 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للطوسيّ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للطوسي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العقوفتين أضفناه لرفع الإبهام،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ليوم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كشف المراد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الأملىّ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قصدنا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بالاستحقاق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لاختيار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السيّد المرتضى في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أبو القاسم نقيب النقباء، حاز من العلوم ما لم يدانيه فيه أحد في زمانه، وسمع من الحديث فأكثر، وكان متكلّماً شاعراً أديباً ، توفّي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مقدمة كتاب الناصريّات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يحسّ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وحكاه الفاضل المقداد في اللوامع الإلهيّة في المباحث الكلامية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وحكاه الفاضل المقداد في اللوامع الإلهيّة في المباحث الكلامية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موافق لما في كشف المراد، وهو أبو الحسين البصريّ محمّد بن عليّ بن الطيب، شيخ المعتزلة ، مات ببغداد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الفاضل المقداد في اللوامع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بالوحي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الملل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لا يجوّزون على الله بعثة الرسل، وهم من كفرة الهند يقدّسون العقل منسوبون إلى رجل يدعى براهم وحكى كلامهم الطوسيّ في كتاب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ميثم البحرانيّ في 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المؤدي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الشهوة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الفضيليّة من الخوارج القائلين بجواز خروج الذنب من النبيّ كما في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وحكى الفاضل المقداد في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الحشويّة أنّهم قالوا بجواز إقدام الأنبياء علیهم السّلام على الكبيرة والصغيرة ولو عمداً، سواء قبل النبوّة أو بعدها</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الغلظ</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عهر عاهراً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مسيلمة بن ثمامة بن كبير بن حبيب كان من المعمّرين ولد ونشأ باليمامة نعته رسول الله صلّی الله علیه و آله بالكذّاب، قتل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خلافة أبي بكر على يد خالد بن الوليد، والمشهور أنّ الذي هذه قتله هو وحشي، وهو قاتل حمزة عمّ النبيّ صلّی الله علیه و آله حيث نقل عن وحشي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 بحريتي خير الناس وشرّ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القارئ للعينيّ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الخواجة نصير الدين في تلخيص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الإرهاص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إحداث معجزات تدلّ على بعثة نبيّ قبل بعثته، وكأنّه تأسيس لقاعدة نبوّته، وفي إرشاد الطالبّن للفاضل المقداد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الإرهاص هو الإتيان بخارق العادة إنذاراً بقرب بعثة النبيّ ، تمهيداً لقاعدته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بن برخيا هو وزير سليمان وابن اخته ، وكان يعرف اسم الله الأعظم الذي إذا دعا به أجاب، وهو الذي حمل عرش بلقيس من سبأ إلى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معاجز وكرامات رسول الله والأئمّة صلوات الله عليهم أجمعين السيّد هاشم البحرانيّ في كتاب أسماء مدينة المعاجز</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المعجزة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الفاضل المقداد في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أكثر المعتزلة،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كانت العرب تستعظم فصاحته كقول الوليد بن المغيرة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من كلام الإنس ولا من كلام الجنّ ، وإنّ له الحلاوة وإنّ عليه لطلاوة ، وإنّ أعلاه لمثمر ، وإنّ أسفله المغدق، وإنّه يعلو ولا يعلى عليه وحى ذلك في إرشاد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الفخر الرازي والجبائيين والعلّامة في المناهج</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المقداد في اللوامع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والنظام، وفي إرشاد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المرتضى</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فى 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إرشاد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الجويني من الأشاعرة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الأُسلوب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 والأُسلوب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بذلك كمال الدين ابن ميثم في قواعد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الحلبيّ في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والعلّامة في معارج الفهم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وأنوار الملكوت في شرح الياقوت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أخلاق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للطوسي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تفسیر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المحصول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كثر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32044/435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أشرف الناس حسباً ولا فخر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الاعتقادات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الرسائل العشر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تعدّوا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للسيّد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القضاء والحكم بالرأي، رسائل المحققّ الكركيّ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الفصول المهمّة فى أُصول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القضاء والأحكام،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مجبولون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الحربيّ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يسنده إلى أحد ، والجوهريّ في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وقال العلّامة في 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وفي 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عليه الصلاة والسلام</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الجرجانيّ في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والمقداد السيوريّ في 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المعتزلة والقاضي أبي بكر والأوائل، والتفتازانيّ في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المعتزلة والقاضي وعبد الله الحليميّ من الأشاعرة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أكثر الأُمّة، وحكاه العلّامة المجلسيّ في البحار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 الدوانيّ</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مجبوبون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مبادئ الأُصول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بمصلحة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الحلبيّ في تقريب المعارف في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المسلك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ميثم في قواعد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شرح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من عندنا، فإنّ الراونديّ على إطلاقه ينصرف إلى الإمام سعيد بن هبة الله الراونديّ الشيعي ، المتوفّى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ذهب إلى عدم وجوب الإمامة جماعة من المعتزلة كالأصم عبد الرحمن بن كيسان، حكى ذلك العلّامة في معارج القهم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رسالة الإمامة للخواجة نصیر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الإمامة للخواجة نصير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بوجوبها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أنسب</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النافع يوم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للسيّد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برجوع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سقوطه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لخلق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نعمان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الروضة في فضائل أمير المؤمنين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المسلك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38/475</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الاستبصار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الخوارزمىّ فى مقتله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الطرائف في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لابن عبد البرّ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ذيل تاريخ بغداد لابن النّجار </w:t>
      </w:r>
      <w:r>
        <w:rPr>
          <w:rFonts w:eastAsia="IRNazanin" w:cs="IRNazanin"/>
          <w:b w:val="false"/>
          <w:bCs w:val="false"/>
          <w:i w:val="false"/>
          <w:iCs w:val="false"/>
          <w:color w:val="333333"/>
          <w:sz w:val="20"/>
          <w:szCs w:val="20"/>
        </w:rPr>
        <w:t>520/10:3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الحاكم النيسابوريّ في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كنز العمّال </w:t>
      </w:r>
      <w:r>
        <w:rPr>
          <w:rFonts w:eastAsia="IRNazanin" w:cs="IRNazanin"/>
          <w:b w:val="false"/>
          <w:bCs w:val="false"/>
          <w:i w:val="false"/>
          <w:iCs w:val="false"/>
          <w:color w:val="333333"/>
          <w:sz w:val="20"/>
          <w:szCs w:val="20"/>
        </w:rPr>
        <w:t>607:11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36517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للمقيد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لابن جرير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التعجّب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على أمير المؤمنين علیه السّلام وما بعدها وراجع كفاية الأثر للخزّاز القمّيّ فإنّه مختص بهذا الموضوع</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33851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الاستخلاف</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جابر بن سمرة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الخرائج والجرائح للقطب الراونديّ</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كتاب بصائر الدرجات للصفّار ونوادر المعجزات للطبريّ، وعيون المعجزات للحسين بن عبد الوهّاب، ومأة منقبة لابن شاذان العمدة لابن بطريق والخرائج والجرائح للقطب الدين الراونديّ، وبشارة المصطفى لشيعة المرتضى للطبريّ ، والثاقب فى المناقب لابن حمزة، ومناقب آل أبي طالب لابن شهر آشوب، وكشف الغمّة للإربليّ، وكنز المطالب للسيّد ولي الله الحسينيّ ، ومدينة المعاجز وحلية الأبرار للسيّد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 من الكتب والرسائل المطبوعة والمخطوطة</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المختار من كلمات الإمام المهدي علیه السّلام للشيخ محمّد الغرويّ ومعجم أحاديث الإمام المهدي علیه السّلام للشيخ الكورانيّ فإنّهما مخصوصان لهذه الأُمور</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تفصيل قضيّة الغار تفسير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تَنْصُرُوهُ فَقَدْ نَصَرَهُ اللَّهُ إِذْ أَخْرَجَهُ الَّذِينَ كَفَرُوا ثَانِيَ اثْنَيْنِ إِذْ هُمَا فِي الْغَارِ إِذْ يَقُولُ لِصَاحِبِهِ لَا تَحْزَنْ إِنَّ اللَّهَ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دخول الشعب تجدها في عيون الأثر لابن سيد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روي في غيبة الإمام المنتظر الثاني عشر علیه السّلام ، وكتاب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علّة غيبة الإمام علیه السّلام</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247/292</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كتاب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عبد البرّ في التمهيد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والإيجي في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وَاجْعَلْهُ رَبِّ 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لحاجة الاستدلال إليه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الأُخرى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التبيان للطوسيُ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359:8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هذه الحادثة بتفصيل فى كتاب الهجوم على بيت فاطمة علیهاالسّلام</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وحكاه العلّامة في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العلّامة في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وفي 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العلّامة في 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وللمولى المير محمّد بن الحسن الشيروانيّ المتوفّى سنة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رسالة في التخلّف عن جيش أُسامة موجودة عن جيش أسامة موجودة في مكتبة المشكاة كما في فهرسها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كثير من المخالفين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أقيلوني أقيلوني فلست بخيركم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أقيلونى ولّيتكم ولست بخيركم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كانت إمامته حقّاً فاستقالته معصية وإن كانت باطلة لزم الطعن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الكوفيّ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العلّامة الحلّىّ بعد نقل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إمامته صحيحة لم يستحقّ فاعلها القتل، فيلزم تطرّق الطعن إلى عمر ، وإن كانت باطلة لزم الطعن عليهما معاً</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للفضل بن شاذان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المستر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التفتازانيّ في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السبحانيّ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تثبيت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للهادي يحيى بن الحسين،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tl w:val="true"/>
        </w:rPr>
        <w:t xml:space="preserve">، الفصول في الأُصول للجصّاص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37499/583:13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الأحكام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وحكاه العلّامة في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السبحانيّ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المهر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45796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معاني الآثار لابن سلمة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كثير منهم أنّ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 كانتا على عهد رسول الله صلّی الله علیه و آله وأنا أنهى عنهما وأُعاقب عليهما</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العقد النضيد والدرّ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المحتضر لحسن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وحكى القصّة في خلاصة عيقات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خرج من عند العلماء قديماً وجديداً كتباً كثيرة في هذا المجال تتضمّن الأحاديث والأخبار قطعت لنا بالبرائة ممّن غصب الإمامة، وهذه الكتب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لابن شهر آشوب، رشح الولاء في شرح الدعاء لأبي السعادات الأصبهانيّ، المجلّد الثامن من الطبع الحجري من كتاب بحار الأنوار المعروف بـ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مطاعن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نفحات اللاهوت للمحقّق الكركيّ، الحجّة في شرح دعاء صنمي قريش لعيسى بن علىّ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الفضائل لارباب القبائح للهزار جريبيّ، من حياة الخليفة عمر بن الخطّاب لعبد الرحمن البكريّ وغيرها من الكتب</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للرازيّ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الوليد بن عقبة بن أبي معيط الذي بعثه رسول الله صلى الله عليه و آله إلى بني المصطلق من خزاعة ونزلت بحقّه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بنبأ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أتى بأخبار كاذبة لرسول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العلّامة في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اشتهرت مقولة رسول الله صلى الله عليه و آله فيه وفي أبيه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الوزغ بن الوزغ</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الحكم بن أبي العاص بن أميّة بن عبد شمس الأُمويّ أخو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بهروز ومهزور وادي بني قريظة بالمدينة وكان خصباً</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كلّ هذا العلّامة في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للمسلم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وإذ</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للآمديّ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صنّف في أفضليّته علیه السّلام جمع كثير من العلماء والمحدّثين، وذلك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عليّ بن عيسى الرّمانيّ، أبي عبد الله البصريّ، الصاحب بن عبّاد، الشيخ المفيد، الشريف المرتضى، أبي الفتح الكراجكيّ ، حسن بن سليمان الحلّيّ، السيّد ولي الله الحسينيّ، العلّامة المجلسيّ ومحمّد كاظم الهزار جريبيّ رحمهم الله</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الفلاسفة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جمهور الفلاسفة إلى أنّ العالم ممكن الذائه واجب لغيره، وإنّ ذلك الغير يستحيل عدمه ، فالعالم يستحيل عدمه استحالة بالنظر إلى الغير</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في كتب الكلام ينصرف إلى أبي الحسين البصريّ المعتزليّ محمّد بن عليّ بن الطيب، الساكن ببغداد والدارس فيها، والمتوفّى فيها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والمدفون في مقبرة الشونيزيّ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الحسين البصريّ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جوزوه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 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المانعين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الهلاك هو الخروج عن الانتفاع</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انحراق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الكعبيّ تلميذ أبي الحسين الخيّاط من معتزلة بغداد، أصله من بلخ وعاش في بغداد ثمّ رجع إلى بلخ، توفّي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ميثم في قواعد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والإيجي في المواقف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الفلاسفة</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منكري الأشاعرة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الحكماء العلّامة في 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المباحث المشرقيّة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واعتبره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 الأقوال في النفس</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ذهب إليه المعتزلة كما هو المحكيّ عنهم في المباحث المشرقيّة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في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وَقُلْنَا يَا آدَمُ اسْكُنْ أَنْتَ وَزَوْجُكَ الْجَنَّةَ وَكُلَا مِنْهَا رَغَداً حَيْثُ شِئْتُمَا وَلَا تَقْرَبَا هَذِهِ الشَّجَرَةَ فَتَكُونَا مِنَ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فَأَزَلَّهُمَا الشَّيْطَانُ عَنْهَا فَأَخْرَجَهُمَا مِمَّا كَانَا فِيهِ وَقُلْنَا اهْبِطُوا بَعْضُكُمْ لِبَعْضٍ عَدُوٌّ وَلَكُمْ فِي الْأَرْضِ مُسْتَقَرٌّ وَمَتَاعٌ إِلَى حِينٍ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تلخيص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والتفتازانيّ في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ضرار بن عمرو الغطفانيّ كان من كبار المعتزلة ثمّ خالفهم فكفروه وطردوه، وصنّف نحو ثلاثين كتاباً، بعضها في الردّ عليهم وعلى الخوارج مات نحو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واليه تنسب الضراريّة، وفي طبقات المعتزلة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علي عن عذاب القبر،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الشحام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أنكره، وإنّما يحكى ذلك عن ضرار</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والتفتازانيّ في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قصّة إحياء عيسى بن مريم علیه السّلام يحيى بن زكريّا المذكورة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وقصّة أُخرى في زمان بني إسرائيل في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257/306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استماعاً ينتفعون به لأنّه لما استعار للجهال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ألف السيّد هاشم البحرانيّ المتوفّى سنة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كتاباً في هذا الشأن وجمع فيه روايات الجنّة والنار والصراط سماه معالم الزلفي</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اللوامع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اللوامع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اللوامع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وَالْوَزْنُ يَوْمَئِذٍ الْحَقُّ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 لما كنتم تعلمون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قواعد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والتفتازانيّ في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المواقف </w:t>
      </w:r>
      <w:r>
        <w:rPr>
          <w:rFonts w:eastAsia="IRNazanin" w:cs="IRNazanin"/>
          <w:b w:val="false"/>
          <w:bCs w:val="false"/>
          <w:i w:val="false"/>
          <w:iCs w:val="false"/>
          <w:color w:val="333333"/>
          <w:sz w:val="20"/>
          <w:szCs w:val="20"/>
        </w:rPr>
        <w:t>306:8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نجيم المصريّ في البحر الرائق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والإيجيّ في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في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جماعة من الحنابلة ولينظر المطالب العالية في العلم الإلهي </w:t>
      </w:r>
      <w:r>
        <w:rPr>
          <w:rFonts w:eastAsia="IRNazanin" w:cs="IRNazanin"/>
          <w:b w:val="false"/>
          <w:bCs w:val="false"/>
          <w:i w:val="false"/>
          <w:iCs w:val="false"/>
          <w:color w:val="333333"/>
          <w:sz w:val="20"/>
          <w:szCs w:val="20"/>
        </w:rPr>
        <w:t>26:1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173:1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لأبي هلال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الإيجيّ في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يسار البصريّ، المولود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والمتوفّى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وكان يرسل كثيرا ويدلس، وكان يروي عن جماعة لم يسمع منهم من تلاميذه ابن أبي العوجاء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الإيجيّ في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وحكاه عنهم الإيجيّ في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الإرجاء ومعانيه، ومنهم اليونسيّة والعسّانيّة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والثوبانيّة والتومنيّة والصالحيّة</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في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 هم الواقفة في الفسّاق هل لهم عذاب أم لا؟</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الوعيديّة فرقة من الخوارج أفرطوا في الوعيد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بخلود الفسّاق في النار</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الوعيديّة أبو الصلاح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والغزاليّ في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كشف المراد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كشف المراد 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اشتراكها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الثعالبي في 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المعتزلة</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بذلك رواية عن أبي بصير عن أبي عبد الله علیه السّلام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المعتزلة في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الوسيلة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للعلّامة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ومفردات غريب القرآن للراغب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تاب من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أجمع المفسّرون على أنّ المقام المحمود هو مقام الشفاعة، وهو المقام الذي يشفع فيه للناس، وفي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المحمود هو مقام الشفاعة</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في مقدّمات الأُصول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الاقتصاد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التييان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الإمام السجّاد علیه السّلام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الصفدي في الوافي بالوفيات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ترجمة علم الدين الشجاعيّ المنصوريّ وزير الديار المصريّة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 بخط الشجاعيّ بعد موته من الكامل، وذكر الأبيات المذكورة في المتن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فهبوا له ما زلّ بالأركان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العجز الأخير</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اللويزة قرية في جبل عامل</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حتد بالمكان يحتد أقام به وثبت، والمحتد الأصل، 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المحتد الأصل والطبع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كفر عيما قريبة من ناحية الشقيف في جبل 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ويمكن أن تقرأ على ضعف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والإفصار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جبع،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جباع قرية من قرى جبل عامل على رأس جبل عال، غاية في عذوبة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نهاية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كتابة الرسالة المسماة بـ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الوصول إلى علم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وصلى الله على محمد وآله أجمعين حرّره العبد الحقير الفقير المحتاج إلى رحمة الله الباري بها قال بن بها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شمس الدين الحسينيّ اللّهمّ اغفر له ولوالديه ولجميع المؤمنين والمؤمنات وصلّى الله على محمد وآله أجمعين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image" Target="media/image4.jpeg"/><Relationship Id="rId41" Type="http://schemas.openxmlformats.org/officeDocument/2006/relationships/image" Target="media/image4.jpeg"/><Relationship Id="rId42" Type="http://schemas.openxmlformats.org/officeDocument/2006/relationships/footer" Target="footer33.xml"/><Relationship Id="rId43" Type="http://schemas.openxmlformats.org/officeDocument/2006/relationships/image" Target="media/image5.jpeg"/><Relationship Id="rId44" Type="http://schemas.openxmlformats.org/officeDocument/2006/relationships/image" Target="media/image5.jpeg"/><Relationship Id="rId45" Type="http://schemas.openxmlformats.org/officeDocument/2006/relationships/footer" Target="footer34.xml"/><Relationship Id="rId46" Type="http://schemas.openxmlformats.org/officeDocument/2006/relationships/image" Target="media/image6.jpeg"/><Relationship Id="rId47" Type="http://schemas.openxmlformats.org/officeDocument/2006/relationships/image" Target="media/image6.jpeg"/><Relationship Id="rId48" Type="http://schemas.openxmlformats.org/officeDocument/2006/relationships/footer" Target="footer35.xml"/><Relationship Id="rId49" Type="http://schemas.openxmlformats.org/officeDocument/2006/relationships/image" Target="media/image7.jpeg"/><Relationship Id="rId50" Type="http://schemas.openxmlformats.org/officeDocument/2006/relationships/image" Target="media/image7.jpeg"/><Relationship Id="rId51" Type="http://schemas.openxmlformats.org/officeDocument/2006/relationships/footer" Target="footer36.xml"/><Relationship Id="rId52" Type="http://schemas.openxmlformats.org/officeDocument/2006/relationships/image" Target="media/image8.jpeg"/><Relationship Id="rId53" Type="http://schemas.openxmlformats.org/officeDocument/2006/relationships/image" Target="media/image8.jpeg"/><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194.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27534</Words>
  <Characters>117271</Characters>
  <CharactersWithSpaces>143427</CharactersWithSpaces>
  <Paragraphs>1547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2026-08-27T14:04:54Z</dcterms:created>
  <dc:creator>ghaemiyeh.com</dc:creator>
  <dc:description/>
  <dc:language>en-US</dc:language>
  <cp:lastModifiedBy/>
  <dcterms:modified xsi:type="dcterms:W3CDTF">2026-08-27T17:35:03Z</dcterms:modified>
  <cp:revision>1</cp:revision>
  <dc:subject/>
  <dc:title>معارج الأفهام إلی علم الکلام</dc:title>
</cp:coreProperties>
</file>

<file path=docProps/custom.xml><?xml version="1.0" encoding="utf-8"?>
<Properties xmlns="http://schemas.openxmlformats.org/officeDocument/2006/custom-properties" xmlns:vt="http://schemas.openxmlformats.org/officeDocument/2006/docPropsVTypes"/>
</file>