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بلاغة الخطاب التداولی فی عهد الإمام علی علیه السلام الى لمالک الأشتر رضی لله عنه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31737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7531739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531741_1051229030">
            <w:r>
              <w:rPr>
                <w:webHidden/>
                <w:rStyle w:val="IndexLink"/>
                <w:rtl w:val="true"/>
              </w:rPr>
              <w:t>مقدمة المؤسسة</w:t>
            </w:r>
            <w:r>
              <w:rPr>
                <w:rStyle w:val="IndexLink"/>
                <w:rtl w:val="true"/>
              </w:rPr>
              <w:tab/>
            </w:r>
            <w:r>
              <w:rPr>
                <w:rStyle w:val="IndexLink"/>
              </w:rPr>
              <w:t>8</w:t>
            </w:r>
          </w:hyperlink>
        </w:p>
        <w:p>
          <w:pPr>
            <w:pStyle w:val="Contents2"/>
            <w:tabs>
              <w:tab w:val="clear" w:pos="8743"/>
              <w:tab w:val="right" w:pos="9026" w:leader="dot"/>
            </w:tabs>
            <w:rPr/>
          </w:pPr>
          <w:hyperlink w:anchor="__RefHeading___Toc7531743_105122903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7531745_1051229030">
            <w:r>
              <w:rPr>
                <w:webHidden/>
                <w:rStyle w:val="IndexLink"/>
                <w:rtl w:val="true"/>
              </w:rPr>
              <w:t>المبحث الأول الخطاب تعريف ومفهوم</w:t>
            </w:r>
            <w:r>
              <w:rPr>
                <w:rStyle w:val="IndexLink"/>
                <w:rtl w:val="true"/>
              </w:rPr>
              <w:tab/>
            </w:r>
            <w:r>
              <w:rPr>
                <w:rStyle w:val="IndexLink"/>
              </w:rPr>
              <w:t>18</w:t>
            </w:r>
          </w:hyperlink>
        </w:p>
        <w:p>
          <w:pPr>
            <w:pStyle w:val="Contents2"/>
            <w:tabs>
              <w:tab w:val="clear" w:pos="8743"/>
              <w:tab w:val="right" w:pos="9026" w:leader="dot"/>
            </w:tabs>
            <w:rPr/>
          </w:pPr>
          <w:hyperlink w:anchor="__RefHeading___Toc7531747_1051229030">
            <w:r>
              <w:rPr>
                <w:webHidden/>
                <w:rStyle w:val="IndexLink"/>
                <w:rtl w:val="true"/>
              </w:rPr>
              <w:t>الخطاب في اللغة</w:t>
            </w:r>
            <w:r>
              <w:rPr>
                <w:rStyle w:val="IndexLink"/>
                <w:rtl w:val="true"/>
              </w:rPr>
              <w:tab/>
            </w:r>
            <w:r>
              <w:rPr>
                <w:rStyle w:val="IndexLink"/>
              </w:rPr>
              <w:t>19</w:t>
            </w:r>
          </w:hyperlink>
        </w:p>
        <w:p>
          <w:pPr>
            <w:pStyle w:val="Contents2"/>
            <w:tabs>
              <w:tab w:val="clear" w:pos="8743"/>
              <w:tab w:val="right" w:pos="9026" w:leader="dot"/>
            </w:tabs>
            <w:rPr/>
          </w:pPr>
          <w:hyperlink w:anchor="__RefHeading___Toc7531749_1051229030">
            <w:r>
              <w:rPr>
                <w:webHidden/>
                <w:rStyle w:val="IndexLink"/>
                <w:rtl w:val="true"/>
              </w:rPr>
              <w:t>الخطاب في الاصطلاح</w:t>
            </w:r>
            <w:r>
              <w:rPr>
                <w:rStyle w:val="IndexLink"/>
                <w:rtl w:val="true"/>
              </w:rPr>
              <w:t>:</w:t>
              <w:tab/>
            </w:r>
            <w:r>
              <w:rPr>
                <w:rStyle w:val="IndexLink"/>
              </w:rPr>
              <w:t>21</w:t>
            </w:r>
          </w:hyperlink>
        </w:p>
        <w:p>
          <w:pPr>
            <w:pStyle w:val="Contents2"/>
            <w:tabs>
              <w:tab w:val="clear" w:pos="8743"/>
              <w:tab w:val="right" w:pos="9026" w:leader="dot"/>
            </w:tabs>
            <w:rPr/>
          </w:pPr>
          <w:hyperlink w:anchor="__RefHeading___Toc7531751_1051229030">
            <w:r>
              <w:rPr>
                <w:webHidden/>
                <w:rStyle w:val="IndexLink"/>
                <w:rtl w:val="true"/>
              </w:rPr>
              <w:t>أركان الخِطاب</w:t>
            </w:r>
            <w:r>
              <w:rPr>
                <w:rStyle w:val="IndexLink"/>
                <w:rtl w:val="true"/>
              </w:rPr>
              <w:t>:</w:t>
              <w:tab/>
            </w:r>
            <w:r>
              <w:rPr>
                <w:rStyle w:val="IndexLink"/>
              </w:rPr>
              <w:t>29</w:t>
            </w:r>
          </w:hyperlink>
        </w:p>
        <w:p>
          <w:pPr>
            <w:pStyle w:val="Contents2"/>
            <w:tabs>
              <w:tab w:val="clear" w:pos="8743"/>
              <w:tab w:val="right" w:pos="9026" w:leader="dot"/>
            </w:tabs>
            <w:rPr/>
          </w:pPr>
          <w:hyperlink w:anchor="__RefHeading___Toc7531753_1051229030">
            <w:r>
              <w:rPr>
                <w:webHidden/>
                <w:rStyle w:val="IndexLink"/>
                <w:rtl w:val="true"/>
              </w:rPr>
              <w:t>التداوليَّة</w:t>
            </w:r>
            <w:r>
              <w:rPr>
                <w:rStyle w:val="IndexLink"/>
                <w:rtl w:val="true"/>
              </w:rPr>
              <w:t>:</w:t>
              <w:tab/>
            </w:r>
            <w:r>
              <w:rPr>
                <w:rStyle w:val="IndexLink"/>
              </w:rPr>
              <w:t>38</w:t>
            </w:r>
          </w:hyperlink>
        </w:p>
        <w:p>
          <w:pPr>
            <w:pStyle w:val="Contents2"/>
            <w:tabs>
              <w:tab w:val="clear" w:pos="8743"/>
              <w:tab w:val="right" w:pos="9026" w:leader="dot"/>
            </w:tabs>
            <w:rPr/>
          </w:pPr>
          <w:hyperlink w:anchor="__RefHeading___Toc7531755_1051229030">
            <w:r>
              <w:rPr>
                <w:webHidden/>
                <w:rStyle w:val="IndexLink"/>
                <w:rtl w:val="true"/>
              </w:rPr>
              <w:t>امتشاج التداولية والبلاغة والخطاب</w:t>
            </w:r>
            <w:r>
              <w:rPr>
                <w:rStyle w:val="IndexLink"/>
                <w:rtl w:val="true"/>
              </w:rPr>
              <w:t>:</w:t>
              <w:tab/>
            </w:r>
            <w:r>
              <w:rPr>
                <w:rStyle w:val="IndexLink"/>
              </w:rPr>
              <w:t>41</w:t>
            </w:r>
          </w:hyperlink>
        </w:p>
        <w:p>
          <w:pPr>
            <w:pStyle w:val="Contents2"/>
            <w:tabs>
              <w:tab w:val="clear" w:pos="8743"/>
              <w:tab w:val="right" w:pos="9026" w:leader="dot"/>
            </w:tabs>
            <w:rPr/>
          </w:pPr>
          <w:hyperlink w:anchor="__RefHeading___Toc7531757_1051229030">
            <w:r>
              <w:rPr>
                <w:webHidden/>
                <w:rStyle w:val="IndexLink"/>
                <w:rtl w:val="true"/>
              </w:rPr>
              <w:t>المبحث الثاني</w:t>
            </w:r>
            <w:r>
              <w:rPr>
                <w:rStyle w:val="IndexLink"/>
                <w:rtl w:val="true"/>
              </w:rPr>
              <w:t>:</w:t>
            </w:r>
            <w:r>
              <w:rPr>
                <w:rStyle w:val="IndexLink"/>
                <w:rtl w:val="true"/>
              </w:rPr>
              <w:t xml:space="preserve">نماذج من المظاهر التداوليَّة في خطاب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عهده لواليه على مصر مالك بن الحارث الأشتر النخعی </w:t>
            </w:r>
            <w:r>
              <w:rPr>
                <w:rStyle w:val="IndexLink"/>
                <w:rtl w:val="true"/>
              </w:rPr>
              <w:t>(</w:t>
            </w:r>
            <w:r>
              <w:rPr>
                <w:rStyle w:val="IndexLink"/>
                <w:rtl w:val="true"/>
              </w:rPr>
              <w:t>رضی لله عنه</w:t>
            </w:r>
            <w:r>
              <w:rPr>
                <w:rStyle w:val="IndexLink"/>
                <w:rtl w:val="true"/>
              </w:rPr>
              <w:t>)</w:t>
              <w:tab/>
            </w:r>
            <w:r>
              <w:rPr>
                <w:rStyle w:val="IndexLink"/>
              </w:rPr>
              <w:t>46</w:t>
            </w:r>
          </w:hyperlink>
        </w:p>
        <w:p>
          <w:pPr>
            <w:pStyle w:val="Contents2"/>
            <w:tabs>
              <w:tab w:val="clear" w:pos="8743"/>
              <w:tab w:val="right" w:pos="9026" w:leader="dot"/>
            </w:tabs>
            <w:rPr/>
          </w:pPr>
          <w:hyperlink w:anchor="__RefHeading___Toc7531759_1051229030">
            <w:r>
              <w:rPr>
                <w:webHidden/>
                <w:rStyle w:val="IndexLink"/>
                <w:rtl w:val="true"/>
              </w:rPr>
              <w:t>الخاتمة</w:t>
            </w:r>
            <w:r>
              <w:rPr>
                <w:rStyle w:val="IndexLink"/>
                <w:rtl w:val="true"/>
              </w:rPr>
              <w:tab/>
            </w:r>
            <w:r>
              <w:rPr>
                <w:rStyle w:val="IndexLink"/>
              </w:rPr>
              <w:t>84</w:t>
            </w:r>
          </w:hyperlink>
        </w:p>
        <w:p>
          <w:pPr>
            <w:pStyle w:val="Contents2"/>
            <w:tabs>
              <w:tab w:val="clear" w:pos="8743"/>
              <w:tab w:val="right" w:pos="9026" w:leader="dot"/>
            </w:tabs>
            <w:rPr/>
          </w:pPr>
          <w:hyperlink w:anchor="__RefHeading___Toc7531761_1051229030">
            <w:r>
              <w:rPr>
                <w:webHidden/>
                <w:rStyle w:val="IndexLink"/>
                <w:rtl w:val="true"/>
              </w:rPr>
              <w:t>روافدُ البحث</w:t>
            </w:r>
            <w:r>
              <w:rPr>
                <w:rStyle w:val="IndexLink"/>
                <w:rtl w:val="true"/>
              </w:rPr>
              <w:tab/>
            </w:r>
            <w:r>
              <w:rPr>
                <w:rStyle w:val="IndexLink"/>
              </w:rPr>
              <w:t>90</w:t>
            </w:r>
          </w:hyperlink>
        </w:p>
        <w:p>
          <w:pPr>
            <w:pStyle w:val="Contents2"/>
            <w:tabs>
              <w:tab w:val="clear" w:pos="8743"/>
              <w:tab w:val="right" w:pos="9026" w:leader="dot"/>
            </w:tabs>
            <w:rPr/>
          </w:pPr>
          <w:hyperlink w:anchor="__RefHeading___Toc7531763_1051229030">
            <w:r>
              <w:rPr>
                <w:webHidden/>
                <w:rStyle w:val="IndexLink"/>
                <w:rtl w:val="true"/>
              </w:rPr>
              <w:t>المحتويات</w:t>
            </w:r>
            <w:r>
              <w:rPr>
                <w:rStyle w:val="IndexLink"/>
                <w:rtl w:val="true"/>
              </w:rPr>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67_94954"/>
      <w:bookmarkStart w:id="1" w:name="pg10767_94954"/>
      <w:bookmarkEnd w:id="1"/>
    </w:p>
    <w:p>
      <w:pPr>
        <w:pStyle w:val="Heading2"/>
        <w:numPr>
          <w:ilvl w:val="1"/>
          <w:numId w:val="1"/>
        </w:numPr>
        <w:rPr/>
      </w:pPr>
      <w:bookmarkStart w:id="2" w:name="pg10767_94954"/>
      <w:bookmarkStart w:id="3" w:name="__RefHeading___Toc7531737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بلاغة الخطاب التداولي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لمالك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دراسة تداولية</w:t>
      </w:r>
    </w:p>
    <w:p>
      <w:pPr>
        <w:pStyle w:val="BookText"/>
        <w:rPr/>
      </w:pPr>
      <w:r>
        <w:rPr>
          <w:rFonts w:ascii="Amiri" w:hAnsi="Amiri" w:eastAsia="Amiri" w:cs="Amiri"/>
          <w:color w:val="111111"/>
          <w:sz w:val="28"/>
          <w:sz w:val="28"/>
          <w:szCs w:val="28"/>
          <w:rtl w:val="true"/>
          <w:lang w:bidi="ar-SA"/>
        </w:rPr>
        <w:t>سلسلة دراسات في عهد الإمام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وحدة الدراسات اللغوية</w:t>
      </w:r>
    </w:p>
    <w:p>
      <w:pPr>
        <w:pStyle w:val="BookText"/>
        <w:rPr/>
      </w:pPr>
      <w:r>
        <w:rPr>
          <w:rFonts w:ascii="Amiri" w:hAnsi="Amiri" w:eastAsia="Amiri" w:cs="Amiri"/>
          <w:color w:val="111111"/>
          <w:sz w:val="28"/>
          <w:sz w:val="28"/>
          <w:szCs w:val="28"/>
          <w:rtl w:val="true"/>
          <w:lang w:bidi="ar-SA"/>
        </w:rPr>
        <w:t>بلاغة الخطاب التداولي</w:t>
      </w:r>
    </w:p>
    <w:p>
      <w:pPr>
        <w:pStyle w:val="BookText"/>
        <w:rPr/>
      </w:pPr>
      <w:r>
        <w:rPr>
          <w:rFonts w:ascii="IRNazanin" w:hAnsi="IRNazanin" w:eastAsia="IRNazanin"/>
          <w:color w:val="111111"/>
          <w:sz w:val="28"/>
          <w:sz w:val="28"/>
          <w:szCs w:val="28"/>
          <w:rtl w:val="true"/>
          <w:lang w:bidi="fa-IR"/>
        </w:rPr>
        <w:t xml:space="preserve">في عهد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لمالك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دراسة تداولية</w:t>
      </w:r>
    </w:p>
    <w:p>
      <w:pPr>
        <w:pStyle w:val="BookText"/>
        <w:rPr/>
      </w:pPr>
      <w:r>
        <w:rPr>
          <w:rFonts w:ascii="Amiri" w:hAnsi="Amiri" w:eastAsia="Amiri" w:cs="Amiri"/>
          <w:color w:val="111111"/>
          <w:sz w:val="28"/>
          <w:sz w:val="28"/>
          <w:szCs w:val="28"/>
          <w:rtl w:val="true"/>
          <w:lang w:bidi="ar-SA"/>
        </w:rPr>
        <w:t>تأليف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الهادي كاظم كريم</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موسسة علوم نهج البلاغة</w:t>
      </w:r>
    </w:p>
    <w:p>
      <w:pPr>
        <w:pStyle w:val="BookText"/>
        <w:rPr/>
      </w:pPr>
      <w:r>
        <w:rPr>
          <w:rFonts w:ascii="IRNazanin" w:hAnsi="IRNazanin" w:eastAsia="IRNazanin"/>
          <w:color w:val="111111"/>
          <w:sz w:val="28"/>
          <w:sz w:val="28"/>
          <w:szCs w:val="28"/>
          <w:rtl w:val="true"/>
          <w:lang w:bidi="fa-IR"/>
        </w:rPr>
        <w:t>فی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31739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4218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سلسلة دراسات في عهد الإمام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وحدة الدراسات اللغوية</w:t>
      </w:r>
    </w:p>
    <w:p>
      <w:pPr>
        <w:pStyle w:val="BookText"/>
        <w:rPr/>
      </w:pPr>
      <w:r>
        <w:rPr>
          <w:rFonts w:ascii="Amiri" w:hAnsi="Amiri" w:eastAsia="Amiri" w:cs="Amiri"/>
          <w:color w:val="111111"/>
          <w:sz w:val="28"/>
          <w:sz w:val="28"/>
          <w:szCs w:val="28"/>
          <w:rtl w:val="true"/>
          <w:lang w:bidi="ar-SA"/>
        </w:rPr>
        <w:t>بلاغة الخطاب التداولي</w:t>
      </w:r>
    </w:p>
    <w:p>
      <w:pPr>
        <w:pStyle w:val="BookText"/>
        <w:rPr/>
      </w:pPr>
      <w:r>
        <w:rPr>
          <w:rFonts w:ascii="IRNazanin" w:hAnsi="IRNazanin" w:eastAsia="IRNazanin"/>
          <w:color w:val="111111"/>
          <w:sz w:val="28"/>
          <w:sz w:val="28"/>
          <w:szCs w:val="28"/>
          <w:rtl w:val="true"/>
          <w:lang w:bidi="fa-IR"/>
        </w:rPr>
        <w:t xml:space="preserve">في عهد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لمالك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دراسة تداولية</w:t>
      </w:r>
    </w:p>
    <w:p>
      <w:pPr>
        <w:pStyle w:val="BookText"/>
        <w:rPr/>
      </w:pPr>
      <w:r>
        <w:rPr>
          <w:rFonts w:ascii="Amiri" w:hAnsi="Amiri" w:eastAsia="Amiri" w:cs="Amiri"/>
          <w:color w:val="111111"/>
          <w:sz w:val="28"/>
          <w:sz w:val="28"/>
          <w:szCs w:val="28"/>
          <w:rtl w:val="true"/>
          <w:lang w:bidi="ar-SA"/>
        </w:rPr>
        <w:t>تأليف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الهادي كاظم كريم</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موسسة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 العتبة</w:t>
      </w:r>
    </w:p>
    <w:p>
      <w:pPr>
        <w:pStyle w:val="BookText"/>
        <w:rPr/>
      </w:pPr>
      <w:r>
        <w:rPr>
          <w:rFonts w:ascii="Amiri" w:hAnsi="Amiri" w:eastAsia="Amiri" w:cs="Amiri"/>
          <w:color w:val="111111"/>
          <w:sz w:val="28"/>
          <w:sz w:val="28"/>
          <w:szCs w:val="28"/>
          <w:rtl w:val="true"/>
          <w:lang w:bidi="ar-SA"/>
        </w:rPr>
        <w:t>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رمانة العام</w:t>
      </w:r>
    </w:p>
    <w:p>
      <w:pPr>
        <w:pStyle w:val="BookText"/>
        <w:rPr/>
      </w:pPr>
      <w:r>
        <w:rPr>
          <w:rFonts w:ascii="IRNazanin" w:hAnsi="IRNazanin" w:eastAsia="IRNazanin"/>
          <w:color w:val="111111"/>
          <w:sz w:val="28"/>
          <w:sz w:val="28"/>
          <w:szCs w:val="28"/>
          <w:rtl w:val="true"/>
          <w:lang w:bidi="fa-IR"/>
        </w:rPr>
        <w:t>المقدا</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مجاور مقام علي الأكبر عليه السلام</w:t>
      </w:r>
    </w:p>
    <w:p>
      <w:pPr>
        <w:pStyle w:val="BookText"/>
        <w:rPr/>
      </w:pPr>
      <w:r>
        <w:rPr>
          <w:rFonts w:ascii="Amiri" w:hAnsi="Amiri" w:eastAsia="Amiri" w:cs="Amiri"/>
          <w:color w:val="111111"/>
          <w:sz w:val="28"/>
          <w:sz w:val="28"/>
          <w:szCs w:val="28"/>
          <w:rtl w:val="true"/>
          <w:lang w:bidi="ar-SA"/>
        </w:rPr>
        <w:t>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 Inahj.org</w:t>
      </w:r>
    </w:p>
    <w:p>
      <w:pPr>
        <w:pStyle w:val="BookText"/>
        <w:rPr/>
      </w:pPr>
      <w:r>
        <w:rPr>
          <w:rFonts w:ascii="IRNazanin" w:hAnsi="IRNazanin" w:eastAsia="IRNazanin"/>
          <w:color w:val="111111"/>
          <w:sz w:val="28"/>
          <w:sz w:val="28"/>
          <w:szCs w:val="28"/>
          <w:rtl w:val="true"/>
          <w:lang w:bidi="fa-IR"/>
        </w:rPr>
        <w:t>تنویه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الاْفکار والاراء المذکورة فی هذا الکتاب تعبر عن وجهة نظر کاتبها، و لا تعبر بالضرورة عن وجهة نظر العتبة الحسینیة المقدسة </w:t>
      </w:r>
      <w:bookmarkStart w:id="7" w:name="pg10767_94958"/>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7531741_1051229030"/>
      <w:bookmarkStart w:id="9" w:name="_Toc3"/>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الحمد لله على ما أنعم وله الشكر بما ألهم والثناء بما قدم من عموم نعمٍ ابتدأها وسبوغ آلاء أسداها والصلاة والسلام على خير الخلق أجمعين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من أبرز الحقائق التي ارتبطت بالعترة النبوية هي حقيقة الملازمة بين النص القرآني والنص النبوي ونصوص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خير ما يُرجع إليه في المصادیق لَحدیث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صلاحية النص القرآني لكل الأزمنة متلازماً مع صلاحيّة </w:t>
      </w:r>
    </w:p>
    <w:p>
      <w:pPr>
        <w:pStyle w:val="BookText"/>
        <w:rPr/>
      </w:pPr>
      <w:r>
        <w:rPr>
          <w:rFonts w:ascii="Amiri" w:hAnsi="Amiri" w:eastAsia="Amiri" w:cs="Amiri"/>
          <w:color w:val="111111"/>
          <w:sz w:val="28"/>
          <w:sz w:val="28"/>
          <w:szCs w:val="28"/>
          <w:rtl w:val="true"/>
          <w:lang w:bidi="ar-SA"/>
        </w:rPr>
        <w:t>النصوص الشريفة للعترة النبوية لكل الأزمنة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كتاب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أنموذجٌ واحد من بين المئات التي زخرت بها المكتبة الإسلامية التي اكتنزت في متونها الكثير من الحقول المعرفية مظهرة بذلك احتياج الإنسان إلى نصوص الثقلين في كل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ارتأت مؤسسة علوم نهج البلاغة أن تخصص حقلاً معرفياً ضمن نتاجها المعرفي التخصصي في حياة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وفكره، متخذة من عهده الشريف 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خصبة للعلوم الإنسانية التي هي أشرف العلوم ومدار بناء الإنسان </w:t>
      </w:r>
    </w:p>
    <w:p>
      <w:pPr>
        <w:pStyle w:val="BookText"/>
        <w:rPr/>
      </w:pPr>
      <w:r>
        <w:rPr>
          <w:rFonts w:ascii="IRNazanin" w:hAnsi="IRNazanin" w:eastAsia="IRNazanin"/>
          <w:color w:val="111111"/>
          <w:sz w:val="28"/>
          <w:sz w:val="28"/>
          <w:szCs w:val="28"/>
          <w:rtl w:val="true"/>
          <w:lang w:bidi="fa-IR"/>
        </w:rPr>
        <w:t xml:space="preserve">وإصلاح متعلقاته الحياتية وذلك ضمن سلسلة بحثية علمية والموسومة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يتم إصدارها بإذن الله تباعا، حرصا منها على إثراء المكتبة الإسلامية والمكتبة الإنسانية بتلك الدراسات العلمية التي تهدف إلى بيان أثر هذه النصوص في بناء الإنسان والمجتمع والدولة متلازمة مع هدف القرآن الكريم في إقامة نظام الحياة الآمنة المفعمة بالخير والعطاء والعيش بحرية وكرامة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البحث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بلاغة الخطاب التداولي في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مالك الاشتر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تداولية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الدراسات اللسانية التي تكشف عن طاقة اللغة التعبيرية ولباقتها في حمل المقاصد الكافية في </w:t>
      </w:r>
    </w:p>
    <w:p>
      <w:pPr>
        <w:pStyle w:val="BookText"/>
        <w:rPr/>
      </w:pPr>
      <w:r>
        <w:rPr>
          <w:rFonts w:ascii="Amiri" w:hAnsi="Amiri" w:eastAsia="Amiri" w:cs="Amiri"/>
          <w:color w:val="111111"/>
          <w:sz w:val="28"/>
          <w:sz w:val="28"/>
          <w:szCs w:val="28"/>
          <w:rtl w:val="true"/>
          <w:lang w:bidi="ar-SA"/>
        </w:rPr>
        <w:t>طيات تراكيبها وبما يمتلكه المنهج التداولي من سعة تدخل كل اطراف الحوار والسياق ليقف على مقاصد المتلم ومدى تأثير كلامه في مخاطبيه وكل ذلك يصب في بلاغة المتكلم وقدرته البيانية في الكشف عن دقائق أفكاره ويبثها المتلقيه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الباحث خير الجزاء فقد بذل جهده وعلى الله أجره والحمد لله رب العالمين</w:t>
      </w:r>
    </w:p>
    <w:p>
      <w:pPr>
        <w:pStyle w:val="BookText"/>
        <w:rPr/>
      </w:pPr>
      <w:r>
        <w:rPr>
          <w:rFonts w:ascii="Amiri" w:hAnsi="Amiri" w:eastAsia="Amiri" w:cs="Amiri"/>
          <w:color w:val="111111"/>
          <w:sz w:val="28"/>
          <w:sz w:val="28"/>
          <w:szCs w:val="28"/>
          <w:rtl w:val="true"/>
          <w:lang w:bidi="ar-SA"/>
        </w:rPr>
        <w:t>السيد نبيل الحسني الكربلائي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0" w:name="pg10767_94962"/>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7531743_1051229030"/>
      <w:bookmarkStart w:id="12" w:name="_Toc4"/>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رُسُلِهِ وَخَلِقِهِ أجمعين أبي القاسم محمد المبعوثِ رحمةً للعالمين وعلى آلهِ الأئمةِ الطيَّبينَ الطاهرينَ المعصومين، وأصحابه الغُرَّ الميامينَ الذينَ لم ينقلبوا على أعقابهمِ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أهلَ بیتِ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معدن العلمِ والفهمِ والمعرفةِ المتنوعةِ والعلومِ المشرعةِ على مشاربَ شتَّی وميادينَ واسعة لا تقفُ عند حدَّ مخصوص بل تكادُ أن تشملَ كلَّ علمٍ وفن؛ لذا ينهلُ منها كلُّ طالب للعلم والفهمِ والحقيقةِ، ولا غرابةَ في ذلك؛ فهم أهلٌ لذلك، ورثوا العلمَ عن آبائهم عن أجدادِهم عن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هذه الأرومة العظيمة، وأساسُ سلسلتِها الذهبيِة المعهودة عند المسلمين جميعًا وعند غيرِهم أيضًا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هذا الجهدُ ليبحث في جانبٍ واحډٍ وفي علمٍ واحد من العلومِ، بل في بابٍ من أبوابِ فروعهِا المتعددةِ التي أثِرت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كلامه المقدس الذي وصل إلينا عبر الرواة والمصادر التاريخية و الأدبيَّة؛ ليستجلي بعضًا من الدلالات البلاغية الراقية التي انطوى عليها خِطابُهُ، والمعانَي الجميلة السَّامية التي أفادها في أثواها اللفظيَّة الرَّاهية البهيَّة التي تشِعُّ نوراً وإيماناً وعقيدةً راسخة وخُلُقاً رفيقًا وأدَبًا عظيمًا؛ فحمل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بلاغة الخطاب التداولیَّ في عهد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واليه على مصر مالك بن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فكشف البحثُ </w:t>
      </w:r>
    </w:p>
    <w:p>
      <w:pPr>
        <w:pStyle w:val="BookText"/>
        <w:rPr/>
      </w:pPr>
      <w:r>
        <w:rPr>
          <w:rFonts w:ascii="Amiri" w:hAnsi="Amiri" w:eastAsia="Amiri" w:cs="Amiri"/>
          <w:color w:val="111111"/>
          <w:sz w:val="28"/>
          <w:sz w:val="28"/>
          <w:szCs w:val="28"/>
          <w:rtl w:val="true"/>
          <w:lang w:bidi="ar-SA"/>
        </w:rPr>
        <w:t xml:space="preserve">عن مظاهرَ خطابيَّة بلاغيَّة كثيرة جديرة بالاهتمام والتتبع والبحث على المستوى اللفظيّ والمستوى الدلاليّ ضمن آفاقِ اللغةِ الرحبةِ وأساليبها البلاغيّةِ المتنوّعةِ التي شکَّلت نسقاً يجاري أسلوبَ القرآن الكريم الفريدَ والمعجَّر الذي يَسَعُ ما لا يسعهُ أيُّ أسلوبٍ آخر غيرِهِ، وكذلك کشف لنا بعضًا من ملامحِ سعِة علمِهِ وطولِ 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النَّحوِ من العلمِ وأصوِلِه العلميّةِ التي يرجعُ إليها وهي اللغةُ والنحو والدلالةُ والبلاغة على وفقِ أساليب العرب في كلامهم وطرق القول عندهم وأفانين البلاغة في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وقصرناه على نماذج مخصوصة منها؛ لأن المجال لا يتسع لبحثها جميعًا؛ وكي يكون البحثُ منسجمًا مع الشروط التي وضعت له سابقاً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وخطةُ البحثِ ومنهجُهُ قاماعلى مبحثين،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فيه تعريفاتٍ ومفاهيمَ نظريَّة </w:t>
      </w:r>
    </w:p>
    <w:p>
      <w:pPr>
        <w:pStyle w:val="BookText"/>
        <w:rPr/>
      </w:pPr>
      <w:r>
        <w:rPr>
          <w:rFonts w:ascii="IRNazanin" w:hAnsi="IRNazanin" w:eastAsia="IRNazanin"/>
          <w:color w:val="111111"/>
          <w:sz w:val="28"/>
          <w:sz w:val="28"/>
          <w:szCs w:val="28"/>
          <w:rtl w:val="true"/>
          <w:lang w:bidi="fa-IR"/>
        </w:rPr>
        <w:t>المصطلحات البحث الأساسيَّة كالخطاب والتداولية؛ كي تعلق مفاهيمها في ذهن القارئ حين يطلع على البحث أو يروم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هذا العهد العظيم وبيان ما ورد فيه من مظاهر تداولیَّة في خطابِهِ على حسب ورودها فيها وكثرتها، فيجري البحثُ على وفق النماذج المختارة منه، فيتناولها بالدراسة والبيان والشرح والدلالة، ثُمَّ الانتقال إلى مثال آخر منها، وهكذا في كل واحد منها إلى إتمام البحير ونهايته بعون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روافدُ البحير كتب اللسانيات، وكتب البلاغة العربيّة، وكتبَ الأدب العربي، وكتب الدراسات اللغويَّة القديمة والحديثة والدراسات الأكاديميَّة والبحِث التي تتناوش هذا العلِم بالبحثِ والدَّراسة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وأظهر البحث أنَّ أسلوبَهَ وبلاغتَةَ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 منسجمين مع ما يقتضيه الخطاب على وفق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السياق التداولي، وغيرَ خارجين عن أساليب اللغة الفصحى، وطرِق العربِ في كلامِهم للتعبيرِ عن المعاني التي يقصدونها، بل لها وجهٌ يمثَّل أنموذجا في الحسن، وينطويان على جوانب بيانية وبلاغية تم إنموذجٌا رفيعاً في الفصاحة والبلاغة وكذلك في التفسير والمعنى، لا يقرُبُ منه أيُّ ن لغويّ أدبيّ آخر سوى كلام البارئ سبحانه وتعالى في محكم كتابِهِ المعجز الذي فاقه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وأوضح البحث كذلك أنَّ أقواله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العهد تشکَّل ظاهرةً لغويَّة فريدةً في الخطاب تعانقُ نصوص القرآن الكريم المعجزة في اللغة والخطاب والأسلوب والبلاغِة وكذلك كلامه وخطبة ورسائله وكتبُةُ التي تضَّمنها سفرُهُ العظيم نهج البلاغة، ولا عجب في ذلك مطلقا فهو من آل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زُقّوا العلمَ والفضلَ 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الختام لا يسعني إلَّا أن أقولَ مِنَ اللهِ تعالى التوفيقُ وآخرُ دعوانا أن الحمدُ للهِ ربَّ العالمين</w:t>
      </w:r>
      <w:r>
        <w:rPr>
          <w:rFonts w:eastAsia="Amiri" w:cs="Amiri" w:ascii="Amiri" w:hAnsi="Amiri"/>
          <w:color w:val="111111"/>
          <w:sz w:val="28"/>
          <w:szCs w:val="28"/>
          <w:rtl w:val="true"/>
          <w:lang w:bidi="ar-SA"/>
        </w:rPr>
        <w:t xml:space="preserve">. </w:t>
      </w:r>
      <w:bookmarkStart w:id="13" w:name="pg10767_9496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7531745_1051229030"/>
      <w:bookmarkStart w:id="15" w:name="_Toc5"/>
      <w:bookmarkEnd w:id="13"/>
      <w:bookmarkEnd w:id="14"/>
      <w:r>
        <w:rPr>
          <w:rtl w:val="true"/>
        </w:rPr>
        <w:t>المبحث الأول الخطاب تعريف ومفهوم</w:t>
      </w:r>
      <w:bookmarkStart w:id="16" w:name="pg10767_94969"/>
      <w:bookmarkEnd w:id="15"/>
    </w:p>
    <w:p>
      <w:pPr>
        <w:pStyle w:val="Heading2"/>
        <w:numPr>
          <w:ilvl w:val="1"/>
          <w:numId w:val="1"/>
        </w:numPr>
        <w:rPr/>
      </w:pPr>
      <w:bookmarkStart w:id="17" w:name="__RefHeading___Toc7531747_1051229030"/>
      <w:bookmarkStart w:id="18" w:name="_Toc6"/>
      <w:bookmarkEnd w:id="16"/>
      <w:bookmarkEnd w:id="17"/>
      <w:r>
        <w:rPr>
          <w:rtl w:val="true"/>
        </w:rPr>
        <w:t>الخطاب في اللغة</w:t>
      </w:r>
      <w:bookmarkEnd w:id="1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الخِطَابُ بكسر الخاء وتخفيف الطاء هو مراجعة الكلام، وفعله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ومصدره خُطبةٌ من الكلام، وخِطبةٌ لطلب المرأة</w:t>
      </w:r>
      <w:r>
        <w:rPr>
          <w:rStyle w:val="FootnoteAnchor"/>
          <w:rtl w:val="true"/>
        </w:rPr>
        <w:footnoteReference w:id="2"/>
      </w:r>
      <w:r>
        <w:rPr>
          <w:rFonts w:ascii="Amiri" w:hAnsi="Amiri" w:eastAsia="Amiri" w:cs="Amiri"/>
          <w:color w:val="111111"/>
          <w:sz w:val="28"/>
          <w:sz w:val="28"/>
          <w:szCs w:val="28"/>
          <w:rtl w:val="true"/>
          <w:lang w:bidi="ar-SA"/>
        </w:rPr>
        <w:t xml:space="preserve">، ويكون مصدراً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خاطَبَهُ يُخَاطبهُ مخاطبً، وخِطاباً</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يقع؛ وإنما سُمَّي بذلك لما يقعُ فيه من التخاطب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والمراجعة</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وَخَاطَبَهُ أحسن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واجَهَهُ بالكلام</w:t>
      </w:r>
      <w:r>
        <w:rPr>
          <w:rStyle w:val="FootnoteAnchor"/>
          <w:rtl w:val="true"/>
        </w:rPr>
        <w:footnoteReference w:id="5"/>
      </w:r>
      <w:r>
        <w:rPr>
          <w:rFonts w:ascii="Amiri" w:hAnsi="Amiri" w:eastAsia="Amiri" w:cs="Amiri"/>
          <w:color w:val="111111"/>
          <w:sz w:val="28"/>
          <w:sz w:val="28"/>
          <w:szCs w:val="28"/>
          <w:rtl w:val="true"/>
          <w:lang w:bidi="ar-SA"/>
        </w:rPr>
        <w:t>، وقد خَاطَبَه بالكلام مخاطبةً وخَاطَبَةُ وهما يتخاطَبانِ أي وجَّه أحدُهمُا كلاماً للآخر</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المعنى اللغويّ يتجلَّى لنا أنَّ الخِطاب يتطلَّب مُخاطِباً ومُخَاطَبًا وكلامًا يُؤلَّف مادةَ الخِطَاب ومحتواه ودلالته، وهذه الأمور ما اصطُلح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أركان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سيتبين لنا في مفهوم </w:t>
      </w:r>
      <w:bookmarkStart w:id="19" w:name="pg10767_94971"/>
    </w:p>
    <w:p>
      <w:pPr>
        <w:pStyle w:val="BookText"/>
        <w:rPr/>
      </w:pPr>
      <w:bookmarkEnd w:id="19"/>
      <w:r>
        <w:rPr>
          <w:rFonts w:ascii="Amiri" w:hAnsi="Amiri" w:eastAsia="Amiri" w:cs="Amiri"/>
          <w:color w:val="111111"/>
          <w:sz w:val="28"/>
          <w:sz w:val="28"/>
          <w:szCs w:val="28"/>
          <w:rtl w:val="true"/>
          <w:lang w:bidi="ar-SA"/>
        </w:rPr>
        <w:t>الخِطاب ودلالته الاصطلاحِييَّن</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7531749_1051229030"/>
      <w:bookmarkStart w:id="21" w:name="_Toc7"/>
      <w:bookmarkEnd w:id="20"/>
      <w:r>
        <w:rPr>
          <w:rtl w:val="true"/>
        </w:rPr>
        <w:t>الخطاب في الاصطلاح</w:t>
      </w:r>
      <w:r>
        <w:rPr>
          <w:rtl w:val="true"/>
        </w:rPr>
        <w:t>:</w:t>
      </w:r>
      <w:bookmarkEnd w:id="21"/>
    </w:p>
    <w:p>
      <w:pPr>
        <w:pStyle w:val="BookText"/>
        <w:rPr/>
      </w:pPr>
      <w:r>
        <w:rPr>
          <w:rFonts w:ascii="Amiri" w:hAnsi="Amiri" w:eastAsia="Amiri" w:cs="Amiri"/>
          <w:color w:val="111111"/>
          <w:sz w:val="28"/>
          <w:sz w:val="28"/>
          <w:szCs w:val="28"/>
          <w:rtl w:val="true"/>
          <w:lang w:bidi="ar-SA"/>
        </w:rPr>
        <w:t>يتَّصل مفهوم الخطاب الاصطلاحيّ بفهمومه اللغويّ، فقد عُرَّف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توجيهُ الكلام نحو الغير للإفهام، ثم نُقِل إلى الكلام الُموَجه نحو الغير للإفهام وقد يُعبَر عنه بما يقع به التخاطب</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وقد ربَط علماء اللغة القدماء بين هذا المفهوم وبين تعبير القرآن الكريم فصل الخطاب الذي وصف به النبي داود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وَشَدَدْنَا مُلْكَهُ وَآتَيْنَاهُ الْحِكْمَةَ وَفَصْلَ الْخِطَابِ</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على الرغم من </w:t>
      </w:r>
    </w:p>
    <w:p>
      <w:pPr>
        <w:pStyle w:val="BookText"/>
        <w:rPr/>
      </w:pPr>
      <w:r>
        <w:rPr>
          <w:rFonts w:ascii="IRNazanin" w:hAnsi="IRNazanin" w:eastAsia="IRNazanin"/>
          <w:color w:val="111111"/>
          <w:sz w:val="28"/>
          <w:sz w:val="28"/>
          <w:szCs w:val="28"/>
          <w:rtl w:val="true"/>
          <w:lang w:bidi="fa-IR"/>
        </w:rPr>
        <w:t>دلالته المتنوعة عند المفسرین</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جریر بن یزید بن کثیر بن غالب الآملي، أبو جعفر الطبري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الله بن عبد المحسن التركي، دار هجر للطباعة والنشر والتوزيع والإعلان،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49/20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والكشف والبيان عن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إبراهيم الثعلبي، أبو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أبي محمد بن عاشور، دار إحياء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ھ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المظفر، منصور بن محمد بن عبد الجبار ابن أحمد المروزى السمعاني التميميّ الحنفيّ ثمّ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بن إبراهيم وغنيم بن عباس بن غنيم، دار الوطن،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السعودية،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341</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إذ وردَ عن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 الذي نقله عن عمرو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أوتيتَ تقديرَ حُجّة الله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عقول المكلّفين المريدين، بالألفاظ المستحسنة في الآذانِ المقبولة عند الأذهان رغبةٌ في سرعِة استجابتهم نفي الشواغل عن قلوبهم بالموعظة الحسنة على الكتاب والسنة كُنتَ قد أوتيتَ فَصَلَ الخِطَاب</w:t>
      </w:r>
      <w:r>
        <w:rPr>
          <w:rStyle w:val="FootnoteAnchor"/>
          <w:rtl w:val="true"/>
        </w:rPr>
        <w:footnoteReference w:id="10"/>
      </w:r>
      <w:r>
        <w:rPr>
          <w:rFonts w:ascii="Amiri" w:hAnsi="Amiri" w:eastAsia="Amiri" w:cs="Amiri"/>
          <w:color w:val="111111"/>
          <w:sz w:val="28"/>
          <w:sz w:val="28"/>
          <w:szCs w:val="28"/>
          <w:rtl w:val="true"/>
          <w:lang w:bidi="ar-SA"/>
        </w:rPr>
        <w:t xml:space="preserve">، ولا يخفى أن الجاحظ هنا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تجتمع فيه الصنعة اللفظيّة والحجة المقنعة مع عدم الإثقال على السامع</w:t>
      </w:r>
      <w:r>
        <w:rPr>
          <w:rStyle w:val="FootnoteAnchor"/>
          <w:rtl w:val="true"/>
        </w:rPr>
        <w:footnoteReference w:id="11"/>
      </w:r>
      <w:r>
        <w:rPr>
          <w:rFonts w:ascii="IRNazanin" w:hAnsi="IRNazanin" w:eastAsia="IRNazanin"/>
          <w:color w:val="111111"/>
          <w:sz w:val="28"/>
          <w:sz w:val="28"/>
          <w:szCs w:val="28"/>
          <w:rtl w:val="true"/>
          <w:lang w:bidi="fa-IR"/>
        </w:rPr>
        <w:t>، وقد توسَّعَ الزمخشري في بيان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دلالته تتکِیُ على البلاغة في إيصال المعنى مع مراعاة حال المخاطبين،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فمعنى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البين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الكلام الملخص الذي يتبينه من يخاطب به لا يلتبس عليه، ومن فصل الخطاب وملخصه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يخطئ صاحبه مظان الفصل والوصل، فلا يقف في كلمة الشهادة على المستثنى منه، ولا يتلو قوله فَوَيلٌ لِلمُصَلَّينَ إلا موصولا با بعده، ولا وَاللهَّ يَعلَمُ وَأَنتُم حتی یصله بقوله لا تَعلَمُونَ ونحو ذلك، وكذلك مظانّ العطف وتركه، والإضمار والإظهار والحذف والتكرار، وإن شئت كان الفصل بمعنى الفاصل، كالصوم والزور، وأردت بفصل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الفاصل من الخطاب الذي يفصل بين الصحيح والفاسد، والحق والباطل، والصواب والخطأ</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 xml:space="preserve">و دلالة </w:t>
      </w:r>
    </w:p>
    <w:p>
      <w:pPr>
        <w:pStyle w:val="BookText"/>
        <w:rPr/>
      </w:pPr>
      <w:r>
        <w:rPr>
          <w:rFonts w:ascii="Amiri" w:hAnsi="Amiri" w:eastAsia="Amiri" w:cs="Amiri"/>
          <w:color w:val="111111"/>
          <w:sz w:val="28"/>
          <w:sz w:val="28"/>
          <w:szCs w:val="28"/>
          <w:rtl w:val="true"/>
          <w:lang w:bidi="ar-SA"/>
        </w:rPr>
        <w:t>الخطاب هذه يقترب بها الزمخشريّ من دلالته عند المحدثين فالخطاب على وفق هذا المفهوم كل كلام واضح يتجنب الغموض والإبهام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وتَكلَّم ابنُ فارس عن أحوال الخطاب بين المتكلَّم والسامع أو المخاطب أو المتلقي فذكر أين من البيان معرفة تلك الأحوال لأنها توضح المعنى وتكشف الدلالة، لأنَّ المتكلَّمَ يخاطب المفرد أو المثنی أو الجمع بغير ما وضِعَ له في اللغة؛ لإضفاء معانٍ أخرى تزيد البيان و تحقق الإفهام</w:t>
      </w:r>
      <w:r>
        <w:rPr>
          <w:rStyle w:val="FootnoteAnchor"/>
          <w:rtl w:val="true"/>
        </w:rPr>
        <w:footnoteReference w:id="14"/>
      </w:r>
      <w:r>
        <w:rPr>
          <w:rFonts w:ascii="Amiri" w:hAnsi="Amiri" w:eastAsia="Amiri" w:cs="Amiri"/>
          <w:color w:val="111111"/>
          <w:sz w:val="28"/>
          <w:sz w:val="28"/>
          <w:szCs w:val="28"/>
          <w:rtl w:val="true"/>
          <w:lang w:bidi="ar-SA"/>
        </w:rPr>
        <w:t xml:space="preserve">، مُعَبراً في ذلك عن معنى الخِطَاب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حالات الكلام</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وربطَ عبد 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الخِطَاب بالنظم</w:t>
      </w:r>
      <w:r>
        <w:rPr>
          <w:rStyle w:val="FootnoteAnchor"/>
          <w:rtl w:val="true"/>
        </w:rPr>
        <w:footnoteReference w:id="16"/>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الكلم بعضها ببعض وجعل بعضها بسبب من بعض</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والذي يتضح لنا من خلال كلام الجرجاني أَن الخِطاب عنده يخضع إلى نظام الاتساق والترابط والانسجام بين أجزائه، وبذلك لا يتعدى الخِطَابُ كونه مستوىً تعبيرياً قادراً على شدَّ انتباه المتلقي والتأثير فيه، فضلا عن توظيف معطيات جماليّة تضفي عليه سات تتمثلُ بالإمتاع</w:t>
      </w:r>
      <w:r>
        <w:rPr>
          <w:rStyle w:val="FootnoteAnchor"/>
          <w:rtl w:val="true"/>
        </w:rPr>
        <w:footnoteReference w:id="18"/>
      </w:r>
      <w:r>
        <w:rPr>
          <w:rFonts w:ascii="Amiri" w:hAnsi="Amiri" w:eastAsia="Amiri" w:cs="Amiri"/>
          <w:color w:val="111111"/>
          <w:sz w:val="28"/>
          <w:sz w:val="28"/>
          <w:szCs w:val="28"/>
          <w:rtl w:val="true"/>
          <w:lang w:bidi="ar-SA"/>
        </w:rPr>
        <w:t xml:space="preserve">، فهو عملية أَداء وإِيصال </w:t>
      </w:r>
    </w:p>
    <w:p>
      <w:pPr>
        <w:pStyle w:val="BookText"/>
        <w:rPr/>
      </w:pPr>
      <w:r>
        <w:rPr>
          <w:rFonts w:ascii="Amiri" w:hAnsi="Amiri" w:eastAsia="Amiri" w:cs="Amiri"/>
          <w:color w:val="111111"/>
          <w:sz w:val="28"/>
          <w:sz w:val="28"/>
          <w:szCs w:val="28"/>
          <w:rtl w:val="true"/>
          <w:lang w:bidi="ar-SA"/>
        </w:rPr>
        <w:t>رسالةٍ من متكلم إلى مخاطَب لتحقيق أغراضٍ معينةٍ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وأعطى الدارسون والباحثون الغربيّون تعريفات متعددة للخطاب وتباينوا في مفهومه، فالخطاب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 سوسير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w:t>
      </w:r>
      <w:r>
        <w:rPr>
          <w:rStyle w:val="FootnoteAnchor"/>
          <w:rtl w:val="true"/>
        </w:rPr>
        <w:footnoteReference w:id="19"/>
      </w:r>
      <w:r>
        <w:rPr>
          <w:rFonts w:ascii="Amiri" w:hAnsi="Amiri" w:eastAsia="Amiri" w:cs="Amiri"/>
          <w:color w:val="111111"/>
          <w:sz w:val="28"/>
          <w:sz w:val="28"/>
          <w:szCs w:val="28"/>
          <w:rtl w:val="true"/>
          <w:lang w:bidi="ar-SA"/>
        </w:rPr>
        <w:t xml:space="preserve">، وعند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لغويَّة ينتجها المتكلم تتجاوز في أبعادها الجملة والرسالة</w:t>
      </w:r>
      <w:r>
        <w:rPr>
          <w:rStyle w:val="FootnoteAnchor"/>
          <w:rtl w:val="true"/>
        </w:rPr>
        <w:footnoteReference w:id="20"/>
      </w:r>
      <w:r>
        <w:rPr>
          <w:rFonts w:ascii="Amiri" w:hAnsi="Amiri" w:eastAsia="Amiri" w:cs="Amiri"/>
          <w:color w:val="111111"/>
          <w:sz w:val="28"/>
          <w:sz w:val="28"/>
          <w:szCs w:val="28"/>
          <w:rtl w:val="true"/>
          <w:lang w:bidi="ar-SA"/>
        </w:rPr>
        <w:t xml:space="preserve">، وعند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لغويَّة تنتجها لغة جماعيَّة فهو فعلٌ کلامیٌّ منطوق يتطلب راویًا مؤثرًا في الآخر ومستمعًا</w:t>
      </w:r>
      <w:r>
        <w:rPr>
          <w:rStyle w:val="FootnoteAnchor"/>
          <w:rtl w:val="true"/>
        </w:rPr>
        <w:footnoteReference w:id="21"/>
      </w:r>
      <w:r>
        <w:rPr>
          <w:rFonts w:ascii="Amiri" w:hAnsi="Amiri" w:eastAsia="Amiri" w:cs="Amiri"/>
          <w:color w:val="111111"/>
          <w:sz w:val="28"/>
          <w:sz w:val="28"/>
          <w:szCs w:val="28"/>
          <w:rtl w:val="true"/>
          <w:lang w:bidi="ar-SA"/>
        </w:rPr>
        <w:t xml:space="preserve">، 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بيار شاردو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الاستعمال اللغوي المجمع عليه، والمقام الخطابيّ</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 الخِطاب هو النتاجات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الفكرّية التي يُرادُ إيصالها إلى متلق عبر نصوص مكتوبة أو مسموعة أو مرئية تقدم موقف شمولية أو جزئيا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مشكلة قائمة أو مفترضة أي ما يقدم من الفكر وجهة نظر في موضوع ما</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تعبيرٍ متقن ومضبوط </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وعلاقةً الفكر بالخِطَاب علاقةٌ وطيدة، ومن خلال الخِطًاب يتجلّى لنا الفكر</w:t>
      </w:r>
      <w:r>
        <w:rPr>
          <w:rFonts w:eastAsia="Amiri" w:cs="Amiri" w:ascii="Amiri" w:hAnsi="Amiri"/>
          <w:color w:val="111111"/>
          <w:sz w:val="28"/>
          <w:szCs w:val="28"/>
          <w:rtl w:val="true"/>
          <w:lang w:bidi="ar-SA"/>
        </w:rPr>
        <w:t xml:space="preserve">. </w:t>
      </w:r>
      <w:bookmarkStart w:id="22" w:name="pg10767_94979"/>
    </w:p>
    <w:p>
      <w:pPr>
        <w:pStyle w:val="BookText"/>
        <w:rPr/>
      </w:pPr>
      <w:bookmarkEnd w:id="22"/>
      <w:r>
        <w:rPr>
          <w:rFonts w:ascii="Amiri" w:hAnsi="Amiri" w:eastAsia="Amiri" w:cs="Amiri"/>
          <w:color w:val="111111"/>
          <w:sz w:val="28"/>
          <w:sz w:val="28"/>
          <w:szCs w:val="28"/>
          <w:rtl w:val="true"/>
          <w:lang w:bidi="ar-SA"/>
        </w:rPr>
        <w:t>ولكنَّ النتاج الفكري لا يمكن أن يُعدَّ خِطَاباً إِلا بوجود المتلقي لهذا النتاج؛ لأنَّ الخِطَابَ يُعَبِرَ عن علاقة بين المنشئ الذي لديه الرغبة في إيصال الفكرة والمتلقي الذي يتلقى هذه الفكرة سواء كان هذا التلقي إيجابا أم سلباً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 w:name="__RefHeading___Toc7531751_1051229030"/>
      <w:bookmarkStart w:id="24" w:name="_Toc8"/>
      <w:bookmarkEnd w:id="23"/>
      <w:r>
        <w:rPr>
          <w:rtl w:val="true"/>
        </w:rPr>
        <w:t>أركان الخِطاب</w:t>
      </w:r>
      <w:r>
        <w:rPr>
          <w:rtl w:val="true"/>
        </w:rPr>
        <w:t>:</w:t>
      </w:r>
      <w:bookmarkEnd w:id="2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جسرٌ ممدود بين شخصين محددين اجتماعيا </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لذلك يقتضي وجود مخاطِب يقوم المخاطب بتوجيه الإرسال إليه</w:t>
      </w:r>
      <w:r>
        <w:rPr>
          <w:rStyle w:val="FootnoteAnchor"/>
          <w:rtl w:val="true"/>
        </w:rPr>
        <w:footnoteReference w:id="27"/>
      </w:r>
      <w:r>
        <w:rPr>
          <w:rFonts w:ascii="Amiri" w:hAnsi="Amiri" w:eastAsia="Amiri" w:cs="Amiri"/>
          <w:color w:val="111111"/>
          <w:sz w:val="28"/>
          <w:sz w:val="28"/>
          <w:szCs w:val="28"/>
          <w:rtl w:val="true"/>
          <w:lang w:bidi="ar-SA"/>
        </w:rPr>
        <w:t xml:space="preserve">؛ لأن المتكلمَ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بعملية التركيب أي صياغة المفاهيم والمتصورّات المجردة في نسقٍ كلامي محسوس ينقلُ عبر القناة الحسية بواسطة الأداة اللسانية، وأما المتقبلُ وهو المخاطب يقوم بعملية التفكيك</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وبذلك تكون مهمة المخِاطب هي النقل الفعّال للمعلومات، أي إنَّ ما يوجهه يشترط فيه الوضوح حتى يتلقاه المخاطَب من دون عناء</w:t>
      </w:r>
      <w:r>
        <w:rPr>
          <w:rStyle w:val="FootnoteAnchor"/>
          <w:rtl w:val="true"/>
        </w:rPr>
        <w:footnoteReference w:id="29"/>
      </w:r>
      <w:r>
        <w:rPr>
          <w:rFonts w:ascii="IRNazanin" w:hAnsi="IRNazanin" w:eastAsia="IRNazanin"/>
          <w:color w:val="111111"/>
          <w:sz w:val="28"/>
          <w:sz w:val="28"/>
          <w:szCs w:val="28"/>
          <w:rtl w:val="true"/>
          <w:lang w:bidi="fa-IR"/>
        </w:rPr>
        <w:t>كبير قدر الإمكان أي يشترط في الخِطَاب أن يكون ضمن المنظومة المعرفية ليتسنی له الدخول إلى عالمه وفك رموزه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نعود إلى التراث الأدبيّ العربيّ القديم نجد ذلك مبثوثاً في كلام العلماء على مختلف اهتماماتهم، فقد اعتنی سيبويه كثيرا بالمقام والمتكلم والمخاطب في أكثرَ </w:t>
      </w:r>
    </w:p>
    <w:p>
      <w:pPr>
        <w:pStyle w:val="BookText"/>
        <w:rPr/>
      </w:pPr>
      <w:r>
        <w:rPr>
          <w:rFonts w:ascii="IRNazanin" w:hAnsi="IRNazanin" w:eastAsia="IRNazanin"/>
          <w:color w:val="111111"/>
          <w:sz w:val="28"/>
          <w:sz w:val="28"/>
          <w:szCs w:val="28"/>
          <w:rtl w:val="true"/>
          <w:lang w:bidi="fa-IR"/>
        </w:rPr>
        <w:t>من موضع</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بشر بن المعتمر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ينبغي للمتکلم أن يعرفَ أَقدار المعاني، ويوازن بينها وبين أقدار المستمعين وبين أقدار الحالات، فيجعلُ لكلَّ طبقةٍ من ذلك كلاماً، ولكلَّ حالةٍ من ذلك مقاماً، حتى يقسمَ أقدارَ الكلام على أقدارَ المعاني، ويقسم أقدارَ المعاني على أقدارِ المقامات، وأقدارَ المستمعين على أقدار تلك الحالات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والمعنى ليس يشرف بأن يكون من معاني الخاصة، وكذلك ليس يتضعُ بأَن يكون من معاني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مداُر 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الشرف على الصواب وإِحرازِ المنفعة مع موافقةِ الحال وما يجبُ لكلِ مقامٍ من مقال </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کما أشارَ الجاحظ إلى أركان الخطاب في تعريفهِ للبيان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البيان اسم جامع لكل شيء كشف لك قناع المعنى، وهتك الحجاب دون الضمير، حتی يفضي السامع إلى حقيقته ويهجم على محصوله، کائناما كان ذلك البيان، ومن أي جنس كان الدليل، لأن مدار الأمر والغاية التي يجري القائل والسامع إنما هو الفهم والإفهام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فبأي شيء بلغت الأفهام وأوضحت عن المعنى، فذلك هو البيان في ذلك الموضع </w:t>
      </w:r>
      <w:r>
        <w:rPr>
          <w:rFonts w:eastAsia="IRNazanin" w:cs="IRNazanin"/>
          <w:color w:val="111111"/>
          <w:sz w:val="28"/>
          <w:szCs w:val="28"/>
          <w:rtl w:val="true"/>
          <w:lang w:bidi="fa-IR"/>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خلال هذا القول نستطيع رصدَ عناصر الخِطَاب الممثلةَ</w:t>
      </w:r>
      <w:r>
        <w:rPr>
          <w:rStyle w:val="FootnoteAnchor"/>
          <w:rtl w:val="true"/>
        </w:rPr>
        <w:footnoteReference w:id="33"/>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فضَّل عبد القاهر الجرجاني لرأيناه يُفصلُ القول في عناصر الخطاب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 أنَّك عمدتَ إلى بيتِ شعرٍ أو فصل نثرٍ فعددتَ كلماته عدا كيف جاء واتفق، و أبطلت نضده ونظامه الذي عليه يبنی وفيه أفرع المعنى وأجرى، وغيّرتَ ترتيبَهُ الذي بخصوصيته أفاد کما أفاد، وبنسقه المخصوص أبان المراد نحو أن نقول في قفا نبك من ذكرى حبيب و منزل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قفا ذکری من نبکِ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أخرجته من مجال البيان إلى مجال الهذيان، نعم وأسقطت نِسبتَهُ من قائله، وقطعتَ الرحِمَ بينَهُ وبين منشئه، بل أحلت أن يكون له إضافة إلى قائل، ونسب يختصُ </w:t>
      </w:r>
    </w:p>
    <w:p>
      <w:pPr>
        <w:pStyle w:val="BookText"/>
        <w:rPr/>
      </w:pPr>
      <w:r>
        <w:rPr>
          <w:rFonts w:ascii="Amiri" w:hAnsi="Amiri" w:eastAsia="Amiri" w:cs="Amiri"/>
          <w:color w:val="111111"/>
          <w:sz w:val="28"/>
          <w:sz w:val="28"/>
          <w:szCs w:val="28"/>
          <w:rtl w:val="true"/>
          <w:lang w:bidi="ar-SA"/>
        </w:rPr>
        <w:t>بمتكلم</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فمن يتأمل في هذا النص يجد عناصر الخِطَاب واضحةً، وهي القائل، والمخاطَب والقول، فضلاً عن تحقيق الترابط والاتساق والانسجام بين أجزاء الكلام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 حازم القرطاجني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684</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العناصر من خلال نقده للأقاويل الشعرية، مضيفًا إليها عنصرا رابعًا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مذاهبُها وإنحاء الاعتماد فيها بحسب الجهة أَو الجهات التي يعتني فيها بإيقاع الحِيل التي هي عمدة في إنهاض النفوس لفعل شيءٍ أَو تركه أو التي هي أعوان للعمدة وتلك الجهاتُ هي مَا يرجع إلى القول نفسه وماھ يرجع إلى القائل، أو مايرجع </w:t>
      </w:r>
    </w:p>
    <w:p>
      <w:pPr>
        <w:pStyle w:val="BookText"/>
        <w:rPr/>
      </w:pPr>
      <w:r>
        <w:rPr>
          <w:rFonts w:ascii="Amiri" w:hAnsi="Amiri" w:eastAsia="Amiri" w:cs="Amiri"/>
          <w:color w:val="111111"/>
          <w:sz w:val="28"/>
          <w:sz w:val="28"/>
          <w:szCs w:val="28"/>
          <w:rtl w:val="true"/>
          <w:lang w:bidi="ar-SA"/>
        </w:rPr>
        <w:t>إلى المقول فيه، أو ما يرجع إلى المقول له</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فلو تأملنا هذا النص لوجدنا أن القرطاجني قد حدد هذه العناصر بالآتي</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يرجع إلى القول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يرجع إلى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يرجع إلى المقول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يرجع إلى المقول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وتطور مفهومُ الخِطَاب عند النقاد المحدثين اليكتسبَ دلالاتٍ متنوعة لتأثرهم بالدراسات </w:t>
      </w:r>
    </w:p>
    <w:p>
      <w:pPr>
        <w:pStyle w:val="BookText"/>
        <w:rPr/>
      </w:pPr>
      <w:r>
        <w:rPr>
          <w:rFonts w:ascii="Amiri" w:hAnsi="Amiri" w:eastAsia="Amiri" w:cs="Amiri"/>
          <w:color w:val="111111"/>
          <w:sz w:val="28"/>
          <w:sz w:val="28"/>
          <w:szCs w:val="28"/>
          <w:rtl w:val="true"/>
          <w:lang w:bidi="ar-SA"/>
        </w:rPr>
        <w:t>الأدبيّة والنقديّة الغربيّة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عَدَّ الناقدُ عبد السلام المسديّ الخطابَ الأَدبي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كياناً أفرزته علاقات معينة بموجبها التأمت أجزاؤه </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مميزا بذلك الخطاب الأدبيّ عن غيره من أنواع الخِطَاب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يغدو الخطاب هو السمة المشخصة لكل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تتنوع وسائل نقل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واطلق الباحثون المحدثون على الجهة المتلقية للخطاب تسميات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إليه، السامع، المتلقي، المخاطَب</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فالتخاطب منظومةٌ تتضمنُ عناصر متعددة هي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المتكلم الذي ينتجُ القول، والمتلقي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المستمع الذي يتلقى القول، </w:t>
      </w:r>
    </w:p>
    <w:p>
      <w:pPr>
        <w:pStyle w:val="BookText"/>
        <w:rPr/>
      </w:pPr>
      <w:r>
        <w:rPr>
          <w:rFonts w:ascii="IRNazanin" w:hAnsi="IRNazanin" w:eastAsia="IRNazanin"/>
          <w:color w:val="111111"/>
          <w:sz w:val="28"/>
          <w:sz w:val="28"/>
          <w:szCs w:val="28"/>
          <w:rtl w:val="true"/>
          <w:lang w:bidi="fa-IR"/>
        </w:rPr>
        <w:t>والموضوع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مدار الحديث الكلامي، والمقام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زمان ومكان الحدث وكذلك العلاقات بين المتفاعلين بالنظر إلى تعبيرات الوجه والإيماءات والإِشارات، والقناة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الوسيلة التي يتم بها التواصل كأن تكون كلام، كتابة، إشارة وشکل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الشكل المقصود موعظة، خطبة، رسالة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فإنَّ النص المكتوب يمثَّل شكلّا من أشكال الخطاب؛ لأنَّه ينتمي إلى الآخر، وفي النتيجة تكون شروط إمكان الخطاب هي نفسها شروط إمكان النص المكتوب</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25" w:name="pg10767_94988"/>
    </w:p>
    <w:p>
      <w:pPr>
        <w:pStyle w:val="Heading2"/>
        <w:numPr>
          <w:ilvl w:val="1"/>
          <w:numId w:val="1"/>
        </w:numPr>
        <w:rPr/>
      </w:pPr>
      <w:bookmarkStart w:id="26" w:name="__RefHeading___Toc7531753_1051229030"/>
      <w:bookmarkStart w:id="27" w:name="_Toc9"/>
      <w:bookmarkEnd w:id="25"/>
      <w:bookmarkEnd w:id="26"/>
      <w:r>
        <w:rPr>
          <w:rtl w:val="true"/>
        </w:rPr>
        <w:t>التداوليَّة</w:t>
      </w:r>
      <w:r>
        <w:rPr>
          <w:rtl w:val="true"/>
        </w:rPr>
        <w:t>:</w:t>
      </w:r>
      <w:bookmarkEnd w:id="2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التداولية جزءٌ من علم أعم هو دراسة التعامل اللغويّ الذي هو جزءٌ من التعامل الاجتماعيّ، وهذا ما ذكره أوستين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Austin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نقل اللغة من المستوى اللغوي إلى المستوى الاجتماعي الذي يدور في أفق التأثر والتأثير</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فالتداولية تعنى بالاتصال اللغوي ودراسته في إطاره الاجتماعي الذي له خصوصیَّات تؤثر في الفعل الكلامي</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وكذلك فإنَّ التداولّية تركز على الدلالة القصديَّة التي لا تتجلَّى إلا في الاتصال اللغويّ الذي يضمه مقامٌ محدد وحال معينة؛ لذلك تهتمُّ التداولية باللغة التي يستعملها المتكلم، وعوامل المقام التي تؤثّر في اختياره للأدوات والألفاظ والتراكيب المعبَّرة من مقصده ومراده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لَّخَصَ جورج يول آفاق الدرس التداوليّ أربعةِ مجالات هي</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المعنى الذي يقصدُه المتكلَّم، وكذلك دراسة المعنى كما يفهمه السامع أو </w:t>
      </w:r>
    </w:p>
    <w:p>
      <w:pPr>
        <w:pStyle w:val="BookText"/>
        <w:rPr/>
      </w:pPr>
      <w:r>
        <w:rPr>
          <w:rFonts w:ascii="Amiri" w:hAnsi="Amiri" w:eastAsia="Amiri" w:cs="Amiri"/>
          <w:color w:val="111111"/>
          <w:sz w:val="28"/>
          <w:sz w:val="28"/>
          <w:szCs w:val="28"/>
          <w:rtl w:val="true"/>
          <w:lang w:bidi="ar-SA"/>
        </w:rPr>
        <w:t>القارئ أو المخاطَب، وتحليل الالفاظ و الكليات والعبارات والتراكيب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المعنى السياقي ومعرفة ما يقصدهُ الناسُ في سياقٍ معين وكيفيةٍ خاصَّة، وتأثير السياق في الكلام والقول وهذا يتضمن آلية الكلام أو النظم وهوية صاحب النص، ومعرفة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تكلَّم؟ ومتى؟ وفي أي ظروف؟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ما يحتمله النص من دلالة وإيصاله أكثر من معنى، أي دراسة الكيفيَّة التي يصوغ بواسطتها المستمعون استدلالاتهم حول النص للوصول إلى تفسير المعنى الذي يريدهُ المتكلَّم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التعبير عن التباعد النسبيّ، فكل ما يقال ويتكلَّم به يرتبط بمفهوم التباعد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الماديّ والاجتماعّي والمفاهيميّ، وهذا يعتمد على خبرة مشتركة بين المتكلَّم و المستمع</w:t>
      </w:r>
      <w:r>
        <w:rPr>
          <w:rFonts w:eastAsia="IRNazanin" w:cs="IRNazanin"/>
          <w:color w:val="111111"/>
          <w:sz w:val="28"/>
          <w:szCs w:val="28"/>
          <w:rtl w:val="true"/>
          <w:lang w:bidi="fa-IR"/>
        </w:rPr>
        <w:t xml:space="preserve">. </w:t>
      </w:r>
      <w:bookmarkStart w:id="28" w:name="pg10767_94991"/>
    </w:p>
    <w:p>
      <w:pPr>
        <w:pStyle w:val="BookText"/>
        <w:rPr/>
      </w:pPr>
      <w:bookmarkEnd w:id="28"/>
      <w:r>
        <w:rPr>
          <w:rFonts w:ascii="Amiri" w:hAnsi="Amiri" w:eastAsia="Amiri" w:cs="Amiri"/>
          <w:color w:val="111111"/>
          <w:sz w:val="28"/>
          <w:sz w:val="28"/>
          <w:szCs w:val="28"/>
          <w:rtl w:val="true"/>
          <w:lang w:bidi="ar-SA"/>
        </w:rPr>
        <w:t xml:space="preserve">أمَّا البلاغة عند الدارسين المحدثين فلها أكثر من دلالة واحدة فقيل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القول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الوصول إلى تعديل موقف المستمع أو القارئ</w:t>
      </w:r>
      <w:r>
        <w:rPr>
          <w:rFonts w:eastAsia="Amiri" w:cs="Amiri" w:ascii="Amiri" w:hAnsi="Amiri"/>
          <w:color w:val="111111"/>
          <w:sz w:val="28"/>
          <w:szCs w:val="28"/>
          <w:rtl w:val="true"/>
          <w:lang w:bidi="ar-SA"/>
        </w:rPr>
        <w:t>)</w:t>
      </w:r>
      <w:r>
        <w:rPr>
          <w:rStyle w:val="FootnoteAnchor"/>
          <w:rtl w:val="true"/>
        </w:rPr>
        <w:footnoteReference w:id="45"/>
      </w:r>
    </w:p>
    <w:p>
      <w:pPr>
        <w:pStyle w:val="Heading2"/>
        <w:numPr>
          <w:ilvl w:val="1"/>
          <w:numId w:val="1"/>
        </w:numPr>
        <w:rPr/>
      </w:pPr>
      <w:bookmarkStart w:id="29" w:name="__RefHeading___Toc7531755_1051229030"/>
      <w:bookmarkStart w:id="30" w:name="_Toc10"/>
      <w:bookmarkEnd w:id="29"/>
      <w:r>
        <w:rPr>
          <w:rtl w:val="true"/>
        </w:rPr>
        <w:t>امتشاج التداولية والبلاغة والخطاب</w:t>
      </w:r>
      <w:r>
        <w:rPr>
          <w:rtl w:val="true"/>
        </w:rPr>
        <w:t>:</w:t>
      </w:r>
      <w:bookmarkEnd w:id="3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التداولية تعنى بالنصَّ وعناصره و العلاقة والعلاقات التي تربط بينها وتربطها بالموقف التواصل الذي ينتظم فيما يسمى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سياق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المحكم بشكل منتظم وطريقةٍ منهجيَّة منتظمة، وهذا كله يصدق عليه القول المشهور عند العرب في وصفهم للبلاغة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مقام 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المقام والمقال كلیها یرکَّزان على التشکیل اللغويّ الذي يتحيَّز في موقف مخصوص معين؛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يجعل البلاغة والتداوليَّّة متفقتان في الاعتياد على اللغة بوصفها الأداة التي بها يارس الفعل على المتلقي في موقف معين مخصوص، ومن هذا يتَّضح أن البلاغة تداولیَّة في صميمها؛ لأنها تمثل ممارسة الاتصال بين المتكلم والمخاطب والسامع، وبهذا يحل إشكال علاقتها، ويتَّضح تأثير بعضها على بعض، وتلتقي البلاغة والتداولية في الاهتمام بالعناصر التي تشترك في الانجاز اللغويّ فالبلاغة تهدف إلى إيصال المعنى إلى المخاطب والسامع في مقام مخصوص، وتعنی بالسامع في إدراك المعنى الذي يريده المتكلم في مقام معين</w:t>
      </w:r>
      <w:r>
        <w:rPr>
          <w:rStyle w:val="FootnoteAnchor"/>
          <w:rtl w:val="true"/>
        </w:rPr>
        <w:footnoteReference w:id="46"/>
      </w:r>
      <w:r>
        <w:rPr>
          <w:rFonts w:ascii="Amiri" w:hAnsi="Amiri" w:eastAsia="Amiri" w:cs="Amiri"/>
          <w:color w:val="111111"/>
          <w:sz w:val="28"/>
          <w:sz w:val="28"/>
          <w:szCs w:val="28"/>
          <w:rtl w:val="true"/>
          <w:lang w:bidi="ar-SA"/>
        </w:rPr>
        <w:t xml:space="preserve">، وهذا ما أشار إليه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كانت البلاغة في الاستماع الحسن</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فاللفظ والتركيب في الأفق البلاغيّ حين يستعملان في مكانها المناسب وسياقها المخصوص يؤديان أثرهما الفعَّال في تحقيق مقاصد المتكلم أو صاحب النص، و هذا ما ركَّزت عليه التداولیَّة؛ لأنَّها تعني بالعلاقة بين بنية النص والموقف التواصلي المرتبط به والذي قيل فيه النص، وهذا يتطابق بشكل تام مع فكرة مقتضى الحال في المفهوم البلاغيّ، والبلاغة تركٍّز على التقنيات والوسائل البلاغيَّة التي يقتضيها النص الذي ينشئه المتكلم كي يحقق غرضه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تنهض بالكشف عن مقاصد المتكلم وتبيَّن مراده من خلال العلاقة بين الفعل اللغوي والموقف الاجتماعيّ</w:t>
      </w:r>
      <w:r>
        <w:rPr>
          <w:rStyle w:val="FootnoteAnchor"/>
          <w:rtl w:val="true"/>
        </w:rPr>
        <w:footnoteReference w:id="48"/>
      </w:r>
      <w:r>
        <w:rPr>
          <w:rFonts w:ascii="Amiri" w:hAnsi="Amiri" w:eastAsia="Amiri" w:cs="Amiri"/>
          <w:color w:val="111111"/>
          <w:sz w:val="28"/>
          <w:sz w:val="28"/>
          <w:szCs w:val="28"/>
          <w:rtl w:val="true"/>
          <w:lang w:bidi="ar-SA"/>
        </w:rPr>
        <w:t xml:space="preserve">، وترتكز على اللغة، وتمثل </w:t>
      </w:r>
    </w:p>
    <w:p>
      <w:pPr>
        <w:pStyle w:val="BookText"/>
        <w:rPr/>
      </w:pPr>
      <w:r>
        <w:rPr>
          <w:rFonts w:ascii="IRNazanin" w:hAnsi="IRNazanin" w:eastAsia="IRNazanin"/>
          <w:color w:val="111111"/>
          <w:sz w:val="28"/>
          <w:sz w:val="28"/>
          <w:szCs w:val="28"/>
          <w:rtl w:val="true"/>
          <w:lang w:bidi="fa-IR"/>
        </w:rPr>
        <w:t>منهجًا معرفیًا یعنی بمن يتكلم، وبمن يقع عليه الكلام، وبما يتكلم به أي الكلام، وهو ما تدور عليه النظريَّة التداولية ويمثل أفقها الذي تخوض فيه</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تشارلز موریس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Charles Morris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مستوى آخر يضاف إلى مستويات اللغة ووسائلها في الوصول إلى المعنى وفهمه فذكر في ذلك ثلاثة مستويات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التركيب أو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بدراسة العلاقة الشكلية بين العلامات بعضها ببعض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بدراسة علاقة العلامات بما تؤول إليه من معنى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التداولية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بدراسة علاقة العلامات بمستعمليها وبمؤوليها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31" w:name="pg10767_9499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7531757_1051229030"/>
      <w:bookmarkStart w:id="33" w:name="_Toc11"/>
      <w:bookmarkEnd w:id="31"/>
      <w:bookmarkEnd w:id="32"/>
      <w:r>
        <w:rPr>
          <w:rtl w:val="true"/>
        </w:rPr>
        <w:t>المبحث الثاني</w:t>
      </w:r>
      <w:r>
        <w:rPr>
          <w:rtl w:val="true"/>
        </w:rPr>
        <w:t>:</w:t>
      </w:r>
      <w:r>
        <w:rPr>
          <w:rtl w:val="true"/>
        </w:rPr>
        <w:t xml:space="preserve">نماذج من المظاهر التداوليَّة في خطاب الإمام علي </w:t>
      </w:r>
      <w:r>
        <w:rPr>
          <w:rtl w:val="true"/>
        </w:rPr>
        <w:t>(</w:t>
      </w:r>
      <w:r>
        <w:rPr>
          <w:rtl w:val="true"/>
        </w:rPr>
        <w:t>علیه السلام</w:t>
      </w:r>
      <w:r>
        <w:rPr>
          <w:rtl w:val="true"/>
        </w:rPr>
        <w:t xml:space="preserve">) </w:t>
      </w:r>
      <w:r>
        <w:rPr>
          <w:rtl w:val="true"/>
        </w:rPr>
        <w:t xml:space="preserve">في عهده لواليه على مصر مالك بن الحارث الأشتر النخعی </w:t>
      </w:r>
      <w:r>
        <w:rPr>
          <w:rtl w:val="true"/>
        </w:rPr>
        <w:t>(</w:t>
      </w:r>
      <w:r>
        <w:rPr>
          <w:rtl w:val="true"/>
        </w:rPr>
        <w:t>رضی لله عنه</w:t>
      </w:r>
      <w:r>
        <w:rPr>
          <w:rtl w:val="true"/>
        </w:rPr>
        <w:t>)</w:t>
      </w:r>
      <w:bookmarkEnd w:id="33"/>
    </w:p>
    <w:p>
      <w:pPr>
        <w:pStyle w:val="BookText"/>
        <w:rPr/>
      </w:pPr>
      <w:r>
        <w:rPr>
          <w:rFonts w:ascii="IRNazanin" w:hAnsi="IRNazanin" w:eastAsia="IRNazanin"/>
          <w:color w:val="111111"/>
          <w:sz w:val="28"/>
          <w:sz w:val="28"/>
          <w:szCs w:val="28"/>
          <w:rtl w:val="true"/>
          <w:lang w:bidi="fa-IR"/>
        </w:rPr>
        <w:t xml:space="preserve">تضمن هذا العهد المبارك مظاهر تداوليَّة كثيرة في 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ولكننا سنقتصر على ذكر نماذج متعددة منها ودراستها انسجاماً مع الشروط المسبقة التي وضعت للبحث؛ ولضيق المكان أيضاً إذ لا تتسع صفحات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البحث لدراسة الأمثلة والشواهد التي تضمنت بعداً تداوليًا جميعها؛ لذا سندرسُها ببحثٍ مخصص نصَّفل القول فيه ونتم بیانه بشكل واسع مستقصًي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وسنبدأ بذكر هذه النماذج على وفقِ ورودها في ذلك العهد المقدَّس بدأً من أولهِ إلى منتهاه، وما تأخَّر منها سيكون ذكره مرتبطًا بما يتَّسع له البحث إن شاء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تلك المظاهر ما يأتي</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المحور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الكاتب أو صاحب النص يريد إيصال معلوماتٍ للمخاطبِ تدور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حول محور محدد أو نواة ماهو جديد أو مهم بالنسبة له وللمخاطب، وتكاد هذه الوظيفة تتجلى في كل ترکیب في العهد المقَّدس من أوَّلهِ إلى آخرهِ، فكل جملة فيها إشارة إلى قضية العهد الرئيسة التي جاء العهد لأجلها وهي تنظيم علاقة الوالي بأهل ولايته أو الراعي برعيته، واستحضار مخافة الله عزَّ وجل فيهم والإحسان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الوظيفة الأولى من الوظائف التي تؤديها التداولية</w:t>
      </w:r>
      <w:r>
        <w:rPr>
          <w:rStyle w:val="FootnoteAnchor"/>
          <w:rtl w:val="true"/>
        </w:rPr>
        <w:footnoteReference w:id="51"/>
      </w:r>
      <w:r>
        <w:rPr>
          <w:rFonts w:ascii="Amiri" w:hAnsi="Amiri" w:eastAsia="Amiri" w:cs="Amiri"/>
          <w:color w:val="111111"/>
          <w:sz w:val="28"/>
          <w:sz w:val="28"/>
          <w:szCs w:val="28"/>
          <w:rtl w:val="true"/>
          <w:lang w:bidi="ar-SA"/>
        </w:rPr>
        <w:t xml:space="preserve">، تتجلى بلاغتها في أنها جعلت العهد وحدةً محوريّة موضوعيَّة واحدة تقترب به من الوحدة المحورَّية في كلَّ سورة من سور القرآن الكريم المباركة في أولها وأوسطها وخاتمتها، فقد جاء في أول العهد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أَمَرَ بِهِ عَبْدُ اللّهِ عَلِیٌّ أَمِیرُ </w:t>
      </w:r>
    </w:p>
    <w:p>
      <w:pPr>
        <w:pStyle w:val="BookText"/>
        <w:rPr/>
      </w:pPr>
      <w:r>
        <w:rPr>
          <w:rFonts w:ascii="Amiri" w:hAnsi="Amiri" w:eastAsia="Amiri" w:cs="Amiri"/>
          <w:color w:val="111111"/>
          <w:sz w:val="28"/>
          <w:sz w:val="28"/>
          <w:szCs w:val="28"/>
          <w:rtl w:val="true"/>
          <w:lang w:bidi="ar-SA"/>
        </w:rPr>
        <w:t>الْمُؤْمِنِینَ، مَالِکَ بْنَ الْحَارِثِ الْأَشْتَرَ فِی عَهْدِهِ إِلَیْهِ، حِینَ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جِبَایَهَ خَرَاجِهَا، وَجِهَادَ عَدُوِّهَا، وَاسْتِصْلَاحَ أَهْلِهَا، وَعِمَارَهَ بِلَادِهَا، أَمَرَهُ بِتَقْوَی اللّهِ، وَإِیْثَارِ طَاعَتِهِ، وَاتِّبَاعِ مَا أَمَرَ بِهِ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الَّتِی لَایَسْعَدُ أَحَدٌ إِلَّا بِاتِّبَاعِهَا، وَلَا یَشْقَی إِلَّا مَعَ جُحُودِهَا وَإِضَاعَتِهَا، وَأَنْ یَنْصُرَ اللّهَ سُبْحَانَهُ بِقَلْبِهِ وَیَدِهِ وَلِسَانِهِ؛ فَإِنَّهُ، جَلَّ اسْمُهُ، قَدْ تَکَفَّلَ بِنَصْرِ مَنْ نَصَرَهُ، وَإِعْزَازِ مَنْ أَعَزَّهُ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یَکْسِرَ نَفْسَهُ مِنَ الشَّهَوَاتِ، وَیَزَعَهَا عِنْدَ الْجَمَحَاتِ، فَإِنَّ النَّفْسَ أَمَّارَهٌ بِالسُّوءِ، إِلَّا مَا رَحِمَ اللّهُ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أوسطهِ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اُرْدُدْ إِلَی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 رَسُولِهِ مَا یَضْلَعُکَ مِنَ اَلْخُطُوبِ وَ یَشْتَبِهُ عَلَیْکَ مِنَ اَلْأُمُورِ، فَقَدْ قَالَ اَللَّهُ سُبْحَانَهُ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فَالرَّدُّ إِلَی اَللَّهِ اَلْأَخْذُ بِمُحْکَمِ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اَلرَّدُّ إِلَی اَلرَّسُولِ اَلْأَخْذُ بِسُنَّتِهِ اَلْجَامِعَهِ غَیْرِ اَلْمُفَرِّقَهِ</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 المقدَّس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أَسْأَلُ اللّه بِسَعَهِ رَحْمَتِهِ ، وَعَظِیمِ قُدْرَتِهِ عَلَی إِعْطَاءِ کُلِّ رَغْبَهٍ ، أَنْ یُوَفِّقَنِی وَإِیَّاکَ لِمَا فیهِ رِضَاهُ ، مِنَ الاْءِقَامَهِ عَلَی الْعُذْرِ الْوَاضِحِ إِلَیْهِ وَإِلَی خَلْقِهِ ، مَعَ حُسْنِ الثَّنَاءِ فِی الْعِبَادِ ، وَجَمِیلِ الْأَثَرِ فِی الْبَلاَدِ ، وَتَمَامِ النِّعْمَهِ ، </w:t>
      </w:r>
    </w:p>
    <w:p>
      <w:pPr>
        <w:pStyle w:val="BookText"/>
        <w:rPr/>
      </w:pPr>
      <w:r>
        <w:rPr>
          <w:rFonts w:ascii="Amiri" w:hAnsi="Amiri" w:eastAsia="Amiri" w:cs="Amiri"/>
          <w:color w:val="111111"/>
          <w:sz w:val="28"/>
          <w:sz w:val="28"/>
          <w:szCs w:val="28"/>
          <w:rtl w:val="true"/>
          <w:lang w:bidi="ar-SA"/>
        </w:rPr>
        <w:t>وَتَضْعِیفِ الْکَرَامَهِ ، وَأَنْ یَخْتِمَ لِی وَلَکَ بالسَّعَادَهِ وَالشَّهَادَهِ ؛ إِنَّا إلَی اللّه راغبون، وَالسَّلاَمُ عَلَی رَسُولِ اللّهِصَلَّی اللّهُ عَلَیْهِ وَعلی آلِهِ الطَّیِّبِینَ الطَّاهِرِینَ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فالخطابُ التداولیّ في العهد كلَّه يرکَّز على محور رئیس، ويدور في أُفُقِهِ هو حسن رعاية الوالي لرعيته وإطاعة الله سبحانه فيهم؛ للفوز برضاه تعالى والقاء غَضَبهِ عزَّوجل</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وظيفةُ البؤرة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تتجلى هذه الوظيفة في ترکیب النصَّ كله من مقاطعَ متعددة تنتظم بعضها ببعض بعلاقات دلاليَّة ترجِعُ إلى وحدۃٌ دلالیَّة عليا تجمعها</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هذا واضحًا في </w:t>
      </w:r>
    </w:p>
    <w:p>
      <w:pPr>
        <w:pStyle w:val="BookText"/>
        <w:rPr/>
      </w:pPr>
      <w:r>
        <w:rPr>
          <w:rFonts w:ascii="Amiri" w:hAnsi="Amiri" w:eastAsia="Amiri" w:cs="Amiri"/>
          <w:color w:val="111111"/>
          <w:sz w:val="28"/>
          <w:sz w:val="28"/>
          <w:szCs w:val="28"/>
          <w:rtl w:val="true"/>
          <w:lang w:bidi="ar-SA"/>
        </w:rPr>
        <w:t xml:space="preserve">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اعْلَمْ یا مَالِکُ، أَنِّی قَدْ وَجَّهْتُکَ إِلَی بِلَادٍ قَدْ جَرَتْ عَلَیهَا دُوَلٌ قَبْلَکَ، مِنْ عَدْلٍ وَجَوْرٍ، وَأَنَّ النَّاسَ ینْظُرُونَ مِنْ أُمُورِکَ فِی مِثْلِ مَا کُنْتَ تَنْظُرُ فِیهِ مِنْ أُمُورِ الْوُلَاةِ قَبْلَکَ، وَ یقُولُونَ فِیکَ مَا کُنْتَ تَقُولُ فِیهِمْ، وَإِنَّمَا یسْتَدَلُّ عَلَی الصَّالِحِینَ بِمَا یجْرِی اللَّهُ لَهُمْ عَلَی أَلْسُنِ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فَلْیکُنْ أَحَبَّ الذَّخَائِرِ إِلَیکَ ذَخِیرَةُ الْعَمِلِ الصَّالِحِ، فَامْلِکْ هَوَاکَ، وَ شُحَّ بِنَفْسِکَ عَمَّا لَا یحِلُّ لَکَ، فَإِنَّ الشُّحَّ بِالنَّفْسِ الْإِنْصَافُ مِنْهَا فَیما أَحَبَّتْ أَوْ کَرِهَتْ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قَلْبَکَ الرَّحْمَهَ لِلرَّعِیَّهِ، وَالْمَحَبَّهَ لَهُمْ،وَاللُّطْفَ بِهِمْ،وَلَا تَکُونَنَّ عَلَیْهِمْ سَبُعاً ضَارِیاً تَغْتَنِمُ أَکْلَهُمْ، فَإِنَّهُمْ صِنْفَانِ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أَخٌ لَکَ فِی الدِّینِ،وَإِمَّا نَظِیرٌ لَکَ فِی الْخَلْقِ،یَفْرُطُ </w:t>
      </w:r>
    </w:p>
    <w:p>
      <w:pPr>
        <w:pStyle w:val="BookText"/>
        <w:rPr/>
      </w:pPr>
      <w:r>
        <w:rPr>
          <w:rFonts w:ascii="Amiri" w:hAnsi="Amiri" w:eastAsia="Amiri" w:cs="Amiri"/>
          <w:color w:val="111111"/>
          <w:sz w:val="28"/>
          <w:sz w:val="28"/>
          <w:szCs w:val="28"/>
          <w:rtl w:val="true"/>
          <w:lang w:bidi="ar-SA"/>
        </w:rPr>
        <w:t>مِنْهُمُ الزَّلَلُ وَ تَعْرِضُ لَهُمُ الْعِلَلُ وَ یُؤْتَی عَلَی أَیْدِیهِمْ فِی الْعَمْدِ وَ الْخَطَإِ فَأَعْطِهِمْ مِنْ عَفْوِکَ وَ صَفْحِکَ مِثْلِ الَّذِی تُحِبُّ وَ تَرْضَی أَنْ یُعْطِیَکَ اللَّهُ مِنْ عَفْوِهِ وَ صَفْحِهِ فَإِنَّکَ فَوْقَهُمْ وَ وَالِی الْأَمْرِ عَلَیْکَ فَوْقَکَ وَ اللَّهُ فَوْقَ مَنْ وَلاَّکَ وَ قَدِ اسْتَکْفَاکَ أَمْرَهُمْ وَ ابْتَلاَکَ بِهِمْ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تَنْصِبَنَّ نَفْسَکَ لِحَرْبِ اللَّهِ فَإِنَّهُ لَا یَدَ لَکَ بِنِقْمَتِهِ، وَلَا غِنَی بِکَ عَنْ عَفْوِهِ وَرَحْمَتِه وَلَا تَنْدَمَنَّ عَلَی عَفْوٍ، وَلَا تَبْجَحَنَّ بِعُقُوبَهٍ، وَلَا تُسْرِعَنَّ إِلَی بَادِرَهٍ وَجَدْتَ مِنْهَا مَنْدُوحَهً، وَلَا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مُؤَمَّرٌ آمُرُ فَأُطَاعُ، فَإِنَّ ذلِکَ إِدْغَالٌ فِی الْقَلْبِ، وَمَنْهَکَهٌ لِلدِّینِ، وَتَقَرُّبٌ مِنَ الْغِیَرِ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أَحْدَثَ لَکَ مَا أَنْتَ فِیهِ مِنْ سُلْطَانِکَ أُبَّهَهً أَوْ مَخِیلَهً، فَانْظُرْ إِلَی عِظَمِ مُلْکِ اللَّهِ فَوْقَکَ، وَقُدْرَتِهِ </w:t>
      </w:r>
    </w:p>
    <w:p>
      <w:pPr>
        <w:pStyle w:val="BookText"/>
        <w:rPr/>
      </w:pPr>
      <w:r>
        <w:rPr>
          <w:rFonts w:ascii="Amiri" w:hAnsi="Amiri" w:eastAsia="Amiri" w:cs="Amiri"/>
          <w:color w:val="111111"/>
          <w:sz w:val="28"/>
          <w:sz w:val="28"/>
          <w:szCs w:val="28"/>
          <w:rtl w:val="true"/>
          <w:lang w:bidi="ar-SA"/>
        </w:rPr>
        <w:t xml:space="preserve">مِنْکَ عَلَی مَا لَا تَقْدِرُ عَلَیْهِ مِنْ نَفْسِکَ، فَإِنَّ ذلِکَ یُطَامِنُ إِلَیْکَ مِنْ طِمَاحِکَ، وَیَکُفُّ عَنْکَ مِنْ غَرْبِکَ، وَیَفِی ءُ إِلَیْکَ بِمَا عَزَبَ عَنْکَ مِنْ عَقْلِکَ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هذه النصوص الثلاثة نجد كُلَّ جملةٍ وكُلّ ترکيب فيها يتضمنا دلالة جزئيَّة ترتبط بالدلالة التي قبلها والتي بعدها برباط دلاليّ عام يتشکَّل بجمع تلك الدلالات، فيمثل هذا النص أوذاك فالنص الأول تكاد تكون بؤره الدلاليّة ذاتيَّة متوجَّةً إلى المخاطب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تدعوه إلى الاعتبار والموعظة بمن سبقه من الولاة والدول، وتحذره من نفسهِ واتباع هواها </w:t>
      </w:r>
    </w:p>
    <w:p>
      <w:pPr>
        <w:pStyle w:val="BookText"/>
        <w:rPr/>
      </w:pPr>
      <w:r>
        <w:rPr>
          <w:rFonts w:ascii="Amiri" w:hAnsi="Amiri" w:eastAsia="Amiri" w:cs="Amiri"/>
          <w:color w:val="111111"/>
          <w:sz w:val="28"/>
          <w:sz w:val="28"/>
          <w:szCs w:val="28"/>
          <w:rtl w:val="true"/>
          <w:lang w:bidi="ar-SA"/>
        </w:rPr>
        <w:t>وشهواتها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الثاني تتمركز دلالته على علاقة الوالي بالرعية، وكيف يجب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النص الثالث تتمركز الدلالة حول تحذير الوالي أو الملك أو السلطان من عصيان الله عزَّو جل و التعالي الاختيال والتكبّر والتجبر في أقوالهُ وأفعاله مع الرعيَّة أو مع الله سبحانه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التودد 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بالمخاطّب والعناية به وإظهارُ التَّوددِ له واحترامُهُ كلُّ ذلك يمثَّل مظهرًا تداولیًّاله أثرٌ كبيرٌ في التأثير على المخاطَبِ واستمالتهِ واقناعهِ بالرسالةِ التي يقصدُها المتكلَّم أو صاحب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وفهم محتواها ومعانيها، وهو ما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 التأدُّب</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هذا يُعدُّ منهجاً تربوًّیا صائبًا مثمراً في إحداث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التغيير المطلوب في عمليَّة التربية والتعليم على اختلافِ مستوياتها ومراحلها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نقرأُعهد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نستشفُّ حضور هذا الجانب في كلَّ فِقرةٍ من فقراته على طولهِ وامتداډير على الرغم من كثرة أساليب الأمر والنهي الحقيقييَّنِ، فقد حرصَ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ابداء جانب العطف والرعايةِ والتودد بمن يخاطبُهُ ويستمع إليهُ – وهذا شأنُهُ مع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ينشدُ الإصلاح في كلَّ شيء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أمثلةِ 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وَلْیَکُنْ آثَرُ رُؤُوسِ جُنْدِکَ عِنْدَکَ مَنْ وَاسَاهُمْ فِی مَعُونَتِهِ، وَأَفْضَلَ عَلَیْهِمْ مِنْ جِدَتِهِ، بِمَا یَسَعُهُمْ وَیَسَعُ مَنْ وَرَاءَهُمْ مِنْ خُلُوفِ أَهْلِیهِمْ، حَتَّی یَکُونَ هَمَّهُمْ هَمّاً وَاحِداً فِی جِهَادِ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عَطْفَکَ عَلَیْهِمْ یَعْطِفُ قُلُوبَهُمْ عَلَیْکَ، وَإِنَّ أَفْضَلَ قُرَّهِ عَیْنِ الْوُلَاهِ اسْتِقَامَهُ الْعَدْلِ فِی الْبِلَادِ، وَظُهُورُ مَوَدَّهِ الرَّعِیَّهِ وَإِنَّهُ لَا </w:t>
      </w:r>
    </w:p>
    <w:p>
      <w:pPr>
        <w:pStyle w:val="BookText"/>
        <w:rPr/>
      </w:pPr>
      <w:r>
        <w:rPr>
          <w:rFonts w:ascii="Amiri" w:hAnsi="Amiri" w:eastAsia="Amiri" w:cs="Amiri"/>
          <w:color w:val="111111"/>
          <w:sz w:val="28"/>
          <w:sz w:val="28"/>
          <w:szCs w:val="28"/>
          <w:rtl w:val="true"/>
          <w:lang w:bidi="ar-SA"/>
        </w:rPr>
        <w:t>تَظْهَرُ مَوَدَّتُهُمْ إِلَّا بِسَلَامَهِ صُدُورِهِمْ، وَلَا تَصِحُّ نَصِیحَتُهُمْ إِلَّا بِحِیطَتِهِمْ عَلَی وُلَاهِ الْأُمُورِ، وَقِلَّهِ اسْتِثْقَالِ دُوَلِهِمْ، وَتَرْکِ اسْتِبْطَاءِ انْقِطَاعِ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فَافْسَحْ فِی آمَالِهِمْ، وَوَاصِلْ فِی حُسْنِ الثَّنَاءِ عَلَیْهِمْ، وَتَعْدِیدِ مَا أَبْلَی ذُوُو الْبَلَاءِ مِنْهُمْ؛ فَإِنَّ کَثْرَهَ الذِّکْرِ لِحُسْنِ أَفْعَالِهِمْ تَهُزُّ الشُّجَاعَ، وَتُحَرِّضُ النَّاکِلَ،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اعْرِفْ لِکُلِّ امْرِئٍ مِنْهُمْ مَا أَبْلَی، وَلَا تَضُمَّنَّ بَلَاءَ امْرِئٍ إِلَی غَیْرِهِ، وَلَا تُقَصِّرَنَّ بِهُ دُونَ غَایَهِ بَلَائِهِ، وَلَا یَدْعُوَنَّکَ شَرَفُ امْرِئٍ إِلَی أَنْ تُعْظِمَ مِنْ بَلَائِهِ ما کان عظیما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06/1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وَإِيَّاکَ وَالاِسْتِئْثَارَ بِمَا النَّاسُ فِيهِ أُسْوَةٌ، وَالتَّغَابِيَ عَمَّا تُعْنَى بِهِ مِمَّا قَدْ وَضَحَ لِلْعُيُونِ، فَإِنَّهُ </w:t>
      </w:r>
    </w:p>
    <w:p>
      <w:pPr>
        <w:pStyle w:val="BookText"/>
        <w:rPr/>
      </w:pPr>
      <w:r>
        <w:rPr>
          <w:rFonts w:ascii="Amiri" w:hAnsi="Amiri" w:eastAsia="Amiri" w:cs="Amiri"/>
          <w:color w:val="111111"/>
          <w:sz w:val="28"/>
          <w:sz w:val="28"/>
          <w:szCs w:val="28"/>
          <w:rtl w:val="true"/>
          <w:lang w:bidi="ar-SA"/>
        </w:rPr>
        <w:t>مَأْخُوذٌ مِنْکَ لِغَيْرِکَ، وَعَمَّا قَلِيل تَنْکَشِفُ عَنْکَ أَغْطِيَةُ الاُمُورِ، وَيُنْتَصَفُ مِنْکَ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امْلِکْ حَمِيَّةَ أَنْفِکَ، وَسَوْرَةَ حَدِّکَ، وَسَطْوَةَ يَدِکَ وَغَرْبَ لِسَانِکَ؛ وَاحْتَرِسْ مِنْ کُلِّ ذَلِکَ بِکَفِّ الْبَادِرَةِ وَتَأْخِيرِ السَّطْوَةِ، حَتَّى يَسْکُنَ غَضَبُکَ فَتَمْلِکَ الاِخْتِيَارَ؛ وَلَنْ تَحْکُمَ ذَلِکَ مِنْ نَفْسِکَ حَتَّى تُکْثِرَ هُمُومَکَ بِذِکْرِ الْمَعَادِ إِلَى رَبِّکَ</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الفعل الكلامي الإيجابيّ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يتجلَّى هذا المظهر التداوليّ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بالأفعال الكلاميَّة الممتلئة بالمعاني والمكتنزة بالدلالات المتشابكة التي تعكسُ نظر المتكلَّم في الحياة والعالم والإنسان وتدعو المخاطَبَ إلى إمعان النظر فيها والإفادة منها والسعي للوصول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اعْلَمْ یا مَالِکُ،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أَنِّی قَدْ وَجَّهْتُکَ إِلَی بِلَادٍ قَدْ جَرَتْ عَلَیهَا دُوَلٌ قَبْلَکَ، مِنْ عَدْلٍ وَجَوْرٍ، وَأَنَّ النَّاسَ ینْظُرُونَ مِنْ أُمُورِکَ فِی مِثْلِ مَا کُنْتَ تَنْظُرُ فِیهِ مِنْ أُمُورِ الْوُلَاةِ قَبْلَکَ، وَ یقُولُونَ فِیکَ مَا کُنْتَ تَقُولُ فِیهِمْ، وَإِنَّمَا یسْتَدَلُّ عَلَی الصَّالِحِینَ بِمَا یجْرِی اللَّهُ لَهُمْ عَلَی أَلْسُنِ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فَلْیکُنْ أَحَبَّ الذَّخَائِرِ إِلَیکَ ذَخِیرَةُ الْعَمِلِ الصَّالِحِ</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لْیکُنْ أَحَبَّ الْأُمُورِ إِلَیکَ أَوْسَطُهَا فِی الْحَقِّ، وَ أَعَمُّهَا فِی الْعَدْلِ، وَأَجْمَعُهَا لِرِضَی الرَّعِیةِ، فَإِنَّ سُخْطَ الْعَامَّةِ یجْحِفُ بِرِضَی الْخَاصَّةِ، وَإِنَّ سُخْطَ الْخَاصَّةِ یغْتَفَرُ مَعَ رِضَی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أَحَدٌ مِنَ الرَّعِیةِ أَثْقَلَ عَلَی الْوَالِی مَؤُونَةً فِی الرَّخَاءِ، وَ أَقَلَّ مَعُونَةً لَهُ فِی الْبَلَاءِ، وَ أَکْرَهَ لِلْإِنْصَافِ، وَأَسْأَلَ بِالْإِلْحَافِ، وَأَقَلَّ شُکْراً عِنْدَ الْإِعْطَاءِ، وَأَبْطَأَ عُذْراً </w:t>
      </w:r>
    </w:p>
    <w:p>
      <w:pPr>
        <w:pStyle w:val="BookText"/>
        <w:rPr/>
      </w:pPr>
      <w:r>
        <w:rPr>
          <w:rFonts w:ascii="Amiri" w:hAnsi="Amiri" w:eastAsia="Amiri" w:cs="Amiri"/>
          <w:color w:val="111111"/>
          <w:sz w:val="28"/>
          <w:sz w:val="28"/>
          <w:szCs w:val="28"/>
          <w:rtl w:val="true"/>
          <w:lang w:bidi="ar-SA"/>
        </w:rPr>
        <w:t>عِنْدَ الْمَنْعِ، وَأَضْعَفَ صَبْراً عِنْدَ مُلِمَّاتِ الدَّهْرِ 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عِمَادُ الدِّینِ، وَجِمَاعُ الْمُسْلِمِینَ، وَ الْعُدَّةُ لِلْأَعْدَاءِ، الْعَامَّةُ مِنَ الْأُمَّةِ؛ فَلْیکُنْ صِغْوُکَ لَهُمْ، وَمَیلُکَ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تُدْخِلَنَّ فِي مَشُورَتِكَ بَخِيلاً يَعْدِلُ بِكَ عَنِ الْفَضْلِ وَيَعِدُكَ الْفَقْرَ وَلاَ جَبَاناً يُضعِّفُكَ عَنِ الاْمُورِ، وَلاَ حَرِيصاً يُزَيِّنُ لَكَ الشَّرَهَ بِالْجَوْرِ، فَإِنَّ الْبُخْلَ وَالْجُبْنَ وَالْحِرْصَ غَرَائِزُشَتَّى يَجْمَعُهَا سُوءُ الظَّنِّ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وُزَرَائِكَ مَنْ كَانَ لِلاْشْرَارِ قَبْلَكَ وَزِيراً، وَمَنْ شَرِكَهُمْ فِي الاْثَامِ، فَلاَ يَكُونَنَّ لَكَ بِطَانَةً فَإِنَّهُمْ أَعْوَانُ الاْثَمَةِ وَإِخْوَانُ الظَّلَمَةِ وَأَنْتَ وَاجِدٌ مِنْهُمْ خَيْرَ الْخَلَفِ مِمَّنْ لَهُ مِثْلُ آرَائِهِمْ وَنَفَاذِهِمْ، وَلَيْسَ عَلَيْهِ مِثْلُ آصَارِهِمْ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وَأَوْزَارِهِمْ وَ آثَامِهِمْ، مِمَّنْ لَمْ يُعَاوِنْ ظَالِماً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لمحمد عبده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602/3</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إِثْمِهِ، أُولئِكَ أَخَفُّ عَلَيْكَ مَؤُونَةً، وَأَحْسَنُ لَكَ مَعُونَةً، وَأَحْنَى عَلَيْكَ عَطْفاً، وَأَقَلُّ لِغَيْرِكَ إِلْفاً فَاتَّخِذْ أُولئِكَ خَاصَّةً لِخَلَوَاتِكَ وَحَفَلاَتِكَ، ثُمَّ لْيَكُنْ آثَرُهُمْ عِنْدَكَ أَقْوَلَهُمْ بِمُرِّ الْحَقِّ لَكَ، وأَقَلَّهُمْ مُسَاعَدَةً فِيَما يَكُونُ مِنْكَ مِمَّا كَرِهَ اللهُ لاِوْلِيَائِهِ، وَاقِعاً ذلِكَ مِنْ هَوَاكَ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وَالْصَقْ بِأَهْلِ الْوَرَعِ وَالصِّدْقِ، ثُمَّ رُضْهُمْ عَلَى أَلاَّ يُطْرُوكَ وَلاَ يُبَجِّحُوكَ بباطِلٍ لم تَفْعَلْهُ ، فاِنَّ كَثرَةَ الإطْراءِ تُحْدِثُ الزَّهوَ وتُدْنى مِنَ العِزّةِ</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الكلاميّ السلبيّ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يتجلى هذا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الفعل التداوليّ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بتذكير المخاطَب بالله سبحانُه وتعالى والالتزام بأوامرِه ونواهيه والتعبّد بأحكامه الشرعيَّة، و تحذير المخاطَب من غضبه عزَّ وجل وعقابهِ وما أعدَّهُ لمن خالف ذلك بهواه وعصيانه وتكبّره؛ فيخلق هذا الفعل الكلامي جوًا من القلق والخوف والرهبة فيجلب انتباه المخاطَب أو المتلقَّي ويزيدُ من جذبها نحو المتكلَّم وتُقَوّي عرى الاتصال بينهما فيؤَّدي ذلك الفعل أثرَهُ ويؤدَّي النَّصَّ رسالتَهُ وغرضَهُ في أتمَّ صورة، فيجعل ذهنها يُنشئُ تصوراتٌ متعددة وأفكارًا مختلفة تجعلها في شعور سلبيّ ناتج عمَّا ذُکِرَ من 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ومُساماهَ اللَّهِ فی عظَمتِهِ،والتّشَبُّهَ بهِ فی جَبَروتِهِ ، فإنَّ اللَّهَ یُذِلُّ کُلَّ جبّارٍ، ویُهینُ کلَّ مُختالٍ</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إیّاکَ والدِّماءَ وسَفکَها بغَیرِ حِلِّها ؛ فإنّهُ لَیسَ شَی ءٌ أدنی لِنِقمَهٍ ، ولا أعظَمَ لِتَبِعَهٍ ، ولا أحری بِزَوالِ نِعمَهٍ ، وانقِطاعِ مُدَّهٍ ، مِن سَفکِ الدِّماءِ بِغَیرِ حَقِّها، وَاللهُ سُبْحَانَهُ مُبْتَدِئٌ بِالْحُکْمِ بَيْنَ الْعِبَادِ فِيمَا تَسَافَکُوا مِنَ الدِّمَاءِ يَوْمَ الْقِيَامَةِ؛ فَلاَ تُقَوِّيَنَّ سُلْطَانَکَ بِسَفْکِ دَم حَرَام، فَإِنَّ ذَلِکَ مِمَّا يُضْعِفُهُ وَ يُوهِنُهُ، بَلْ يُزِيلُهُ وَ يَنْقُلُهُ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عُذْرَ لَکَ عِنْدَ اللهِ وَلاَ عِنْدِي فِي قَتْلِ الْعَمْدِ، لاَِنَّ فِيهِ قَوَدَ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ابْتُلِيتَ بِخَطَإ وَأَفْرَطَ عَلَيْکَ سَوْطُکَ أَوْ سَيْفُکَ أَوْ يَدُکَ بِالْعُقُوبَةِ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الْوَکْزَةِ فَمَا فَوْقَهَا مَقْتَلَةً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تَطْمَحَنَّ بِکَ نَخْوَةُ سُلْطَانِکَ عَنْ أَنْ تُؤَدِّيَ إِلَى أَوْلِيَاءِ الْمَقْتُولِ حَقَّهُمْ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وَإِيَّاکَ وَالاْعْجَابَ بِنَفْسِکَ، وَالثِّقَةَ بِمَا يُعْجِبُکَ مِنْهَا، وَ حُبَّ الاْطْرَاءِ؛ فَإِنَّ ذَلِکَ </w:t>
      </w:r>
    </w:p>
    <w:p>
      <w:pPr>
        <w:pStyle w:val="BookText"/>
        <w:rPr/>
      </w:pPr>
      <w:r>
        <w:rPr>
          <w:rFonts w:ascii="Amiri" w:hAnsi="Amiri" w:eastAsia="Amiri" w:cs="Amiri"/>
          <w:color w:val="111111"/>
          <w:sz w:val="28"/>
          <w:sz w:val="28"/>
          <w:szCs w:val="28"/>
          <w:rtl w:val="true"/>
          <w:lang w:bidi="ar-SA"/>
        </w:rPr>
        <w:t>مِنْ أَوْثَقِ فُرَصِ الشَّيْطَانِ فِي نَفْسِهِ، لِيَمْحَقَ مَا يَکُونُ مِنْ إِحْسَانِ الْمُحْسِنِينَ</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وَالْمَنَّ عَلَى رَعِيَّتِكَ بِإِحْسَانِكَ، أَوِ التَّزَيُّدَ فِيَما كَانَ مِنْ فِعْلِكَ، أَوْ أَنْ تَعِدَهُمْ فَتُتْبِعَ مَوْعِدَكَ بِخُلْفِكَ، فَإِنَّ الْمَنَّ يُبْطِلُ الاْحْسَانَ، وَالتَّزَيُّدَ يَذْهَبُ بِنُورِ الْحَقِّ، وَالخُلْفَ يُوجِبُ الْمَقْتَ عِنْدَاللهِ وَالنَّاسِ،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 التخييليّ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يتألفُ من نسقٍ من الصور التي تتركُ أثرٌا إيجابيَّا لدى المخاطَب أو الُمتلقّي، بما يحتويه من القِيَمِ الدَّينية والإنسانيَّة، والأنظمة المعرفيَّة والاجتماعية؛ فيجعلها أكثرُ اَّتصالًا بالمتكلمِ فينجذبان إليه وإلى نصَّه وينعمان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كونها مجرد إدراك حسّي لما هو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الأدبيَّة تُنَشَّط ملكاتنا وتمكّننا من إعادة خلق العالم الذي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ندعو نتاج الفَّعالية الإبداعية بالبعد الفعلي للنص الذي يمنح النص واقعيته، وهذا البعد ليس النص نفسه ولا تخيل القارئ إنه نتيجة النص والتخييل معًا</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فالتخّيل ركن أساس في النص الأدبيّ، 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لا يجد سبيله إلى الظهور إلا بتلك المفارقة البارعة التي تقوم على التخييل والتمثيل اللغوي في آن واحد</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وهذا عمل الكاتب أو صاحب النص کي يحدث </w:t>
      </w:r>
    </w:p>
    <w:p>
      <w:pPr>
        <w:pStyle w:val="BookText"/>
        <w:rPr/>
      </w:pPr>
      <w:r>
        <w:rPr>
          <w:rFonts w:ascii="Amiri" w:hAnsi="Amiri" w:eastAsia="Amiri" w:cs="Amiri"/>
          <w:color w:val="111111"/>
          <w:sz w:val="28"/>
          <w:sz w:val="28"/>
          <w:szCs w:val="28"/>
          <w:rtl w:val="true"/>
          <w:lang w:bidi="ar-SA"/>
        </w:rPr>
        <w:t>التأثير في المخاطب والمتلقي، وإنجاح عملية التواصل</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التخييل هو تظاهر أي عبارة من أفعال كلام متظاهر، بها يصف فيه الكاتب عالماً متظاهرا به أو يتظاهراً بذلك ليحاكي المواقف والعالم حين يحضر الخيال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وهذا الفعل الكلامي المتخيَّل يؤدي إلى اتساع أفق الكلام، ويفتح لغة الكلام على معانٍ ودلالات تداوليَّة متعددة، ويحرر الكلام من المنطوق الشفاهيّ، وقيود الزَّمان والمكان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وأمَرَهُ أن یکسِرَ مِن </w:t>
      </w:r>
    </w:p>
    <w:p>
      <w:pPr>
        <w:pStyle w:val="BookText"/>
        <w:rPr/>
      </w:pPr>
      <w:r>
        <w:rPr>
          <w:rFonts w:ascii="Amiri" w:hAnsi="Amiri" w:eastAsia="Amiri" w:cs="Amiri"/>
          <w:color w:val="111111"/>
          <w:sz w:val="28"/>
          <w:sz w:val="28"/>
          <w:szCs w:val="28"/>
          <w:rtl w:val="true"/>
          <w:lang w:bidi="ar-SA"/>
        </w:rPr>
        <w:t>نَفسِهِ عِندَ الشَّهَواتِ ؛ فَإِنَّ النَّفسَ أمّارَهٌ بِالسّوءِ إلّا ما رَحِمَ رَبّی ، إنَّ رَبّی غَفورٌ رَحیمٌ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صوَّر النفسَ بشيءٍ صلب قابلٍ للكسر كالعود ونحوه، فحين تمیل به إلى الشهوات يجب علیه کسرها أو الكسر منها كي تفيء إلى الصواب وتستقيمَ على الطريق الصحيح، ففي هذه الصورة الحسيَّة والوصف المادي لَمِا يُكسر إشارةٌ إلى ضرورة الكسر للنفس في حال میلها نحو الشهوات أو اقتربت من ارتكابها، كحال العود الذي لابدَّ من کسره لإصلاحه أو لجعله مفيداً ونافعًا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الحال مع الخيل الجامحة التي تمضي براكبها وقائدها صوبَ جهة لا يريدها أو لا يريد التوجُّه إليها فتجمح به نحو الهاوية أو المجهول؛ لذا عليه أن يكفَّها ويوقفها عن هذا الجموح، ويسيطر عليها </w:t>
      </w:r>
    </w:p>
    <w:p>
      <w:pPr>
        <w:pStyle w:val="BookText"/>
        <w:rPr/>
      </w:pPr>
      <w:r>
        <w:rPr>
          <w:rFonts w:ascii="Amiri" w:hAnsi="Amiri" w:eastAsia="Amiri" w:cs="Amiri"/>
          <w:color w:val="111111"/>
          <w:sz w:val="28"/>
          <w:sz w:val="28"/>
          <w:szCs w:val="28"/>
          <w:rtl w:val="true"/>
          <w:lang w:bidi="ar-SA"/>
        </w:rPr>
        <w:t>ويقودها نحو مقصده، وكذلك النفس الإنسانيُّة يجب أن يُوقِفَهَا العقلُ ويُسيطرَ عليها ويقودها نحو الصواب والصحيح والصالح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هاتين الصورتين يتجلَّى المعنى واضحًا لدى المخاطَبِ؛ لأنَّ مايدلَّان عليه من المعاني التداوليَّة التي يمارسه المخاطَبِ والمجتمع إلى اليوم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فَامْلِکْ هَوَاکَ،وَشُحَّ بِنَفْسِکَ عَمَّا لَایَحِلُّ لَکَ،فَإِنَّ الشُّحَّ بِالنَّفْسِ الْإِنْصَافُ مِنْهَا فِیمَا أَحَبَّتْ أَوْ کَرِهَتْ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قَلْبَکَ الرَّحْمَهَ لِلرَّعِیَّهِ، وَالْمَحَبَّهَ لَهُمْ،وَاللُّطْفَ بِهِمْ،وَلَا تَکُونَنَّ عَلَیْهِمْ سَبُعاً ضَارِیاً تَغْتَنِمُ أَکْلَهُمْ، فَإِنَّهُمْ صِنْفَانِ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أَخٌ لَکَ فِی الدِّینِ،وَإِمَّا نَظِیرٌ لَکَ فِی الْخَلْقِ،یَفْرُطُ مِنهم الَّزلل، تَعرضُ لُهم العِلَل</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كشيءٍ يملكه الإنسان، ومن ملك شيئًا تمكَّن منه وسيطرَ عليه وتحكَّمَ بِهِ، فإن ملكتَ الهوى الذي يُسيَّر النفسَ تمکنتَ من النفسِ وسيطرتَ عليها في كلَّ شيء فلا تجعلها تسترسل في كل شيء تحبه، ولا تجعلها تحجم عمَّا کَرِهَتهُ</w:t>
      </w:r>
      <w:r>
        <w:rPr>
          <w:rStyle w:val="FootnoteAnchor"/>
          <w:rtl w:val="true"/>
        </w:rPr>
        <w:footnoteReference w:id="76"/>
      </w:r>
      <w:r>
        <w:rPr>
          <w:rFonts w:ascii="Amiri" w:hAnsi="Amiri" w:eastAsia="Amiri" w:cs="Amiri"/>
          <w:color w:val="111111"/>
          <w:sz w:val="28"/>
          <w:sz w:val="28"/>
          <w:szCs w:val="28"/>
          <w:rtl w:val="true"/>
          <w:lang w:bidi="ar-SA"/>
        </w:rPr>
        <w:t>، وبذلك تتمكن من النجاة من المهلكات، وتتجه نحو الصواب والسَّداد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استعادة التاريخ والتراث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لذكر التاريخ وما ينطوي عليه التراث أثرٌ مهم في فهم النص وإيصال دلالاته إلى المخاطب والمتلقي، و خلق تفاعل اجتماعيٍّ وثقافيِ بين المتكلم أو صاحب النص وبين المَخاطَب أو المتلقي، وهذا يجعل الخطابَ ذا معرفة سیاقيَّة تداولیَّة بينهما فيتضح الموضوع والأيديولوجيات المتداخلة </w:t>
      </w:r>
    </w:p>
    <w:p>
      <w:pPr>
        <w:pStyle w:val="BookText"/>
        <w:rPr/>
      </w:pPr>
      <w:r>
        <w:rPr>
          <w:rFonts w:ascii="IRNazanin" w:hAnsi="IRNazanin" w:eastAsia="IRNazanin"/>
          <w:color w:val="111111"/>
          <w:sz w:val="28"/>
          <w:sz w:val="28"/>
          <w:szCs w:val="28"/>
          <w:rtl w:val="true"/>
          <w:lang w:bidi="fa-IR"/>
        </w:rPr>
        <w:t>فيه، فالذكريات والتاريخ و القارئ والمتلقي والمخاطَب بالمعلومات؛ لأنَّها تقربهم من مخزونه الثقافي الذي تَشکَّل في الماضي المشترك بينهم جميعًا وهذا يُثري عملية فهم النص ودلالاته التي يحملها الخطاب</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اعْلَمْ یَا مَالِکُ أَنِّی قَدْ وَجَّهْتُکَ إِلَی بِلاَدٍ قَدْ جَرَتْ عَلَیْهَا دُوَلٌ قَبْلَکَ مِنْ عَدْلٍ وَ جَوْرٍ وَ أَنَّ النَّاسَ یَنْظُرُونَ مِنْ أُمُورِکَ فِی مِثْلِ مَا کُنْتَ تَنْظُرُ فِیهِ مِنْ أُمُورِ لْوُلاَةِ قَبْلَکَ وَ یَقُولُونَ فِیکَ مَا کُنْتَ تَقُولُ فِیهِمْ </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فاستحضار التاريخ في هذا القول له الأثر </w:t>
      </w:r>
    </w:p>
    <w:p>
      <w:pPr>
        <w:pStyle w:val="BookText"/>
        <w:rPr/>
      </w:pPr>
      <w:r>
        <w:rPr>
          <w:rFonts w:ascii="Amiri" w:hAnsi="Amiri" w:eastAsia="Amiri" w:cs="Amiri"/>
          <w:color w:val="111111"/>
          <w:sz w:val="28"/>
          <w:sz w:val="28"/>
          <w:szCs w:val="28"/>
          <w:rtl w:val="true"/>
          <w:lang w:bidi="ar-SA"/>
        </w:rPr>
        <w:t xml:space="preserve">الكبير في إيصال المعنى المقصود والدلالة المبتغاة إلى المخاطَب، فالنص يفيد تحذير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وقعت به الدول المتعاقبة على مِصَر من الظلم والجور كي يتجنَّبه، وكذلكَ يفيد حثَّ الوالي على العمل الصالح وتحقيق العدل وإنصاف الناس</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قُمْتَ فِي صَلاَتِکَ لِلنَّاسِ، فَلاَ تَکُونَنَّ مُنَفِّراً وَلاَ مُضَيِّعاً، فَإِنَّ فِي النَّاسِ مَنْ بِهِ الْعِلَّةُ وَ لَهُ الْحَاجَةُ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وَجَّهَنِي إِلَى الْيَمَنِ کَيْفَ أُصَلِّي بِهِمْ؟فَقَالَ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بِهِمْ کَصَلاَةِ أَضْعَفِهِمْ وَ کُنْ بِالْمُؤْمِنِينَ رَحِيماً</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موققًا اجتماعًیا تاريخيًا شرعيًا من أجل إيصال المعنى والدلالة المقصودينِ إلى مخاطَبهِ مالك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وَالْوَاجِبُ عَلَیکَ أَنْ تَتَذَکَّرَ مَا مَضَی لِمَنْ تَقَدَّمَکَ مِنْ حُکُومَةٍ عَادِلَةٍ، أَوْ سُنَّةٍ فَاضِلَةٍ، أَوْ أَثَرٍ عَنْ نَبِینَا صَلَّی اللَّهُ عَلَیهِ وَآلِهِ وَسلَّم أَوْ فَرِیضَةٍ فِی کِتَابِ اللَّهِ، فَتَقْتَدِی بِمَا شَاهَدْتَ مِمَّا عَمِلْنَا بِهِ فِیهَا،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أحال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مخَاطَبَةُ إلى ذلك التاريخ الماضي کي يستفيد منه فينتفع بالشنين الصالحة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للإمام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لغيرهما من الدول العادلة الأخرى المحفوظة سيرها وأعالها في التاريخ</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السياق الاجتماعيّ والموروث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السياق الاجتماعي أداةٌ مُهمیَّةٌ في فهم الخطاب، يتجلى في القيم والأعراف الاجتماعيَّة والعادات والتقاليد، يمكَّن المتكَّم أو صاحب النص من إيصال المعنى الذي يقصده إلى المخاطَبِ والمتلقي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بالاعتماد على قراءتها وذهنها وخيالها وكفاءتها الثقافيَّة والمعرفية، والموروثُ الشعبيّ يثير المعارفَ العامَّة والخاصَّة ويحملُ معانٍي ودلالاتٍ كثيرة، يفتح أبواب الفهم ومعرفة الدلالة أمام الُمخَاطَبِ والمتلقي من أجل الوصول إلى مقاصد المتكلَّم أو صاحب النص</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يمثلاَّن مظهراً تداولا وظیفتُهُ بيان المعنى والدلالیَّة بين المتكلم والمُخاطَب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وأَشْعِرْ قَلْبِكَ الرَّحْمَةَ لِلرَّعِیَّةِ،والْمَحَبَّةَ لَهُمْ واللُّطْفَ بِهِمْ،ولَا تَكُونَنَّ عَلَيْهِمْ سَبُعاً ضَارِياً تَغْتَنِمُ أَكْلَهُمْ؛فَإِنَّهُمْ صِنْفَانِ إمَّا أَخٌ </w:t>
      </w:r>
    </w:p>
    <w:p>
      <w:pPr>
        <w:pStyle w:val="BookText"/>
        <w:rPr/>
      </w:pPr>
      <w:r>
        <w:rPr>
          <w:rFonts w:ascii="Amiri" w:hAnsi="Amiri" w:eastAsia="Amiri" w:cs="Amiri"/>
          <w:color w:val="111111"/>
          <w:sz w:val="28"/>
          <w:sz w:val="28"/>
          <w:szCs w:val="28"/>
          <w:rtl w:val="true"/>
          <w:lang w:bidi="ar-SA"/>
        </w:rPr>
        <w:t>لَكَ فِي الدِّينِ،وإِمَّا نَظِيرٌ لَكَ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فَأَعْطِهِمْ مِنْ عَفْوِكَ وصَفْحِكَ،مِثْلِ الَّذِي تُحِبُّ وتَرْضَى أَنْ يُعْطِيَكَ الله مِنْ عَفْوِه وصَفْحِه؛فَإِنَّکَ فَوْقَهُمْ،ووَالِي الأَمْرِ عَلَيْكَ فَوْقَكَ،والله فَوْقَ مَنْ وَلَّاكَ</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توظيفٌ للسياق الاجتماعي في خطابه لمالك بن الحارث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يتجلى في نقل حال الرعية والناس وواقعهم الذي يجب على الوالي مراعاته و تفهمه في إعذارهم فيه وتقبله منهم في اظهار العفو لهم واسباغ الصفحِ عليهم، وكذلك يتجلى السياق الاجتماعي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في الدين وإمَّا نظيرٌ لك في الخَلق</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فزيادٌة على كونه جاء تعليلاً لمراعاة الرعيَّة و الناس وضرورة الإحسان إليهم والرأفة بهم والعطف عليهم وإظهار المودَّة لهم من الوالي أو السلطان او الملك، فيه إشارةٌ إلى ذلك المبدأ العظيم وهو وحدة الأصل والخَلق، ووحدة الدين، الذي يقتضي المساواة بين الناس، وعدم الترفُّع عنهم والتعاليّ والتكبر عليهم؛ لأنهم النسيج الاجتماعيّ البشريّ الإنسانيّ الذي جاء منه، وينتمي إليه كلُّ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يتَّصل بالموروث الشعبيّ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تكون عليهم سبعاً ضارياً تغتنم أكلهم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ذهبَ معناه مذهَبَ الأمثال، إذ فيه إشارةٌ لا كانوا عليه قبل مجيئ الدين الإسلاميّ العظيم، إذ كان كثير منهم يمته الإغارة والسلب والنهب كالسَّبعُ حين يغير على فرائسه، ففي هاتين الجملتين رفضٌ شديدٌ لهذا العمل، وتَهکُّم كبير له، وسخرّيةٌ لاذعة لمن </w:t>
      </w:r>
    </w:p>
    <w:p>
      <w:pPr>
        <w:pStyle w:val="BookText"/>
        <w:rPr/>
      </w:pPr>
      <w:r>
        <w:rPr>
          <w:rFonts w:ascii="Amiri" w:hAnsi="Amiri" w:eastAsia="Amiri" w:cs="Amiri"/>
          <w:color w:val="111111"/>
          <w:sz w:val="28"/>
          <w:sz w:val="28"/>
          <w:szCs w:val="28"/>
          <w:rtl w:val="true"/>
          <w:lang w:bidi="ar-SA"/>
        </w:rPr>
        <w:t>يقوم بذلك من الولاة والحكَّام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ايضًا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وَلْيَكُنْ أَحَبَّ الاْمُورِ إِلَيْكَ أَوْسَطُهَا فِي الْحَقِّ، وَأَعَمُّهَا فِي الْعَدْلِ، وَأَجْمَعُهَا لِرِضَى الرَّعِيَّةِ، فَإِنَّ سُخْطَ الْعَامَّةِ يُجْحِفُ بِرِضَى الْخَاصَّةِ، وَإِنَّ سُخْطَ الْخَاصَّةِ يُغْتَفَرُ مَعَ رِضَی الْعَامَّةِ</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القول يذکَّرنا بما تعارف عليه الناس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الأمور أوسطها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هذا المعنى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فاختيار الأوسط من الأمور ليس على اطلاقه يشمل كلَّ شيء، بل أوسط الأمور في قربها من الحق</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يتجلَّى البعد التداولي في 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ربط النَّص بالسياق الاجتماعيّ؛ إذ قسَّمه على وفقِ فِقرات متعددة ثُمَّ خصَّصَ كلَّ فِقرة بطبقةٍ من طبقات المجتمع أو بفِئة من فِئاتِه، وهو ما </w:t>
      </w:r>
    </w:p>
    <w:p>
      <w:pPr>
        <w:pStyle w:val="BookText"/>
        <w:rPr/>
      </w:pPr>
      <w:r>
        <w:rPr>
          <w:rFonts w:ascii="Amiri" w:hAnsi="Amiri" w:eastAsia="Amiri" w:cs="Amiri"/>
          <w:color w:val="111111"/>
          <w:sz w:val="28"/>
          <w:sz w:val="28"/>
          <w:szCs w:val="28"/>
          <w:rtl w:val="true"/>
          <w:lang w:bidi="ar-SA"/>
        </w:rPr>
        <w:t>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الناس ثُمَّ الولاة ثُمَّ حاشية الولاة، ثم أهلَ الذَّمة من الديانات الأخرى، ثُمَّ الجنود ثُمَّ الفقراء أهل الحاجة والمسكنة، ثُمَّ الصالحين وذوي الأحساب، ثم القضاة، ثُمَّ عمال الدولة الموظفين، ثُمَّ المزارعين وأهل الخراج، ث كتاب الولاة، ثُمَ التجَّار وأهل الصناعات، ثم الطبقة السفلى وهم الذين لا حيلة لهم والمحتاجينَ والفقراء والبؤساء وأهل العاهات والمرض المزمن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الرموز لها بُعدٌ تداوليّ؛ لذا تستعمل كأدوات ووسائل في النصوص الإبلاغيَّة وفي الخطابات؛ لإيصال المعاني، فتقوم بوظيفة التوصيل والتأثير؛ لأنّ لها دلالاتٍ تداولیَّهً متعارفاً عليها بين المتكلَّم أو صاحب النصَّ وبين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المخاطَب أو المتلقي أو القارئ أو المستمع</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العهد المقدَّس نكاد لا نجد فيه مثالًا ظاهراً وواضحًا وضوحًا تامًا؛ لأن الهدف الرئيس الذي جاء لأجله، والظروف التي قيل فيها، وحال التخاطب ووظيفته اللذي سيق لهما هذا العهد تقتضي جميعها وتستعي كلها أن یکون الخطاب ولغته مباشرین و ظاهرین و واضحين فيما يحملانه من معاني ودلالات كثيرة ومتنوعة ومختلفة تبتعد عن التميز والتأويل والتورية؛ كي لا تفهم خطأ ولا تفتر باطلا ولا تؤول تأويلا فاسدا؛ فيضيع الهدف من العهد ويفقد الأثر المرجو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ولكننا قد نجد فيه دلالة رمزية أو يحتملهان منه، كقول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وَلْيَكُنْ آثَرُ رُؤُوسِ جُنْدِكَ عِنْدَكَ مَنْ وَاسَاهُمْ فِى مَعُونَتِهِ ؛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أَفْضَلَ عَلَيْهِمْ مِنْ جِدَتِهِ ، بِمَا يَسَعُهُمْ وَ يَسَعُ مَنْ وَرَاءَهُمْ مِنْ خُلُوفِ أَهْلِيهِمْ ، حَتّى يَكُونَ هَمُّهُمْ هَمّاً وَاحِداً فِى جِهَادِ الْعَدُوِّ؛ فَإِنَّ عَطْفَكَ عَلَيْهِمْ يَعْطِفُ قُلُوبَهُمْ عَلَيْك</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يَدّل على أنُّ الوالي الأمين الذي يخاف الله تعالى لا يكون غنيًا على الرغم من كونه والیًا؛ لأنَّه لا يسرق من بیت المال بدليل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يُشر إليه في ظاهر النص بالصدقة ومساعدة أهل الجنود وأسرهم کي لا يقلق الجندعلى أحوال ذويهم وأهليهم وهم في سوح المعارك يجاهدون الأعداء فيؤثر ذلك عليهم، فإذا اطمأنوا عليهم توحد همهم واقتصر على مقارعة الأعداء، فكون الوالي ليس غنيا يقربه من تحقيق العدالة بين الناس ويكون آثر في مواساتهم وعطف قلوبهم عليه بالإضافة إلى مواساة الموسرين لهم</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التحفُّظات الخطابيَّة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الأقوال المضمرة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النصوص الأدبيَّة العالية تتضمن أقوالا مضمرة لها معاني ودلالات متنوعة ومختلفة يقصدها المتكلَّم أو صاحب النص بين ألفاظ النص وتراكيبه على الرغم من عدم ذكر أقوالها، فالأقوال المضمرة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كتلة المعلومات التي يمكن للخطاب أن يحتويها، ولكن تحقيقها في الواقع يبقى رهن خصوصيات سياق الحديث</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وهذا الإضمار يتطلّب أسلوبًا خطابيًا مشحوذًا و محبوکًا بالبلاغة وتوظيفاتها الناجعة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مظهر تداولي مقيد أيضا بظروف الخطاب ومواقف وأحوال التي تستلزم الإضمار وتستدعيه على وقتی حال المتكم والتخاطب والمتلقي والمستم، فهناك أحوال تجعل الإضمار في الخِطاب ضرورة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کي يوصل الرسالة ومقصد المتكلَّم کیا یریدهُ، وهناك أحوال للخطاب تأبى الإضمارَ وتُبِعدُهُ عن ساحة النصَّ والخِطَاب؛ لأنَّ ظروفَها، وحالَ المتكلم والخاطب يقتضيان المباشرة في الكلام والوضوح والبيان في المعاني والدلالات، وهذا الاقتضاء ينافي الإضرار، وهذا الحال ينطبق بشكل تام على نص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على أركان عملية التخاطب كلها صاحب النص، المخاطب، الص، موقف الخطاب أو ظروفه؛ لذا نكاد لا تجد أمثلة للإضمار في هذا العهد المقدس؛ لأنه بيانٌ الأمور الدولة كلها و تنظیم المؤسَّاتها، وعلاقة رؤسائها بمرؤوسيها من القادِة والموظَّفين والعمِال وعامة الناس، وهذه أحوال متعددة مختلفة تقتضى المباشرة في الخِطاب، وإتمام الذكر، ووضوح الدلالة والبيان، ولكنَّنا قد نجده في جملةٍ أو جملتين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وَلْیَکُنْ أَبْعَدَ رَعِیَّتِکَ مِنکَ وَ أَشْنَأَهُمْ عِنْدَکَ أَطْلَبُهُم لِمَعایِبِ النّاسِ، فَإِنَّ فِی النّاسِ عُیُوبا الْوالی أَحَقُّ مَنْ سَتَرَها، فَلا تَکْشِفَنَّ عَمّا غابَ عَنکَ مِنها، فَإِنَّما عَلَیکَ تَطهیرُ ما ظَهَرَلَکَ وَ اللّه ُ یَحْکُمُ عَلی ما غابَ عَنکَ، فَاْستُرِ العَوْرَهَ مَا استَطَعْتَ، یَسْتُرِ اللّه ُ مِنکَ ما تُحِبُّ سَتْرَهُ مِن رَعِیَّتِکَ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 في أنواع العيوبِ، ومواطن العورةِ، ومواضع الستر، وما لا يجوز للوالي الكشف عنه، وما يجب عليه ستره، فذكر كل ذلك بصورة عامَّة، وما كان متفرَّعاً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مضمٌر معلومٌ في ذهن الُمخاطَبِ والمتلقي والسامعِ، فلا موجِبَ لذكره و لا زيادةَ بیان له، إنَّ اضمارَهُ أفصحُ وأبلغُ من ذكره</w:t>
      </w:r>
      <w:r>
        <w:rPr>
          <w:rFonts w:eastAsia="Amiri" w:cs="Amiri" w:ascii="Amiri" w:hAnsi="Amiri"/>
          <w:color w:val="111111"/>
          <w:sz w:val="28"/>
          <w:szCs w:val="28"/>
          <w:rtl w:val="true"/>
          <w:lang w:bidi="ar-SA"/>
        </w:rPr>
        <w:t xml:space="preserve">. </w:t>
      </w:r>
      <w:bookmarkStart w:id="34" w:name="pg10767_95034"/>
    </w:p>
    <w:p>
      <w:pPr>
        <w:pStyle w:val="Heading2"/>
        <w:numPr>
          <w:ilvl w:val="1"/>
          <w:numId w:val="1"/>
        </w:numPr>
        <w:rPr/>
      </w:pPr>
      <w:bookmarkStart w:id="35" w:name="__RefHeading___Toc7531759_1051229030"/>
      <w:bookmarkStart w:id="36" w:name="_Toc12"/>
      <w:bookmarkEnd w:id="34"/>
      <w:bookmarkEnd w:id="35"/>
      <w:r>
        <w:rPr>
          <w:rtl w:val="true"/>
        </w:rPr>
        <w:t>الخاتمة</w:t>
      </w:r>
      <w:bookmarkEnd w:id="36"/>
    </w:p>
    <w:p>
      <w:pPr>
        <w:pStyle w:val="BookText"/>
        <w:rPr/>
      </w:pPr>
      <w:r>
        <w:rPr>
          <w:rFonts w:ascii="Amiri" w:hAnsi="Amiri" w:eastAsia="Amiri" w:cs="Amiri"/>
          <w:color w:val="111111"/>
          <w:sz w:val="28"/>
          <w:sz w:val="28"/>
          <w:szCs w:val="28"/>
          <w:rtl w:val="true"/>
          <w:lang w:bidi="ar-SA"/>
        </w:rPr>
        <w:t xml:space="preserve">بعدَ رحلة الَمخرِ هذه في عُبابِ العهدِ المقدّس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لواليه على مِصرَ مالکِ بنِ الحارثِ الأشتر النَّخَعي؛ بحثًا عن مظاهرِ الخطاب التداولیّ وبلاغتِهِ؛ والتقاطِ دُررو و نفايه في ذلك وما سطره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بصمات أقواله المقدسة في هذا العلم اللسانيّ، وَسَأوجزُ ما رصدتُهُ من نتائجَ في متن البحثِ وصفحاته، في 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یُمثَّل هذا العهد المقدّس مصدرًا معرفيَّا عميقًا لا سبرَ أغوارِهِ ونواحيه، يَعجَزُ كلُّ من أرادَ النَّسجَ على منوالِهِ أو الإتيانَ بما يَقرُبُ منه، في الماضي والحاضر والمستقبل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يُمثَّل مصدرًا تشريعيًّا تُستَمَدِ منه القوانين و المبادئ والأنظمة الوضعيَّة لكلَّ دساتیر</w:t>
      </w:r>
    </w:p>
    <w:p>
      <w:pPr>
        <w:pStyle w:val="BookText"/>
        <w:rPr/>
      </w:pPr>
      <w:r>
        <w:rPr>
          <w:rFonts w:ascii="IRNazanin" w:hAnsi="IRNazanin" w:eastAsia="IRNazanin"/>
          <w:color w:val="111111"/>
          <w:sz w:val="28"/>
          <w:sz w:val="28"/>
          <w:szCs w:val="28"/>
          <w:rtl w:val="true"/>
          <w:lang w:bidi="fa-IR"/>
        </w:rPr>
        <w:t>السما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 منه </w:t>
      </w:r>
    </w:p>
    <w:p>
      <w:pPr>
        <w:pStyle w:val="BookText"/>
        <w:rPr/>
      </w:pPr>
      <w:r>
        <w:rPr>
          <w:rFonts w:ascii="Amiri" w:hAnsi="Amiri" w:eastAsia="Amiri" w:cs="Amiri"/>
          <w:color w:val="111111"/>
          <w:sz w:val="28"/>
          <w:sz w:val="28"/>
          <w:szCs w:val="28"/>
          <w:rtl w:val="true"/>
          <w:lang w:bidi="ar-SA"/>
        </w:rPr>
        <w:t>الدول ِوالشعوب في العالَم الإسلاميّ والعربيّ والإنسانيّ، وهو صالحٌ لذلك في كلَّ عصرٍ وزمان، في القديمِ والحديث والمستقبل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يُمثَّل تطبيقًا لكل المبادئ الإسلاميَّة الصحيحة الحلقَّة العادلة في تنظيم علاقة الناسِ بعضهم ببعض في التعامل الإنسانيّ مع الآخر، التي جاء بها القرآن الكريم، والسُّنة النبوية الصحيحة، وما ورد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يُمثَّلُ ثروةً لغوّيهٍ كبيرة تسعُ علومَ اللغةِ كلَّها، وكذلك تسمعُ الدراسات والنظريَّات والمناهج اللغوَّية الحديثة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العهد المقدَّس أنموذجا لغويَّا راقيًا تجلت فيه مظاهر النظريَّة التداولة في أبهى ألفاظها وتراكيبها وصورها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شکَّل خِطابُهُ نَسقًا تداولیًا متوازيًا </w:t>
      </w:r>
    </w:p>
    <w:p>
      <w:pPr>
        <w:pStyle w:val="BookText"/>
        <w:rPr/>
      </w:pPr>
      <w:r>
        <w:rPr>
          <w:rFonts w:ascii="Amiri" w:hAnsi="Amiri" w:eastAsia="Amiri" w:cs="Amiri"/>
          <w:color w:val="111111"/>
          <w:sz w:val="28"/>
          <w:sz w:val="28"/>
          <w:szCs w:val="28"/>
          <w:rtl w:val="true"/>
          <w:lang w:bidi="ar-SA"/>
        </w:rPr>
        <w:t>ومتساويًا في هذا العهد المقدَّس، في التعبير وإيصال المعنى والدلالة والتأثير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 المظاهر التداولیَّة في 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إطارًا تواصليَّا مستمرًا بينه وبين مخاطَبِهِ من أوَّل جملةٍ في العهد المقدَّس إلى آخر جملةٍ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المظاهر والمكونات التداولیَّة في الخطاب جعلت مواضيع العهد المقدّس تتمحور حول قضايا رئيسة تدور حولها معاني فرعية في كل فقرة من فقراته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 وظيفة البؤرة بعدٌا تداولیًا تمثّل في رفدِ المخاطَبِ بمعلوماتٍ كثيرةٍ و أخبار، فخلقت ربطاً تواصليًا بين المتُكلَّم والمخاطَب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تجلى الخطاب التداولي في هذا العهد المقدّس بالأفعال الكلاميَّة المباشرة بنسبةٍ كبيرة جدا كأفعال الأمر، والنهي، والتحذير، </w:t>
      </w:r>
    </w:p>
    <w:p>
      <w:pPr>
        <w:pStyle w:val="BookText"/>
        <w:rPr/>
      </w:pPr>
      <w:r>
        <w:rPr>
          <w:rFonts w:ascii="Amiri" w:hAnsi="Amiri" w:eastAsia="Amiri" w:cs="Amiri"/>
          <w:color w:val="111111"/>
          <w:sz w:val="28"/>
          <w:sz w:val="28"/>
          <w:szCs w:val="28"/>
          <w:rtl w:val="true"/>
          <w:lang w:bidi="ar-SA"/>
        </w:rPr>
        <w:t>والنفي والتوكيد والنداء؛ لأنَّها أنسبُ من غيره في هذا العهد؛ لانسجامها مع أحوال المتكلَّم والُخاطَب وموضوع الخطاب والغرض منه أو الهدف، وكذلك المقاصد المبتغاة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أركان الخطاب الرئيسة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المتكلَّم، المُخاطَب، الرسالة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واضح ومستمر في كلَّ جملةٍ وفي كلَّ فِقرة وفي كل موضوع، في نسقٍ خطابيٍ واحد من أول العهد المقدس إلى آخره، فلم يختفٍ رکنٌ منها، ولم يتبدل نسقها، وهذا يظهر البعد التداولي للخطاب بشكل واضحٍ جلي؛ يكشف عن أهمية موضوع الخطاب الكبيرة وأمانة المتكلَّم العظمى ومسؤولية المُخاطَب ووظيفته الجسيمتين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للموروث المعرفي والثقافي أثرٌ في </w:t>
      </w:r>
    </w:p>
    <w:p>
      <w:pPr>
        <w:pStyle w:val="BookText"/>
        <w:rPr/>
      </w:pPr>
      <w:r>
        <w:rPr>
          <w:rFonts w:ascii="Amiri" w:hAnsi="Amiri" w:eastAsia="Amiri" w:cs="Amiri"/>
          <w:color w:val="111111"/>
          <w:sz w:val="28"/>
          <w:sz w:val="28"/>
          <w:szCs w:val="28"/>
          <w:rtl w:val="true"/>
          <w:lang w:bidi="ar-SA"/>
        </w:rPr>
        <w:t>إيصال المعنى ودلالات النَّص من خلال ترصيع الخطاب بالآيات القرآنية وتضمينها، والأحاديث النبوَّية، والأخبار التاريخيَّة مِمَّا يؤدي إلى تعزيز عملية التلقي والفهم والتأويل لدى الُمخاطَب والقارئ والمستمع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تجلَّى المظهر التداولیَّ في 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ربط النَّص بالسياق الاجتماعيّ؛ إذ قسَّمه على وفقٍ فقرات متعددة، ثُمَّ ختم كل فقرة بطبقة من طبقات المجتمع أو بفئة من فئاته، وهو ماعر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الناس ثُمَ الولاة، ثم حاشية الولاة، ثم أهلَّ الذَّمة من الديانات الأخرى، ثُمَ الجنود ثُمَ الفقراء أهل الحاجة والمسكنة، ثُمَ الصالحين وذوي الأحساب، ثُمَ القضاة، ثم عال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الموظفين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المزارعين وأهل الخراج، ثم كتاب الولاة، ثُمَّ التجَّار وأهل الصناعات، ثُمَّ الطبقة السفلى وهم الذين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لا حيلة لهم والمحتاجيَن والفقراء والبؤساء وأهل العاهات والمرض المزمن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تجلَّى البُعد التداوليّ في خطاب هذا العهد المقدَّس في أسلوب المتكلم الخُلقيّ في إظهار المودَّة واللين للمخاطَبّ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الفعل الكلاميّ الإيجابيّ والسلبيّ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المجال الوصفيّ التخييلي في رسم الصور ونقلها إلى المخَاطَب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والصلاةُ والسلامُ على رسولِهِ الكريمِ وآلِهِ الطيَّبين الطاهرين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علیکم ورحمةُ الله وبركاتُهُ</w:t>
      </w:r>
      <w:r>
        <w:rPr>
          <w:rFonts w:eastAsia="Amiri" w:cs="Amiri" w:ascii="Amiri" w:hAnsi="Amiri"/>
          <w:color w:val="111111"/>
          <w:sz w:val="28"/>
          <w:szCs w:val="28"/>
          <w:rtl w:val="true"/>
          <w:lang w:bidi="ar-SA"/>
        </w:rPr>
        <w:t xml:space="preserve">. </w:t>
      </w:r>
      <w:bookmarkStart w:id="37" w:name="pg10767_95040"/>
    </w:p>
    <w:p>
      <w:pPr>
        <w:pStyle w:val="Heading2"/>
        <w:numPr>
          <w:ilvl w:val="1"/>
          <w:numId w:val="1"/>
        </w:numPr>
        <w:rPr/>
      </w:pPr>
      <w:bookmarkStart w:id="38" w:name="__RefHeading___Toc7531761_1051229030"/>
      <w:bookmarkStart w:id="39" w:name="_Toc13"/>
      <w:bookmarkEnd w:id="37"/>
      <w:bookmarkEnd w:id="38"/>
      <w:r>
        <w:rPr>
          <w:rtl w:val="true"/>
        </w:rPr>
        <w:t>روافدُ البحث</w:t>
      </w:r>
      <w:bookmarkEnd w:id="3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محمود، دار الكتب المصريّة،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استراتيجيات الخطاب، مقاربة لغوية تداولية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الهادي بن ظافر الشهري، دار الكتاب الجديدة المتحدة،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أسرار البلاغة في علم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القاهر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رشید رضا، منشورات دار المعرفة، بیروت، لبنان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الأسلوبيَّة في النقد الأدبيّ الحديث، دراسة في تحليل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فرحان بدري الحربيّ، </w:t>
      </w:r>
    </w:p>
    <w:p>
      <w:pPr>
        <w:pStyle w:val="BookText"/>
        <w:rPr/>
      </w:pPr>
      <w:r>
        <w:rPr>
          <w:rFonts w:ascii="IRNazanin" w:hAnsi="IRNazanin" w:eastAsia="IRNazanin"/>
          <w:color w:val="111111"/>
          <w:sz w:val="28"/>
          <w:sz w:val="28"/>
          <w:szCs w:val="28"/>
          <w:rtl w:val="true"/>
          <w:lang w:bidi="fa-IR"/>
        </w:rPr>
        <w:t xml:space="preserve">المؤسسة الجامعيَّة للنسر والتوزيع، بیروت، الطبعة الأولى،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الأسلوبية والأسلوب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المسدي، الدار العربية للكتاب، الطبعة الثالثة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إشكالية تأصيل الحداثة في الخِطَاب النقدي العربي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الغني بارة، مطابع الهيئة المصرية،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الخطاب وعلم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فضل، عالم المعرفة، الكويت،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بنية العقل العربي دراسة تحليليّة نقديّة النظم المعرفة في الثقافة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عابد الجابري، بيروت، الطبعة السادسة،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عمرو بن بحر الجاحظ،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مكتبة الخانجي، الطبعة الخامسة،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تحليل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براون و ج، سیرل، ترجمة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لطفي الزليطي ومنير التريكي، السعودية، جامعة الملك سعود،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الخطاب الروائي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يقطين، المركز الثقافي العربيّ، الطبعة الأولى، بيروت،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 يول،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 العتابي، دار الأمان، الرباط، الطبعة الأولى،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التفاعل النَّصي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التناصية النظرية والمنهج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نهلة فيصل الأحمد، مطبعة مؤسسة اليمامة الصحفية، الرياض،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المظفر، منصور بن محمد بن عبد الجبار ابن أحمد المروزیّ السمعانيّ </w:t>
      </w:r>
    </w:p>
    <w:p>
      <w:pPr>
        <w:pStyle w:val="BookText"/>
        <w:rPr/>
      </w:pPr>
      <w:r>
        <w:rPr>
          <w:rFonts w:ascii="Amiri" w:hAnsi="Amiri" w:eastAsia="Amiri" w:cs="Amiri"/>
          <w:color w:val="111111"/>
          <w:sz w:val="28"/>
          <w:sz w:val="28"/>
          <w:szCs w:val="28"/>
          <w:rtl w:val="true"/>
          <w:lang w:bidi="ar-SA"/>
        </w:rPr>
        <w:t xml:space="preserve">التميميّ الحنفيّ ثم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بن إبراهيم وغنيم بن عباس بن غنيم، دار الوطن،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البيان عن تأویل آي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بن یزید بن کثیر بن غالب الآملي، أبو جعفر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عبد الله بن عبد المحسن التركي، دار هجر للطباعة والنشر والتوزيع والإعلان،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حفريات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ميشال فوكو، ترجمة، سالم يفوت، الدار البيضاء، الطبعة الثانية،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الخطاب العلماني العربي المعاصر تاريخه وبنيته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زاهد، مجلة </w:t>
      </w:r>
    </w:p>
    <w:p>
      <w:pPr>
        <w:pStyle w:val="BookText"/>
        <w:rPr/>
      </w:pPr>
      <w:r>
        <w:rPr>
          <w:rFonts w:ascii="Amiri" w:hAnsi="Amiri" w:eastAsia="Amiri" w:cs="Amiri"/>
          <w:color w:val="111111"/>
          <w:sz w:val="28"/>
          <w:sz w:val="28"/>
          <w:szCs w:val="28"/>
          <w:rtl w:val="true"/>
          <w:lang w:bidi="ar-SA"/>
        </w:rPr>
        <w:t>المناهج،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الخطيئة والتكفير من البنيوية إلى التشريحيَّة قراءة نقدية لنموذج إنساني معاصر مقدمة نظرية ودراسة تطبيقية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الغذَّامىّ، النادي الأدبي الثقافي، المملكة العربية السعودية،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الإعجاز في علم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القاهر الجرجاني،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رشيد رضا، دار المعرفة بیروت،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أبي الحديد،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دار احياء الكتب العربية، عیسی البابي الحلبي وشركاه، الطبعة الأولى،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عبده، الطبعة الأولى،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العطار </w:t>
      </w:r>
    </w:p>
    <w:p>
      <w:pPr>
        <w:pStyle w:val="BookText"/>
        <w:rPr/>
      </w:pPr>
      <w:r>
        <w:rPr>
          <w:rFonts w:ascii="Amiri" w:hAnsi="Amiri" w:eastAsia="Amiri" w:cs="Amiri"/>
          <w:color w:val="111111"/>
          <w:sz w:val="28"/>
          <w:sz w:val="28"/>
          <w:szCs w:val="28"/>
          <w:rtl w:val="true"/>
          <w:lang w:bidi="ar-SA"/>
        </w:rPr>
        <w:t xml:space="preserve">الثقافيَّة،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الصاحبي في فقه اللغة وسنن العرب في كلامها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فارس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بيضون، دار الكتب العالمية، بيروت، الطبعة</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إسماعيل بن حماد الجوهري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الصناعتين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هلال العسكري،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و محمد أبو الفضل إبراهيم، القاهرة،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جولیا کرستیفیا،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w:t>
      </w:r>
    </w:p>
    <w:p>
      <w:pPr>
        <w:pStyle w:val="BookText"/>
        <w:rPr/>
      </w:pPr>
      <w:r>
        <w:rPr>
          <w:rFonts w:ascii="Amiri" w:hAnsi="Amiri" w:eastAsia="Amiri" w:cs="Amiri"/>
          <w:color w:val="111111"/>
          <w:sz w:val="28"/>
          <w:sz w:val="28"/>
          <w:szCs w:val="28"/>
          <w:rtl w:val="true"/>
          <w:lang w:bidi="ar-SA"/>
        </w:rPr>
        <w:t xml:space="preserve">الزاهي، دار توبقال للنشر، الطبعة الأولى، الدار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عملية القراءة، مقترب ظاهراتي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فولفغانغ آیز، ضمن کتاب نقد استجابة القارئ، المجلس الأعلى للثقافة، مصر،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وإبراهيم السامرائي، مؤسسة دار الهجرة، إيران، الطبعة الثانية،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آفاق الكلام وتكليم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الواسع الحميري، دار الزمان للطباعة،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عثمان بن قنبر الحارثي بالولاء، أبو بشر، الملقب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p>
    <w:p>
      <w:pPr>
        <w:pStyle w:val="BookText"/>
        <w:rPr/>
      </w:pPr>
      <w:r>
        <w:rPr>
          <w:rFonts w:ascii="Amiri" w:hAnsi="Amiri" w:eastAsia="Amiri" w:cs="Amiri"/>
          <w:color w:val="111111"/>
          <w:sz w:val="28"/>
          <w:sz w:val="28"/>
          <w:szCs w:val="28"/>
          <w:rtl w:val="true"/>
          <w:lang w:bidi="ar-SA"/>
        </w:rPr>
        <w:t>مكتبة الخانجي، القاهرة،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کشَّاف اصطلاحات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التهانوي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بیروت، الطبعة الأولى،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الكشَّاف عن حقائق غوامض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محمود بن عمرو بن أحمد، الزمخشري جار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الكتاب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والبيان عن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إبراهيم الثعلبي،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أبي محمد بن عاشور،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العرب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أَمين محمد عبد الوَهّاب و محمد الصادق العبيدي، دار إِحياء التراث العربي، بیروت، الطبعة الثالثة،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لسانیات النص مدخل إلى انسجام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خطابي، المركز الثقافي العربي، الطبعة الأولى،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المتخيل والتواصل، مفارقات العرب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نور الدين أفاية، دار المنتخب العربي، الطبعة الأولى،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المحكم والمحيط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إسماعيل بن سيده المرسي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هنداوي،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علوم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التونجي، دار الجليل، بیروت، الطبعة الأولى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احمد بن فارس،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الدر الإسلامية،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اللغة العربية، دار الدعوة، تركيا الطبعة الثانية،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المقاربة التداولية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فرنسواز آرمینکو،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علوش، مركز الإنماء القومي،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البلغاء وسراج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 حازم القرطاجني،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الحبيب ابن الخوجة، دار الكتب الشرقية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النظريَّة الأدبيَّة المعاصرة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رامان سلدن،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عصفور، دار قباء للطباعة والنشر والتوزيع، القاهرة،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نظرية التلقي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روبرت سي هولب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اسماعيل، النادي الأدبيّ الثقافي، </w:t>
      </w:r>
    </w:p>
    <w:p>
      <w:pPr>
        <w:pStyle w:val="BookText"/>
        <w:rPr/>
      </w:pPr>
      <w:r>
        <w:rPr>
          <w:rFonts w:ascii="Amiri" w:hAnsi="Amiri" w:eastAsia="Amiri" w:cs="Amiri"/>
          <w:color w:val="111111"/>
          <w:sz w:val="28"/>
          <w:sz w:val="28"/>
          <w:szCs w:val="28"/>
          <w:rtl w:val="true"/>
          <w:lang w:bidi="ar-SA"/>
        </w:rPr>
        <w:t>جدَّة،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ريكور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الغانمي، المركز الثقافي العربي، الدار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الطبعة الثانية،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الوظائف التداولیَّة في اللغة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المتوكل، دار الثقافة، الدار البيضاء، المغرب، الطبعة الأولى،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الأطاريح الجامعيَّة والرَّسائل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تداوليَّة الخطاب السرديّ بين القديم والحديث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أطروحة دكتوراه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دحمون کاهنة، الجزائر، جامعة مولود معمري تيزي وزو، کلية الآداب واللغات،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نظرية التوصيل في النقد الأدبي العربي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ماجستير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کاظم حمزة، كلية التربية، جامعة بابل،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البحوث المنشورة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التداولية وتحليل الخطاب 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راضية خفيف بكري، مجلة الموقف الأدبي، دمشق، اتحاد الكتّاب العرب،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الاتصال اللسانيّ بين البلاغة والتداوليَّة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سامية بنت يامنة، مجلة دراسات أدبيَّة، مجلة دورية فصلية محكمة تصدر عن مركز البصيرة للبحوث والاستشارات والخدمات التعليمية، جامعة مستغانم، الجزائر، العدد الأول، ماي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الأجنبية</w:t>
      </w:r>
    </w:p>
    <w:p>
      <w:pPr>
        <w:pStyle w:val="BookText"/>
        <w:rPr/>
      </w:pPr>
      <w:r>
        <w:rPr>
          <w:rFonts w:eastAsia="Times New Roman" w:cs="Times New Roman" w:ascii="Times New Roman" w:hAnsi="Times New Roman"/>
          <w:color w:val="111111"/>
          <w:sz w:val="28"/>
          <w:szCs w:val="28"/>
          <w:lang w:val="en-US" w:bidi="en-US"/>
        </w:rPr>
        <w:t>A.J.Greimas etj.courtes: semiotique, Dic tionnaire raisonne,des sciences du lan .gage, ed. Hachette , paris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C.K. oreccioni: L'imlicite,ed. Armand colin, . par is 1986</w:t>
      </w:r>
      <w:r>
        <w:rPr>
          <w:rFonts w:eastAsia="Times New Roman" w:cs="Times New Roman" w:ascii="Times New Roman" w:hAnsi="Times New Roman"/>
          <w:color w:val="111111"/>
          <w:sz w:val="28"/>
          <w:szCs w:val="28"/>
          <w:rtl w:val="true"/>
          <w:lang w:val="en-US" w:bidi="en-US"/>
        </w:rPr>
        <w:t xml:space="preserve"> </w:t>
      </w:r>
      <w:bookmarkStart w:id="40" w:name="pg10767_95052"/>
    </w:p>
    <w:p>
      <w:pPr>
        <w:pStyle w:val="Heading2"/>
        <w:numPr>
          <w:ilvl w:val="1"/>
          <w:numId w:val="1"/>
        </w:numPr>
        <w:rPr/>
      </w:pPr>
      <w:bookmarkStart w:id="41" w:name="__RefHeading___Toc7531763_1051229030"/>
      <w:bookmarkStart w:id="42" w:name="_Toc14"/>
      <w:bookmarkEnd w:id="40"/>
      <w:bookmarkEnd w:id="41"/>
      <w:r>
        <w:rPr>
          <w:rtl w:val="true"/>
        </w:rPr>
        <w:t>المحتويات</w:t>
      </w:r>
      <w:bookmarkEnd w:id="42"/>
    </w:p>
    <w:p>
      <w:pPr>
        <w:pStyle w:val="BookText"/>
        <w:rPr/>
      </w:pPr>
      <w:r>
        <w:rPr>
          <w:rFonts w:ascii="Amiri" w:hAnsi="Amiri" w:eastAsia="Amiri" w:cs="Amiri"/>
          <w:color w:val="111111"/>
          <w:sz w:val="28"/>
          <w:sz w:val="28"/>
          <w:szCs w:val="28"/>
          <w:rtl w:val="true"/>
          <w:lang w:bidi="ar-SA"/>
        </w:rPr>
        <w:t xml:space="preserve">مقدمة المؤسسة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تعریف و مفهوم</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الخطاب في اللغة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الخطاب في 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أركان الخطاب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التداوليّة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امتشاج التداولية والبلاغة والخطاب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نماذج من المظاهر التداولة في خطاب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لواليه على مصر مالك بن الحارث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روافد البحث</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بن أحمد الفراهيدي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المخزومي وإبراهيم السامرائي، مؤسسة دار الهجرة، إيران، الطبعة الثانية، </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والمحكم والمحيط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إسماعیل بن سیده المرسي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هنداوي، 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تاج اللغة وصحاح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إسماعيل بن حماد الجوهري الفارابي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 الغفور عطار، دار العلم للملايين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احمد بن فارس،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الدر الإسلامية،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عمر الزمخشري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محمود، دار الكتب المصريّة،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أ 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محمد عبد الوَهّاب و محمد الصادق العبيدي، دار إحياء التراث العربي، بيروت، الطبعة الثالثة،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اللغة العربية، دار الدعوة، تركيا الطبعة الثانية،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اصطلاحات 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التهانوي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الطبعة الأولى،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عن تأویل آي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عثمان عمرو بن بحر الجاحظ،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محمد هارون، مكتبة الخانجي، الطبعة الخامسة،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بنية العقل العربي دراسة تحليليّة نقديّة لنظم المعرفة في الثقافة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الجابري، بيروت، الطبعة السادسة،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غوامض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محمود بن عمرو بن أحمد، الزمخشري جار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إشكالية تأصيل الحداثة في الخطاب النقدي العربي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الغني بارة، مطابع الهيئة المصرية،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 في فقه اللغة وسنن العرب في كلامها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فارس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بيضون، دار الكتب العالمية، بيروت، الطبعة الأولى،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علوم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التونجي، دار الجليل، بیروت، الطبعة الأولى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بنية العقل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 في علم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الجرجاني،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رشيد رضا، دار المعرفة، بیروت،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لسانیات النص مدخل إلى انسجام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خطابي، المركز الثقافي العربي، الطبعة الأولى،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الخطاب الروائي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يقطين، المركز الثقافي العربيُ، الطبعة الأولى، بيروت،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الأسلوبيَّة في النقد الأدبي الحديث، دراسة في تحليل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فرحان بدري الحربيّ، المؤسسة الجامعية للنسر والتوزيع، بيروت، الطبعة الأولى،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A.J.Greimas etj.courtes: semiotique, Dic tionnaire raisonne, des sciences du langage, ed. Hachette , paris: p 389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العلماني العربي المعاصر تاريخه وبنيته الموضوعية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الأمير زاهد، مجلة المناهج،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حفريات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میشال فوکو، ترجمة، سالم يفوت، الدار البيضاء، الطبعة الثانية،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التفاعل النّصي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التناصية النظرية والمنهج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نهلة فيصل الأَحمد، مطبعة مؤسسة اليمامة الصحفية، الرياض،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بنية العقل العربي دراسة تحليلية نقديّة لنظم المعرفة في الثقافة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الجابري، بيروت، الطبعة السادسة،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الأسلوبية والأسلوب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المسدي، الدار العربية للكتاب، الطبعة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لسانیات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عثمان بن قنبر الحارثي بالولاء، أبو بشر، الملقب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محمد هارون، مكتبة الخانجي، القاهرة،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التوصيل في النقد الأدبي العربي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سحر کاظم حمزة، كلية التربية، جامعة بابل،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البلاغة في علم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القاهر 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رشيد رضا، منشورات دار المعرفة بیروت، لبنان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البلغاء وسراج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حازم القرطاجني،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الحبيب ابن الخوجة، دار الكتب الشرقية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الخطيئة والتكفير من البنيوية إلى التشريحية قراءة نقدية لنموذج إنساني معاصر مقدمة نظرية ودراسة تطبيقية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محمد الغذامي، النادي الأدبي الثقافي، المملكة العربية السعودية،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الأسلوبية والأسلوب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المسدي، الدار العربية للكتاب،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التوصيل في النقد الأدبي العربي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لسانیات النص مدخل إلى انسجام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خطابي، المركز الثقافي العربي، الطبعة الأولى،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 ريكور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الغانمي المركز الثقافي العربي، الدار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الطبعة الثانية،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التداولية وتحليل الخطاب الأدبّي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راضية خفيف بكري، مجلة الموقف الأدبيّ، دمشق، اتحاد الكتّاب العرب، 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الاتصال اللسانّي بين البلاغة والتداوليَّة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سامية بنت يامنة، مجلة دراسات أدبيَّة، مجلة دورية فصلية محكمة تصدر عن مركز البصيرة للبحوث والاستشارات والخدمات التعليمية، جامعة مستغانم، الجزائر، العدد الأول، ماي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براون و ج، سیرل، ترجمة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لطفي الزليطي ومنير التريكي، السعودية، جامعة الملك سعود،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يول،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 العتَّابي، دار الأمان، الرباط، الطبعة الأولى،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الخطاب وعلم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فضل، عالم المعرفة، الكويت،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الخطاب وعلم النص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الصناعتين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هلال العسكري،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البجاوي و محمد أبو الفضل إبراهيم، القاهرة،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الاتصال اللسائي بين البلاغة والتداوليَّة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سامية بنت يامنة،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أدبيَّة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دوريَّة فصليَّة تصدر عن مركز البصيرة للبحوث والاستشارات والخدمات التعليميَّة، الجزائر، جامعة مستغانم، العدد الأول، ماي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الوظائف التداولیَّة في اللغة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المتوكل، دار الثقافة، الدار البيضاء، المغرب، الطبعة الأولى،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استراتيجيات الخطاب، مقاربة لغوية تداولية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الهادي بن ظافر الشهري، دار الكتاب الجديدة المتحدة،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الطبعة الأولى،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المقاربة التداوليَّة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فرنسواز أرمینکو،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علوش، مركز الإنماء القومي، 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الوظائف التداولة في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الحديد،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الفضل إبراهيم، دار احیاء الكتب العربية، عيسى البابي الحلبي وشركاه، الطبعة الأولى،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والآية بتمامها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تداوليَّة الخطاب السرديّ بين القديم والحديث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أطروحة دكتوراه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دحمون کاهنة، الجزائر، جامعة مولود معمري تيزي وزو، كلية الآداب واللغات،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استراتيجيات الخطاب، مقاربة لغوية تداولية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عبده، الطبعة الأولى،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توزيع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العطار الثقافية،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المتخيل والتواصل، مفارقات العرب والغرب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نور الدين أفاية، دار المنتخب العربي ، الطبعة الأولى، بیروت،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عملية القراءة، مقترب ظاهراتي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فولفغانغ آیز، ضمن کتاب نقد استجابة القارئ، المجلس الأعلى للثقافة، مصر،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تداولية الخطاب السرديّ بين القديم والتَّأخير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التلقي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روبرت سي هولب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اسماعيل، النادي الأدبيّ الثقافي، جدة، الطبعة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 تداوليَّة الخطاب السردّي بين القديم والحديث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لمحمد عبدة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الأدبية المعاصرة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رامان سلدن،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عصفور، دار قباء للطباعة والنشر والتوزيع، القاهرة،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وعلم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جولیا کرستيفيا،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الزاهي، دار توبقال للنشر، الطبعة الأولى، الدار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تداولية الخطاب السردي بين القديم والحديث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تداوليَّة الخطاب السرديّ بين القديم والحديث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C.K. oreccioni: L'imlicite,ed. Armand colin, par is 1986: p 39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Pages>
  <Words>9973</Words>
  <Characters>47573</Characters>
  <CharactersWithSpaces>57161</CharactersWithSpaces>
  <Paragraphs>582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2026-08-27T14:04:42Z</dcterms:created>
  <dc:creator>ghaemiyeh.com</dc:creator>
  <dc:description/>
  <dc:language>en-US</dc:language>
  <cp:lastModifiedBy/>
  <dcterms:modified xsi:type="dcterms:W3CDTF">2026-08-27T17:34:45Z</dcterms:modified>
  <cp:revision>1</cp:revision>
  <dc:subject/>
  <dc:title>بلاغة الخطاب التداولی فی عهد الإمام علی علیه السلام الى لمالک الأشتر رضی لله عنه</dc:title>
</cp:coreProperties>
</file>

<file path=docProps/custom.xml><?xml version="1.0" encoding="utf-8"?>
<Properties xmlns="http://schemas.openxmlformats.org/officeDocument/2006/custom-properties" xmlns:vt="http://schemas.openxmlformats.org/officeDocument/2006/docPropsVTypes"/>
</file>