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7</w:t>
      </w:r>
      <w:r>
        <w:rPr>
          <w:rtl w:val="true"/>
        </w:rPr>
        <w:t xml:space="preserve"> </w:t>
      </w:r>
      <w:r>
        <w:rPr>
          <w:rtl w:val="true"/>
        </w:rPr>
        <w:t>لمحات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8181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368183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368185_1051229030">
            <w:r>
              <w:rPr>
                <w:webHidden/>
                <w:rStyle w:val="IndexLink"/>
                <w:rtl w:val="true"/>
              </w:rPr>
              <w:t>مقدّمة بقلم آیة الله العظمی السبحاني</w:t>
            </w:r>
            <w:r>
              <w:rPr>
                <w:rStyle w:val="IndexLink"/>
                <w:rtl w:val="true"/>
              </w:rPr>
              <w:tab/>
            </w:r>
            <w:r>
              <w:rPr>
                <w:rStyle w:val="IndexLink"/>
              </w:rPr>
              <w:t>12</w:t>
            </w:r>
          </w:hyperlink>
        </w:p>
        <w:p>
          <w:pPr>
            <w:pStyle w:val="Contents2"/>
            <w:tabs>
              <w:tab w:val="clear" w:pos="8743"/>
              <w:tab w:val="right" w:pos="9026" w:leader="dot"/>
            </w:tabs>
            <w:rPr/>
          </w:pPr>
          <w:hyperlink w:anchor="__RefHeading___Toc7368187_1051229030">
            <w:r>
              <w:rPr>
                <w:webHidden/>
                <w:rStyle w:val="IndexLink"/>
                <w:rtl w:val="true"/>
              </w:rPr>
              <w:t>حول تحقيق الكتاب</w:t>
            </w:r>
            <w:r>
              <w:rPr>
                <w:rStyle w:val="IndexLink"/>
                <w:rtl w:val="true"/>
              </w:rPr>
              <w:tab/>
            </w:r>
            <w:r>
              <w:rPr>
                <w:rStyle w:val="IndexLink"/>
              </w:rPr>
              <w:t>41</w:t>
            </w:r>
          </w:hyperlink>
        </w:p>
        <w:p>
          <w:pPr>
            <w:pStyle w:val="Contents2"/>
            <w:tabs>
              <w:tab w:val="clear" w:pos="8743"/>
              <w:tab w:val="right" w:pos="9026" w:leader="dot"/>
            </w:tabs>
            <w:rPr/>
          </w:pPr>
          <w:hyperlink w:anchor="__RefHeading___Toc7368189_1051229030">
            <w:r>
              <w:rPr>
                <w:webHidden/>
                <w:rStyle w:val="IndexLink"/>
                <w:rtl w:val="true"/>
              </w:rPr>
              <w:t>المقدّمة</w:t>
            </w:r>
            <w:r>
              <w:rPr>
                <w:rStyle w:val="IndexLink"/>
                <w:rtl w:val="true"/>
              </w:rPr>
              <w:tab/>
            </w:r>
            <w:r>
              <w:rPr>
                <w:rStyle w:val="IndexLink"/>
              </w:rPr>
              <w:t>48</w:t>
            </w:r>
          </w:hyperlink>
        </w:p>
        <w:p>
          <w:pPr>
            <w:pStyle w:val="Contents3"/>
            <w:tabs>
              <w:tab w:val="clear" w:pos="8459"/>
              <w:tab w:val="right" w:pos="9026" w:leader="dot"/>
            </w:tabs>
            <w:rPr/>
          </w:pPr>
          <w:hyperlink w:anchor="__RefHeading___Toc7368191_1051229030">
            <w:r>
              <w:rPr>
                <w:webHidden/>
                <w:rStyle w:val="IndexLink"/>
                <w:rtl w:val="true"/>
              </w:rPr>
              <w:t>المقدّمة</w:t>
            </w:r>
            <w:r>
              <w:rPr>
                <w:rStyle w:val="IndexLink"/>
                <w:rtl w:val="true"/>
              </w:rPr>
              <w:tab/>
            </w:r>
            <w:r>
              <w:rPr>
                <w:rStyle w:val="IndexLink"/>
              </w:rPr>
              <w:t>48</w:t>
            </w:r>
          </w:hyperlink>
        </w:p>
        <w:p>
          <w:pPr>
            <w:pStyle w:val="Contents3"/>
            <w:tabs>
              <w:tab w:val="clear" w:pos="8459"/>
              <w:tab w:val="right" w:pos="9026" w:leader="dot"/>
            </w:tabs>
            <w:rPr/>
          </w:pPr>
          <w:hyperlink w:anchor="__RefHeading___Toc7368193_1051229030">
            <w:r>
              <w:rPr>
                <w:webHidden/>
                <w:rStyle w:val="IndexLink"/>
                <w:rtl w:val="true"/>
              </w:rPr>
              <w:t>فصل في موضوع علم الاُصول وتعريفه</w:t>
            </w:r>
            <w:r>
              <w:rPr>
                <w:rStyle w:val="IndexLink"/>
                <w:rtl w:val="true"/>
              </w:rPr>
              <w:tab/>
            </w:r>
            <w:r>
              <w:rPr>
                <w:rStyle w:val="IndexLink"/>
              </w:rPr>
              <w:t>50</w:t>
            </w:r>
          </w:hyperlink>
        </w:p>
        <w:p>
          <w:pPr>
            <w:pStyle w:val="Contents3"/>
            <w:tabs>
              <w:tab w:val="clear" w:pos="8459"/>
              <w:tab w:val="right" w:pos="9026" w:leader="dot"/>
            </w:tabs>
            <w:rPr/>
          </w:pPr>
          <w:hyperlink w:anchor="__RefHeading___Toc7368195_1051229030">
            <w:r>
              <w:rPr>
                <w:webHidden/>
                <w:rStyle w:val="IndexLink"/>
                <w:rtl w:val="true"/>
              </w:rPr>
              <w:t>في تمايز العلوم</w:t>
            </w:r>
            <w:r>
              <w:rPr>
                <w:rStyle w:val="IndexLink"/>
                <w:rtl w:val="true"/>
              </w:rPr>
              <w:tab/>
            </w:r>
            <w:r>
              <w:rPr>
                <w:rStyle w:val="IndexLink"/>
              </w:rPr>
              <w:t>52</w:t>
            </w:r>
          </w:hyperlink>
        </w:p>
        <w:p>
          <w:pPr>
            <w:pStyle w:val="Contents3"/>
            <w:tabs>
              <w:tab w:val="clear" w:pos="8459"/>
              <w:tab w:val="right" w:pos="9026" w:leader="dot"/>
            </w:tabs>
            <w:rPr/>
          </w:pPr>
          <w:hyperlink w:anchor="__RefHeading___Toc7368197_1051229030">
            <w:r>
              <w:rPr>
                <w:webHidden/>
                <w:rStyle w:val="IndexLink"/>
                <w:rtl w:val="true"/>
              </w:rPr>
              <w:t>في تمايز المسائل</w:t>
            </w:r>
            <w:r>
              <w:rPr>
                <w:rStyle w:val="IndexLink"/>
                <w:rtl w:val="true"/>
              </w:rPr>
              <w:tab/>
            </w:r>
            <w:r>
              <w:rPr>
                <w:rStyle w:val="IndexLink"/>
              </w:rPr>
              <w:t>55</w:t>
            </w:r>
          </w:hyperlink>
        </w:p>
        <w:p>
          <w:pPr>
            <w:pStyle w:val="Contents3"/>
            <w:tabs>
              <w:tab w:val="clear" w:pos="8459"/>
              <w:tab w:val="right" w:pos="9026" w:leader="dot"/>
            </w:tabs>
            <w:rPr/>
          </w:pPr>
          <w:hyperlink w:anchor="__RefHeading___Toc7368199_1051229030">
            <w:r>
              <w:rPr>
                <w:webHidden/>
                <w:rStyle w:val="IndexLink"/>
                <w:rtl w:val="true"/>
              </w:rPr>
              <w:t>التحقيق في موضوع علم الاُصول</w:t>
            </w:r>
            <w:r>
              <w:rPr>
                <w:rStyle w:val="IndexLink"/>
                <w:rtl w:val="true"/>
              </w:rPr>
              <w:tab/>
            </w:r>
            <w:r>
              <w:rPr>
                <w:rStyle w:val="IndexLink"/>
              </w:rPr>
              <w:t>59</w:t>
            </w:r>
          </w:hyperlink>
        </w:p>
        <w:p>
          <w:pPr>
            <w:pStyle w:val="Contents3"/>
            <w:tabs>
              <w:tab w:val="clear" w:pos="8459"/>
              <w:tab w:val="right" w:pos="9026" w:leader="dot"/>
            </w:tabs>
            <w:rPr/>
          </w:pPr>
          <w:hyperlink w:anchor="__RefHeading___Toc7368201_1051229030">
            <w:r>
              <w:rPr>
                <w:webHidden/>
                <w:rStyle w:val="IndexLink"/>
                <w:rtl w:val="true"/>
              </w:rPr>
              <w:t>فصل البحث في الوضع</w:t>
            </w:r>
            <w:r>
              <w:rPr>
                <w:rStyle w:val="IndexLink"/>
                <w:rtl w:val="true"/>
              </w:rPr>
              <w:tab/>
            </w:r>
            <w:r>
              <w:rPr>
                <w:rStyle w:val="IndexLink"/>
              </w:rPr>
              <w:t>63</w:t>
            </w:r>
          </w:hyperlink>
        </w:p>
        <w:p>
          <w:pPr>
            <w:pStyle w:val="Contents3"/>
            <w:tabs>
              <w:tab w:val="clear" w:pos="8459"/>
              <w:tab w:val="right" w:pos="9026" w:leader="dot"/>
            </w:tabs>
            <w:rPr/>
          </w:pPr>
          <w:hyperlink w:anchor="__RefHeading___Toc7368203_1051229030">
            <w:r>
              <w:rPr>
                <w:webHidden/>
                <w:rStyle w:val="IndexLink"/>
                <w:rtl w:val="true"/>
              </w:rPr>
              <w:t>حول أقسام الوضع والموضوع له</w:t>
            </w:r>
            <w:r>
              <w:rPr>
                <w:rStyle w:val="IndexLink"/>
                <w:rtl w:val="true"/>
              </w:rPr>
              <w:tab/>
            </w:r>
            <w:r>
              <w:rPr>
                <w:rStyle w:val="IndexLink"/>
              </w:rPr>
              <w:t>64</w:t>
            </w:r>
          </w:hyperlink>
        </w:p>
        <w:p>
          <w:pPr>
            <w:pStyle w:val="Contents3"/>
            <w:tabs>
              <w:tab w:val="clear" w:pos="8459"/>
              <w:tab w:val="right" w:pos="9026" w:leader="dot"/>
            </w:tabs>
            <w:rPr/>
          </w:pPr>
          <w:hyperlink w:anchor="__RefHeading___Toc7368205_1051229030">
            <w:r>
              <w:rPr>
                <w:webHidden/>
                <w:rStyle w:val="IndexLink"/>
                <w:rtl w:val="true"/>
              </w:rPr>
              <w:t>المعنى الحرفي</w:t>
            </w:r>
            <w:r>
              <w:rPr>
                <w:rStyle w:val="IndexLink"/>
                <w:rtl w:val="true"/>
              </w:rPr>
              <w:tab/>
            </w:r>
            <w:r>
              <w:rPr>
                <w:rStyle w:val="IndexLink"/>
              </w:rPr>
              <w:t>65</w:t>
            </w:r>
          </w:hyperlink>
        </w:p>
        <w:p>
          <w:pPr>
            <w:pStyle w:val="Contents2"/>
            <w:tabs>
              <w:tab w:val="clear" w:pos="8743"/>
              <w:tab w:val="right" w:pos="9026" w:leader="dot"/>
            </w:tabs>
            <w:rPr/>
          </w:pPr>
          <w:hyperlink w:anchor="__RefHeading___Toc7368207_1051229030">
            <w:r>
              <w:rPr>
                <w:webHidden/>
                <w:rStyle w:val="IndexLink"/>
                <w:rtl w:val="true"/>
              </w:rPr>
              <w:t>المقصد الأوّل</w:t>
            </w:r>
            <w:r>
              <w:rPr>
                <w:rStyle w:val="IndexLink"/>
                <w:rtl w:val="true"/>
              </w:rPr>
              <w:t xml:space="preserve">: </w:t>
            </w:r>
            <w:r>
              <w:rPr>
                <w:rStyle w:val="IndexLink"/>
                <w:rtl w:val="true"/>
              </w:rPr>
              <w:t>في الأوامر</w:t>
            </w:r>
            <w:r>
              <w:rPr>
                <w:rStyle w:val="IndexLink"/>
                <w:rtl w:val="true"/>
              </w:rPr>
              <w:tab/>
            </w:r>
            <w:r>
              <w:rPr>
                <w:rStyle w:val="IndexLink"/>
              </w:rPr>
              <w:t>72</w:t>
            </w:r>
          </w:hyperlink>
        </w:p>
        <w:p>
          <w:pPr>
            <w:pStyle w:val="Contents3"/>
            <w:tabs>
              <w:tab w:val="clear" w:pos="8459"/>
              <w:tab w:val="right" w:pos="9026" w:leader="dot"/>
            </w:tabs>
            <w:rPr/>
          </w:pPr>
          <w:hyperlink w:anchor="__RefHeading___Toc7368209_10512290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7368211_1051229030">
            <w:r>
              <w:rPr>
                <w:webHidden/>
                <w:rStyle w:val="IndexLink"/>
                <w:rtl w:val="true"/>
              </w:rPr>
              <w:t>المطلب الأوّل</w:t>
            </w:r>
            <w:r>
              <w:rPr>
                <w:rStyle w:val="IndexLink"/>
                <w:rtl w:val="true"/>
              </w:rPr>
              <w:t xml:space="preserve">: </w:t>
            </w:r>
            <w:r>
              <w:rPr>
                <w:rStyle w:val="IndexLink"/>
                <w:rtl w:val="true"/>
              </w:rPr>
              <w:t>فيما يتعلّق بمادّة الأمر</w:t>
            </w:r>
            <w:r>
              <w:rPr>
                <w:rStyle w:val="IndexLink"/>
                <w:rtl w:val="true"/>
              </w:rPr>
              <w:tab/>
            </w:r>
            <w:r>
              <w:rPr>
                <w:rStyle w:val="IndexLink"/>
              </w:rPr>
              <w:t>74</w:t>
            </w:r>
          </w:hyperlink>
        </w:p>
        <w:p>
          <w:pPr>
            <w:pStyle w:val="Contents4"/>
            <w:tabs>
              <w:tab w:val="clear" w:pos="8176"/>
              <w:tab w:val="right" w:pos="9026" w:leader="dot"/>
            </w:tabs>
            <w:rPr/>
          </w:pPr>
          <w:hyperlink w:anchor="__RefHeading___Toc7368213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7368215_1051229030">
            <w:r>
              <w:rPr>
                <w:webHidden/>
                <w:rStyle w:val="IndexLink"/>
                <w:rtl w:val="true"/>
              </w:rPr>
              <w:t xml:space="preserve">الجهة الثالثة </w:t>
            </w:r>
            <w:r>
              <w:rPr>
                <w:rStyle w:val="IndexLink"/>
                <w:rtl w:val="true"/>
              </w:rPr>
              <w:t xml:space="preserve">: </w:t>
            </w:r>
            <w:r>
              <w:rPr>
                <w:rStyle w:val="IndexLink"/>
                <w:rtl w:val="true"/>
              </w:rPr>
              <w:t>في الطلب والإرادة</w:t>
            </w:r>
            <w:r>
              <w:rPr>
                <w:rStyle w:val="IndexLink"/>
                <w:rtl w:val="true"/>
              </w:rPr>
              <w:tab/>
            </w:r>
            <w:r>
              <w:rPr>
                <w:rStyle w:val="IndexLink"/>
              </w:rPr>
              <w:t>74</w:t>
            </w:r>
          </w:hyperlink>
        </w:p>
        <w:p>
          <w:pPr>
            <w:pStyle w:val="Contents5"/>
            <w:tabs>
              <w:tab w:val="clear" w:pos="7892"/>
              <w:tab w:val="right" w:pos="9026" w:leader="dot"/>
            </w:tabs>
            <w:rPr/>
          </w:pPr>
          <w:hyperlink w:anchor="__RefHeading___Toc7368217_1051229030">
            <w:r>
              <w:rPr>
                <w:webHidden/>
                <w:rStyle w:val="IndexLink"/>
                <w:rtl w:val="true"/>
              </w:rPr>
              <w:t>دليلا الأشاعرة على ثبوت الطلب النفسي</w:t>
            </w:r>
            <w:r>
              <w:rPr>
                <w:rStyle w:val="IndexLink"/>
                <w:rtl w:val="true"/>
              </w:rPr>
              <w:tab/>
            </w:r>
            <w:r>
              <w:rPr>
                <w:rStyle w:val="IndexLink"/>
              </w:rPr>
              <w:t>74</w:t>
            </w:r>
          </w:hyperlink>
        </w:p>
        <w:p>
          <w:pPr>
            <w:pStyle w:val="Contents5"/>
            <w:tabs>
              <w:tab w:val="clear" w:pos="7892"/>
              <w:tab w:val="right" w:pos="9026" w:leader="dot"/>
            </w:tabs>
            <w:rPr/>
          </w:pPr>
          <w:hyperlink w:anchor="__RefHeading___Toc7368219_1051229030">
            <w:r>
              <w:rPr>
                <w:webHidden/>
                <w:rStyle w:val="IndexLink"/>
                <w:rtl w:val="true"/>
              </w:rPr>
              <w:t>الجبر والتفويض</w:t>
            </w:r>
            <w:r>
              <w:rPr>
                <w:rStyle w:val="IndexLink"/>
                <w:rtl w:val="true"/>
              </w:rPr>
              <w:tab/>
            </w:r>
            <w:r>
              <w:rPr>
                <w:rStyle w:val="IndexLink"/>
              </w:rPr>
              <w:t>77</w:t>
            </w:r>
          </w:hyperlink>
        </w:p>
        <w:p>
          <w:pPr>
            <w:pStyle w:val="Contents4"/>
            <w:tabs>
              <w:tab w:val="clear" w:pos="8176"/>
              <w:tab w:val="right" w:pos="9026" w:leader="dot"/>
            </w:tabs>
            <w:rPr/>
          </w:pPr>
          <w:hyperlink w:anchor="__RefHeading___Toc7368221_1051229030">
            <w:r>
              <w:rPr>
                <w:webHidden/>
                <w:rStyle w:val="IndexLink"/>
                <w:rtl w:val="true"/>
              </w:rPr>
              <w:t>الجهة الرابعة في أنّ الأمر إذا كان مطلقاً بلا قرينة هل يحمل على الوجوب أو الندب ؟</w:t>
            </w:r>
            <w:r>
              <w:rPr>
                <w:rStyle w:val="IndexLink"/>
                <w:rtl w:val="true"/>
              </w:rPr>
              <w:tab/>
            </w:r>
            <w:r>
              <w:rPr>
                <w:rStyle w:val="IndexLink"/>
              </w:rPr>
              <w:t>82</w:t>
            </w:r>
          </w:hyperlink>
        </w:p>
        <w:p>
          <w:pPr>
            <w:pStyle w:val="Contents5"/>
            <w:tabs>
              <w:tab w:val="clear" w:pos="7892"/>
              <w:tab w:val="right" w:pos="9026" w:leader="dot"/>
            </w:tabs>
            <w:rPr/>
          </w:pPr>
          <w:hyperlink w:anchor="__RefHeading___Toc7368223_1051229030">
            <w:r>
              <w:rPr>
                <w:webHidden/>
                <w:rStyle w:val="IndexLink"/>
                <w:rtl w:val="true"/>
              </w:rPr>
              <w:t>في أنّ الأمر إذا كان مطلقاً بلا قرينة هل يحمل على الوجوب أو الندب ؟</w:t>
            </w:r>
            <w:r>
              <w:rPr>
                <w:rStyle w:val="IndexLink"/>
                <w:rtl w:val="true"/>
              </w:rPr>
              <w:tab/>
            </w:r>
            <w:r>
              <w:rPr>
                <w:rStyle w:val="IndexLink"/>
              </w:rPr>
              <w:t>82</w:t>
            </w:r>
          </w:hyperlink>
        </w:p>
        <w:p>
          <w:pPr>
            <w:pStyle w:val="Contents5"/>
            <w:tabs>
              <w:tab w:val="clear" w:pos="7892"/>
              <w:tab w:val="right" w:pos="9026" w:leader="dot"/>
            </w:tabs>
            <w:rPr/>
          </w:pPr>
          <w:hyperlink w:anchor="__RefHeading___Toc7368225_1051229030">
            <w:r>
              <w:rPr>
                <w:webHidden/>
                <w:rStyle w:val="IndexLink"/>
                <w:rtl w:val="true"/>
              </w:rPr>
              <w:t xml:space="preserve">الأمر الأوّل </w:t>
            </w:r>
            <w:r>
              <w:rPr>
                <w:rStyle w:val="IndexLink"/>
                <w:rtl w:val="true"/>
              </w:rPr>
              <w:t xml:space="preserve">: </w:t>
            </w:r>
            <w:r>
              <w:rPr>
                <w:rStyle w:val="IndexLink"/>
                <w:rtl w:val="true"/>
              </w:rPr>
              <w:t>في معنى الطلب</w:t>
            </w:r>
            <w:r>
              <w:rPr>
                <w:rStyle w:val="IndexLink"/>
                <w:rtl w:val="true"/>
              </w:rPr>
              <w:tab/>
            </w:r>
            <w:r>
              <w:rPr>
                <w:rStyle w:val="IndexLink"/>
              </w:rPr>
              <w:t>82</w:t>
            </w:r>
          </w:hyperlink>
        </w:p>
        <w:p>
          <w:pPr>
            <w:pStyle w:val="Contents5"/>
            <w:tabs>
              <w:tab w:val="clear" w:pos="7892"/>
              <w:tab w:val="right" w:pos="9026" w:leader="dot"/>
            </w:tabs>
            <w:rPr/>
          </w:pPr>
          <w:hyperlink w:anchor="__RefHeading___Toc7368227_1051229030">
            <w:r>
              <w:rPr>
                <w:webHidden/>
                <w:rStyle w:val="IndexLink"/>
                <w:rtl w:val="true"/>
              </w:rPr>
              <w:t>الأمر الثاني</w:t>
            </w:r>
            <w:r>
              <w:rPr>
                <w:rStyle w:val="IndexLink"/>
                <w:rtl w:val="true"/>
              </w:rPr>
              <w:tab/>
            </w:r>
            <w:r>
              <w:rPr>
                <w:rStyle w:val="IndexLink"/>
              </w:rPr>
              <w:t>82</w:t>
            </w:r>
          </w:hyperlink>
        </w:p>
        <w:p>
          <w:pPr>
            <w:pStyle w:val="Contents5"/>
            <w:tabs>
              <w:tab w:val="clear" w:pos="7892"/>
              <w:tab w:val="right" w:pos="9026" w:leader="dot"/>
            </w:tabs>
            <w:rPr/>
          </w:pPr>
          <w:hyperlink w:anchor="__RefHeading___Toc7368229_1051229030">
            <w:r>
              <w:rPr>
                <w:webHidden/>
                <w:rStyle w:val="IndexLink"/>
                <w:rtl w:val="true"/>
              </w:rPr>
              <w:t xml:space="preserve">الأمر الثالث </w:t>
            </w:r>
            <w:r>
              <w:rPr>
                <w:rStyle w:val="IndexLink"/>
                <w:rtl w:val="true"/>
              </w:rPr>
              <w:t xml:space="preserve">: </w:t>
            </w:r>
            <w:r>
              <w:rPr>
                <w:rStyle w:val="IndexLink"/>
                <w:rtl w:val="true"/>
              </w:rPr>
              <w:t>في الفرق بين الطلب الندبي والوجوبي</w:t>
            </w:r>
            <w:r>
              <w:rPr>
                <w:rStyle w:val="IndexLink"/>
                <w:rtl w:val="true"/>
              </w:rPr>
              <w:tab/>
            </w:r>
            <w:r>
              <w:rPr>
                <w:rStyle w:val="IndexLink"/>
              </w:rPr>
              <w:t>84</w:t>
            </w:r>
          </w:hyperlink>
        </w:p>
        <w:p>
          <w:pPr>
            <w:pStyle w:val="Contents5"/>
            <w:tabs>
              <w:tab w:val="clear" w:pos="7892"/>
              <w:tab w:val="right" w:pos="9026" w:leader="dot"/>
            </w:tabs>
            <w:rPr/>
          </w:pPr>
          <w:hyperlink w:anchor="__RefHeading___Toc7368231_1051229030">
            <w:r>
              <w:rPr>
                <w:webHidden/>
                <w:rStyle w:val="IndexLink"/>
                <w:rtl w:val="true"/>
              </w:rPr>
              <w:t xml:space="preserve">الأمر الرابع </w:t>
            </w:r>
            <w:r>
              <w:rPr>
                <w:rStyle w:val="IndexLink"/>
                <w:rtl w:val="true"/>
              </w:rPr>
              <w:t xml:space="preserve">: </w:t>
            </w:r>
            <w:r>
              <w:rPr>
                <w:rStyle w:val="IndexLink"/>
                <w:rtl w:val="true"/>
              </w:rPr>
              <w:t>في دلالة الطلب على الإرادة دلالة عقلية</w:t>
            </w:r>
            <w:r>
              <w:rPr>
                <w:rStyle w:val="IndexLink"/>
                <w:rtl w:val="true"/>
              </w:rPr>
              <w:tab/>
            </w:r>
            <w:r>
              <w:rPr>
                <w:rStyle w:val="IndexLink"/>
              </w:rPr>
              <w:t>85</w:t>
            </w:r>
          </w:hyperlink>
        </w:p>
        <w:p>
          <w:pPr>
            <w:pStyle w:val="Contents5"/>
            <w:tabs>
              <w:tab w:val="clear" w:pos="7892"/>
              <w:tab w:val="right" w:pos="9026" w:leader="dot"/>
            </w:tabs>
            <w:rPr/>
          </w:pPr>
          <w:hyperlink w:anchor="__RefHeading___Toc7368233_1051229030">
            <w:r>
              <w:rPr>
                <w:webHidden/>
                <w:rStyle w:val="IndexLink"/>
                <w:rtl w:val="true"/>
              </w:rPr>
              <w:t xml:space="preserve">الأمر الخامس </w:t>
            </w:r>
            <w:r>
              <w:rPr>
                <w:rStyle w:val="IndexLink"/>
                <w:rtl w:val="true"/>
              </w:rPr>
              <w:t xml:space="preserve">: </w:t>
            </w:r>
            <w:r>
              <w:rPr>
                <w:rStyle w:val="IndexLink"/>
                <w:rtl w:val="true"/>
              </w:rPr>
              <w:t>في تحرير محلّ النزاع</w:t>
            </w:r>
            <w:r>
              <w:rPr>
                <w:rStyle w:val="IndexLink"/>
                <w:rtl w:val="true"/>
              </w:rPr>
              <w:tab/>
            </w:r>
            <w:r>
              <w:rPr>
                <w:rStyle w:val="IndexLink"/>
              </w:rPr>
              <w:t>86</w:t>
            </w:r>
          </w:hyperlink>
        </w:p>
        <w:p>
          <w:pPr>
            <w:pStyle w:val="Contents4"/>
            <w:tabs>
              <w:tab w:val="clear" w:pos="8176"/>
              <w:tab w:val="right" w:pos="9026" w:leader="dot"/>
            </w:tabs>
            <w:rPr/>
          </w:pPr>
          <w:hyperlink w:anchor="__RefHeading___Toc7368235_1051229030">
            <w:r>
              <w:rPr>
                <w:webHidden/>
                <w:rStyle w:val="IndexLink"/>
                <w:rtl w:val="true"/>
              </w:rPr>
              <w:t>تحقيق المقام</w:t>
            </w:r>
            <w:r>
              <w:rPr>
                <w:rStyle w:val="IndexLink"/>
                <w:rtl w:val="true"/>
              </w:rPr>
              <w:tab/>
            </w:r>
            <w:r>
              <w:rPr>
                <w:rStyle w:val="IndexLink"/>
              </w:rPr>
              <w:t>87</w:t>
            </w:r>
          </w:hyperlink>
        </w:p>
        <w:p>
          <w:pPr>
            <w:pStyle w:val="Contents3"/>
            <w:tabs>
              <w:tab w:val="clear" w:pos="8459"/>
              <w:tab w:val="right" w:pos="9026" w:leader="dot"/>
            </w:tabs>
            <w:rPr/>
          </w:pPr>
          <w:hyperlink w:anchor="__RefHeading___Toc7368237_1051229030">
            <w:r>
              <w:rPr>
                <w:webHidden/>
                <w:rStyle w:val="IndexLink"/>
                <w:rtl w:val="true"/>
              </w:rPr>
              <w:t>المطلب الثاني</w:t>
            </w:r>
            <w:r>
              <w:rPr>
                <w:rStyle w:val="IndexLink"/>
                <w:rtl w:val="true"/>
              </w:rPr>
              <w:t xml:space="preserve">: </w:t>
            </w:r>
            <w:r>
              <w:rPr>
                <w:rStyle w:val="IndexLink"/>
                <w:rtl w:val="true"/>
              </w:rPr>
              <w:t>فیما یتعلّق بصیغة الأمر</w:t>
            </w:r>
            <w:r>
              <w:rPr>
                <w:rStyle w:val="IndexLink"/>
                <w:rtl w:val="true"/>
              </w:rPr>
              <w:tab/>
            </w:r>
            <w:r>
              <w:rPr>
                <w:rStyle w:val="IndexLink"/>
              </w:rPr>
              <w:t>90</w:t>
            </w:r>
          </w:hyperlink>
        </w:p>
        <w:p>
          <w:pPr>
            <w:pStyle w:val="Contents4"/>
            <w:tabs>
              <w:tab w:val="clear" w:pos="8176"/>
              <w:tab w:val="right" w:pos="9026" w:leader="dot"/>
            </w:tabs>
            <w:rPr/>
          </w:pPr>
          <w:hyperlink w:anchor="__RefHeading___Toc7368239_1051229030">
            <w:r>
              <w:rPr>
                <w:webHidden/>
                <w:rStyle w:val="IndexLink"/>
                <w:rtl w:val="true"/>
              </w:rPr>
              <w:t>فیما یتعلّق بصیغة الأمر</w:t>
            </w:r>
            <w:r>
              <w:rPr>
                <w:rStyle w:val="IndexLink"/>
                <w:rtl w:val="true"/>
              </w:rPr>
              <w:tab/>
            </w:r>
            <w:r>
              <w:rPr>
                <w:rStyle w:val="IndexLink"/>
              </w:rPr>
              <w:t>90</w:t>
            </w:r>
          </w:hyperlink>
        </w:p>
        <w:p>
          <w:pPr>
            <w:pStyle w:val="Contents4"/>
            <w:tabs>
              <w:tab w:val="clear" w:pos="8176"/>
              <w:tab w:val="right" w:pos="9026" w:leader="dot"/>
            </w:tabs>
            <w:rPr/>
          </w:pPr>
          <w:hyperlink w:anchor="__RefHeading___Toc7368241_1051229030">
            <w:r>
              <w:rPr>
                <w:webHidden/>
                <w:rStyle w:val="IndexLink"/>
                <w:rtl w:val="true"/>
              </w:rPr>
              <w:t xml:space="preserve">المبحث الأوّل </w:t>
            </w:r>
            <w:r>
              <w:rPr>
                <w:rStyle w:val="IndexLink"/>
                <w:rtl w:val="true"/>
              </w:rPr>
              <w:t xml:space="preserve">: </w:t>
            </w:r>
            <w:r>
              <w:rPr>
                <w:rStyle w:val="IndexLink"/>
                <w:rtl w:val="true"/>
              </w:rPr>
              <w:t>في الفرق فيما ينشأ به الطلب</w:t>
            </w:r>
            <w:r>
              <w:rPr>
                <w:rStyle w:val="IndexLink"/>
                <w:rtl w:val="true"/>
              </w:rPr>
              <w:tab/>
            </w:r>
            <w:r>
              <w:rPr>
                <w:rStyle w:val="IndexLink"/>
              </w:rPr>
              <w:t>90</w:t>
            </w:r>
          </w:hyperlink>
        </w:p>
        <w:p>
          <w:pPr>
            <w:pStyle w:val="Contents4"/>
            <w:tabs>
              <w:tab w:val="clear" w:pos="8176"/>
              <w:tab w:val="right" w:pos="9026" w:leader="dot"/>
            </w:tabs>
            <w:rPr/>
          </w:pPr>
          <w:hyperlink w:anchor="__RefHeading___Toc7368243_1051229030">
            <w:r>
              <w:rPr>
                <w:webHidden/>
                <w:rStyle w:val="IndexLink"/>
                <w:rtl w:val="true"/>
              </w:rPr>
              <w:t>المبحث الثاني في كثرة استعمال الأمر في الندب</w:t>
            </w:r>
            <w:r>
              <w:rPr>
                <w:rStyle w:val="IndexLink"/>
                <w:rtl w:val="true"/>
              </w:rPr>
              <w:tab/>
            </w:r>
            <w:r>
              <w:rPr>
                <w:rStyle w:val="IndexLink"/>
              </w:rPr>
              <w:t>92</w:t>
            </w:r>
          </w:hyperlink>
        </w:p>
        <w:p>
          <w:pPr>
            <w:pStyle w:val="Contents5"/>
            <w:tabs>
              <w:tab w:val="clear" w:pos="7892"/>
              <w:tab w:val="right" w:pos="9026" w:leader="dot"/>
            </w:tabs>
            <w:rPr/>
          </w:pPr>
          <w:hyperlink w:anchor="__RefHeading___Toc7368245_1051229030">
            <w:r>
              <w:rPr>
                <w:webHidden/>
                <w:rStyle w:val="IndexLink"/>
                <w:rtl w:val="true"/>
              </w:rPr>
              <w:t>في كثرة استعمال الأمر في الندب</w:t>
            </w:r>
            <w:r>
              <w:rPr>
                <w:rStyle w:val="IndexLink"/>
                <w:rtl w:val="true"/>
              </w:rPr>
              <w:tab/>
            </w:r>
            <w:r>
              <w:rPr>
                <w:rStyle w:val="IndexLink"/>
              </w:rPr>
              <w:t>92</w:t>
            </w:r>
          </w:hyperlink>
        </w:p>
        <w:p>
          <w:pPr>
            <w:pStyle w:val="Contents5"/>
            <w:tabs>
              <w:tab w:val="clear" w:pos="7892"/>
              <w:tab w:val="right" w:pos="9026" w:leader="dot"/>
            </w:tabs>
            <w:rPr/>
          </w:pPr>
          <w:hyperlink w:anchor="__RefHeading___Toc7368247_1051229030">
            <w:r>
              <w:rPr>
                <w:webHidden/>
                <w:rStyle w:val="IndexLink"/>
                <w:rtl w:val="true"/>
              </w:rPr>
              <w:t xml:space="preserve">تنبيه </w:t>
            </w:r>
            <w:r>
              <w:rPr>
                <w:rStyle w:val="IndexLink"/>
                <w:rtl w:val="true"/>
              </w:rPr>
              <w:t xml:space="preserve">: </w:t>
            </w:r>
            <w:r>
              <w:rPr>
                <w:rStyle w:val="IndexLink"/>
                <w:rtl w:val="true"/>
              </w:rPr>
              <w:t>في الأحكام السلطانية</w:t>
            </w:r>
            <w:r>
              <w:rPr>
                <w:rStyle w:val="IndexLink"/>
                <w:rtl w:val="true"/>
              </w:rPr>
              <w:tab/>
            </w:r>
            <w:r>
              <w:rPr>
                <w:rStyle w:val="IndexLink"/>
              </w:rPr>
              <w:t>94</w:t>
            </w:r>
          </w:hyperlink>
        </w:p>
        <w:p>
          <w:pPr>
            <w:pStyle w:val="Contents4"/>
            <w:tabs>
              <w:tab w:val="clear" w:pos="8176"/>
              <w:tab w:val="right" w:pos="9026" w:leader="dot"/>
            </w:tabs>
            <w:rPr/>
          </w:pPr>
          <w:hyperlink w:anchor="__RefHeading___Toc7368249_1051229030">
            <w:r>
              <w:rPr>
                <w:webHidden/>
                <w:rStyle w:val="IndexLink"/>
                <w:rtl w:val="true"/>
              </w:rPr>
              <w:t>المبحث الثالث في التعبّدي والتوصّلي</w:t>
            </w:r>
            <w:r>
              <w:rPr>
                <w:rStyle w:val="IndexLink"/>
                <w:rtl w:val="true"/>
              </w:rPr>
              <w:tab/>
            </w:r>
            <w:r>
              <w:rPr>
                <w:rStyle w:val="IndexLink"/>
              </w:rPr>
              <w:t>96</w:t>
            </w:r>
          </w:hyperlink>
        </w:p>
        <w:p>
          <w:pPr>
            <w:pStyle w:val="Contents5"/>
            <w:tabs>
              <w:tab w:val="clear" w:pos="7892"/>
              <w:tab w:val="right" w:pos="9026" w:leader="dot"/>
            </w:tabs>
            <w:rPr/>
          </w:pPr>
          <w:hyperlink w:anchor="__RefHeading___Toc7368251_1051229030">
            <w:r>
              <w:rPr>
                <w:webHidden/>
                <w:rStyle w:val="IndexLink"/>
                <w:rtl w:val="true"/>
              </w:rPr>
              <w:t>في التعبّدي والتوصّلي</w:t>
            </w:r>
            <w:r>
              <w:rPr>
                <w:rStyle w:val="IndexLink"/>
                <w:rtl w:val="true"/>
              </w:rPr>
              <w:tab/>
            </w:r>
            <w:r>
              <w:rPr>
                <w:rStyle w:val="IndexLink"/>
              </w:rPr>
              <w:t>96</w:t>
            </w:r>
          </w:hyperlink>
        </w:p>
        <w:p>
          <w:pPr>
            <w:pStyle w:val="Contents5"/>
            <w:tabs>
              <w:tab w:val="clear" w:pos="7892"/>
              <w:tab w:val="right" w:pos="9026" w:leader="dot"/>
            </w:tabs>
            <w:rPr/>
          </w:pPr>
          <w:hyperlink w:anchor="__RefHeading___Toc7368253_1051229030">
            <w:r>
              <w:rPr>
                <w:webHidden/>
                <w:rStyle w:val="IndexLink"/>
                <w:rtl w:val="true"/>
              </w:rPr>
              <w:t xml:space="preserve">الأمر الأوّل </w:t>
            </w:r>
            <w:r>
              <w:rPr>
                <w:rStyle w:val="IndexLink"/>
                <w:rtl w:val="true"/>
              </w:rPr>
              <w:t xml:space="preserve">: </w:t>
            </w:r>
            <w:r>
              <w:rPr>
                <w:rStyle w:val="IndexLink"/>
                <w:rtl w:val="true"/>
              </w:rPr>
              <w:t>في تعريفهما</w:t>
            </w:r>
            <w:r>
              <w:rPr>
                <w:rStyle w:val="IndexLink"/>
                <w:rtl w:val="true"/>
              </w:rPr>
              <w:tab/>
            </w:r>
            <w:r>
              <w:rPr>
                <w:rStyle w:val="IndexLink"/>
              </w:rPr>
              <w:t>96</w:t>
            </w:r>
          </w:hyperlink>
        </w:p>
        <w:p>
          <w:pPr>
            <w:pStyle w:val="Contents5"/>
            <w:tabs>
              <w:tab w:val="clear" w:pos="7892"/>
              <w:tab w:val="right" w:pos="9026" w:leader="dot"/>
            </w:tabs>
            <w:rPr/>
          </w:pPr>
          <w:hyperlink w:anchor="__RefHeading___Toc7368255_1051229030">
            <w:r>
              <w:rPr>
                <w:webHidden/>
                <w:rStyle w:val="IndexLink"/>
                <w:rtl w:val="true"/>
              </w:rPr>
              <w:t xml:space="preserve">الأمر الثاني </w:t>
            </w:r>
            <w:r>
              <w:rPr>
                <w:rStyle w:val="IndexLink"/>
                <w:rtl w:val="true"/>
              </w:rPr>
              <w:t xml:space="preserve">: </w:t>
            </w:r>
            <w:r>
              <w:rPr>
                <w:rStyle w:val="IndexLink"/>
                <w:rtl w:val="true"/>
              </w:rPr>
              <w:t>في أخذ قصد التقرّب في متعلّق الأمر</w:t>
            </w:r>
            <w:r>
              <w:rPr>
                <w:rStyle w:val="IndexLink"/>
                <w:rtl w:val="true"/>
              </w:rPr>
              <w:tab/>
            </w:r>
            <w:r>
              <w:rPr>
                <w:rStyle w:val="IndexLink"/>
              </w:rPr>
              <w:t>97</w:t>
            </w:r>
          </w:hyperlink>
        </w:p>
        <w:p>
          <w:pPr>
            <w:pStyle w:val="Contents6"/>
            <w:tabs>
              <w:tab w:val="clear" w:pos="7609"/>
              <w:tab w:val="right" w:pos="9026" w:leader="dot"/>
            </w:tabs>
            <w:rPr/>
          </w:pPr>
          <w:hyperlink w:anchor="__RefHeading___Toc7368257_1051229030">
            <w:r>
              <w:rPr>
                <w:webHidden/>
                <w:rStyle w:val="IndexLink"/>
                <w:rtl w:val="true"/>
              </w:rPr>
              <w:t>في أخذ قصد التقرّب في متعلّق الأمر</w:t>
            </w:r>
            <w:r>
              <w:rPr>
                <w:rStyle w:val="IndexLink"/>
                <w:rtl w:val="true"/>
              </w:rPr>
              <w:tab/>
            </w:r>
            <w:r>
              <w:rPr>
                <w:rStyle w:val="IndexLink"/>
              </w:rPr>
              <w:t>97</w:t>
            </w:r>
          </w:hyperlink>
        </w:p>
        <w:p>
          <w:pPr>
            <w:pStyle w:val="Contents6"/>
            <w:tabs>
              <w:tab w:val="clear" w:pos="7609"/>
              <w:tab w:val="right" w:pos="9026" w:leader="dot"/>
            </w:tabs>
            <w:rPr/>
          </w:pPr>
          <w:hyperlink w:anchor="__RefHeading___Toc7368259_1051229030">
            <w:r>
              <w:rPr>
                <w:webHidden/>
                <w:rStyle w:val="IndexLink"/>
                <w:rtl w:val="true"/>
              </w:rPr>
              <w:t>تفصّيات عن عويصة أخذ قصد التقرّب</w:t>
            </w:r>
            <w:r>
              <w:rPr>
                <w:rStyle w:val="IndexLink"/>
                <w:rtl w:val="true"/>
              </w:rPr>
              <w:tab/>
            </w:r>
            <w:r>
              <w:rPr>
                <w:rStyle w:val="IndexLink"/>
              </w:rPr>
              <w:t>102</w:t>
            </w:r>
          </w:hyperlink>
        </w:p>
        <w:p>
          <w:pPr>
            <w:pStyle w:val="Contents6"/>
            <w:tabs>
              <w:tab w:val="clear" w:pos="7609"/>
              <w:tab w:val="right" w:pos="9026" w:leader="dot"/>
            </w:tabs>
            <w:rPr/>
          </w:pPr>
          <w:hyperlink w:anchor="__RefHeading___Toc7368261_1051229030">
            <w:r>
              <w:rPr>
                <w:webHidden/>
                <w:rStyle w:val="IndexLink"/>
                <w:rtl w:val="true"/>
              </w:rPr>
              <w:t>التحقيق في التفصّي عن عويصة أخذ قصد التقرّب</w:t>
            </w:r>
            <w:r>
              <w:rPr>
                <w:rStyle w:val="IndexLink"/>
                <w:rtl w:val="true"/>
              </w:rPr>
              <w:tab/>
            </w:r>
            <w:r>
              <w:rPr>
                <w:rStyle w:val="IndexLink"/>
              </w:rPr>
              <w:t>105</w:t>
            </w:r>
          </w:hyperlink>
        </w:p>
        <w:p>
          <w:pPr>
            <w:pStyle w:val="Contents6"/>
            <w:tabs>
              <w:tab w:val="clear" w:pos="7609"/>
              <w:tab w:val="right" w:pos="9026" w:leader="dot"/>
            </w:tabs>
            <w:rPr/>
          </w:pPr>
          <w:hyperlink w:anchor="__RefHeading___Toc7368263_1051229030">
            <w:r>
              <w:rPr>
                <w:webHidden/>
                <w:rStyle w:val="IndexLink"/>
                <w:rtl w:val="true"/>
              </w:rPr>
              <w:t xml:space="preserve">تحقيق ودفع </w:t>
            </w:r>
            <w:r>
              <w:rPr>
                <w:rStyle w:val="IndexLink"/>
                <w:rtl w:val="true"/>
              </w:rPr>
              <w:t>:</w:t>
              <w:tab/>
            </w:r>
            <w:r>
              <w:rPr>
                <w:rStyle w:val="IndexLink"/>
              </w:rPr>
              <w:t>105</w:t>
            </w:r>
          </w:hyperlink>
        </w:p>
        <w:p>
          <w:pPr>
            <w:pStyle w:val="Contents6"/>
            <w:tabs>
              <w:tab w:val="clear" w:pos="7609"/>
              <w:tab w:val="right" w:pos="9026" w:leader="dot"/>
            </w:tabs>
            <w:rPr/>
          </w:pPr>
          <w:hyperlink w:anchor="__RefHeading___Toc7368265_1051229030">
            <w:r>
              <w:rPr>
                <w:webHidden/>
                <w:rStyle w:val="IndexLink"/>
                <w:rtl w:val="true"/>
              </w:rPr>
              <w:t xml:space="preserve">الاُولى </w:t>
            </w:r>
            <w:r>
              <w:rPr>
                <w:rStyle w:val="IndexLink"/>
                <w:rtl w:val="true"/>
              </w:rPr>
              <w:t xml:space="preserve">: </w:t>
            </w:r>
            <w:r>
              <w:rPr>
                <w:rStyle w:val="IndexLink"/>
                <w:rtl w:val="true"/>
              </w:rPr>
              <w:t>أنحاء أخذ القصد</w:t>
            </w:r>
            <w:r>
              <w:rPr>
                <w:rStyle w:val="IndexLink"/>
                <w:rtl w:val="true"/>
              </w:rPr>
              <w:tab/>
            </w:r>
            <w:r>
              <w:rPr>
                <w:rStyle w:val="IndexLink"/>
              </w:rPr>
              <w:t>105</w:t>
            </w:r>
          </w:hyperlink>
        </w:p>
        <w:p>
          <w:pPr>
            <w:pStyle w:val="Contents6"/>
            <w:tabs>
              <w:tab w:val="clear" w:pos="7609"/>
              <w:tab w:val="right" w:pos="9026" w:leader="dot"/>
            </w:tabs>
            <w:rPr/>
          </w:pPr>
          <w:hyperlink w:anchor="__RefHeading___Toc7368267_1051229030">
            <w:r>
              <w:rPr>
                <w:webHidden/>
                <w:rStyle w:val="IndexLink"/>
                <w:rtl w:val="true"/>
              </w:rPr>
              <w:t xml:space="preserve">الثانية </w:t>
            </w:r>
            <w:r>
              <w:rPr>
                <w:rStyle w:val="IndexLink"/>
                <w:rtl w:val="true"/>
              </w:rPr>
              <w:t xml:space="preserve">: </w:t>
            </w:r>
            <w:r>
              <w:rPr>
                <w:rStyle w:val="IndexLink"/>
                <w:rtl w:val="true"/>
              </w:rPr>
              <w:t>الميزان في مقرّبية المقدّمات</w:t>
            </w:r>
            <w:r>
              <w:rPr>
                <w:rStyle w:val="IndexLink"/>
                <w:rtl w:val="true"/>
              </w:rPr>
              <w:tab/>
            </w:r>
            <w:r>
              <w:rPr>
                <w:rStyle w:val="IndexLink"/>
              </w:rPr>
              <w:t>106</w:t>
            </w:r>
          </w:hyperlink>
        </w:p>
        <w:p>
          <w:pPr>
            <w:pStyle w:val="Contents6"/>
            <w:tabs>
              <w:tab w:val="clear" w:pos="7609"/>
              <w:tab w:val="right" w:pos="9026" w:leader="dot"/>
            </w:tabs>
            <w:rPr/>
          </w:pPr>
          <w:hyperlink w:anchor="__RefHeading___Toc7368269_1051229030">
            <w:r>
              <w:rPr>
                <w:webHidden/>
                <w:rStyle w:val="IndexLink"/>
                <w:rtl w:val="true"/>
              </w:rPr>
              <w:t xml:space="preserve">الثالثة </w:t>
            </w:r>
            <w:r>
              <w:rPr>
                <w:rStyle w:val="IndexLink"/>
                <w:rtl w:val="true"/>
              </w:rPr>
              <w:t xml:space="preserve">: </w:t>
            </w:r>
            <w:r>
              <w:rPr>
                <w:rStyle w:val="IndexLink"/>
                <w:rtl w:val="true"/>
              </w:rPr>
              <w:t>فيما هو الباعث نحو العمل</w:t>
            </w:r>
            <w:r>
              <w:rPr>
                <w:rStyle w:val="IndexLink"/>
                <w:rtl w:val="true"/>
              </w:rPr>
              <w:tab/>
            </w:r>
            <w:r>
              <w:rPr>
                <w:rStyle w:val="IndexLink"/>
              </w:rPr>
              <w:t>107</w:t>
            </w:r>
          </w:hyperlink>
        </w:p>
        <w:p>
          <w:pPr>
            <w:pStyle w:val="Contents5"/>
            <w:tabs>
              <w:tab w:val="clear" w:pos="7892"/>
              <w:tab w:val="right" w:pos="9026" w:leader="dot"/>
            </w:tabs>
            <w:rPr/>
          </w:pPr>
          <w:hyperlink w:anchor="__RefHeading___Toc7368271_1051229030">
            <w:r>
              <w:rPr>
                <w:webHidden/>
                <w:rStyle w:val="IndexLink"/>
                <w:rtl w:val="true"/>
              </w:rPr>
              <w:t xml:space="preserve">الأمر الثالث </w:t>
            </w:r>
            <w:r>
              <w:rPr>
                <w:rStyle w:val="IndexLink"/>
                <w:rtl w:val="true"/>
              </w:rPr>
              <w:t xml:space="preserve">: </w:t>
            </w:r>
            <w:r>
              <w:rPr>
                <w:rStyle w:val="IndexLink"/>
                <w:rtl w:val="true"/>
              </w:rPr>
              <w:t>في مقام الشكّ في التعبّدية والتوصّلية</w:t>
            </w:r>
            <w:r>
              <w:rPr>
                <w:rStyle w:val="IndexLink"/>
                <w:rtl w:val="true"/>
              </w:rPr>
              <w:tab/>
            </w:r>
            <w:r>
              <w:rPr>
                <w:rStyle w:val="IndexLink"/>
              </w:rPr>
              <w:t>113</w:t>
            </w:r>
          </w:hyperlink>
        </w:p>
        <w:p>
          <w:pPr>
            <w:pStyle w:val="Contents4"/>
            <w:tabs>
              <w:tab w:val="clear" w:pos="8176"/>
              <w:tab w:val="right" w:pos="9026" w:leader="dot"/>
            </w:tabs>
            <w:rPr/>
          </w:pPr>
          <w:hyperlink w:anchor="__RefHeading___Toc7368273_1051229030">
            <w:r>
              <w:rPr>
                <w:webHidden/>
                <w:rStyle w:val="IndexLink"/>
                <w:rtl w:val="true"/>
              </w:rPr>
              <w:t xml:space="preserve">المبحث الرابع في </w:t>
            </w:r>
            <w:r>
              <w:rPr>
                <w:rStyle w:val="IndexLink"/>
                <w:rtl w:val="true"/>
              </w:rPr>
              <w:t>«</w:t>
            </w:r>
            <w:r>
              <w:rPr>
                <w:rStyle w:val="IndexLink"/>
                <w:rtl w:val="true"/>
              </w:rPr>
              <w:t>المرّة والتكرار</w:t>
            </w:r>
            <w:r>
              <w:rPr>
                <w:rStyle w:val="IndexLink"/>
                <w:rtl w:val="true"/>
              </w:rPr>
              <w:t xml:space="preserve">» </w:t>
            </w:r>
            <w:r>
              <w:rPr>
                <w:rStyle w:val="IndexLink"/>
                <w:rtl w:val="true"/>
              </w:rPr>
              <w:t>و</w:t>
            </w:r>
            <w:r>
              <w:rPr>
                <w:rStyle w:val="IndexLink"/>
                <w:rtl w:val="true"/>
              </w:rPr>
              <w:t>«</w:t>
            </w:r>
            <w:r>
              <w:rPr>
                <w:rStyle w:val="IndexLink"/>
                <w:rtl w:val="true"/>
              </w:rPr>
              <w:t>الفور والتراخي</w:t>
            </w:r>
            <w:r>
              <w:rPr>
                <w:rStyle w:val="IndexLink"/>
                <w:rtl w:val="true"/>
              </w:rPr>
              <w:t>»</w:t>
              <w:tab/>
            </w:r>
            <w:r>
              <w:rPr>
                <w:rStyle w:val="IndexLink"/>
              </w:rPr>
              <w:t>114</w:t>
            </w:r>
          </w:hyperlink>
        </w:p>
        <w:p>
          <w:pPr>
            <w:pStyle w:val="Contents5"/>
            <w:tabs>
              <w:tab w:val="clear" w:pos="7892"/>
              <w:tab w:val="right" w:pos="9026" w:leader="dot"/>
            </w:tabs>
            <w:rPr/>
          </w:pPr>
          <w:hyperlink w:anchor="__RefHeading___Toc7368275_1051229030">
            <w:r>
              <w:rPr>
                <w:webHidden/>
                <w:rStyle w:val="IndexLink"/>
                <w:rtl w:val="true"/>
              </w:rPr>
              <w:t xml:space="preserve">في </w:t>
            </w:r>
            <w:r>
              <w:rPr>
                <w:rStyle w:val="IndexLink"/>
                <w:rtl w:val="true"/>
              </w:rPr>
              <w:t>«</w:t>
            </w:r>
            <w:r>
              <w:rPr>
                <w:rStyle w:val="IndexLink"/>
                <w:rtl w:val="true"/>
              </w:rPr>
              <w:t>المرّة والتكرار</w:t>
            </w:r>
            <w:r>
              <w:rPr>
                <w:rStyle w:val="IndexLink"/>
                <w:rtl w:val="true"/>
              </w:rPr>
              <w:t xml:space="preserve">» </w:t>
            </w:r>
            <w:r>
              <w:rPr>
                <w:rStyle w:val="IndexLink"/>
                <w:rtl w:val="true"/>
              </w:rPr>
              <w:t>و</w:t>
            </w:r>
            <w:r>
              <w:rPr>
                <w:rStyle w:val="IndexLink"/>
                <w:rtl w:val="true"/>
              </w:rPr>
              <w:t>«</w:t>
            </w:r>
            <w:r>
              <w:rPr>
                <w:rStyle w:val="IndexLink"/>
                <w:rtl w:val="true"/>
              </w:rPr>
              <w:t>الفور والتراخي</w:t>
            </w:r>
            <w:r>
              <w:rPr>
                <w:rStyle w:val="IndexLink"/>
                <w:rtl w:val="true"/>
              </w:rPr>
              <w:t>»</w:t>
              <w:tab/>
            </w:r>
            <w:r>
              <w:rPr>
                <w:rStyle w:val="IndexLink"/>
              </w:rPr>
              <w:t>114</w:t>
            </w:r>
          </w:hyperlink>
        </w:p>
        <w:p>
          <w:pPr>
            <w:pStyle w:val="Contents5"/>
            <w:tabs>
              <w:tab w:val="clear" w:pos="7892"/>
              <w:tab w:val="right" w:pos="9026" w:leader="dot"/>
            </w:tabs>
            <w:rPr/>
          </w:pPr>
          <w:hyperlink w:anchor="__RefHeading___Toc7368277_1051229030">
            <w:r>
              <w:rPr>
                <w:webHidden/>
                <w:rStyle w:val="IndexLink"/>
                <w:rtl w:val="true"/>
              </w:rPr>
              <w:t xml:space="preserve">تنبيه </w:t>
            </w:r>
            <w:r>
              <w:rPr>
                <w:rStyle w:val="IndexLink"/>
                <w:rtl w:val="true"/>
              </w:rPr>
              <w:t xml:space="preserve">: </w:t>
            </w:r>
            <w:r>
              <w:rPr>
                <w:rStyle w:val="IndexLink"/>
                <w:rtl w:val="true"/>
              </w:rPr>
              <w:t>في الأوامر الواقعة عقيب الحظر</w:t>
            </w:r>
            <w:r>
              <w:rPr>
                <w:rStyle w:val="IndexLink"/>
                <w:rtl w:val="true"/>
              </w:rPr>
              <w:tab/>
            </w:r>
            <w:r>
              <w:rPr>
                <w:rStyle w:val="IndexLink"/>
              </w:rPr>
              <w:t>115</w:t>
            </w:r>
          </w:hyperlink>
        </w:p>
        <w:p>
          <w:pPr>
            <w:pStyle w:val="Contents3"/>
            <w:tabs>
              <w:tab w:val="clear" w:pos="8459"/>
              <w:tab w:val="right" w:pos="9026" w:leader="dot"/>
            </w:tabs>
            <w:rPr/>
          </w:pPr>
          <w:hyperlink w:anchor="__RefHeading___Toc7368279_1051229030">
            <w:r>
              <w:rPr>
                <w:webHidden/>
                <w:rStyle w:val="IndexLink"/>
                <w:rtl w:val="true"/>
              </w:rPr>
              <w:t>المطلب الثالث</w:t>
            </w:r>
            <w:r>
              <w:rPr>
                <w:rStyle w:val="IndexLink"/>
                <w:rtl w:val="true"/>
              </w:rPr>
              <w:t xml:space="preserve">: </w:t>
            </w:r>
            <w:r>
              <w:rPr>
                <w:rStyle w:val="IndexLink"/>
                <w:rtl w:val="true"/>
              </w:rPr>
              <w:t>في الإجزاء</w:t>
            </w:r>
            <w:r>
              <w:rPr>
                <w:rStyle w:val="IndexLink"/>
                <w:rtl w:val="true"/>
              </w:rPr>
              <w:tab/>
            </w:r>
            <w:r>
              <w:rPr>
                <w:rStyle w:val="IndexLink"/>
              </w:rPr>
              <w:t>116</w:t>
            </w:r>
          </w:hyperlink>
        </w:p>
        <w:p>
          <w:pPr>
            <w:pStyle w:val="Contents4"/>
            <w:tabs>
              <w:tab w:val="clear" w:pos="8176"/>
              <w:tab w:val="right" w:pos="9026" w:leader="dot"/>
            </w:tabs>
            <w:rPr/>
          </w:pPr>
          <w:hyperlink w:anchor="__RefHeading___Toc7368281_1051229030">
            <w:r>
              <w:rPr>
                <w:webHidden/>
                <w:rStyle w:val="IndexLink"/>
                <w:rtl w:val="true"/>
              </w:rPr>
              <w:t>في الإجزاء</w:t>
            </w:r>
            <w:r>
              <w:rPr>
                <w:rStyle w:val="IndexLink"/>
                <w:rtl w:val="true"/>
              </w:rPr>
              <w:tab/>
            </w:r>
            <w:r>
              <w:rPr>
                <w:rStyle w:val="IndexLink"/>
              </w:rPr>
              <w:t>116</w:t>
            </w:r>
          </w:hyperlink>
        </w:p>
        <w:p>
          <w:pPr>
            <w:pStyle w:val="Contents4"/>
            <w:tabs>
              <w:tab w:val="clear" w:pos="8176"/>
              <w:tab w:val="right" w:pos="9026" w:leader="dot"/>
            </w:tabs>
            <w:rPr/>
          </w:pPr>
          <w:hyperlink w:anchor="__RefHeading___Toc7368283_1051229030">
            <w:r>
              <w:rPr>
                <w:webHidden/>
                <w:rStyle w:val="IndexLink"/>
                <w:rtl w:val="true"/>
              </w:rPr>
              <w:t xml:space="preserve">الأمر الأوّل </w:t>
            </w:r>
            <w:r>
              <w:rPr>
                <w:rStyle w:val="IndexLink"/>
                <w:rtl w:val="true"/>
              </w:rPr>
              <w:t xml:space="preserve">: </w:t>
            </w:r>
            <w:r>
              <w:rPr>
                <w:rStyle w:val="IndexLink"/>
                <w:rtl w:val="true"/>
              </w:rPr>
              <w:t>في تحرير محلّ النزاع</w:t>
            </w:r>
            <w:r>
              <w:rPr>
                <w:rStyle w:val="IndexLink"/>
                <w:rtl w:val="true"/>
              </w:rPr>
              <w:tab/>
            </w:r>
            <w:r>
              <w:rPr>
                <w:rStyle w:val="IndexLink"/>
              </w:rPr>
              <w:t>116</w:t>
            </w:r>
          </w:hyperlink>
        </w:p>
        <w:p>
          <w:pPr>
            <w:pStyle w:val="Contents4"/>
            <w:tabs>
              <w:tab w:val="clear" w:pos="8176"/>
              <w:tab w:val="right" w:pos="9026" w:leader="dot"/>
            </w:tabs>
            <w:rPr/>
          </w:pPr>
          <w:hyperlink w:anchor="__RefHeading___Toc7368285_1051229030">
            <w:r>
              <w:rPr>
                <w:webHidden/>
                <w:rStyle w:val="IndexLink"/>
                <w:rtl w:val="true"/>
              </w:rPr>
              <w:t xml:space="preserve">الأمر الثاني </w:t>
            </w:r>
            <w:r>
              <w:rPr>
                <w:rStyle w:val="IndexLink"/>
                <w:rtl w:val="true"/>
              </w:rPr>
              <w:t xml:space="preserve">: </w:t>
            </w:r>
            <w:r>
              <w:rPr>
                <w:rStyle w:val="IndexLink"/>
                <w:rtl w:val="true"/>
              </w:rPr>
              <w:t xml:space="preserve">في المراد من </w:t>
            </w:r>
            <w:r>
              <w:rPr>
                <w:rStyle w:val="IndexLink"/>
                <w:rtl w:val="true"/>
              </w:rPr>
              <w:t>«</w:t>
            </w:r>
            <w:r>
              <w:rPr>
                <w:rStyle w:val="IndexLink"/>
                <w:rtl w:val="true"/>
              </w:rPr>
              <w:t>على وجهه</w:t>
            </w:r>
            <w:r>
              <w:rPr>
                <w:rStyle w:val="IndexLink"/>
                <w:rtl w:val="true"/>
              </w:rPr>
              <w:t>»</w:t>
              <w:tab/>
            </w:r>
            <w:r>
              <w:rPr>
                <w:rStyle w:val="IndexLink"/>
              </w:rPr>
              <w:t>117</w:t>
            </w:r>
          </w:hyperlink>
        </w:p>
        <w:p>
          <w:pPr>
            <w:pStyle w:val="Contents4"/>
            <w:tabs>
              <w:tab w:val="clear" w:pos="8176"/>
              <w:tab w:val="right" w:pos="9026" w:leader="dot"/>
            </w:tabs>
            <w:rPr/>
          </w:pPr>
          <w:hyperlink w:anchor="__RefHeading___Toc7368287_1051229030">
            <w:r>
              <w:rPr>
                <w:webHidden/>
                <w:rStyle w:val="IndexLink"/>
                <w:rtl w:val="true"/>
              </w:rPr>
              <w:t xml:space="preserve">الأمر الثالث </w:t>
            </w:r>
            <w:r>
              <w:rPr>
                <w:rStyle w:val="IndexLink"/>
                <w:rtl w:val="true"/>
              </w:rPr>
              <w:t xml:space="preserve">: </w:t>
            </w:r>
            <w:r>
              <w:rPr>
                <w:rStyle w:val="IndexLink"/>
                <w:rtl w:val="true"/>
              </w:rPr>
              <w:t>في فارق المسألة عن المرّة والتكرار وغيرها</w:t>
            </w:r>
            <w:r>
              <w:rPr>
                <w:rStyle w:val="IndexLink"/>
                <w:rtl w:val="true"/>
              </w:rPr>
              <w:tab/>
            </w:r>
            <w:r>
              <w:rPr>
                <w:rStyle w:val="IndexLink"/>
              </w:rPr>
              <w:t>118</w:t>
            </w:r>
          </w:hyperlink>
        </w:p>
        <w:p>
          <w:pPr>
            <w:pStyle w:val="Contents5"/>
            <w:tabs>
              <w:tab w:val="clear" w:pos="7892"/>
              <w:tab w:val="right" w:pos="9026" w:leader="dot"/>
            </w:tabs>
            <w:rPr/>
          </w:pPr>
          <w:hyperlink w:anchor="__RefHeading___Toc7368289_1051229030">
            <w:r>
              <w:rPr>
                <w:webHidden/>
                <w:rStyle w:val="IndexLink"/>
                <w:rtl w:val="true"/>
              </w:rPr>
              <w:t>في فارق المسألة عن المرّة والتكرار وغيرها</w:t>
            </w:r>
            <w:r>
              <w:rPr>
                <w:rStyle w:val="IndexLink"/>
                <w:rtl w:val="true"/>
              </w:rPr>
              <w:tab/>
            </w:r>
            <w:r>
              <w:rPr>
                <w:rStyle w:val="IndexLink"/>
              </w:rPr>
              <w:t>118</w:t>
            </w:r>
          </w:hyperlink>
        </w:p>
        <w:p>
          <w:pPr>
            <w:pStyle w:val="Contents5"/>
            <w:tabs>
              <w:tab w:val="clear" w:pos="7892"/>
              <w:tab w:val="right" w:pos="9026" w:leader="dot"/>
            </w:tabs>
            <w:rPr/>
          </w:pPr>
          <w:hyperlink w:anchor="__RefHeading___Toc7368291_1051229030">
            <w:r>
              <w:rPr>
                <w:webHidden/>
                <w:rStyle w:val="IndexLink"/>
                <w:rtl w:val="true"/>
              </w:rPr>
              <w:t>الموضع الأوّل في إجزاء الإتيان بالمأمور به مطلقاً عن التعبّد به ثانياً</w:t>
            </w:r>
            <w:r>
              <w:rPr>
                <w:rStyle w:val="IndexLink"/>
                <w:rtl w:val="true"/>
              </w:rPr>
              <w:tab/>
            </w:r>
            <w:r>
              <w:rPr>
                <w:rStyle w:val="IndexLink"/>
              </w:rPr>
              <w:t>119</w:t>
            </w:r>
          </w:hyperlink>
        </w:p>
        <w:p>
          <w:pPr>
            <w:pStyle w:val="Contents5"/>
            <w:tabs>
              <w:tab w:val="clear" w:pos="7892"/>
              <w:tab w:val="right" w:pos="9026" w:leader="dot"/>
            </w:tabs>
            <w:rPr/>
          </w:pPr>
          <w:hyperlink w:anchor="__RefHeading___Toc7368293_1051229030">
            <w:r>
              <w:rPr>
                <w:webHidden/>
                <w:rStyle w:val="IndexLink"/>
                <w:rtl w:val="true"/>
              </w:rPr>
              <w:t>الموضع الثاني في الأوامر الاضطرارية</w:t>
            </w:r>
            <w:r>
              <w:rPr>
                <w:rStyle w:val="IndexLink"/>
                <w:rtl w:val="true"/>
              </w:rPr>
              <w:tab/>
            </w:r>
            <w:r>
              <w:rPr>
                <w:rStyle w:val="IndexLink"/>
              </w:rPr>
              <w:t>119</w:t>
            </w:r>
          </w:hyperlink>
        </w:p>
        <w:p>
          <w:pPr>
            <w:pStyle w:val="Contents6"/>
            <w:tabs>
              <w:tab w:val="clear" w:pos="7609"/>
              <w:tab w:val="right" w:pos="9026" w:leader="dot"/>
            </w:tabs>
            <w:rPr/>
          </w:pPr>
          <w:hyperlink w:anchor="__RefHeading___Toc7368295_1051229030">
            <w:r>
              <w:rPr>
                <w:webHidden/>
                <w:rStyle w:val="IndexLink"/>
                <w:rtl w:val="true"/>
              </w:rPr>
              <w:t>وحدة الأمر أو تعدّده في المقام</w:t>
            </w:r>
            <w:r>
              <w:rPr>
                <w:rStyle w:val="IndexLink"/>
                <w:rtl w:val="true"/>
              </w:rPr>
              <w:tab/>
            </w:r>
            <w:r>
              <w:rPr>
                <w:rStyle w:val="IndexLink"/>
              </w:rPr>
              <w:t>119</w:t>
            </w:r>
          </w:hyperlink>
        </w:p>
        <w:p>
          <w:pPr>
            <w:pStyle w:val="Contents6"/>
            <w:tabs>
              <w:tab w:val="clear" w:pos="7609"/>
              <w:tab w:val="right" w:pos="9026" w:leader="dot"/>
            </w:tabs>
            <w:rPr/>
          </w:pPr>
          <w:hyperlink w:anchor="__RefHeading___Toc7368297_1051229030">
            <w:r>
              <w:rPr>
                <w:webHidden/>
                <w:rStyle w:val="IndexLink"/>
                <w:rtl w:val="true"/>
              </w:rPr>
              <w:t>الإتيان بالفرد الاضطراري يقتضي الإجزاء أم لا ؟</w:t>
            </w:r>
            <w:r>
              <w:rPr>
                <w:rStyle w:val="IndexLink"/>
                <w:rtl w:val="true"/>
              </w:rPr>
              <w:tab/>
            </w:r>
            <w:r>
              <w:rPr>
                <w:rStyle w:val="IndexLink"/>
              </w:rPr>
              <w:t>121</w:t>
            </w:r>
          </w:hyperlink>
        </w:p>
        <w:p>
          <w:pPr>
            <w:pStyle w:val="Contents6"/>
            <w:tabs>
              <w:tab w:val="clear" w:pos="7609"/>
              <w:tab w:val="right" w:pos="9026" w:leader="dot"/>
            </w:tabs>
            <w:rPr/>
          </w:pPr>
          <w:hyperlink w:anchor="__RefHeading___Toc7368299_1051229030">
            <w:r>
              <w:rPr>
                <w:webHidden/>
                <w:rStyle w:val="IndexLink"/>
                <w:rtl w:val="true"/>
              </w:rPr>
              <w:t xml:space="preserve">تنبيه </w:t>
            </w:r>
            <w:r>
              <w:rPr>
                <w:rStyle w:val="IndexLink"/>
                <w:rtl w:val="true"/>
              </w:rPr>
              <w:t>:</w:t>
              <w:tab/>
            </w:r>
            <w:r>
              <w:rPr>
                <w:rStyle w:val="IndexLink"/>
              </w:rPr>
              <w:t>124</w:t>
            </w:r>
          </w:hyperlink>
        </w:p>
        <w:p>
          <w:pPr>
            <w:pStyle w:val="Contents5"/>
            <w:tabs>
              <w:tab w:val="clear" w:pos="7892"/>
              <w:tab w:val="right" w:pos="9026" w:leader="dot"/>
            </w:tabs>
            <w:rPr/>
          </w:pPr>
          <w:hyperlink w:anchor="__RefHeading___Toc7368301_1051229030">
            <w:r>
              <w:rPr>
                <w:webHidden/>
                <w:rStyle w:val="IndexLink"/>
                <w:rtl w:val="true"/>
              </w:rPr>
              <w:t>الموضع الثالث في أنّ الإتيان بالمأمور به الظاهري هل يقتضي الإجزاء أم لا ؟</w:t>
            </w:r>
            <w:r>
              <w:rPr>
                <w:rStyle w:val="IndexLink"/>
                <w:rtl w:val="true"/>
              </w:rPr>
              <w:tab/>
            </w:r>
            <w:r>
              <w:rPr>
                <w:rStyle w:val="IndexLink"/>
              </w:rPr>
              <w:t>125</w:t>
            </w:r>
          </w:hyperlink>
        </w:p>
        <w:p>
          <w:pPr>
            <w:pStyle w:val="Contents6"/>
            <w:tabs>
              <w:tab w:val="clear" w:pos="7609"/>
              <w:tab w:val="right" w:pos="9026" w:leader="dot"/>
            </w:tabs>
            <w:rPr/>
          </w:pPr>
          <w:hyperlink w:anchor="__RefHeading___Toc7368303_1051229030">
            <w:r>
              <w:rPr>
                <w:webHidden/>
                <w:rStyle w:val="IndexLink"/>
                <w:rtl w:val="true"/>
              </w:rPr>
              <w:t>في أنّ الإتيان بالمأمور به الظاهري هل يقتضي الإجزاء أم لا ؟</w:t>
            </w:r>
            <w:r>
              <w:rPr>
                <w:rStyle w:val="IndexLink"/>
                <w:rtl w:val="true"/>
              </w:rPr>
              <w:tab/>
            </w:r>
            <w:r>
              <w:rPr>
                <w:rStyle w:val="IndexLink"/>
              </w:rPr>
              <w:t>125</w:t>
            </w:r>
          </w:hyperlink>
        </w:p>
        <w:p>
          <w:pPr>
            <w:pStyle w:val="Contents6"/>
            <w:tabs>
              <w:tab w:val="clear" w:pos="7609"/>
              <w:tab w:val="right" w:pos="9026" w:leader="dot"/>
            </w:tabs>
            <w:rPr/>
          </w:pPr>
          <w:hyperlink w:anchor="__RefHeading___Toc7368305_1051229030">
            <w:r>
              <w:rPr>
                <w:webHidden/>
                <w:rStyle w:val="IndexLink"/>
                <w:rtl w:val="true"/>
              </w:rPr>
              <w:t xml:space="preserve">المقام الأوّل </w:t>
            </w:r>
            <w:r>
              <w:rPr>
                <w:rStyle w:val="IndexLink"/>
                <w:rtl w:val="true"/>
              </w:rPr>
              <w:t xml:space="preserve">: </w:t>
            </w:r>
            <w:r>
              <w:rPr>
                <w:rStyle w:val="IndexLink"/>
                <w:rtl w:val="true"/>
              </w:rPr>
              <w:t>في الإتيان بالمأمور به حسبما تقتضيه الاُصول الشرعية</w:t>
            </w:r>
            <w:r>
              <w:rPr>
                <w:rStyle w:val="IndexLink"/>
                <w:rtl w:val="true"/>
              </w:rPr>
              <w:tab/>
            </w:r>
            <w:r>
              <w:rPr>
                <w:rStyle w:val="IndexLink"/>
              </w:rPr>
              <w:t>126</w:t>
            </w:r>
          </w:hyperlink>
        </w:p>
        <w:p>
          <w:pPr>
            <w:pStyle w:val="Contents6"/>
            <w:tabs>
              <w:tab w:val="clear" w:pos="7609"/>
              <w:tab w:val="right" w:pos="9026" w:leader="dot"/>
            </w:tabs>
            <w:rPr/>
          </w:pPr>
          <w:hyperlink w:anchor="__RefHeading___Toc7368307_1051229030">
            <w:r>
              <w:rPr>
                <w:webHidden/>
                <w:rStyle w:val="IndexLink"/>
                <w:rtl w:val="true"/>
              </w:rPr>
              <w:t xml:space="preserve">المقام الثاني </w:t>
            </w:r>
            <w:r>
              <w:rPr>
                <w:rStyle w:val="IndexLink"/>
                <w:rtl w:val="true"/>
              </w:rPr>
              <w:t xml:space="preserve">: </w:t>
            </w:r>
            <w:r>
              <w:rPr>
                <w:rStyle w:val="IndexLink"/>
                <w:rtl w:val="true"/>
              </w:rPr>
              <w:t>في الإتيان بالمأمور به حسبما تقتضيه الأمارات الشرعية</w:t>
            </w:r>
            <w:r>
              <w:rPr>
                <w:rStyle w:val="IndexLink"/>
                <w:rtl w:val="true"/>
              </w:rPr>
              <w:tab/>
            </w:r>
            <w:r>
              <w:rPr>
                <w:rStyle w:val="IndexLink"/>
              </w:rPr>
              <w:t>129</w:t>
            </w:r>
          </w:hyperlink>
        </w:p>
        <w:p>
          <w:pPr>
            <w:pStyle w:val="Contents4"/>
            <w:tabs>
              <w:tab w:val="clear" w:pos="8176"/>
              <w:tab w:val="right" w:pos="9026" w:leader="dot"/>
            </w:tabs>
            <w:rPr/>
          </w:pPr>
          <w:hyperlink w:anchor="__RefHeading___Toc7368309_1051229030">
            <w:r>
              <w:rPr>
                <w:webHidden/>
                <w:rStyle w:val="IndexLink"/>
                <w:rtl w:val="true"/>
              </w:rPr>
              <w:t xml:space="preserve">تذييل استطرادي </w:t>
            </w:r>
            <w:r>
              <w:rPr>
                <w:rStyle w:val="IndexLink"/>
                <w:rtl w:val="true"/>
              </w:rPr>
              <w:t xml:space="preserve">: </w:t>
            </w:r>
            <w:r>
              <w:rPr>
                <w:rStyle w:val="IndexLink"/>
                <w:rtl w:val="true"/>
              </w:rPr>
              <w:t>الجمع بين الأحكام الواقعية والظاهرية</w:t>
            </w:r>
            <w:r>
              <w:rPr>
                <w:rStyle w:val="IndexLink"/>
                <w:rtl w:val="true"/>
              </w:rPr>
              <w:tab/>
            </w:r>
            <w:r>
              <w:rPr>
                <w:rStyle w:val="IndexLink"/>
              </w:rPr>
              <w:t>133</w:t>
            </w:r>
          </w:hyperlink>
        </w:p>
        <w:p>
          <w:pPr>
            <w:pStyle w:val="Contents3"/>
            <w:tabs>
              <w:tab w:val="clear" w:pos="8459"/>
              <w:tab w:val="right" w:pos="9026" w:leader="dot"/>
            </w:tabs>
            <w:rPr/>
          </w:pPr>
          <w:hyperlink w:anchor="__RefHeading___Toc7368311_1051229030">
            <w:r>
              <w:rPr>
                <w:webHidden/>
                <w:rStyle w:val="IndexLink"/>
                <w:rtl w:val="true"/>
              </w:rPr>
              <w:t>المطلب الرابع</w:t>
            </w:r>
            <w:r>
              <w:rPr>
                <w:rStyle w:val="IndexLink"/>
                <w:rtl w:val="true"/>
              </w:rPr>
              <w:t xml:space="preserve">: </w:t>
            </w:r>
            <w:r>
              <w:rPr>
                <w:rStyle w:val="IndexLink"/>
                <w:rtl w:val="true"/>
              </w:rPr>
              <w:t>في مقدّمة الواجب</w:t>
            </w:r>
            <w:r>
              <w:rPr>
                <w:rStyle w:val="IndexLink"/>
                <w:rtl w:val="true"/>
              </w:rPr>
              <w:tab/>
            </w:r>
            <w:r>
              <w:rPr>
                <w:rStyle w:val="IndexLink"/>
              </w:rPr>
              <w:t>137</w:t>
            </w:r>
          </w:hyperlink>
        </w:p>
        <w:p>
          <w:pPr>
            <w:pStyle w:val="Contents4"/>
            <w:tabs>
              <w:tab w:val="clear" w:pos="8176"/>
              <w:tab w:val="right" w:pos="9026" w:leader="dot"/>
            </w:tabs>
            <w:rPr/>
          </w:pPr>
          <w:hyperlink w:anchor="__RefHeading___Toc7368313_1051229030">
            <w:r>
              <w:rPr>
                <w:webHidden/>
                <w:rStyle w:val="IndexLink"/>
                <w:rtl w:val="true"/>
              </w:rPr>
              <w:t>في مقدّمة الواجب</w:t>
            </w:r>
            <w:r>
              <w:rPr>
                <w:rStyle w:val="IndexLink"/>
                <w:rtl w:val="true"/>
              </w:rPr>
              <w:tab/>
            </w:r>
            <w:r>
              <w:rPr>
                <w:rStyle w:val="IndexLink"/>
              </w:rPr>
              <w:t>137</w:t>
            </w:r>
          </w:hyperlink>
        </w:p>
        <w:p>
          <w:pPr>
            <w:pStyle w:val="Contents4"/>
            <w:tabs>
              <w:tab w:val="clear" w:pos="8176"/>
              <w:tab w:val="right" w:pos="9026" w:leader="dot"/>
            </w:tabs>
            <w:rPr/>
          </w:pPr>
          <w:hyperlink w:anchor="__RefHeading___Toc7368315_1051229030">
            <w:r>
              <w:rPr>
                <w:webHidden/>
                <w:rStyle w:val="IndexLink"/>
                <w:rtl w:val="true"/>
              </w:rPr>
              <w:t xml:space="preserve">الأمر الأوّل </w:t>
            </w:r>
            <w:r>
              <w:rPr>
                <w:rStyle w:val="IndexLink"/>
                <w:rtl w:val="true"/>
              </w:rPr>
              <w:t xml:space="preserve">: </w:t>
            </w:r>
            <w:r>
              <w:rPr>
                <w:rStyle w:val="IndexLink"/>
                <w:rtl w:val="true"/>
              </w:rPr>
              <w:t>في عدم كون المسألة اُصولية</w:t>
            </w:r>
            <w:r>
              <w:rPr>
                <w:rStyle w:val="IndexLink"/>
                <w:rtl w:val="true"/>
              </w:rPr>
              <w:tab/>
            </w:r>
            <w:r>
              <w:rPr>
                <w:rStyle w:val="IndexLink"/>
              </w:rPr>
              <w:t>137</w:t>
            </w:r>
          </w:hyperlink>
        </w:p>
        <w:p>
          <w:pPr>
            <w:pStyle w:val="Contents4"/>
            <w:tabs>
              <w:tab w:val="clear" w:pos="8176"/>
              <w:tab w:val="right" w:pos="9026" w:leader="dot"/>
            </w:tabs>
            <w:rPr/>
          </w:pPr>
          <w:hyperlink w:anchor="__RefHeading___Toc7368317_1051229030">
            <w:r>
              <w:rPr>
                <w:webHidden/>
                <w:rStyle w:val="IndexLink"/>
                <w:rtl w:val="true"/>
              </w:rPr>
              <w:t>الأمر الثاني في تقسيمات المقدّمة</w:t>
            </w:r>
            <w:r>
              <w:rPr>
                <w:rStyle w:val="IndexLink"/>
                <w:rtl w:val="true"/>
              </w:rPr>
              <w:tab/>
            </w:r>
            <w:r>
              <w:rPr>
                <w:rStyle w:val="IndexLink"/>
              </w:rPr>
              <w:t>138</w:t>
            </w:r>
          </w:hyperlink>
        </w:p>
        <w:p>
          <w:pPr>
            <w:pStyle w:val="Contents5"/>
            <w:tabs>
              <w:tab w:val="clear" w:pos="7892"/>
              <w:tab w:val="right" w:pos="9026" w:leader="dot"/>
            </w:tabs>
            <w:rPr/>
          </w:pPr>
          <w:hyperlink w:anchor="__RefHeading___Toc7368319_1051229030">
            <w:r>
              <w:rPr>
                <w:webHidden/>
                <w:rStyle w:val="IndexLink"/>
                <w:rtl w:val="true"/>
              </w:rPr>
              <w:t>في تقسيمات المقدّمة</w:t>
            </w:r>
            <w:r>
              <w:rPr>
                <w:rStyle w:val="IndexLink"/>
                <w:rtl w:val="true"/>
              </w:rPr>
              <w:tab/>
            </w:r>
            <w:r>
              <w:rPr>
                <w:rStyle w:val="IndexLink"/>
              </w:rPr>
              <w:t>138</w:t>
            </w:r>
          </w:hyperlink>
        </w:p>
        <w:p>
          <w:pPr>
            <w:pStyle w:val="Contents5"/>
            <w:tabs>
              <w:tab w:val="clear" w:pos="7892"/>
              <w:tab w:val="right" w:pos="9026" w:leader="dot"/>
            </w:tabs>
            <w:rPr/>
          </w:pPr>
          <w:hyperlink w:anchor="__RefHeading___Toc7368321_1051229030">
            <w:r>
              <w:rPr>
                <w:webHidden/>
                <w:rStyle w:val="IndexLink"/>
                <w:rtl w:val="true"/>
              </w:rPr>
              <w:t xml:space="preserve">منها </w:t>
            </w:r>
            <w:r>
              <w:rPr>
                <w:rStyle w:val="IndexLink"/>
                <w:rtl w:val="true"/>
              </w:rPr>
              <w:t xml:space="preserve">: </w:t>
            </w:r>
            <w:r>
              <w:rPr>
                <w:rStyle w:val="IndexLink"/>
                <w:rtl w:val="true"/>
              </w:rPr>
              <w:t>تقسيمها إلى الداخلية والخارجية</w:t>
            </w:r>
            <w:r>
              <w:rPr>
                <w:rStyle w:val="IndexLink"/>
                <w:rtl w:val="true"/>
              </w:rPr>
              <w:tab/>
            </w:r>
            <w:r>
              <w:rPr>
                <w:rStyle w:val="IndexLink"/>
              </w:rPr>
              <w:t>138</w:t>
            </w:r>
          </w:hyperlink>
        </w:p>
        <w:p>
          <w:pPr>
            <w:pStyle w:val="Contents5"/>
            <w:tabs>
              <w:tab w:val="clear" w:pos="7892"/>
              <w:tab w:val="right" w:pos="9026" w:leader="dot"/>
            </w:tabs>
            <w:rPr/>
          </w:pPr>
          <w:hyperlink w:anchor="__RefHeading___Toc7368323_1051229030">
            <w:r>
              <w:rPr>
                <w:webHidden/>
                <w:rStyle w:val="IndexLink"/>
                <w:rtl w:val="true"/>
              </w:rPr>
              <w:t xml:space="preserve">منها </w:t>
            </w:r>
            <w:r>
              <w:rPr>
                <w:rStyle w:val="IndexLink"/>
                <w:rtl w:val="true"/>
              </w:rPr>
              <w:t xml:space="preserve">: </w:t>
            </w:r>
            <w:r>
              <w:rPr>
                <w:rStyle w:val="IndexLink"/>
                <w:rtl w:val="true"/>
              </w:rPr>
              <w:t>تقسيمها إلى مقدّمة الوجوب ، والواجب ، والصحّة ، والعلم</w:t>
            </w:r>
            <w:r>
              <w:rPr>
                <w:rStyle w:val="IndexLink"/>
                <w:rtl w:val="true"/>
              </w:rPr>
              <w:tab/>
            </w:r>
            <w:r>
              <w:rPr>
                <w:rStyle w:val="IndexLink"/>
              </w:rPr>
              <w:t>141</w:t>
            </w:r>
          </w:hyperlink>
        </w:p>
        <w:p>
          <w:pPr>
            <w:pStyle w:val="Contents5"/>
            <w:tabs>
              <w:tab w:val="clear" w:pos="7892"/>
              <w:tab w:val="right" w:pos="9026" w:leader="dot"/>
            </w:tabs>
            <w:rPr/>
          </w:pPr>
          <w:hyperlink w:anchor="__RefHeading___Toc7368325_1051229030">
            <w:r>
              <w:rPr>
                <w:webHidden/>
                <w:rStyle w:val="IndexLink"/>
                <w:rtl w:val="true"/>
              </w:rPr>
              <w:t xml:space="preserve">منها </w:t>
            </w:r>
            <w:r>
              <w:rPr>
                <w:rStyle w:val="IndexLink"/>
                <w:rtl w:val="true"/>
              </w:rPr>
              <w:t xml:space="preserve">: </w:t>
            </w:r>
            <w:r>
              <w:rPr>
                <w:rStyle w:val="IndexLink"/>
                <w:rtl w:val="true"/>
              </w:rPr>
              <w:t>تقسيمها إلى السبب ، والشرط ، وعدم المانع ، والمُعدّ</w:t>
            </w:r>
            <w:r>
              <w:rPr>
                <w:rStyle w:val="IndexLink"/>
                <w:rtl w:val="true"/>
              </w:rPr>
              <w:tab/>
            </w:r>
            <w:r>
              <w:rPr>
                <w:rStyle w:val="IndexLink"/>
              </w:rPr>
              <w:t>141</w:t>
            </w:r>
          </w:hyperlink>
        </w:p>
        <w:p>
          <w:pPr>
            <w:pStyle w:val="Contents5"/>
            <w:tabs>
              <w:tab w:val="clear" w:pos="7892"/>
              <w:tab w:val="right" w:pos="9026" w:leader="dot"/>
            </w:tabs>
            <w:rPr/>
          </w:pPr>
          <w:hyperlink w:anchor="__RefHeading___Toc7368327_1051229030">
            <w:r>
              <w:rPr>
                <w:webHidden/>
                <w:rStyle w:val="IndexLink"/>
                <w:rtl w:val="true"/>
              </w:rPr>
              <w:t xml:space="preserve">منها </w:t>
            </w:r>
            <w:r>
              <w:rPr>
                <w:rStyle w:val="IndexLink"/>
                <w:rtl w:val="true"/>
              </w:rPr>
              <w:t xml:space="preserve">: </w:t>
            </w:r>
            <w:r>
              <w:rPr>
                <w:rStyle w:val="IndexLink"/>
                <w:rtl w:val="true"/>
              </w:rPr>
              <w:t>تقسيمها إلى المقارن والمتقدّم والمتأخّر</w:t>
            </w:r>
            <w:r>
              <w:rPr>
                <w:rStyle w:val="IndexLink"/>
                <w:rtl w:val="true"/>
              </w:rPr>
              <w:tab/>
            </w:r>
            <w:r>
              <w:rPr>
                <w:rStyle w:val="IndexLink"/>
              </w:rPr>
              <w:t>145</w:t>
            </w:r>
          </w:hyperlink>
        </w:p>
        <w:p>
          <w:pPr>
            <w:pStyle w:val="Contents4"/>
            <w:tabs>
              <w:tab w:val="clear" w:pos="8176"/>
              <w:tab w:val="right" w:pos="9026" w:leader="dot"/>
            </w:tabs>
            <w:rPr/>
          </w:pPr>
          <w:hyperlink w:anchor="__RefHeading___Toc7368329_1051229030">
            <w:r>
              <w:rPr>
                <w:webHidden/>
                <w:rStyle w:val="IndexLink"/>
                <w:rtl w:val="true"/>
              </w:rPr>
              <w:t>الأمر الثالث في تقسيمات الواجب</w:t>
            </w:r>
            <w:r>
              <w:rPr>
                <w:rStyle w:val="IndexLink"/>
                <w:rtl w:val="true"/>
              </w:rPr>
              <w:tab/>
            </w:r>
            <w:r>
              <w:rPr>
                <w:rStyle w:val="IndexLink"/>
              </w:rPr>
              <w:t>148</w:t>
            </w:r>
          </w:hyperlink>
        </w:p>
        <w:p>
          <w:pPr>
            <w:pStyle w:val="Contents5"/>
            <w:tabs>
              <w:tab w:val="clear" w:pos="7892"/>
              <w:tab w:val="right" w:pos="9026" w:leader="dot"/>
            </w:tabs>
            <w:rPr/>
          </w:pPr>
          <w:hyperlink w:anchor="__RefHeading___Toc7368331_1051229030">
            <w:r>
              <w:rPr>
                <w:webHidden/>
                <w:rStyle w:val="IndexLink"/>
                <w:rtl w:val="true"/>
              </w:rPr>
              <w:t>في تقسيمات الواجب</w:t>
            </w:r>
            <w:r>
              <w:rPr>
                <w:rStyle w:val="IndexLink"/>
                <w:rtl w:val="true"/>
              </w:rPr>
              <w:tab/>
            </w:r>
            <w:r>
              <w:rPr>
                <w:rStyle w:val="IndexLink"/>
              </w:rPr>
              <w:t>148</w:t>
            </w:r>
          </w:hyperlink>
        </w:p>
        <w:p>
          <w:pPr>
            <w:pStyle w:val="Contents5"/>
            <w:tabs>
              <w:tab w:val="clear" w:pos="7892"/>
              <w:tab w:val="right" w:pos="9026" w:leader="dot"/>
            </w:tabs>
            <w:rPr/>
          </w:pPr>
          <w:hyperlink w:anchor="__RefHeading___Toc7368333_1051229030">
            <w:r>
              <w:rPr>
                <w:webHidden/>
                <w:rStyle w:val="IndexLink"/>
                <w:rtl w:val="true"/>
              </w:rPr>
              <w:t xml:space="preserve">منها </w:t>
            </w:r>
            <w:r>
              <w:rPr>
                <w:rStyle w:val="IndexLink"/>
                <w:rtl w:val="true"/>
              </w:rPr>
              <w:t xml:space="preserve">: </w:t>
            </w:r>
            <w:r>
              <w:rPr>
                <w:rStyle w:val="IndexLink"/>
                <w:rtl w:val="true"/>
              </w:rPr>
              <w:t>تقسيمه إلى المطلق والمشروط</w:t>
            </w:r>
            <w:r>
              <w:rPr>
                <w:rStyle w:val="IndexLink"/>
                <w:rtl w:val="true"/>
              </w:rPr>
              <w:tab/>
            </w:r>
            <w:r>
              <w:rPr>
                <w:rStyle w:val="IndexLink"/>
              </w:rPr>
              <w:t>148</w:t>
            </w:r>
          </w:hyperlink>
        </w:p>
        <w:p>
          <w:pPr>
            <w:pStyle w:val="Contents5"/>
            <w:tabs>
              <w:tab w:val="clear" w:pos="7892"/>
              <w:tab w:val="right" w:pos="9026" w:leader="dot"/>
            </w:tabs>
            <w:rPr/>
          </w:pPr>
          <w:hyperlink w:anchor="__RefHeading___Toc7368335_1051229030">
            <w:r>
              <w:rPr>
                <w:webHidden/>
                <w:rStyle w:val="IndexLink"/>
                <w:rtl w:val="true"/>
              </w:rPr>
              <w:t xml:space="preserve">ومنها </w:t>
            </w:r>
            <w:r>
              <w:rPr>
                <w:rStyle w:val="IndexLink"/>
                <w:rtl w:val="true"/>
              </w:rPr>
              <w:t xml:space="preserve">: </w:t>
            </w:r>
            <w:r>
              <w:rPr>
                <w:rStyle w:val="IndexLink"/>
                <w:rtl w:val="true"/>
              </w:rPr>
              <w:t>تقسيمه إلى المعلّق والمنجّز</w:t>
            </w:r>
            <w:r>
              <w:rPr>
                <w:rStyle w:val="IndexLink"/>
                <w:rtl w:val="true"/>
              </w:rPr>
              <w:tab/>
            </w:r>
            <w:r>
              <w:rPr>
                <w:rStyle w:val="IndexLink"/>
              </w:rPr>
              <w:t>156</w:t>
            </w:r>
          </w:hyperlink>
        </w:p>
        <w:p>
          <w:pPr>
            <w:pStyle w:val="Contents6"/>
            <w:tabs>
              <w:tab w:val="clear" w:pos="7609"/>
              <w:tab w:val="right" w:pos="9026" w:leader="dot"/>
            </w:tabs>
            <w:rPr/>
          </w:pPr>
          <w:hyperlink w:anchor="__RefHeading___Toc7368337_1051229030">
            <w:r>
              <w:rPr>
                <w:webHidden/>
                <w:rStyle w:val="IndexLink"/>
                <w:rtl w:val="true"/>
              </w:rPr>
              <w:t>تقسيمه إلى المعلّق والمنجّز</w:t>
            </w:r>
            <w:r>
              <w:rPr>
                <w:rStyle w:val="IndexLink"/>
                <w:rtl w:val="true"/>
              </w:rPr>
              <w:tab/>
            </w:r>
            <w:r>
              <w:rPr>
                <w:rStyle w:val="IndexLink"/>
              </w:rPr>
              <w:t>156</w:t>
            </w:r>
          </w:hyperlink>
        </w:p>
        <w:p>
          <w:pPr>
            <w:pStyle w:val="Contents6"/>
            <w:tabs>
              <w:tab w:val="clear" w:pos="7609"/>
              <w:tab w:val="right" w:pos="9026" w:leader="dot"/>
            </w:tabs>
            <w:rPr/>
          </w:pPr>
          <w:hyperlink w:anchor="__RefHeading___Toc7368339_1051229030">
            <w:r>
              <w:rPr>
                <w:webHidden/>
                <w:rStyle w:val="IndexLink"/>
                <w:rtl w:val="true"/>
              </w:rPr>
              <w:t>فذلكة</w:t>
            </w:r>
            <w:r>
              <w:rPr>
                <w:rStyle w:val="IndexLink"/>
                <w:rtl w:val="true"/>
              </w:rPr>
              <w:tab/>
            </w:r>
            <w:r>
              <w:rPr>
                <w:rStyle w:val="IndexLink"/>
              </w:rPr>
              <w:t>160</w:t>
            </w:r>
          </w:hyperlink>
        </w:p>
        <w:p>
          <w:pPr>
            <w:pStyle w:val="Contents5"/>
            <w:tabs>
              <w:tab w:val="clear" w:pos="7892"/>
              <w:tab w:val="right" w:pos="9026" w:leader="dot"/>
            </w:tabs>
            <w:rPr/>
          </w:pPr>
          <w:hyperlink w:anchor="__RefHeading___Toc7368341_1051229030">
            <w:r>
              <w:rPr>
                <w:webHidden/>
                <w:rStyle w:val="IndexLink"/>
                <w:rtl w:val="true"/>
              </w:rPr>
              <w:t xml:space="preserve">ومنها </w:t>
            </w:r>
            <w:r>
              <w:rPr>
                <w:rStyle w:val="IndexLink"/>
                <w:rtl w:val="true"/>
              </w:rPr>
              <w:t xml:space="preserve">: </w:t>
            </w:r>
            <w:r>
              <w:rPr>
                <w:rStyle w:val="IndexLink"/>
                <w:rtl w:val="true"/>
              </w:rPr>
              <w:t>تقسيمه إلى الأصلي والتبعي</w:t>
            </w:r>
            <w:r>
              <w:rPr>
                <w:rStyle w:val="IndexLink"/>
                <w:rtl w:val="true"/>
              </w:rPr>
              <w:tab/>
            </w:r>
            <w:r>
              <w:rPr>
                <w:rStyle w:val="IndexLink"/>
              </w:rPr>
              <w:t>161</w:t>
            </w:r>
          </w:hyperlink>
        </w:p>
        <w:p>
          <w:pPr>
            <w:pStyle w:val="Contents5"/>
            <w:tabs>
              <w:tab w:val="clear" w:pos="7892"/>
              <w:tab w:val="right" w:pos="9026" w:leader="dot"/>
            </w:tabs>
            <w:rPr/>
          </w:pPr>
          <w:hyperlink w:anchor="__RefHeading___Toc7368343_1051229030">
            <w:r>
              <w:rPr>
                <w:webHidden/>
                <w:rStyle w:val="IndexLink"/>
                <w:rtl w:val="true"/>
              </w:rPr>
              <w:t xml:space="preserve">ومنها </w:t>
            </w:r>
            <w:r>
              <w:rPr>
                <w:rStyle w:val="IndexLink"/>
                <w:rtl w:val="true"/>
              </w:rPr>
              <w:t xml:space="preserve">: </w:t>
            </w:r>
            <w:r>
              <w:rPr>
                <w:rStyle w:val="IndexLink"/>
                <w:rtl w:val="true"/>
              </w:rPr>
              <w:t>تقسيمه إلى النفسي والغيري</w:t>
            </w:r>
            <w:r>
              <w:rPr>
                <w:rStyle w:val="IndexLink"/>
                <w:rtl w:val="true"/>
              </w:rPr>
              <w:tab/>
            </w:r>
            <w:r>
              <w:rPr>
                <w:rStyle w:val="IndexLink"/>
              </w:rPr>
              <w:t>163</w:t>
            </w:r>
          </w:hyperlink>
        </w:p>
        <w:p>
          <w:pPr>
            <w:pStyle w:val="Contents6"/>
            <w:tabs>
              <w:tab w:val="clear" w:pos="7609"/>
              <w:tab w:val="right" w:pos="9026" w:leader="dot"/>
            </w:tabs>
            <w:rPr/>
          </w:pPr>
          <w:hyperlink w:anchor="__RefHeading___Toc7368345_1051229030">
            <w:r>
              <w:rPr>
                <w:webHidden/>
                <w:rStyle w:val="IndexLink"/>
                <w:rtl w:val="true"/>
              </w:rPr>
              <w:t>تقسيمه إلى النفسي والغيري</w:t>
            </w:r>
            <w:r>
              <w:rPr>
                <w:rStyle w:val="IndexLink"/>
                <w:rtl w:val="true"/>
              </w:rPr>
              <w:tab/>
            </w:r>
            <w:r>
              <w:rPr>
                <w:rStyle w:val="IndexLink"/>
              </w:rPr>
              <w:t>163</w:t>
            </w:r>
          </w:hyperlink>
        </w:p>
        <w:p>
          <w:pPr>
            <w:pStyle w:val="Contents6"/>
            <w:tabs>
              <w:tab w:val="clear" w:pos="7609"/>
              <w:tab w:val="right" w:pos="9026" w:leader="dot"/>
            </w:tabs>
            <w:rPr/>
          </w:pPr>
          <w:hyperlink w:anchor="__RefHeading___Toc7368347_1051229030">
            <w:r>
              <w:rPr>
                <w:webHidden/>
                <w:rStyle w:val="IndexLink"/>
                <w:rtl w:val="true"/>
              </w:rPr>
              <w:t>حكم الشكّ في النفسية والغيرية</w:t>
            </w:r>
            <w:r>
              <w:rPr>
                <w:rStyle w:val="IndexLink"/>
                <w:rtl w:val="true"/>
              </w:rPr>
              <w:tab/>
            </w:r>
            <w:r>
              <w:rPr>
                <w:rStyle w:val="IndexLink"/>
              </w:rPr>
              <w:t>165</w:t>
            </w:r>
          </w:hyperlink>
        </w:p>
        <w:p>
          <w:pPr>
            <w:pStyle w:val="Contents5"/>
            <w:tabs>
              <w:tab w:val="clear" w:pos="7892"/>
              <w:tab w:val="right" w:pos="9026" w:leader="dot"/>
            </w:tabs>
            <w:rPr/>
          </w:pPr>
          <w:hyperlink w:anchor="__RefHeading___Toc7368349_1051229030">
            <w:r>
              <w:rPr>
                <w:webHidden/>
                <w:rStyle w:val="IndexLink"/>
                <w:rtl w:val="true"/>
              </w:rPr>
              <w:t xml:space="preserve">تذنيبان </w:t>
            </w:r>
            <w:r>
              <w:rPr>
                <w:rStyle w:val="IndexLink"/>
                <w:rtl w:val="true"/>
              </w:rPr>
              <w:t>:</w:t>
              <w:tab/>
            </w:r>
            <w:r>
              <w:rPr>
                <w:rStyle w:val="IndexLink"/>
              </w:rPr>
              <w:t>166</w:t>
            </w:r>
          </w:hyperlink>
        </w:p>
        <w:p>
          <w:pPr>
            <w:pStyle w:val="Contents6"/>
            <w:tabs>
              <w:tab w:val="clear" w:pos="7609"/>
              <w:tab w:val="right" w:pos="9026" w:leader="dot"/>
            </w:tabs>
            <w:rPr/>
          </w:pPr>
          <w:hyperlink w:anchor="__RefHeading___Toc7368351_1051229030">
            <w:r>
              <w:rPr>
                <w:webHidden/>
                <w:rStyle w:val="IndexLink"/>
                <w:rtl w:val="true"/>
              </w:rPr>
              <w:t xml:space="preserve">الأوّل </w:t>
            </w:r>
            <w:r>
              <w:rPr>
                <w:rStyle w:val="IndexLink"/>
                <w:rtl w:val="true"/>
              </w:rPr>
              <w:t xml:space="preserve">: </w:t>
            </w:r>
            <w:r>
              <w:rPr>
                <w:rStyle w:val="IndexLink"/>
                <w:rtl w:val="true"/>
              </w:rPr>
              <w:t>في استحقاق المثوبات</w:t>
            </w:r>
            <w:r>
              <w:rPr>
                <w:rStyle w:val="IndexLink"/>
                <w:rtl w:val="true"/>
              </w:rPr>
              <w:tab/>
            </w:r>
            <w:r>
              <w:rPr>
                <w:rStyle w:val="IndexLink"/>
              </w:rPr>
              <w:t>166</w:t>
            </w:r>
          </w:hyperlink>
        </w:p>
        <w:p>
          <w:pPr>
            <w:pStyle w:val="Contents6"/>
            <w:tabs>
              <w:tab w:val="clear" w:pos="7609"/>
              <w:tab w:val="right" w:pos="9026" w:leader="dot"/>
            </w:tabs>
            <w:rPr/>
          </w:pPr>
          <w:hyperlink w:anchor="__RefHeading___Toc7368353_1051229030">
            <w:r>
              <w:rPr>
                <w:webHidden/>
                <w:rStyle w:val="IndexLink"/>
                <w:rtl w:val="true"/>
              </w:rPr>
              <w:t xml:space="preserve">الثاني </w:t>
            </w:r>
            <w:r>
              <w:rPr>
                <w:rStyle w:val="IndexLink"/>
                <w:rtl w:val="true"/>
              </w:rPr>
              <w:t xml:space="preserve">: </w:t>
            </w:r>
            <w:r>
              <w:rPr>
                <w:rStyle w:val="IndexLink"/>
                <w:rtl w:val="true"/>
              </w:rPr>
              <w:t>في الوضوء التهيّئي</w:t>
            </w:r>
            <w:r>
              <w:rPr>
                <w:rStyle w:val="IndexLink"/>
                <w:rtl w:val="true"/>
              </w:rPr>
              <w:tab/>
            </w:r>
            <w:r>
              <w:rPr>
                <w:rStyle w:val="IndexLink"/>
              </w:rPr>
              <w:t>169</w:t>
            </w:r>
          </w:hyperlink>
        </w:p>
        <w:p>
          <w:pPr>
            <w:pStyle w:val="Contents4"/>
            <w:tabs>
              <w:tab w:val="clear" w:pos="8176"/>
              <w:tab w:val="right" w:pos="9026" w:leader="dot"/>
            </w:tabs>
            <w:rPr/>
          </w:pPr>
          <w:hyperlink w:anchor="__RefHeading___Toc7368355_1051229030">
            <w:r>
              <w:rPr>
                <w:webHidden/>
                <w:rStyle w:val="IndexLink"/>
                <w:rtl w:val="true"/>
              </w:rPr>
              <w:t>الأمر الرابع في بيان ما هو الواجب في باب المقدّمة</w:t>
            </w:r>
            <w:r>
              <w:rPr>
                <w:rStyle w:val="IndexLink"/>
                <w:rtl w:val="true"/>
              </w:rPr>
              <w:tab/>
            </w:r>
            <w:r>
              <w:rPr>
                <w:rStyle w:val="IndexLink"/>
              </w:rPr>
              <w:t>171</w:t>
            </w:r>
          </w:hyperlink>
        </w:p>
        <w:p>
          <w:pPr>
            <w:pStyle w:val="Contents5"/>
            <w:tabs>
              <w:tab w:val="clear" w:pos="7892"/>
              <w:tab w:val="right" w:pos="9026" w:leader="dot"/>
            </w:tabs>
            <w:rPr/>
          </w:pPr>
          <w:hyperlink w:anchor="__RefHeading___Toc7368357_1051229030">
            <w:r>
              <w:rPr>
                <w:webHidden/>
                <w:rStyle w:val="IndexLink"/>
                <w:rtl w:val="true"/>
              </w:rPr>
              <w:t>في بيان ما هو الواجب في باب المقدّمة</w:t>
            </w:r>
            <w:r>
              <w:rPr>
                <w:rStyle w:val="IndexLink"/>
                <w:rtl w:val="true"/>
              </w:rPr>
              <w:tab/>
            </w:r>
            <w:r>
              <w:rPr>
                <w:rStyle w:val="IndexLink"/>
              </w:rPr>
              <w:t>171</w:t>
            </w:r>
          </w:hyperlink>
        </w:p>
        <w:p>
          <w:pPr>
            <w:pStyle w:val="Contents5"/>
            <w:tabs>
              <w:tab w:val="clear" w:pos="7892"/>
              <w:tab w:val="right" w:pos="9026" w:leader="dot"/>
            </w:tabs>
            <w:rPr/>
          </w:pPr>
          <w:hyperlink w:anchor="__RefHeading___Toc7368359_1051229030">
            <w:r>
              <w:rPr>
                <w:webHidden/>
                <w:rStyle w:val="IndexLink"/>
                <w:rtl w:val="true"/>
              </w:rPr>
              <w:t xml:space="preserve">تذنيب </w:t>
            </w:r>
            <w:r>
              <w:rPr>
                <w:rStyle w:val="IndexLink"/>
                <w:rtl w:val="true"/>
              </w:rPr>
              <w:t xml:space="preserve">: </w:t>
            </w:r>
            <w:r>
              <w:rPr>
                <w:rStyle w:val="IndexLink"/>
                <w:rtl w:val="true"/>
              </w:rPr>
              <w:t>في ثمرة النزاع في هذه المسألة</w:t>
            </w:r>
            <w:r>
              <w:rPr>
                <w:rStyle w:val="IndexLink"/>
                <w:rtl w:val="true"/>
              </w:rPr>
              <w:tab/>
            </w:r>
            <w:r>
              <w:rPr>
                <w:rStyle w:val="IndexLink"/>
              </w:rPr>
              <w:t>174</w:t>
            </w:r>
          </w:hyperlink>
        </w:p>
        <w:p>
          <w:pPr>
            <w:pStyle w:val="Contents5"/>
            <w:tabs>
              <w:tab w:val="clear" w:pos="7892"/>
              <w:tab w:val="right" w:pos="9026" w:leader="dot"/>
            </w:tabs>
            <w:rPr/>
          </w:pPr>
          <w:hyperlink w:anchor="__RefHeading___Toc7368361_1051229030">
            <w:r>
              <w:rPr>
                <w:webHidden/>
                <w:rStyle w:val="IndexLink"/>
                <w:rtl w:val="true"/>
              </w:rPr>
              <w:t xml:space="preserve">تتمّة </w:t>
            </w:r>
            <w:r>
              <w:rPr>
                <w:rStyle w:val="IndexLink"/>
                <w:rtl w:val="true"/>
              </w:rPr>
              <w:t xml:space="preserve">: </w:t>
            </w:r>
            <w:r>
              <w:rPr>
                <w:rStyle w:val="IndexLink"/>
                <w:rtl w:val="true"/>
              </w:rPr>
              <w:t>حول الأصل عند الشكّ في الملازمة</w:t>
            </w:r>
            <w:r>
              <w:rPr>
                <w:rStyle w:val="IndexLink"/>
                <w:rtl w:val="true"/>
              </w:rPr>
              <w:tab/>
            </w:r>
            <w:r>
              <w:rPr>
                <w:rStyle w:val="IndexLink"/>
              </w:rPr>
              <w:t>175</w:t>
            </w:r>
          </w:hyperlink>
        </w:p>
        <w:p>
          <w:pPr>
            <w:pStyle w:val="Contents5"/>
            <w:tabs>
              <w:tab w:val="clear" w:pos="7892"/>
              <w:tab w:val="right" w:pos="9026" w:leader="dot"/>
            </w:tabs>
            <w:rPr/>
          </w:pPr>
          <w:hyperlink w:anchor="__RefHeading___Toc7368363_1051229030">
            <w:r>
              <w:rPr>
                <w:webHidden/>
                <w:rStyle w:val="IndexLink"/>
                <w:rtl w:val="true"/>
              </w:rPr>
              <w:t>حول</w:t>
            </w:r>
            <w:r>
              <w:rPr>
                <w:rStyle w:val="IndexLink"/>
                <w:rtl w:val="true"/>
              </w:rPr>
              <w:tab/>
            </w:r>
            <w:r>
              <w:rPr>
                <w:rStyle w:val="IndexLink"/>
              </w:rPr>
              <w:t>175</w:t>
            </w:r>
          </w:hyperlink>
        </w:p>
        <w:p>
          <w:pPr>
            <w:pStyle w:val="Contents3"/>
            <w:tabs>
              <w:tab w:val="clear" w:pos="8459"/>
              <w:tab w:val="right" w:pos="9026" w:leader="dot"/>
            </w:tabs>
            <w:rPr/>
          </w:pPr>
          <w:hyperlink w:anchor="__RefHeading___Toc7368365_1051229030">
            <w:r>
              <w:rPr>
                <w:webHidden/>
                <w:rStyle w:val="IndexLink"/>
                <w:rtl w:val="true"/>
              </w:rPr>
              <w:t>المطلب الخامس</w:t>
            </w:r>
            <w:r>
              <w:rPr>
                <w:rStyle w:val="IndexLink"/>
                <w:rtl w:val="true"/>
              </w:rPr>
              <w:t xml:space="preserve">: </w:t>
            </w:r>
            <w:r>
              <w:rPr>
                <w:rStyle w:val="IndexLink"/>
                <w:rtl w:val="true"/>
              </w:rPr>
              <w:t>في مسألة الضدّ</w:t>
            </w:r>
            <w:r>
              <w:rPr>
                <w:rStyle w:val="IndexLink"/>
                <w:rtl w:val="true"/>
              </w:rPr>
              <w:tab/>
            </w:r>
            <w:r>
              <w:rPr>
                <w:rStyle w:val="IndexLink"/>
              </w:rPr>
              <w:t>179</w:t>
            </w:r>
          </w:hyperlink>
        </w:p>
        <w:p>
          <w:pPr>
            <w:pStyle w:val="Contents4"/>
            <w:tabs>
              <w:tab w:val="clear" w:pos="8176"/>
              <w:tab w:val="right" w:pos="9026" w:leader="dot"/>
            </w:tabs>
            <w:rPr/>
          </w:pPr>
          <w:hyperlink w:anchor="__RefHeading___Toc7368367_1051229030">
            <w:r>
              <w:rPr>
                <w:webHidden/>
                <w:rStyle w:val="IndexLink"/>
                <w:rtl w:val="true"/>
              </w:rPr>
              <w:t>في مسألة الضدّ</w:t>
            </w:r>
            <w:r>
              <w:rPr>
                <w:rStyle w:val="IndexLink"/>
                <w:rtl w:val="true"/>
              </w:rPr>
              <w:tab/>
            </w:r>
            <w:r>
              <w:rPr>
                <w:rStyle w:val="IndexLink"/>
              </w:rPr>
              <w:t>179</w:t>
            </w:r>
          </w:hyperlink>
        </w:p>
        <w:p>
          <w:pPr>
            <w:pStyle w:val="Contents4"/>
            <w:tabs>
              <w:tab w:val="clear" w:pos="8176"/>
              <w:tab w:val="right" w:pos="9026" w:leader="dot"/>
            </w:tabs>
            <w:rPr/>
          </w:pPr>
          <w:hyperlink w:anchor="__RefHeading___Toc7368369_1051229030">
            <w:r>
              <w:rPr>
                <w:webHidden/>
                <w:rStyle w:val="IndexLink"/>
                <w:rtl w:val="true"/>
              </w:rPr>
              <w:t>[</w:t>
            </w:r>
            <w:r>
              <w:rPr>
                <w:rStyle w:val="IndexLink"/>
                <w:rtl w:val="true"/>
              </w:rPr>
              <w:t xml:space="preserve">الأوّل </w:t>
            </w:r>
            <w:r>
              <w:rPr>
                <w:rStyle w:val="IndexLink"/>
                <w:rtl w:val="true"/>
              </w:rPr>
              <w:t xml:space="preserve">: </w:t>
            </w:r>
            <w:r>
              <w:rPr>
                <w:rStyle w:val="IndexLink"/>
                <w:rtl w:val="true"/>
              </w:rPr>
              <w:t>في كون المسألة من المبادئ الأحكامية</w:t>
            </w:r>
            <w:r>
              <w:rPr>
                <w:rStyle w:val="IndexLink"/>
                <w:rtl w:val="true"/>
              </w:rPr>
              <w:tab/>
            </w:r>
            <w:r>
              <w:rPr>
                <w:rStyle w:val="IndexLink"/>
              </w:rPr>
              <w:t>179</w:t>
            </w:r>
          </w:hyperlink>
        </w:p>
        <w:p>
          <w:pPr>
            <w:pStyle w:val="Contents4"/>
            <w:tabs>
              <w:tab w:val="clear" w:pos="8176"/>
              <w:tab w:val="right" w:pos="9026" w:leader="dot"/>
            </w:tabs>
            <w:rPr/>
          </w:pPr>
          <w:hyperlink w:anchor="__RefHeading___Toc7368371_1051229030">
            <w:r>
              <w:rPr>
                <w:webHidden/>
                <w:rStyle w:val="IndexLink"/>
                <w:rtl w:val="true"/>
              </w:rPr>
              <w:t xml:space="preserve">الثاني </w:t>
            </w:r>
            <w:r>
              <w:rPr>
                <w:rStyle w:val="IndexLink"/>
                <w:rtl w:val="true"/>
              </w:rPr>
              <w:t xml:space="preserve">: </w:t>
            </w:r>
            <w:r>
              <w:rPr>
                <w:rStyle w:val="IndexLink"/>
                <w:rtl w:val="true"/>
              </w:rPr>
              <w:t>في الضدّ العامّ</w:t>
            </w:r>
            <w:r>
              <w:rPr>
                <w:rStyle w:val="IndexLink"/>
                <w:rtl w:val="true"/>
              </w:rPr>
              <w:tab/>
            </w:r>
            <w:r>
              <w:rPr>
                <w:rStyle w:val="IndexLink"/>
              </w:rPr>
              <w:t>179</w:t>
            </w:r>
          </w:hyperlink>
        </w:p>
        <w:p>
          <w:pPr>
            <w:pStyle w:val="Contents4"/>
            <w:tabs>
              <w:tab w:val="clear" w:pos="8176"/>
              <w:tab w:val="right" w:pos="9026" w:leader="dot"/>
            </w:tabs>
            <w:rPr/>
          </w:pPr>
          <w:hyperlink w:anchor="__RefHeading___Toc7368373_1051229030">
            <w:r>
              <w:rPr>
                <w:webHidden/>
                <w:rStyle w:val="IndexLink"/>
                <w:rtl w:val="true"/>
              </w:rPr>
              <w:t xml:space="preserve">الثالث </w:t>
            </w:r>
            <w:r>
              <w:rPr>
                <w:rStyle w:val="IndexLink"/>
                <w:rtl w:val="true"/>
              </w:rPr>
              <w:t xml:space="preserve">: </w:t>
            </w:r>
            <w:r>
              <w:rPr>
                <w:rStyle w:val="IndexLink"/>
                <w:rtl w:val="true"/>
              </w:rPr>
              <w:t>في الضدّ الخاصّ</w:t>
            </w:r>
            <w:r>
              <w:rPr>
                <w:rStyle w:val="IndexLink"/>
                <w:rtl w:val="true"/>
              </w:rPr>
              <w:tab/>
            </w:r>
            <w:r>
              <w:rPr>
                <w:rStyle w:val="IndexLink"/>
              </w:rPr>
              <w:t>180</w:t>
            </w:r>
          </w:hyperlink>
        </w:p>
        <w:p>
          <w:pPr>
            <w:pStyle w:val="Contents4"/>
            <w:tabs>
              <w:tab w:val="clear" w:pos="8176"/>
              <w:tab w:val="right" w:pos="9026" w:leader="dot"/>
            </w:tabs>
            <w:rPr/>
          </w:pPr>
          <w:hyperlink w:anchor="__RefHeading___Toc7368375_1051229030">
            <w:r>
              <w:rPr>
                <w:webHidden/>
                <w:rStyle w:val="IndexLink"/>
                <w:rtl w:val="true"/>
              </w:rPr>
              <w:t xml:space="preserve">الرابع </w:t>
            </w:r>
            <w:r>
              <w:rPr>
                <w:rStyle w:val="IndexLink"/>
                <w:rtl w:val="true"/>
              </w:rPr>
              <w:t xml:space="preserve">: </w:t>
            </w:r>
            <w:r>
              <w:rPr>
                <w:rStyle w:val="IndexLink"/>
                <w:rtl w:val="true"/>
              </w:rPr>
              <w:t>في ثمرة المسألة</w:t>
            </w:r>
            <w:r>
              <w:rPr>
                <w:rStyle w:val="IndexLink"/>
                <w:rtl w:val="true"/>
              </w:rPr>
              <w:tab/>
            </w:r>
            <w:r>
              <w:rPr>
                <w:rStyle w:val="IndexLink"/>
              </w:rPr>
              <w:t>183</w:t>
            </w:r>
          </w:hyperlink>
        </w:p>
        <w:p>
          <w:pPr>
            <w:pStyle w:val="Contents4"/>
            <w:tabs>
              <w:tab w:val="clear" w:pos="8176"/>
              <w:tab w:val="right" w:pos="9026" w:leader="dot"/>
            </w:tabs>
            <w:rPr/>
          </w:pPr>
          <w:hyperlink w:anchor="__RefHeading___Toc7368377_1051229030">
            <w:r>
              <w:rPr>
                <w:webHidden/>
                <w:rStyle w:val="IndexLink"/>
                <w:rtl w:val="true"/>
              </w:rPr>
              <w:t>التحقيق في مسألة الترتّب</w:t>
            </w:r>
            <w:r>
              <w:rPr>
                <w:rStyle w:val="IndexLink"/>
                <w:rtl w:val="true"/>
              </w:rPr>
              <w:tab/>
            </w:r>
            <w:r>
              <w:rPr>
                <w:rStyle w:val="IndexLink"/>
              </w:rPr>
              <w:t>187</w:t>
            </w:r>
          </w:hyperlink>
        </w:p>
        <w:p>
          <w:pPr>
            <w:pStyle w:val="Contents4"/>
            <w:tabs>
              <w:tab w:val="clear" w:pos="8176"/>
              <w:tab w:val="right" w:pos="9026" w:leader="dot"/>
            </w:tabs>
            <w:rPr/>
          </w:pPr>
          <w:hyperlink w:anchor="__RefHeading___Toc7368379_1051229030">
            <w:r>
              <w:rPr>
                <w:webHidden/>
                <w:rStyle w:val="IndexLink"/>
                <w:rtl w:val="true"/>
              </w:rPr>
              <w:t>نقل كلام لتحقيق مرام</w:t>
            </w:r>
            <w:r>
              <w:rPr>
                <w:rStyle w:val="IndexLink"/>
                <w:rtl w:val="true"/>
              </w:rPr>
              <w:tab/>
            </w:r>
            <w:r>
              <w:rPr>
                <w:rStyle w:val="IndexLink"/>
              </w:rPr>
              <w:t>191</w:t>
            </w:r>
          </w:hyperlink>
        </w:p>
        <w:p>
          <w:pPr>
            <w:pStyle w:val="Contents3"/>
            <w:tabs>
              <w:tab w:val="clear" w:pos="8459"/>
              <w:tab w:val="right" w:pos="9026" w:leader="dot"/>
            </w:tabs>
            <w:rPr/>
          </w:pPr>
          <w:hyperlink w:anchor="__RefHeading___Toc7368381_1051229030">
            <w:r>
              <w:rPr>
                <w:webHidden/>
                <w:rStyle w:val="IndexLink"/>
                <w:rtl w:val="true"/>
              </w:rPr>
              <w:t>المطلب السادس</w:t>
            </w:r>
            <w:r>
              <w:rPr>
                <w:rStyle w:val="IndexLink"/>
                <w:rtl w:val="true"/>
              </w:rPr>
              <w:t xml:space="preserve">: </w:t>
            </w:r>
            <w:r>
              <w:rPr>
                <w:rStyle w:val="IndexLink"/>
                <w:rtl w:val="true"/>
              </w:rPr>
              <w:t>في أمر الآمر مع علمه بانتفاء شرطه</w:t>
            </w:r>
            <w:r>
              <w:rPr>
                <w:rStyle w:val="IndexLink"/>
                <w:rtl w:val="true"/>
              </w:rPr>
              <w:tab/>
            </w:r>
            <w:r>
              <w:rPr>
                <w:rStyle w:val="IndexLink"/>
              </w:rPr>
              <w:t>193</w:t>
            </w:r>
          </w:hyperlink>
        </w:p>
        <w:p>
          <w:pPr>
            <w:pStyle w:val="Contents3"/>
            <w:tabs>
              <w:tab w:val="clear" w:pos="8459"/>
              <w:tab w:val="right" w:pos="9026" w:leader="dot"/>
            </w:tabs>
            <w:rPr/>
          </w:pPr>
          <w:hyperlink w:anchor="__RefHeading___Toc7368383_1051229030">
            <w:r>
              <w:rPr>
                <w:webHidden/>
                <w:rStyle w:val="IndexLink"/>
                <w:rtl w:val="true"/>
              </w:rPr>
              <w:t>المطلب السابع</w:t>
            </w:r>
            <w:r>
              <w:rPr>
                <w:rStyle w:val="IndexLink"/>
                <w:rtl w:val="true"/>
              </w:rPr>
              <w:t xml:space="preserve">: </w:t>
            </w:r>
            <w:r>
              <w:rPr>
                <w:rStyle w:val="IndexLink"/>
                <w:rtl w:val="true"/>
              </w:rPr>
              <w:t>في الواجب التخييري</w:t>
            </w:r>
            <w:r>
              <w:rPr>
                <w:rStyle w:val="IndexLink"/>
                <w:rtl w:val="true"/>
              </w:rPr>
              <w:tab/>
            </w:r>
            <w:r>
              <w:rPr>
                <w:rStyle w:val="IndexLink"/>
              </w:rPr>
              <w:t>195</w:t>
            </w:r>
          </w:hyperlink>
        </w:p>
        <w:p>
          <w:pPr>
            <w:pStyle w:val="Contents4"/>
            <w:tabs>
              <w:tab w:val="clear" w:pos="8176"/>
              <w:tab w:val="right" w:pos="9026" w:leader="dot"/>
            </w:tabs>
            <w:rPr/>
          </w:pPr>
          <w:hyperlink w:anchor="__RefHeading___Toc7368385_1051229030">
            <w:r>
              <w:rPr>
                <w:webHidden/>
                <w:rStyle w:val="IndexLink"/>
                <w:rtl w:val="true"/>
              </w:rPr>
              <w:t>في الواجب التخييري</w:t>
            </w:r>
            <w:r>
              <w:rPr>
                <w:rStyle w:val="IndexLink"/>
                <w:rtl w:val="true"/>
              </w:rPr>
              <w:tab/>
            </w:r>
            <w:r>
              <w:rPr>
                <w:rStyle w:val="IndexLink"/>
              </w:rPr>
              <w:t>195</w:t>
            </w:r>
          </w:hyperlink>
        </w:p>
        <w:p>
          <w:pPr>
            <w:pStyle w:val="Contents4"/>
            <w:tabs>
              <w:tab w:val="clear" w:pos="8176"/>
              <w:tab w:val="right" w:pos="9026" w:leader="dot"/>
            </w:tabs>
            <w:rPr/>
          </w:pPr>
          <w:hyperlink w:anchor="__RefHeading___Toc7368387_1051229030">
            <w:r>
              <w:rPr>
                <w:webHidden/>
                <w:rStyle w:val="IndexLink"/>
                <w:rtl w:val="true"/>
              </w:rPr>
              <w:t>في التخيير بين الأقلّ والأكثر</w:t>
            </w:r>
            <w:r>
              <w:rPr>
                <w:rStyle w:val="IndexLink"/>
                <w:rtl w:val="true"/>
              </w:rPr>
              <w:tab/>
            </w:r>
            <w:r>
              <w:rPr>
                <w:rStyle w:val="IndexLink"/>
              </w:rPr>
              <w:t>196</w:t>
            </w:r>
          </w:hyperlink>
        </w:p>
        <w:p>
          <w:pPr>
            <w:pStyle w:val="Contents3"/>
            <w:tabs>
              <w:tab w:val="clear" w:pos="8459"/>
              <w:tab w:val="right" w:pos="9026" w:leader="dot"/>
            </w:tabs>
            <w:rPr/>
          </w:pPr>
          <w:hyperlink w:anchor="__RefHeading___Toc7368389_1051229030">
            <w:r>
              <w:rPr>
                <w:webHidden/>
                <w:rStyle w:val="IndexLink"/>
                <w:rtl w:val="true"/>
              </w:rPr>
              <w:t>المطلب الثامن</w:t>
            </w:r>
            <w:r>
              <w:rPr>
                <w:rStyle w:val="IndexLink"/>
                <w:rtl w:val="true"/>
              </w:rPr>
              <w:t xml:space="preserve">: </w:t>
            </w:r>
            <w:r>
              <w:rPr>
                <w:rStyle w:val="IndexLink"/>
                <w:rtl w:val="true"/>
              </w:rPr>
              <w:t>في الواجب الكفائي</w:t>
            </w:r>
            <w:r>
              <w:rPr>
                <w:rStyle w:val="IndexLink"/>
                <w:rtl w:val="true"/>
              </w:rPr>
              <w:tab/>
            </w:r>
            <w:r>
              <w:rPr>
                <w:rStyle w:val="IndexLink"/>
              </w:rPr>
              <w:t>199</w:t>
            </w:r>
          </w:hyperlink>
        </w:p>
        <w:p>
          <w:pPr>
            <w:pStyle w:val="Contents4"/>
            <w:tabs>
              <w:tab w:val="clear" w:pos="8176"/>
              <w:tab w:val="right" w:pos="9026" w:leader="dot"/>
            </w:tabs>
            <w:rPr/>
          </w:pPr>
          <w:hyperlink w:anchor="__RefHeading___Toc7368391_1051229030">
            <w:r>
              <w:rPr>
                <w:webHidden/>
                <w:rStyle w:val="IndexLink"/>
                <w:rtl w:val="true"/>
              </w:rPr>
              <w:t>في الواجب الكفائي</w:t>
            </w:r>
            <w:r>
              <w:rPr>
                <w:rStyle w:val="IndexLink"/>
                <w:rtl w:val="true"/>
              </w:rPr>
              <w:tab/>
            </w:r>
            <w:r>
              <w:rPr>
                <w:rStyle w:val="IndexLink"/>
              </w:rPr>
              <w:t>199</w:t>
            </w:r>
          </w:hyperlink>
        </w:p>
        <w:p>
          <w:pPr>
            <w:pStyle w:val="Contents4"/>
            <w:tabs>
              <w:tab w:val="clear" w:pos="8176"/>
              <w:tab w:val="right" w:pos="9026" w:leader="dot"/>
            </w:tabs>
            <w:rPr/>
          </w:pPr>
          <w:hyperlink w:anchor="__RefHeading___Toc7368393_1051229030">
            <w:r>
              <w:rPr>
                <w:webHidden/>
                <w:rStyle w:val="IndexLink"/>
                <w:rtl w:val="true"/>
              </w:rPr>
              <w:t xml:space="preserve">الأوّل </w:t>
            </w:r>
            <w:r>
              <w:rPr>
                <w:rStyle w:val="IndexLink"/>
                <w:rtl w:val="true"/>
              </w:rPr>
              <w:t xml:space="preserve">: </w:t>
            </w:r>
            <w:r>
              <w:rPr>
                <w:rStyle w:val="IndexLink"/>
                <w:rtl w:val="true"/>
              </w:rPr>
              <w:t xml:space="preserve">أنّ المحقّق الخراساني رحمه الله علیه </w:t>
            </w:r>
            <w:r>
              <w:rPr>
                <w:rStyle w:val="IndexLink"/>
                <w:rtl w:val="true"/>
              </w:rPr>
              <w:t xml:space="preserve">- </w:t>
            </w:r>
            <w:r>
              <w:rPr>
                <w:rStyle w:val="IndexLink"/>
                <w:rtl w:val="true"/>
              </w:rPr>
              <w:t xml:space="preserve">في أوائل مبحث الأوامر </w:t>
            </w:r>
            <w:r>
              <w:rPr>
                <w:rStyle w:val="IndexLink"/>
                <w:rtl w:val="true"/>
              </w:rPr>
              <w:t xml:space="preserve">- </w:t>
            </w:r>
            <w:r>
              <w:rPr>
                <w:rStyle w:val="IndexLink"/>
                <w:rtl w:val="true"/>
              </w:rPr>
              <w:t xml:space="preserve">ذهب إلى جواز التمسّك بإطلاق المأمور به لكون الأمر عينياً فيما إذا شكّ في العينية والكفائية </w:t>
            </w:r>
            <w:r>
              <w:rPr>
                <w:rStyle w:val="IndexLink"/>
                <w:rtl w:val="true"/>
              </w:rPr>
              <w:t>.</w:t>
              <w:tab/>
            </w:r>
            <w:r>
              <w:rPr>
                <w:rStyle w:val="IndexLink"/>
              </w:rPr>
              <w:t>201</w:t>
            </w:r>
          </w:hyperlink>
        </w:p>
        <w:p>
          <w:pPr>
            <w:pStyle w:val="Contents4"/>
            <w:tabs>
              <w:tab w:val="clear" w:pos="8176"/>
              <w:tab w:val="right" w:pos="9026" w:leader="dot"/>
            </w:tabs>
            <w:rPr/>
          </w:pPr>
          <w:hyperlink w:anchor="__RefHeading___Toc7368395_1051229030">
            <w:r>
              <w:rPr>
                <w:webHidden/>
                <w:rStyle w:val="IndexLink"/>
                <w:rtl w:val="true"/>
              </w:rPr>
              <w:t xml:space="preserve">الثاني </w:t>
            </w:r>
            <w:r>
              <w:rPr>
                <w:rStyle w:val="IndexLink"/>
                <w:rtl w:val="true"/>
              </w:rPr>
              <w:t xml:space="preserve">: </w:t>
            </w:r>
            <w:r>
              <w:rPr>
                <w:rStyle w:val="IndexLink"/>
                <w:rtl w:val="true"/>
              </w:rPr>
              <w:t>أنّه لو أتى عدّة من المكلّفين بالمأمور به في عَرض واحد ، هل يكون المجموع مطيعاً ، أو واحد منهم ، أو كلّ واحد منهم ؟</w:t>
            </w:r>
            <w:r>
              <w:rPr>
                <w:rStyle w:val="IndexLink"/>
                <w:rtl w:val="true"/>
              </w:rPr>
              <w:tab/>
            </w:r>
            <w:r>
              <w:rPr>
                <w:rStyle w:val="IndexLink"/>
              </w:rPr>
              <w:t>202</w:t>
            </w:r>
          </w:hyperlink>
        </w:p>
        <w:p>
          <w:pPr>
            <w:pStyle w:val="Contents3"/>
            <w:tabs>
              <w:tab w:val="clear" w:pos="8459"/>
              <w:tab w:val="right" w:pos="9026" w:leader="dot"/>
            </w:tabs>
            <w:rPr/>
          </w:pPr>
          <w:hyperlink w:anchor="__RefHeading___Toc7368397_1051229030">
            <w:r>
              <w:rPr>
                <w:webHidden/>
                <w:rStyle w:val="IndexLink"/>
                <w:rtl w:val="true"/>
              </w:rPr>
              <w:t>المطلب التاسع</w:t>
            </w:r>
            <w:r>
              <w:rPr>
                <w:rStyle w:val="IndexLink"/>
                <w:rtl w:val="true"/>
              </w:rPr>
              <w:t xml:space="preserve">: </w:t>
            </w:r>
            <w:r>
              <w:rPr>
                <w:rStyle w:val="IndexLink"/>
                <w:rtl w:val="true"/>
              </w:rPr>
              <w:t>ينقسم الواجب باعتبارٍ إلى المطلق والموقّت</w:t>
            </w:r>
            <w:r>
              <w:rPr>
                <w:rStyle w:val="IndexLink"/>
                <w:rtl w:val="true"/>
              </w:rPr>
              <w:tab/>
            </w:r>
            <w:r>
              <w:rPr>
                <w:rStyle w:val="IndexLink"/>
              </w:rPr>
              <w:t>203</w:t>
            </w:r>
          </w:hyperlink>
        </w:p>
        <w:p>
          <w:pPr>
            <w:pStyle w:val="Contents4"/>
            <w:tabs>
              <w:tab w:val="clear" w:pos="8176"/>
              <w:tab w:val="right" w:pos="9026" w:leader="dot"/>
            </w:tabs>
            <w:rPr/>
          </w:pPr>
          <w:hyperlink w:anchor="__RefHeading___Toc7368399_1051229030">
            <w:r>
              <w:rPr>
                <w:webHidden/>
                <w:rStyle w:val="IndexLink"/>
                <w:rtl w:val="true"/>
              </w:rPr>
              <w:t>ينقسم الواجب باعتبارٍ إلى المطلق والموقّت</w:t>
            </w:r>
            <w:r>
              <w:rPr>
                <w:rStyle w:val="IndexLink"/>
                <w:rtl w:val="true"/>
              </w:rPr>
              <w:tab/>
            </w:r>
            <w:r>
              <w:rPr>
                <w:rStyle w:val="IndexLink"/>
              </w:rPr>
              <w:t>203</w:t>
            </w:r>
          </w:hyperlink>
        </w:p>
        <w:p>
          <w:pPr>
            <w:pStyle w:val="Contents4"/>
            <w:tabs>
              <w:tab w:val="clear" w:pos="8176"/>
              <w:tab w:val="right" w:pos="9026" w:leader="dot"/>
            </w:tabs>
            <w:rPr/>
          </w:pPr>
          <w:hyperlink w:anchor="__RefHeading___Toc7368401_1051229030">
            <w:r>
              <w:rPr>
                <w:webHidden/>
                <w:rStyle w:val="IndexLink"/>
                <w:rtl w:val="true"/>
              </w:rPr>
              <w:t>في كون القضاء بأمر جديد</w:t>
            </w:r>
            <w:r>
              <w:rPr>
                <w:rStyle w:val="IndexLink"/>
                <w:rtl w:val="true"/>
              </w:rPr>
              <w:tab/>
            </w:r>
            <w:r>
              <w:rPr>
                <w:rStyle w:val="IndexLink"/>
              </w:rPr>
              <w:t>204</w:t>
            </w:r>
          </w:hyperlink>
        </w:p>
        <w:p>
          <w:pPr>
            <w:pStyle w:val="Contents3"/>
            <w:tabs>
              <w:tab w:val="clear" w:pos="8459"/>
              <w:tab w:val="right" w:pos="9026" w:leader="dot"/>
            </w:tabs>
            <w:rPr/>
          </w:pPr>
          <w:hyperlink w:anchor="__RefHeading___Toc7368403_1051229030">
            <w:r>
              <w:rPr>
                <w:webHidden/>
                <w:rStyle w:val="IndexLink"/>
                <w:rtl w:val="true"/>
              </w:rPr>
              <w:t>المطلب العاشر</w:t>
            </w:r>
            <w:r>
              <w:rPr>
                <w:rStyle w:val="IndexLink"/>
                <w:rtl w:val="true"/>
              </w:rPr>
              <w:t xml:space="preserve">: </w:t>
            </w:r>
            <w:r>
              <w:rPr>
                <w:rStyle w:val="IndexLink"/>
                <w:rtl w:val="true"/>
              </w:rPr>
              <w:t>هل متعلّق الأوامر والنواهي الطبائع أو الأفراد ؟</w:t>
            </w:r>
            <w:r>
              <w:rPr>
                <w:rStyle w:val="IndexLink"/>
                <w:rtl w:val="true"/>
              </w:rPr>
              <w:tab/>
            </w:r>
            <w:r>
              <w:rPr>
                <w:rStyle w:val="IndexLink"/>
              </w:rPr>
              <w:t>207</w:t>
            </w:r>
          </w:hyperlink>
        </w:p>
        <w:p>
          <w:pPr>
            <w:pStyle w:val="Contents2"/>
            <w:tabs>
              <w:tab w:val="clear" w:pos="8743"/>
              <w:tab w:val="right" w:pos="9026" w:leader="dot"/>
            </w:tabs>
            <w:rPr/>
          </w:pPr>
          <w:hyperlink w:anchor="__RefHeading___Toc7368405_1051229030">
            <w:r>
              <w:rPr>
                <w:webHidden/>
                <w:rStyle w:val="IndexLink"/>
                <w:rtl w:val="true"/>
              </w:rPr>
              <w:t>المقصد الثاني</w:t>
            </w:r>
            <w:r>
              <w:rPr>
                <w:rStyle w:val="IndexLink"/>
                <w:rtl w:val="true"/>
              </w:rPr>
              <w:t xml:space="preserve">: </w:t>
            </w:r>
            <w:r>
              <w:rPr>
                <w:rStyle w:val="IndexLink"/>
                <w:rtl w:val="true"/>
              </w:rPr>
              <w:t>في النواهي</w:t>
            </w:r>
            <w:r>
              <w:rPr>
                <w:rStyle w:val="IndexLink"/>
                <w:rtl w:val="true"/>
              </w:rPr>
              <w:tab/>
            </w:r>
            <w:r>
              <w:rPr>
                <w:rStyle w:val="IndexLink"/>
              </w:rPr>
              <w:t>212</w:t>
            </w:r>
          </w:hyperlink>
        </w:p>
        <w:p>
          <w:pPr>
            <w:pStyle w:val="Contents3"/>
            <w:tabs>
              <w:tab w:val="clear" w:pos="8459"/>
              <w:tab w:val="right" w:pos="9026" w:leader="dot"/>
            </w:tabs>
            <w:rPr/>
          </w:pPr>
          <w:hyperlink w:anchor="__RefHeading___Toc7368407_1051229030">
            <w:r>
              <w:rPr>
                <w:webHidden/>
                <w:rStyle w:val="IndexLink"/>
                <w:rtl w:val="true"/>
              </w:rPr>
              <w:t>في النواهي</w:t>
            </w:r>
            <w:r>
              <w:rPr>
                <w:rStyle w:val="IndexLink"/>
                <w:rtl w:val="true"/>
              </w:rPr>
              <w:tab/>
            </w:r>
            <w:r>
              <w:rPr>
                <w:rStyle w:val="IndexLink"/>
              </w:rPr>
              <w:t>212</w:t>
            </w:r>
          </w:hyperlink>
        </w:p>
        <w:p>
          <w:pPr>
            <w:pStyle w:val="Contents3"/>
            <w:tabs>
              <w:tab w:val="clear" w:pos="8459"/>
              <w:tab w:val="right" w:pos="9026" w:leader="dot"/>
            </w:tabs>
            <w:rPr/>
          </w:pPr>
          <w:hyperlink w:anchor="__RefHeading___Toc7368409_1051229030">
            <w:r>
              <w:rPr>
                <w:webHidden/>
                <w:rStyle w:val="IndexLink"/>
                <w:rtl w:val="true"/>
              </w:rPr>
              <w:t>فصل</w:t>
            </w:r>
            <w:r>
              <w:rPr>
                <w:rStyle w:val="IndexLink"/>
                <w:rtl w:val="true"/>
              </w:rPr>
              <w:tab/>
            </w:r>
            <w:r>
              <w:rPr>
                <w:rStyle w:val="IndexLink"/>
              </w:rPr>
              <w:t>214</w:t>
            </w:r>
          </w:hyperlink>
        </w:p>
        <w:p>
          <w:pPr>
            <w:pStyle w:val="Contents4"/>
            <w:tabs>
              <w:tab w:val="clear" w:pos="8176"/>
              <w:tab w:val="right" w:pos="9026" w:leader="dot"/>
            </w:tabs>
            <w:rPr/>
          </w:pPr>
          <w:hyperlink w:anchor="__RefHeading___Toc7368411_1051229030">
            <w:r>
              <w:rPr>
                <w:webHidden/>
                <w:rStyle w:val="IndexLink"/>
                <w:rtl w:val="true"/>
              </w:rPr>
              <w:t>في مفاد النهي</w:t>
            </w:r>
            <w:r>
              <w:rPr>
                <w:rStyle w:val="IndexLink"/>
                <w:rtl w:val="true"/>
              </w:rPr>
              <w:tab/>
            </w:r>
            <w:r>
              <w:rPr>
                <w:rStyle w:val="IndexLink"/>
              </w:rPr>
              <w:t>214</w:t>
            </w:r>
          </w:hyperlink>
        </w:p>
        <w:p>
          <w:pPr>
            <w:pStyle w:val="Contents4"/>
            <w:tabs>
              <w:tab w:val="clear" w:pos="8176"/>
              <w:tab w:val="right" w:pos="9026" w:leader="dot"/>
            </w:tabs>
            <w:rPr/>
          </w:pPr>
          <w:hyperlink w:anchor="__RefHeading___Toc7368413_1051229030">
            <w:r>
              <w:rPr>
                <w:webHidden/>
                <w:rStyle w:val="IndexLink"/>
                <w:rtl w:val="true"/>
              </w:rPr>
              <w:t>اختلاف الأمر والنهي</w:t>
            </w:r>
            <w:r>
              <w:rPr>
                <w:rStyle w:val="IndexLink"/>
                <w:rtl w:val="true"/>
              </w:rPr>
              <w:tab/>
            </w:r>
            <w:r>
              <w:rPr>
                <w:rStyle w:val="IndexLink"/>
              </w:rPr>
              <w:t>214</w:t>
            </w:r>
          </w:hyperlink>
        </w:p>
        <w:p>
          <w:pPr>
            <w:pStyle w:val="Contents4"/>
            <w:tabs>
              <w:tab w:val="clear" w:pos="8176"/>
              <w:tab w:val="right" w:pos="9026" w:leader="dot"/>
            </w:tabs>
            <w:rPr/>
          </w:pPr>
          <w:hyperlink w:anchor="__RefHeading___Toc7368415_1051229030">
            <w:r>
              <w:rPr>
                <w:webHidden/>
                <w:rStyle w:val="IndexLink"/>
                <w:rtl w:val="true"/>
              </w:rPr>
              <w:t xml:space="preserve">تنبيه </w:t>
            </w:r>
            <w:r>
              <w:rPr>
                <w:rStyle w:val="IndexLink"/>
                <w:rtl w:val="true"/>
              </w:rPr>
              <w:t xml:space="preserve">: </w:t>
            </w:r>
            <w:r>
              <w:rPr>
                <w:rStyle w:val="IndexLink"/>
                <w:rtl w:val="true"/>
              </w:rPr>
              <w:t>فيما يتفرّع على كون النهي هو الزجر</w:t>
            </w:r>
            <w:r>
              <w:rPr>
                <w:rStyle w:val="IndexLink"/>
                <w:rtl w:val="true"/>
              </w:rPr>
              <w:tab/>
            </w:r>
            <w:r>
              <w:rPr>
                <w:rStyle w:val="IndexLink"/>
              </w:rPr>
              <w:t>217</w:t>
            </w:r>
          </w:hyperlink>
        </w:p>
        <w:p>
          <w:pPr>
            <w:pStyle w:val="Contents3"/>
            <w:tabs>
              <w:tab w:val="clear" w:pos="8459"/>
              <w:tab w:val="right" w:pos="9026" w:leader="dot"/>
            </w:tabs>
            <w:rPr/>
          </w:pPr>
          <w:hyperlink w:anchor="__RefHeading___Toc7368417_1051229030">
            <w:r>
              <w:rPr>
                <w:webHidden/>
                <w:rStyle w:val="IndexLink"/>
                <w:rtl w:val="true"/>
              </w:rPr>
              <w:t>فصل</w:t>
            </w:r>
            <w:r>
              <w:rPr>
                <w:rStyle w:val="IndexLink"/>
                <w:rtl w:val="true"/>
              </w:rPr>
              <w:tab/>
            </w:r>
            <w:r>
              <w:rPr>
                <w:rStyle w:val="IndexLink"/>
              </w:rPr>
              <w:t>220</w:t>
            </w:r>
          </w:hyperlink>
        </w:p>
        <w:p>
          <w:pPr>
            <w:pStyle w:val="Contents4"/>
            <w:tabs>
              <w:tab w:val="clear" w:pos="8176"/>
              <w:tab w:val="right" w:pos="9026" w:leader="dot"/>
            </w:tabs>
            <w:rPr/>
          </w:pPr>
          <w:hyperlink w:anchor="__RefHeading___Toc7368419_1051229030">
            <w:r>
              <w:rPr>
                <w:webHidden/>
                <w:rStyle w:val="IndexLink"/>
                <w:rtl w:val="true"/>
              </w:rPr>
              <w:t>في اجتماع الأمر والنهي</w:t>
            </w:r>
            <w:r>
              <w:rPr>
                <w:rStyle w:val="IndexLink"/>
                <w:rtl w:val="true"/>
              </w:rPr>
              <w:tab/>
            </w:r>
            <w:r>
              <w:rPr>
                <w:rStyle w:val="IndexLink"/>
              </w:rPr>
              <w:t>220</w:t>
            </w:r>
          </w:hyperlink>
        </w:p>
        <w:p>
          <w:pPr>
            <w:pStyle w:val="Contents4"/>
            <w:tabs>
              <w:tab w:val="clear" w:pos="8176"/>
              <w:tab w:val="right" w:pos="9026" w:leader="dot"/>
            </w:tabs>
            <w:rPr/>
          </w:pPr>
          <w:hyperlink w:anchor="__RefHeading___Toc7368421_1051229030">
            <w:r>
              <w:rPr>
                <w:webHidden/>
                <w:rStyle w:val="IndexLink"/>
                <w:rtl w:val="true"/>
              </w:rPr>
              <w:t xml:space="preserve">المقدّمة الاُولى </w:t>
            </w:r>
            <w:r>
              <w:rPr>
                <w:rStyle w:val="IndexLink"/>
                <w:rtl w:val="true"/>
              </w:rPr>
              <w:t xml:space="preserve">: </w:t>
            </w:r>
            <w:r>
              <w:rPr>
                <w:rStyle w:val="IndexLink"/>
                <w:rtl w:val="true"/>
              </w:rPr>
              <w:t>في تحرير محلّ النزاع</w:t>
            </w:r>
            <w:r>
              <w:rPr>
                <w:rStyle w:val="IndexLink"/>
                <w:rtl w:val="true"/>
              </w:rPr>
              <w:tab/>
            </w:r>
            <w:r>
              <w:rPr>
                <w:rStyle w:val="IndexLink"/>
              </w:rPr>
              <w:t>220</w:t>
            </w:r>
          </w:hyperlink>
        </w:p>
        <w:p>
          <w:pPr>
            <w:pStyle w:val="Contents4"/>
            <w:tabs>
              <w:tab w:val="clear" w:pos="8176"/>
              <w:tab w:val="right" w:pos="9026" w:leader="dot"/>
            </w:tabs>
            <w:rPr/>
          </w:pPr>
          <w:hyperlink w:anchor="__RefHeading___Toc7368423_1051229030">
            <w:r>
              <w:rPr>
                <w:webHidden/>
                <w:rStyle w:val="IndexLink"/>
                <w:rtl w:val="true"/>
              </w:rPr>
              <w:t xml:space="preserve">المقدّمة الثانية </w:t>
            </w:r>
            <w:r>
              <w:rPr>
                <w:rStyle w:val="IndexLink"/>
                <w:rtl w:val="true"/>
              </w:rPr>
              <w:t xml:space="preserve">: </w:t>
            </w:r>
            <w:r>
              <w:rPr>
                <w:rStyle w:val="IndexLink"/>
                <w:rtl w:val="true"/>
              </w:rPr>
              <w:t xml:space="preserve">في المراد من </w:t>
            </w:r>
            <w:r>
              <w:rPr>
                <w:rStyle w:val="IndexLink"/>
                <w:rtl w:val="true"/>
              </w:rPr>
              <w:t>«</w:t>
            </w:r>
            <w:r>
              <w:rPr>
                <w:rStyle w:val="IndexLink"/>
                <w:rtl w:val="true"/>
              </w:rPr>
              <w:t>الواحد</w:t>
            </w:r>
            <w:r>
              <w:rPr>
                <w:rStyle w:val="IndexLink"/>
                <w:rtl w:val="true"/>
              </w:rPr>
              <w:t xml:space="preserve">» </w:t>
            </w:r>
            <w:r>
              <w:rPr>
                <w:rStyle w:val="IndexLink"/>
                <w:rtl w:val="true"/>
              </w:rPr>
              <w:t>في عنوان المسألة</w:t>
            </w:r>
            <w:r>
              <w:rPr>
                <w:rStyle w:val="IndexLink"/>
                <w:rtl w:val="true"/>
              </w:rPr>
              <w:tab/>
            </w:r>
            <w:r>
              <w:rPr>
                <w:rStyle w:val="IndexLink"/>
              </w:rPr>
              <w:t>221</w:t>
            </w:r>
          </w:hyperlink>
        </w:p>
        <w:p>
          <w:pPr>
            <w:pStyle w:val="Contents4"/>
            <w:tabs>
              <w:tab w:val="clear" w:pos="8176"/>
              <w:tab w:val="right" w:pos="9026" w:leader="dot"/>
            </w:tabs>
            <w:rPr/>
          </w:pPr>
          <w:hyperlink w:anchor="__RefHeading___Toc7368425_1051229030">
            <w:r>
              <w:rPr>
                <w:webHidden/>
                <w:rStyle w:val="IndexLink"/>
                <w:rtl w:val="true"/>
              </w:rPr>
              <w:t xml:space="preserve">المقدّمة الثالثة </w:t>
            </w:r>
            <w:r>
              <w:rPr>
                <w:rStyle w:val="IndexLink"/>
                <w:rtl w:val="true"/>
              </w:rPr>
              <w:t xml:space="preserve">: </w:t>
            </w:r>
            <w:r>
              <w:rPr>
                <w:rStyle w:val="IndexLink"/>
                <w:rtl w:val="true"/>
              </w:rPr>
              <w:t>في كون هذه المسألة من المبادئ الأحكامية</w:t>
            </w:r>
            <w:r>
              <w:rPr>
                <w:rStyle w:val="IndexLink"/>
                <w:rtl w:val="true"/>
              </w:rPr>
              <w:tab/>
            </w:r>
            <w:r>
              <w:rPr>
                <w:rStyle w:val="IndexLink"/>
              </w:rPr>
              <w:t>222</w:t>
            </w:r>
          </w:hyperlink>
        </w:p>
        <w:p>
          <w:pPr>
            <w:pStyle w:val="Contents4"/>
            <w:tabs>
              <w:tab w:val="clear" w:pos="8176"/>
              <w:tab w:val="right" w:pos="9026" w:leader="dot"/>
            </w:tabs>
            <w:rPr/>
          </w:pPr>
          <w:hyperlink w:anchor="__RefHeading___Toc7368427_1051229030">
            <w:r>
              <w:rPr>
                <w:webHidden/>
                <w:rStyle w:val="IndexLink"/>
                <w:rtl w:val="true"/>
              </w:rPr>
              <w:t>المقدّمة الرابعة</w:t>
            </w:r>
            <w:r>
              <w:rPr>
                <w:rStyle w:val="IndexLink"/>
                <w:rtl w:val="true"/>
              </w:rPr>
              <w:t xml:space="preserve">: </w:t>
            </w:r>
            <w:r>
              <w:rPr>
                <w:rStyle w:val="IndexLink"/>
                <w:rtl w:val="true"/>
              </w:rPr>
              <w:t>في ابتناء النزاع على تعلّق الأحكام بالطبائع</w:t>
            </w:r>
            <w:r>
              <w:rPr>
                <w:rStyle w:val="IndexLink"/>
                <w:rtl w:val="true"/>
              </w:rPr>
              <w:tab/>
            </w:r>
            <w:r>
              <w:rPr>
                <w:rStyle w:val="IndexLink"/>
              </w:rPr>
              <w:t>222</w:t>
            </w:r>
          </w:hyperlink>
        </w:p>
        <w:p>
          <w:pPr>
            <w:pStyle w:val="Contents4"/>
            <w:tabs>
              <w:tab w:val="clear" w:pos="8176"/>
              <w:tab w:val="right" w:pos="9026" w:leader="dot"/>
            </w:tabs>
            <w:rPr/>
          </w:pPr>
          <w:hyperlink w:anchor="__RefHeading___Toc7368429_1051229030">
            <w:r>
              <w:rPr>
                <w:webHidden/>
                <w:rStyle w:val="IndexLink"/>
                <w:rtl w:val="true"/>
              </w:rPr>
              <w:t>المقدّمة الخامسة</w:t>
            </w:r>
            <w:r>
              <w:rPr>
                <w:rStyle w:val="IndexLink"/>
                <w:rtl w:val="true"/>
              </w:rPr>
              <w:t xml:space="preserve">: </w:t>
            </w:r>
            <w:r>
              <w:rPr>
                <w:rStyle w:val="IndexLink"/>
                <w:rtl w:val="true"/>
              </w:rPr>
              <w:t>في عدم الأساس لتقييد مورد النزاع بإحراز المناط</w:t>
            </w:r>
            <w:r>
              <w:rPr>
                <w:rStyle w:val="IndexLink"/>
                <w:rtl w:val="true"/>
              </w:rPr>
              <w:tab/>
            </w:r>
            <w:r>
              <w:rPr>
                <w:rStyle w:val="IndexLink"/>
              </w:rPr>
              <w:t>223</w:t>
            </w:r>
          </w:hyperlink>
        </w:p>
        <w:p>
          <w:pPr>
            <w:pStyle w:val="Contents4"/>
            <w:tabs>
              <w:tab w:val="clear" w:pos="8176"/>
              <w:tab w:val="right" w:pos="9026" w:leader="dot"/>
            </w:tabs>
            <w:rPr/>
          </w:pPr>
          <w:hyperlink w:anchor="__RefHeading___Toc7368431_1051229030">
            <w:r>
              <w:rPr>
                <w:webHidden/>
                <w:rStyle w:val="IndexLink"/>
                <w:rtl w:val="true"/>
              </w:rPr>
              <w:t>فيما استدلّ به للقول بالامتناع</w:t>
            </w:r>
            <w:r>
              <w:rPr>
                <w:rStyle w:val="IndexLink"/>
                <w:rtl w:val="true"/>
              </w:rPr>
              <w:tab/>
            </w:r>
            <w:r>
              <w:rPr>
                <w:rStyle w:val="IndexLink"/>
              </w:rPr>
              <w:t>223</w:t>
            </w:r>
          </w:hyperlink>
        </w:p>
        <w:p>
          <w:pPr>
            <w:pStyle w:val="Contents4"/>
            <w:tabs>
              <w:tab w:val="clear" w:pos="8176"/>
              <w:tab w:val="right" w:pos="9026" w:leader="dot"/>
            </w:tabs>
            <w:rPr/>
          </w:pPr>
          <w:hyperlink w:anchor="__RefHeading___Toc7368433_1051229030">
            <w:r>
              <w:rPr>
                <w:webHidden/>
                <w:rStyle w:val="IndexLink"/>
                <w:rtl w:val="true"/>
              </w:rPr>
              <w:t>دليل جواز الاجتماع</w:t>
            </w:r>
            <w:r>
              <w:rPr>
                <w:rStyle w:val="IndexLink"/>
                <w:rtl w:val="true"/>
              </w:rPr>
              <w:tab/>
            </w:r>
            <w:r>
              <w:rPr>
                <w:rStyle w:val="IndexLink"/>
              </w:rPr>
              <w:t>230</w:t>
            </w:r>
          </w:hyperlink>
        </w:p>
        <w:p>
          <w:pPr>
            <w:pStyle w:val="Contents3"/>
            <w:tabs>
              <w:tab w:val="clear" w:pos="8459"/>
              <w:tab w:val="right" w:pos="9026" w:leader="dot"/>
            </w:tabs>
            <w:rPr/>
          </w:pPr>
          <w:hyperlink w:anchor="__RefHeading___Toc7368435_1051229030">
            <w:r>
              <w:rPr>
                <w:webHidden/>
                <w:rStyle w:val="IndexLink"/>
                <w:rtl w:val="true"/>
              </w:rPr>
              <w:t xml:space="preserve">تنبيهات </w:t>
            </w:r>
            <w:r>
              <w:rPr>
                <w:rStyle w:val="IndexLink"/>
                <w:rtl w:val="true"/>
              </w:rPr>
              <w:t>:</w:t>
              <w:tab/>
            </w:r>
            <w:r>
              <w:rPr>
                <w:rStyle w:val="IndexLink"/>
              </w:rPr>
              <w:t>230</w:t>
            </w:r>
          </w:hyperlink>
        </w:p>
        <w:p>
          <w:pPr>
            <w:pStyle w:val="Contents4"/>
            <w:tabs>
              <w:tab w:val="clear" w:pos="8176"/>
              <w:tab w:val="right" w:pos="9026" w:leader="dot"/>
            </w:tabs>
            <w:rPr/>
          </w:pPr>
          <w:hyperlink w:anchor="__RefHeading___Toc7368437_1051229030">
            <w:r>
              <w:rPr>
                <w:webHidden/>
                <w:rStyle w:val="IndexLink"/>
                <w:rtl w:val="true"/>
              </w:rPr>
              <w:t xml:space="preserve">تنبيهات </w:t>
            </w:r>
            <w:r>
              <w:rPr>
                <w:rStyle w:val="IndexLink"/>
                <w:rtl w:val="true"/>
              </w:rPr>
              <w:t>:</w:t>
              <w:tab/>
            </w:r>
            <w:r>
              <w:rPr>
                <w:rStyle w:val="IndexLink"/>
              </w:rPr>
              <w:t>230</w:t>
            </w:r>
          </w:hyperlink>
        </w:p>
        <w:p>
          <w:pPr>
            <w:pStyle w:val="Contents4"/>
            <w:tabs>
              <w:tab w:val="clear" w:pos="8176"/>
              <w:tab w:val="right" w:pos="9026" w:leader="dot"/>
            </w:tabs>
            <w:rPr/>
          </w:pPr>
          <w:hyperlink w:anchor="__RefHeading___Toc7368439_1051229030">
            <w:r>
              <w:rPr>
                <w:webHidden/>
                <w:rStyle w:val="IndexLink"/>
                <w:rtl w:val="true"/>
              </w:rPr>
              <w:t>التنبيه الأوّل</w:t>
            </w:r>
            <w:r>
              <w:rPr>
                <w:rStyle w:val="IndexLink"/>
                <w:rtl w:val="true"/>
              </w:rPr>
              <w:tab/>
            </w:r>
            <w:r>
              <w:rPr>
                <w:rStyle w:val="IndexLink"/>
              </w:rPr>
              <w:t>231</w:t>
            </w:r>
          </w:hyperlink>
        </w:p>
        <w:p>
          <w:pPr>
            <w:pStyle w:val="Contents4"/>
            <w:tabs>
              <w:tab w:val="clear" w:pos="8176"/>
              <w:tab w:val="right" w:pos="9026" w:leader="dot"/>
            </w:tabs>
            <w:rPr/>
          </w:pPr>
          <w:hyperlink w:anchor="__RefHeading___Toc7368441_1051229030">
            <w:r>
              <w:rPr>
                <w:webHidden/>
                <w:rStyle w:val="IndexLink"/>
                <w:rtl w:val="true"/>
              </w:rPr>
              <w:t xml:space="preserve">التنبيه الثاني </w:t>
            </w:r>
            <w:r>
              <w:rPr>
                <w:rStyle w:val="IndexLink"/>
                <w:rtl w:val="true"/>
              </w:rPr>
              <w:t xml:space="preserve">: </w:t>
            </w:r>
            <w:r>
              <w:rPr>
                <w:rStyle w:val="IndexLink"/>
                <w:rtl w:val="true"/>
              </w:rPr>
              <w:t>حول جريان النزاع في العامّين من وجه</w:t>
            </w:r>
            <w:r>
              <w:rPr>
                <w:rStyle w:val="IndexLink"/>
                <w:rtl w:val="true"/>
              </w:rPr>
              <w:tab/>
            </w:r>
            <w:r>
              <w:rPr>
                <w:rStyle w:val="IndexLink"/>
              </w:rPr>
              <w:t>233</w:t>
            </w:r>
          </w:hyperlink>
        </w:p>
        <w:p>
          <w:pPr>
            <w:pStyle w:val="Contents4"/>
            <w:tabs>
              <w:tab w:val="clear" w:pos="8176"/>
              <w:tab w:val="right" w:pos="9026" w:leader="dot"/>
            </w:tabs>
            <w:rPr/>
          </w:pPr>
          <w:hyperlink w:anchor="__RefHeading___Toc7368443_1051229030">
            <w:r>
              <w:rPr>
                <w:webHidden/>
                <w:rStyle w:val="IndexLink"/>
                <w:rtl w:val="true"/>
              </w:rPr>
              <w:t xml:space="preserve">التنبيه الثالث </w:t>
            </w:r>
            <w:r>
              <w:rPr>
                <w:rStyle w:val="IndexLink"/>
                <w:rtl w:val="true"/>
              </w:rPr>
              <w:t xml:space="preserve">: </w:t>
            </w:r>
            <w:r>
              <w:rPr>
                <w:rStyle w:val="IndexLink"/>
                <w:rtl w:val="true"/>
              </w:rPr>
              <w:t>جريان النزاع عند كون المنهيّ عنه أخصّ مطلقاً</w:t>
            </w:r>
            <w:r>
              <w:rPr>
                <w:rStyle w:val="IndexLink"/>
                <w:rtl w:val="true"/>
              </w:rPr>
              <w:tab/>
            </w:r>
            <w:r>
              <w:rPr>
                <w:rStyle w:val="IndexLink"/>
              </w:rPr>
              <w:t>236</w:t>
            </w:r>
          </w:hyperlink>
        </w:p>
        <w:p>
          <w:pPr>
            <w:pStyle w:val="Contents4"/>
            <w:tabs>
              <w:tab w:val="clear" w:pos="8176"/>
              <w:tab w:val="right" w:pos="9026" w:leader="dot"/>
            </w:tabs>
            <w:rPr/>
          </w:pPr>
          <w:hyperlink w:anchor="__RefHeading___Toc7368445_1051229030">
            <w:r>
              <w:rPr>
                <w:webHidden/>
                <w:rStyle w:val="IndexLink"/>
                <w:rtl w:val="true"/>
              </w:rPr>
              <w:t xml:space="preserve">التنبيه الرابع </w:t>
            </w:r>
            <w:r>
              <w:rPr>
                <w:rStyle w:val="IndexLink"/>
                <w:rtl w:val="true"/>
              </w:rPr>
              <w:t xml:space="preserve">: </w:t>
            </w:r>
            <w:r>
              <w:rPr>
                <w:rStyle w:val="IndexLink"/>
                <w:rtl w:val="true"/>
              </w:rPr>
              <w:t>لا فرق في جريان النزاع بين أقسام الأمر والنهي</w:t>
            </w:r>
            <w:r>
              <w:rPr>
                <w:rStyle w:val="IndexLink"/>
                <w:rtl w:val="true"/>
              </w:rPr>
              <w:tab/>
            </w:r>
            <w:r>
              <w:rPr>
                <w:rStyle w:val="IndexLink"/>
              </w:rPr>
              <w:t>236</w:t>
            </w:r>
          </w:hyperlink>
        </w:p>
        <w:p>
          <w:pPr>
            <w:pStyle w:val="Contents4"/>
            <w:tabs>
              <w:tab w:val="clear" w:pos="8176"/>
              <w:tab w:val="right" w:pos="9026" w:leader="dot"/>
            </w:tabs>
            <w:rPr/>
          </w:pPr>
          <w:hyperlink w:anchor="__RefHeading___Toc7368447_1051229030">
            <w:r>
              <w:rPr>
                <w:webHidden/>
                <w:rStyle w:val="IndexLink"/>
                <w:rtl w:val="true"/>
              </w:rPr>
              <w:t xml:space="preserve">التنبيه الخامس </w:t>
            </w:r>
            <w:r>
              <w:rPr>
                <w:rStyle w:val="IndexLink"/>
                <w:rtl w:val="true"/>
              </w:rPr>
              <w:t xml:space="preserve">: </w:t>
            </w:r>
            <w:r>
              <w:rPr>
                <w:rStyle w:val="IndexLink"/>
                <w:rtl w:val="true"/>
              </w:rPr>
              <w:t>استدلال المجوّزين بوقوع العبادات المكروهة</w:t>
            </w:r>
            <w:r>
              <w:rPr>
                <w:rStyle w:val="IndexLink"/>
                <w:rtl w:val="true"/>
              </w:rPr>
              <w:tab/>
            </w:r>
            <w:r>
              <w:rPr>
                <w:rStyle w:val="IndexLink"/>
              </w:rPr>
              <w:t>237</w:t>
            </w:r>
          </w:hyperlink>
        </w:p>
        <w:p>
          <w:pPr>
            <w:pStyle w:val="Contents4"/>
            <w:tabs>
              <w:tab w:val="clear" w:pos="8176"/>
              <w:tab w:val="right" w:pos="9026" w:leader="dot"/>
            </w:tabs>
            <w:rPr/>
          </w:pPr>
          <w:hyperlink w:anchor="__RefHeading___Toc7368449_1051229030">
            <w:r>
              <w:rPr>
                <w:webHidden/>
                <w:rStyle w:val="IndexLink"/>
                <w:rtl w:val="true"/>
              </w:rPr>
              <w:t xml:space="preserve">التنبيه السادس </w:t>
            </w:r>
            <w:r>
              <w:rPr>
                <w:rStyle w:val="IndexLink"/>
                <w:rtl w:val="true"/>
              </w:rPr>
              <w:t xml:space="preserve">: </w:t>
            </w:r>
            <w:r>
              <w:rPr>
                <w:rStyle w:val="IndexLink"/>
                <w:rtl w:val="true"/>
              </w:rPr>
              <w:t>حكم توسّط الأرض المغصوبة</w:t>
            </w:r>
            <w:r>
              <w:rPr>
                <w:rStyle w:val="IndexLink"/>
                <w:rtl w:val="true"/>
              </w:rPr>
              <w:tab/>
            </w:r>
            <w:r>
              <w:rPr>
                <w:rStyle w:val="IndexLink"/>
              </w:rPr>
              <w:t>241</w:t>
            </w:r>
          </w:hyperlink>
        </w:p>
        <w:p>
          <w:pPr>
            <w:pStyle w:val="Contents4"/>
            <w:tabs>
              <w:tab w:val="clear" w:pos="8176"/>
              <w:tab w:val="right" w:pos="9026" w:leader="dot"/>
            </w:tabs>
            <w:rPr/>
          </w:pPr>
          <w:hyperlink w:anchor="__RefHeading___Toc7368451_1051229030">
            <w:r>
              <w:rPr>
                <w:webHidden/>
                <w:rStyle w:val="IndexLink"/>
                <w:rtl w:val="true"/>
              </w:rPr>
              <w:t xml:space="preserve">تذنيب </w:t>
            </w:r>
            <w:r>
              <w:rPr>
                <w:rStyle w:val="IndexLink"/>
                <w:rtl w:val="true"/>
              </w:rPr>
              <w:t xml:space="preserve">: </w:t>
            </w:r>
            <w:r>
              <w:rPr>
                <w:rStyle w:val="IndexLink"/>
                <w:rtl w:val="true"/>
              </w:rPr>
              <w:t>التصرّفات الخروجية مقدّمة للكون في الخارج</w:t>
            </w:r>
            <w:r>
              <w:rPr>
                <w:rStyle w:val="IndexLink"/>
                <w:rtl w:val="true"/>
              </w:rPr>
              <w:tab/>
            </w:r>
            <w:r>
              <w:rPr>
                <w:rStyle w:val="IndexLink"/>
              </w:rPr>
              <w:t>250</w:t>
            </w:r>
          </w:hyperlink>
        </w:p>
        <w:p>
          <w:pPr>
            <w:pStyle w:val="Contents3"/>
            <w:tabs>
              <w:tab w:val="clear" w:pos="8459"/>
              <w:tab w:val="right" w:pos="9026" w:leader="dot"/>
            </w:tabs>
            <w:rPr/>
          </w:pPr>
          <w:hyperlink w:anchor="__RefHeading___Toc7368453_1051229030">
            <w:r>
              <w:rPr>
                <w:webHidden/>
                <w:rStyle w:val="IndexLink"/>
                <w:rtl w:val="true"/>
              </w:rPr>
              <w:t>فصل</w:t>
            </w:r>
            <w:r>
              <w:rPr>
                <w:rStyle w:val="IndexLink"/>
                <w:rtl w:val="true"/>
              </w:rPr>
              <w:tab/>
            </w:r>
            <w:r>
              <w:rPr>
                <w:rStyle w:val="IndexLink"/>
              </w:rPr>
              <w:t>252</w:t>
            </w:r>
          </w:hyperlink>
        </w:p>
        <w:p>
          <w:pPr>
            <w:pStyle w:val="Contents4"/>
            <w:tabs>
              <w:tab w:val="clear" w:pos="8176"/>
              <w:tab w:val="right" w:pos="9026" w:leader="dot"/>
            </w:tabs>
            <w:rPr/>
          </w:pPr>
          <w:hyperlink w:anchor="__RefHeading___Toc7368455_1051229030">
            <w:r>
              <w:rPr>
                <w:webHidden/>
                <w:rStyle w:val="IndexLink"/>
                <w:rtl w:val="true"/>
              </w:rPr>
              <w:t>في اقتضاء النهي للفساد</w:t>
            </w:r>
            <w:r>
              <w:rPr>
                <w:rStyle w:val="IndexLink"/>
                <w:rtl w:val="true"/>
              </w:rPr>
              <w:tab/>
            </w:r>
            <w:r>
              <w:rPr>
                <w:rStyle w:val="IndexLink"/>
              </w:rPr>
              <w:t>252</w:t>
            </w:r>
          </w:hyperlink>
        </w:p>
        <w:p>
          <w:pPr>
            <w:pStyle w:val="Contents4"/>
            <w:tabs>
              <w:tab w:val="clear" w:pos="8176"/>
              <w:tab w:val="right" w:pos="9026" w:leader="dot"/>
            </w:tabs>
            <w:rPr/>
          </w:pPr>
          <w:hyperlink w:anchor="__RefHeading___Toc7368457_1051229030">
            <w:r>
              <w:rPr>
                <w:webHidden/>
                <w:rStyle w:val="IndexLink"/>
                <w:rtl w:val="true"/>
              </w:rPr>
              <w:t>في بيان معنى الصحّة والفساد</w:t>
            </w:r>
            <w:r>
              <w:rPr>
                <w:rStyle w:val="IndexLink"/>
                <w:rtl w:val="true"/>
              </w:rPr>
              <w:tab/>
            </w:r>
            <w:r>
              <w:rPr>
                <w:rStyle w:val="IndexLink"/>
              </w:rPr>
              <w:t>252</w:t>
            </w:r>
          </w:hyperlink>
        </w:p>
        <w:p>
          <w:pPr>
            <w:pStyle w:val="Contents4"/>
            <w:tabs>
              <w:tab w:val="clear" w:pos="8176"/>
              <w:tab w:val="right" w:pos="9026" w:leader="dot"/>
            </w:tabs>
            <w:rPr/>
          </w:pPr>
          <w:hyperlink w:anchor="__RefHeading___Toc7368459_1051229030">
            <w:r>
              <w:rPr>
                <w:webHidden/>
                <w:rStyle w:val="IndexLink"/>
                <w:rtl w:val="true"/>
              </w:rPr>
              <w:t xml:space="preserve">تنبيه </w:t>
            </w:r>
            <w:r>
              <w:rPr>
                <w:rStyle w:val="IndexLink"/>
                <w:rtl w:val="true"/>
              </w:rPr>
              <w:t xml:space="preserve">: </w:t>
            </w:r>
            <w:r>
              <w:rPr>
                <w:rStyle w:val="IndexLink"/>
                <w:rtl w:val="true"/>
              </w:rPr>
              <w:t>الميزان في الاتّصاف بالصحّة والفساد</w:t>
            </w:r>
            <w:r>
              <w:rPr>
                <w:rStyle w:val="IndexLink"/>
                <w:rtl w:val="true"/>
              </w:rPr>
              <w:tab/>
            </w:r>
            <w:r>
              <w:rPr>
                <w:rStyle w:val="IndexLink"/>
              </w:rPr>
              <w:t>254</w:t>
            </w:r>
          </w:hyperlink>
        </w:p>
        <w:p>
          <w:pPr>
            <w:pStyle w:val="Contents4"/>
            <w:tabs>
              <w:tab w:val="clear" w:pos="8176"/>
              <w:tab w:val="right" w:pos="9026" w:leader="dot"/>
            </w:tabs>
            <w:rPr/>
          </w:pPr>
          <w:hyperlink w:anchor="__RefHeading___Toc7368461_1051229030">
            <w:r>
              <w:rPr>
                <w:webHidden/>
                <w:rStyle w:val="IndexLink"/>
                <w:rtl w:val="true"/>
              </w:rPr>
              <w:t>بيان مسلكين في إثبات دلالة النهي على الفساد</w:t>
            </w:r>
            <w:r>
              <w:rPr>
                <w:rStyle w:val="IndexLink"/>
                <w:rtl w:val="true"/>
              </w:rPr>
              <w:tab/>
            </w:r>
            <w:r>
              <w:rPr>
                <w:rStyle w:val="IndexLink"/>
              </w:rPr>
              <w:t>255</w:t>
            </w:r>
          </w:hyperlink>
        </w:p>
        <w:p>
          <w:pPr>
            <w:pStyle w:val="Contents4"/>
            <w:tabs>
              <w:tab w:val="clear" w:pos="8176"/>
              <w:tab w:val="right" w:pos="9026" w:leader="dot"/>
            </w:tabs>
            <w:rPr/>
          </w:pPr>
          <w:hyperlink w:anchor="__RefHeading___Toc7368463_1051229030">
            <w:r>
              <w:rPr>
                <w:webHidden/>
                <w:rStyle w:val="IndexLink"/>
                <w:rtl w:val="true"/>
              </w:rPr>
              <w:t xml:space="preserve">تتميم </w:t>
            </w:r>
            <w:r>
              <w:rPr>
                <w:rStyle w:val="IndexLink"/>
                <w:rtl w:val="true"/>
              </w:rPr>
              <w:t xml:space="preserve">: </w:t>
            </w:r>
            <w:r>
              <w:rPr>
                <w:rStyle w:val="IndexLink"/>
                <w:rtl w:val="true"/>
              </w:rPr>
              <w:t>أقسام النهي المتعلّق بالمعاملات</w:t>
            </w:r>
            <w:r>
              <w:rPr>
                <w:rStyle w:val="IndexLink"/>
                <w:rtl w:val="true"/>
              </w:rPr>
              <w:tab/>
            </w:r>
            <w:r>
              <w:rPr>
                <w:rStyle w:val="IndexLink"/>
              </w:rPr>
              <w:t>256</w:t>
            </w:r>
          </w:hyperlink>
        </w:p>
        <w:p>
          <w:pPr>
            <w:pStyle w:val="Contents4"/>
            <w:tabs>
              <w:tab w:val="clear" w:pos="8176"/>
              <w:tab w:val="right" w:pos="9026" w:leader="dot"/>
            </w:tabs>
            <w:rPr/>
          </w:pPr>
          <w:hyperlink w:anchor="__RefHeading___Toc7368465_1051229030">
            <w:r>
              <w:rPr>
                <w:webHidden/>
                <w:rStyle w:val="IndexLink"/>
                <w:rtl w:val="true"/>
              </w:rPr>
              <w:t xml:space="preserve">تذنيب </w:t>
            </w:r>
            <w:r>
              <w:rPr>
                <w:rStyle w:val="IndexLink"/>
                <w:rtl w:val="true"/>
              </w:rPr>
              <w:t xml:space="preserve">: </w:t>
            </w:r>
            <w:r>
              <w:rPr>
                <w:rStyle w:val="IndexLink"/>
                <w:rtl w:val="true"/>
              </w:rPr>
              <w:t>الاستدلال على الفساد بفهم العلماء</w:t>
            </w:r>
            <w:r>
              <w:rPr>
                <w:rStyle w:val="IndexLink"/>
                <w:rtl w:val="true"/>
              </w:rPr>
              <w:tab/>
            </w:r>
            <w:r>
              <w:rPr>
                <w:rStyle w:val="IndexLink"/>
              </w:rPr>
              <w:t>259</w:t>
            </w:r>
          </w:hyperlink>
        </w:p>
        <w:p>
          <w:pPr>
            <w:pStyle w:val="Contents4"/>
            <w:tabs>
              <w:tab w:val="clear" w:pos="8176"/>
              <w:tab w:val="right" w:pos="9026" w:leader="dot"/>
            </w:tabs>
            <w:rPr/>
          </w:pPr>
          <w:hyperlink w:anchor="__RefHeading___Toc7368467_1051229030">
            <w:r>
              <w:rPr>
                <w:webHidden/>
                <w:rStyle w:val="IndexLink"/>
                <w:rtl w:val="true"/>
              </w:rPr>
              <w:t xml:space="preserve">تتمّة </w:t>
            </w:r>
            <w:r>
              <w:rPr>
                <w:rStyle w:val="IndexLink"/>
                <w:rtl w:val="true"/>
              </w:rPr>
              <w:t xml:space="preserve">: </w:t>
            </w:r>
            <w:r>
              <w:rPr>
                <w:rStyle w:val="IndexLink"/>
                <w:rtl w:val="true"/>
              </w:rPr>
              <w:t>في الاستدلال بالروايات</w:t>
            </w:r>
            <w:r>
              <w:rPr>
                <w:rStyle w:val="IndexLink"/>
                <w:rtl w:val="true"/>
              </w:rPr>
              <w:tab/>
            </w:r>
            <w:r>
              <w:rPr>
                <w:rStyle w:val="IndexLink"/>
              </w:rPr>
              <w:t>260</w:t>
            </w:r>
          </w:hyperlink>
        </w:p>
        <w:p>
          <w:pPr>
            <w:pStyle w:val="Contents4"/>
            <w:tabs>
              <w:tab w:val="clear" w:pos="8176"/>
              <w:tab w:val="right" w:pos="9026" w:leader="dot"/>
            </w:tabs>
            <w:rPr/>
          </w:pPr>
          <w:hyperlink w:anchor="__RefHeading___Toc7368469_1051229030">
            <w:r>
              <w:rPr>
                <w:webHidden/>
                <w:rStyle w:val="IndexLink"/>
                <w:rtl w:val="true"/>
              </w:rPr>
              <w:t xml:space="preserve">ختام </w:t>
            </w:r>
            <w:r>
              <w:rPr>
                <w:rStyle w:val="IndexLink"/>
                <w:rtl w:val="true"/>
              </w:rPr>
              <w:t xml:space="preserve">: </w:t>
            </w:r>
            <w:r>
              <w:rPr>
                <w:rStyle w:val="IndexLink"/>
                <w:rtl w:val="true"/>
              </w:rPr>
              <w:t>في دعوى دلالة النهي على الصحّة</w:t>
            </w:r>
            <w:r>
              <w:rPr>
                <w:rStyle w:val="IndexLink"/>
                <w:rtl w:val="true"/>
              </w:rPr>
              <w:tab/>
            </w:r>
            <w:r>
              <w:rPr>
                <w:rStyle w:val="IndexLink"/>
              </w:rPr>
              <w:t>261</w:t>
            </w:r>
          </w:hyperlink>
        </w:p>
        <w:p>
          <w:pPr>
            <w:pStyle w:val="Contents2"/>
            <w:tabs>
              <w:tab w:val="clear" w:pos="8743"/>
              <w:tab w:val="right" w:pos="9026" w:leader="dot"/>
            </w:tabs>
            <w:rPr/>
          </w:pPr>
          <w:hyperlink w:anchor="__RefHeading___Toc7368471_1051229030">
            <w:r>
              <w:rPr>
                <w:webHidden/>
                <w:rStyle w:val="IndexLink"/>
                <w:rtl w:val="true"/>
              </w:rPr>
              <w:t>المقصد الثالث</w:t>
            </w:r>
            <w:r>
              <w:rPr>
                <w:rStyle w:val="IndexLink"/>
                <w:rtl w:val="true"/>
              </w:rPr>
              <w:t xml:space="preserve">: </w:t>
            </w:r>
            <w:r>
              <w:rPr>
                <w:rStyle w:val="IndexLink"/>
                <w:rtl w:val="true"/>
              </w:rPr>
              <w:t>في المفاهيم</w:t>
            </w:r>
            <w:r>
              <w:rPr>
                <w:rStyle w:val="IndexLink"/>
                <w:rtl w:val="true"/>
              </w:rPr>
              <w:tab/>
            </w:r>
            <w:r>
              <w:rPr>
                <w:rStyle w:val="IndexLink"/>
              </w:rPr>
              <w:t>264</w:t>
            </w:r>
          </w:hyperlink>
        </w:p>
        <w:p>
          <w:pPr>
            <w:pStyle w:val="Contents3"/>
            <w:tabs>
              <w:tab w:val="clear" w:pos="8459"/>
              <w:tab w:val="right" w:pos="9026" w:leader="dot"/>
            </w:tabs>
            <w:rPr/>
          </w:pPr>
          <w:hyperlink w:anchor="__RefHeading___Toc7368473_1051229030">
            <w:r>
              <w:rPr>
                <w:webHidden/>
                <w:rStyle w:val="IndexLink"/>
                <w:rtl w:val="true"/>
              </w:rPr>
              <w:t>في المفاهيم</w:t>
            </w:r>
            <w:r>
              <w:rPr>
                <w:rStyle w:val="IndexLink"/>
                <w:rtl w:val="true"/>
              </w:rPr>
              <w:tab/>
            </w:r>
            <w:r>
              <w:rPr>
                <w:rStyle w:val="IndexLink"/>
              </w:rPr>
              <w:t>264</w:t>
            </w:r>
          </w:hyperlink>
        </w:p>
        <w:p>
          <w:pPr>
            <w:pStyle w:val="Contents3"/>
            <w:tabs>
              <w:tab w:val="clear" w:pos="8459"/>
              <w:tab w:val="right" w:pos="9026" w:leader="dot"/>
            </w:tabs>
            <w:rPr/>
          </w:pPr>
          <w:hyperlink w:anchor="__RefHeading___Toc7368475_1051229030">
            <w:r>
              <w:rPr>
                <w:webHidden/>
                <w:rStyle w:val="IndexLink"/>
                <w:rtl w:val="true"/>
              </w:rPr>
              <w:t>مقدّمة</w:t>
            </w:r>
            <w:r>
              <w:rPr>
                <w:rStyle w:val="IndexLink"/>
                <w:rtl w:val="true"/>
              </w:rPr>
              <w:tab/>
            </w:r>
            <w:r>
              <w:rPr>
                <w:rStyle w:val="IndexLink"/>
              </w:rPr>
              <w:t>266</w:t>
            </w:r>
          </w:hyperlink>
        </w:p>
        <w:p>
          <w:pPr>
            <w:pStyle w:val="Contents4"/>
            <w:tabs>
              <w:tab w:val="clear" w:pos="8176"/>
              <w:tab w:val="right" w:pos="9026" w:leader="dot"/>
            </w:tabs>
            <w:rPr/>
          </w:pPr>
          <w:hyperlink w:anchor="__RefHeading___Toc7368477_1051229030">
            <w:r>
              <w:rPr>
                <w:webHidden/>
                <w:rStyle w:val="IndexLink"/>
                <w:rtl w:val="true"/>
              </w:rPr>
              <w:t>مقدّمة</w:t>
            </w:r>
            <w:r>
              <w:rPr>
                <w:rStyle w:val="IndexLink"/>
                <w:rtl w:val="true"/>
              </w:rPr>
              <w:tab/>
            </w:r>
            <w:r>
              <w:rPr>
                <w:rStyle w:val="IndexLink"/>
              </w:rPr>
              <w:t>266</w:t>
            </w:r>
          </w:hyperlink>
        </w:p>
        <w:p>
          <w:pPr>
            <w:pStyle w:val="Contents4"/>
            <w:tabs>
              <w:tab w:val="clear" w:pos="8176"/>
              <w:tab w:val="right" w:pos="9026" w:leader="dot"/>
            </w:tabs>
            <w:rPr/>
          </w:pPr>
          <w:hyperlink w:anchor="__RefHeading___Toc7368479_1051229030">
            <w:r>
              <w:rPr>
                <w:webHidden/>
                <w:rStyle w:val="IndexLink"/>
                <w:rtl w:val="true"/>
              </w:rPr>
              <w:t>في معنى المفهوم عند القدماء والمتأخّرين</w:t>
            </w:r>
            <w:r>
              <w:rPr>
                <w:rStyle w:val="IndexLink"/>
                <w:rtl w:val="true"/>
              </w:rPr>
              <w:tab/>
            </w:r>
            <w:r>
              <w:rPr>
                <w:rStyle w:val="IndexLink"/>
              </w:rPr>
              <w:t>266</w:t>
            </w:r>
          </w:hyperlink>
        </w:p>
        <w:p>
          <w:pPr>
            <w:pStyle w:val="Contents4"/>
            <w:tabs>
              <w:tab w:val="clear" w:pos="8176"/>
              <w:tab w:val="right" w:pos="9026" w:leader="dot"/>
            </w:tabs>
            <w:rPr/>
          </w:pPr>
          <w:hyperlink w:anchor="__RefHeading___Toc7368481_1051229030">
            <w:r>
              <w:rPr>
                <w:webHidden/>
                <w:rStyle w:val="IndexLink"/>
                <w:rtl w:val="true"/>
              </w:rPr>
              <w:t xml:space="preserve">رجع </w:t>
            </w:r>
            <w:r>
              <w:rPr>
                <w:rStyle w:val="IndexLink"/>
                <w:rtl w:val="true"/>
              </w:rPr>
              <w:t xml:space="preserve">: </w:t>
            </w:r>
            <w:r>
              <w:rPr>
                <w:rStyle w:val="IndexLink"/>
                <w:rtl w:val="true"/>
              </w:rPr>
              <w:t>في كيفية دلالة الكلام على المفهوم</w:t>
            </w:r>
            <w:r>
              <w:rPr>
                <w:rStyle w:val="IndexLink"/>
                <w:rtl w:val="true"/>
              </w:rPr>
              <w:tab/>
            </w:r>
            <w:r>
              <w:rPr>
                <w:rStyle w:val="IndexLink"/>
              </w:rPr>
              <w:t>273</w:t>
            </w:r>
          </w:hyperlink>
        </w:p>
        <w:p>
          <w:pPr>
            <w:pStyle w:val="Contents4"/>
            <w:tabs>
              <w:tab w:val="clear" w:pos="8176"/>
              <w:tab w:val="right" w:pos="9026" w:leader="dot"/>
            </w:tabs>
            <w:rPr/>
          </w:pPr>
          <w:hyperlink w:anchor="__RefHeading___Toc7368483_1051229030">
            <w:r>
              <w:rPr>
                <w:webHidden/>
                <w:rStyle w:val="IndexLink"/>
                <w:rtl w:val="true"/>
              </w:rPr>
              <w:t xml:space="preserve">إبانة </w:t>
            </w:r>
            <w:r>
              <w:rPr>
                <w:rStyle w:val="IndexLink"/>
                <w:rtl w:val="true"/>
              </w:rPr>
              <w:t xml:space="preserve">: </w:t>
            </w:r>
            <w:r>
              <w:rPr>
                <w:rStyle w:val="IndexLink"/>
                <w:rtl w:val="true"/>
              </w:rPr>
              <w:t>في أنّ مجرّد التقييد لا يدلّ على المفهوم</w:t>
            </w:r>
            <w:r>
              <w:rPr>
                <w:rStyle w:val="IndexLink"/>
                <w:rtl w:val="true"/>
              </w:rPr>
              <w:tab/>
            </w:r>
            <w:r>
              <w:rPr>
                <w:rStyle w:val="IndexLink"/>
              </w:rPr>
              <w:t>275</w:t>
            </w:r>
          </w:hyperlink>
        </w:p>
        <w:p>
          <w:pPr>
            <w:pStyle w:val="Contents4"/>
            <w:tabs>
              <w:tab w:val="clear" w:pos="8176"/>
              <w:tab w:val="right" w:pos="9026" w:leader="dot"/>
            </w:tabs>
            <w:rPr/>
          </w:pPr>
          <w:hyperlink w:anchor="__RefHeading___Toc7368485_1051229030">
            <w:r>
              <w:rPr>
                <w:webHidden/>
                <w:rStyle w:val="IndexLink"/>
                <w:rtl w:val="true"/>
              </w:rPr>
              <w:t>حول تعريفي المحقّقين الخراساني والنائيني للمفهوم</w:t>
            </w:r>
            <w:r>
              <w:rPr>
                <w:rStyle w:val="IndexLink"/>
                <w:rtl w:val="true"/>
              </w:rPr>
              <w:tab/>
            </w:r>
            <w:r>
              <w:rPr>
                <w:rStyle w:val="IndexLink"/>
              </w:rPr>
              <w:t>277</w:t>
            </w:r>
          </w:hyperlink>
        </w:p>
        <w:p>
          <w:pPr>
            <w:pStyle w:val="Contents3"/>
            <w:tabs>
              <w:tab w:val="clear" w:pos="8459"/>
              <w:tab w:val="right" w:pos="9026" w:leader="dot"/>
            </w:tabs>
            <w:rPr/>
          </w:pPr>
          <w:hyperlink w:anchor="__RefHeading___Toc7368487_1051229030">
            <w:r>
              <w:rPr>
                <w:webHidden/>
                <w:rStyle w:val="IndexLink"/>
                <w:rtl w:val="true"/>
              </w:rPr>
              <w:t>فصل</w:t>
            </w:r>
            <w:r>
              <w:rPr>
                <w:rStyle w:val="IndexLink"/>
                <w:rtl w:val="true"/>
              </w:rPr>
              <w:tab/>
            </w:r>
            <w:r>
              <w:rPr>
                <w:rStyle w:val="IndexLink"/>
              </w:rPr>
              <w:t>280</w:t>
            </w:r>
          </w:hyperlink>
        </w:p>
        <w:p>
          <w:pPr>
            <w:pStyle w:val="Contents4"/>
            <w:tabs>
              <w:tab w:val="clear" w:pos="8176"/>
              <w:tab w:val="right" w:pos="9026" w:leader="dot"/>
            </w:tabs>
            <w:rPr/>
          </w:pPr>
          <w:hyperlink w:anchor="__RefHeading___Toc7368489_1051229030">
            <w:r>
              <w:rPr>
                <w:webHidden/>
                <w:rStyle w:val="IndexLink"/>
                <w:rtl w:val="true"/>
              </w:rPr>
              <w:t>في دلالة الجملة الشرطية على المفهوم</w:t>
            </w:r>
            <w:r>
              <w:rPr>
                <w:rStyle w:val="IndexLink"/>
                <w:rtl w:val="true"/>
              </w:rPr>
              <w:tab/>
            </w:r>
            <w:r>
              <w:rPr>
                <w:rStyle w:val="IndexLink"/>
              </w:rPr>
              <w:t>280</w:t>
            </w:r>
          </w:hyperlink>
        </w:p>
        <w:p>
          <w:pPr>
            <w:pStyle w:val="Contents4"/>
            <w:tabs>
              <w:tab w:val="clear" w:pos="8176"/>
              <w:tab w:val="right" w:pos="9026" w:leader="dot"/>
            </w:tabs>
            <w:rPr/>
          </w:pPr>
          <w:hyperlink w:anchor="__RefHeading___Toc7368491_1051229030">
            <w:r>
              <w:rPr>
                <w:webHidden/>
                <w:rStyle w:val="IndexLink"/>
                <w:rtl w:val="true"/>
              </w:rPr>
              <w:t>الأمر الأوّل</w:t>
            </w:r>
            <w:r>
              <w:rPr>
                <w:rStyle w:val="IndexLink"/>
                <w:rtl w:val="true"/>
              </w:rPr>
              <w:tab/>
            </w:r>
            <w:r>
              <w:rPr>
                <w:rStyle w:val="IndexLink"/>
              </w:rPr>
              <w:t>282</w:t>
            </w:r>
          </w:hyperlink>
        </w:p>
        <w:p>
          <w:pPr>
            <w:pStyle w:val="Contents4"/>
            <w:tabs>
              <w:tab w:val="clear" w:pos="8176"/>
              <w:tab w:val="right" w:pos="9026" w:leader="dot"/>
            </w:tabs>
            <w:rPr/>
          </w:pPr>
          <w:hyperlink w:anchor="__RefHeading___Toc7368493_1051229030">
            <w:r>
              <w:rPr>
                <w:webHidden/>
                <w:rStyle w:val="IndexLink"/>
                <w:rtl w:val="true"/>
              </w:rPr>
              <w:t>الأمر الثاني</w:t>
            </w:r>
            <w:r>
              <w:rPr>
                <w:rStyle w:val="IndexLink"/>
                <w:rtl w:val="true"/>
              </w:rPr>
              <w:tab/>
            </w:r>
            <w:r>
              <w:rPr>
                <w:rStyle w:val="IndexLink"/>
              </w:rPr>
              <w:t>286</w:t>
            </w:r>
          </w:hyperlink>
        </w:p>
        <w:p>
          <w:pPr>
            <w:pStyle w:val="Contents4"/>
            <w:tabs>
              <w:tab w:val="clear" w:pos="8176"/>
              <w:tab w:val="right" w:pos="9026" w:leader="dot"/>
            </w:tabs>
            <w:rPr/>
          </w:pPr>
          <w:hyperlink w:anchor="__RefHeading___Toc7368495_1051229030">
            <w:r>
              <w:rPr>
                <w:webHidden/>
                <w:rStyle w:val="IndexLink"/>
                <w:rtl w:val="true"/>
              </w:rPr>
              <w:t>الأمر الثالث</w:t>
            </w:r>
            <w:r>
              <w:rPr>
                <w:rStyle w:val="IndexLink"/>
                <w:rtl w:val="true"/>
              </w:rPr>
              <w:tab/>
            </w:r>
            <w:r>
              <w:rPr>
                <w:rStyle w:val="IndexLink"/>
              </w:rPr>
              <w:t>287</w:t>
            </w:r>
          </w:hyperlink>
        </w:p>
        <w:p>
          <w:pPr>
            <w:pStyle w:val="Contents4"/>
            <w:tabs>
              <w:tab w:val="clear" w:pos="8176"/>
              <w:tab w:val="right" w:pos="9026" w:leader="dot"/>
            </w:tabs>
            <w:rPr/>
          </w:pPr>
          <w:hyperlink w:anchor="__RefHeading___Toc7368497_1051229030">
            <w:r>
              <w:rPr>
                <w:webHidden/>
                <w:rStyle w:val="IndexLink"/>
                <w:rtl w:val="true"/>
              </w:rPr>
              <w:t>الأمر الرابع</w:t>
            </w:r>
            <w:r>
              <w:rPr>
                <w:rStyle w:val="IndexLink"/>
                <w:rtl w:val="true"/>
              </w:rPr>
              <w:tab/>
            </w:r>
            <w:r>
              <w:rPr>
                <w:rStyle w:val="IndexLink"/>
              </w:rPr>
              <w:t>292</w:t>
            </w:r>
          </w:hyperlink>
        </w:p>
        <w:p>
          <w:pPr>
            <w:pStyle w:val="Contents3"/>
            <w:tabs>
              <w:tab w:val="clear" w:pos="8459"/>
              <w:tab w:val="right" w:pos="9026" w:leader="dot"/>
            </w:tabs>
            <w:rPr/>
          </w:pPr>
          <w:hyperlink w:anchor="__RefHeading___Toc7368499_1051229030">
            <w:r>
              <w:rPr>
                <w:webHidden/>
                <w:rStyle w:val="IndexLink"/>
                <w:rtl w:val="true"/>
              </w:rPr>
              <w:t>تنبيه</w:t>
            </w:r>
            <w:r>
              <w:rPr>
                <w:rStyle w:val="IndexLink"/>
                <w:rtl w:val="true"/>
              </w:rPr>
              <w:tab/>
            </w:r>
            <w:r>
              <w:rPr>
                <w:rStyle w:val="IndexLink"/>
              </w:rPr>
              <w:t>293</w:t>
            </w:r>
          </w:hyperlink>
        </w:p>
        <w:p>
          <w:pPr>
            <w:pStyle w:val="Contents2"/>
            <w:tabs>
              <w:tab w:val="clear" w:pos="8743"/>
              <w:tab w:val="right" w:pos="9026" w:leader="dot"/>
            </w:tabs>
            <w:rPr/>
          </w:pPr>
          <w:hyperlink w:anchor="__RefHeading___Toc7368501_1051229030">
            <w:r>
              <w:rPr>
                <w:webHidden/>
                <w:rStyle w:val="IndexLink"/>
                <w:rtl w:val="true"/>
              </w:rPr>
              <w:t>المقصد الرابع</w:t>
            </w:r>
            <w:r>
              <w:rPr>
                <w:rStyle w:val="IndexLink"/>
                <w:rtl w:val="true"/>
              </w:rPr>
              <w:t xml:space="preserve">: </w:t>
            </w:r>
            <w:r>
              <w:rPr>
                <w:rStyle w:val="IndexLink"/>
                <w:rtl w:val="true"/>
              </w:rPr>
              <w:t>في العامّ والخاصّ</w:t>
            </w:r>
            <w:r>
              <w:rPr>
                <w:rStyle w:val="IndexLink"/>
                <w:rtl w:val="true"/>
              </w:rPr>
              <w:tab/>
            </w:r>
            <w:r>
              <w:rPr>
                <w:rStyle w:val="IndexLink"/>
              </w:rPr>
              <w:t>296</w:t>
            </w:r>
          </w:hyperlink>
        </w:p>
        <w:p>
          <w:pPr>
            <w:pStyle w:val="Contents3"/>
            <w:tabs>
              <w:tab w:val="clear" w:pos="8459"/>
              <w:tab w:val="right" w:pos="9026" w:leader="dot"/>
            </w:tabs>
            <w:rPr/>
          </w:pPr>
          <w:hyperlink w:anchor="__RefHeading___Toc7368503_1051229030">
            <w:r>
              <w:rPr>
                <w:webHidden/>
                <w:rStyle w:val="IndexLink"/>
                <w:rtl w:val="true"/>
              </w:rPr>
              <w:t>في العامّ والخاصّ</w:t>
            </w:r>
            <w:r>
              <w:rPr>
                <w:rStyle w:val="IndexLink"/>
                <w:rtl w:val="true"/>
              </w:rPr>
              <w:tab/>
            </w:r>
            <w:r>
              <w:rPr>
                <w:rStyle w:val="IndexLink"/>
              </w:rPr>
              <w:t>296</w:t>
            </w:r>
          </w:hyperlink>
        </w:p>
        <w:p>
          <w:pPr>
            <w:pStyle w:val="Contents3"/>
            <w:tabs>
              <w:tab w:val="clear" w:pos="8459"/>
              <w:tab w:val="right" w:pos="9026" w:leader="dot"/>
            </w:tabs>
            <w:rPr/>
          </w:pPr>
          <w:hyperlink w:anchor="__RefHeading___Toc7368505_1051229030">
            <w:r>
              <w:rPr>
                <w:webHidden/>
                <w:rStyle w:val="IndexLink"/>
                <w:rtl w:val="true"/>
              </w:rPr>
              <w:t>فصل في تعريف العامّ والخاصّ</w:t>
            </w:r>
            <w:r>
              <w:rPr>
                <w:rStyle w:val="IndexLink"/>
                <w:rtl w:val="true"/>
              </w:rPr>
              <w:tab/>
            </w:r>
            <w:r>
              <w:rPr>
                <w:rStyle w:val="IndexLink"/>
              </w:rPr>
              <w:t>298</w:t>
            </w:r>
          </w:hyperlink>
        </w:p>
        <w:p>
          <w:pPr>
            <w:pStyle w:val="Contents3"/>
            <w:tabs>
              <w:tab w:val="clear" w:pos="8459"/>
              <w:tab w:val="right" w:pos="9026" w:leader="dot"/>
            </w:tabs>
            <w:rPr/>
          </w:pPr>
          <w:hyperlink w:anchor="__RefHeading___Toc7368507_1051229030">
            <w:r>
              <w:rPr>
                <w:webHidden/>
                <w:rStyle w:val="IndexLink"/>
                <w:rtl w:val="true"/>
              </w:rPr>
              <w:t>فصل في النكرة واسم الجنس في سياق النفي</w:t>
            </w:r>
            <w:r>
              <w:rPr>
                <w:rStyle w:val="IndexLink"/>
                <w:rtl w:val="true"/>
              </w:rPr>
              <w:tab/>
            </w:r>
            <w:r>
              <w:rPr>
                <w:rStyle w:val="IndexLink"/>
              </w:rPr>
              <w:t>303</w:t>
            </w:r>
          </w:hyperlink>
        </w:p>
        <w:p>
          <w:pPr>
            <w:pStyle w:val="Contents3"/>
            <w:tabs>
              <w:tab w:val="clear" w:pos="8459"/>
              <w:tab w:val="right" w:pos="9026" w:leader="dot"/>
            </w:tabs>
            <w:rPr/>
          </w:pPr>
          <w:hyperlink w:anchor="__RefHeading___Toc7368509_1051229030">
            <w:r>
              <w:rPr>
                <w:webHidden/>
                <w:rStyle w:val="IndexLink"/>
                <w:rtl w:val="true"/>
              </w:rPr>
              <w:t>فصل في حجّية العامّ المخصّص</w:t>
            </w:r>
            <w:r>
              <w:rPr>
                <w:rStyle w:val="IndexLink"/>
                <w:rtl w:val="true"/>
              </w:rPr>
              <w:tab/>
            </w:r>
            <w:r>
              <w:rPr>
                <w:rStyle w:val="IndexLink"/>
              </w:rPr>
              <w:t>305</w:t>
            </w:r>
          </w:hyperlink>
        </w:p>
        <w:p>
          <w:pPr>
            <w:pStyle w:val="Contents3"/>
            <w:tabs>
              <w:tab w:val="clear" w:pos="8459"/>
              <w:tab w:val="right" w:pos="9026" w:leader="dot"/>
            </w:tabs>
            <w:rPr/>
          </w:pPr>
          <w:hyperlink w:anchor="__RefHeading___Toc7368511_1051229030">
            <w:r>
              <w:rPr>
                <w:webHidden/>
                <w:rStyle w:val="IndexLink"/>
                <w:rtl w:val="true"/>
              </w:rPr>
              <w:t>فصل في سراية إجمال الخاصّ إلى العامّ</w:t>
            </w:r>
            <w:r>
              <w:rPr>
                <w:rStyle w:val="IndexLink"/>
                <w:rtl w:val="true"/>
              </w:rPr>
              <w:tab/>
            </w:r>
            <w:r>
              <w:rPr>
                <w:rStyle w:val="IndexLink"/>
              </w:rPr>
              <w:t>312</w:t>
            </w:r>
          </w:hyperlink>
        </w:p>
        <w:p>
          <w:pPr>
            <w:pStyle w:val="Contents4"/>
            <w:tabs>
              <w:tab w:val="clear" w:pos="8176"/>
              <w:tab w:val="right" w:pos="9026" w:leader="dot"/>
            </w:tabs>
            <w:rPr/>
          </w:pPr>
          <w:hyperlink w:anchor="__RefHeading___Toc7368513_105122903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7368515_1051229030">
            <w:r>
              <w:rPr>
                <w:webHidden/>
                <w:rStyle w:val="IndexLink"/>
                <w:rtl w:val="true"/>
              </w:rPr>
              <w:t>الأمر الأوّل</w:t>
            </w:r>
            <w:r>
              <w:rPr>
                <w:rStyle w:val="IndexLink"/>
                <w:rtl w:val="true"/>
              </w:rPr>
              <w:t xml:space="preserve">: </w:t>
            </w:r>
            <w:r>
              <w:rPr>
                <w:rStyle w:val="IndexLink"/>
                <w:rtl w:val="true"/>
              </w:rPr>
              <w:t>في التمسّك بالعامّ إذا كان الخاصّ معلّلاً</w:t>
            </w:r>
            <w:r>
              <w:rPr>
                <w:rStyle w:val="IndexLink"/>
                <w:rtl w:val="true"/>
              </w:rPr>
              <w:tab/>
            </w:r>
            <w:r>
              <w:rPr>
                <w:rStyle w:val="IndexLink"/>
              </w:rPr>
              <w:t>320</w:t>
            </w:r>
          </w:hyperlink>
        </w:p>
        <w:p>
          <w:pPr>
            <w:pStyle w:val="Contents4"/>
            <w:tabs>
              <w:tab w:val="clear" w:pos="8176"/>
              <w:tab w:val="right" w:pos="9026" w:leader="dot"/>
            </w:tabs>
            <w:rPr/>
          </w:pPr>
          <w:hyperlink w:anchor="__RefHeading___Toc7368517_1051229030">
            <w:r>
              <w:rPr>
                <w:webHidden/>
                <w:rStyle w:val="IndexLink"/>
                <w:rtl w:val="true"/>
              </w:rPr>
              <w:t>الأمر الثاني</w:t>
            </w:r>
            <w:r>
              <w:rPr>
                <w:rStyle w:val="IndexLink"/>
                <w:rtl w:val="true"/>
              </w:rPr>
              <w:t xml:space="preserve">: </w:t>
            </w:r>
            <w:r>
              <w:rPr>
                <w:rStyle w:val="IndexLink"/>
                <w:rtl w:val="true"/>
              </w:rPr>
              <w:t>في العامّين من وجه المتنافيي الحكم</w:t>
            </w:r>
            <w:r>
              <w:rPr>
                <w:rStyle w:val="IndexLink"/>
                <w:rtl w:val="true"/>
              </w:rPr>
              <w:tab/>
            </w:r>
            <w:r>
              <w:rPr>
                <w:rStyle w:val="IndexLink"/>
              </w:rPr>
              <w:t>320</w:t>
            </w:r>
          </w:hyperlink>
        </w:p>
        <w:p>
          <w:pPr>
            <w:pStyle w:val="Contents4"/>
            <w:tabs>
              <w:tab w:val="clear" w:pos="8176"/>
              <w:tab w:val="right" w:pos="9026" w:leader="dot"/>
            </w:tabs>
            <w:rPr/>
          </w:pPr>
          <w:hyperlink w:anchor="__RefHeading___Toc7368519_1051229030">
            <w:r>
              <w:rPr>
                <w:webHidden/>
                <w:rStyle w:val="IndexLink"/>
                <w:rtl w:val="true"/>
              </w:rPr>
              <w:t>الأمر الثالث</w:t>
            </w:r>
            <w:r>
              <w:rPr>
                <w:rStyle w:val="IndexLink"/>
                <w:rtl w:val="true"/>
              </w:rPr>
              <w:t xml:space="preserve">: </w:t>
            </w:r>
            <w:r>
              <w:rPr>
                <w:rStyle w:val="IndexLink"/>
                <w:rtl w:val="true"/>
              </w:rPr>
              <w:t>في إحراز المصداق بالأصل في الشبهة المصداقية</w:t>
            </w:r>
            <w:r>
              <w:rPr>
                <w:rStyle w:val="IndexLink"/>
                <w:rtl w:val="true"/>
              </w:rPr>
              <w:tab/>
            </w:r>
            <w:r>
              <w:rPr>
                <w:rStyle w:val="IndexLink"/>
              </w:rPr>
              <w:t>321</w:t>
            </w:r>
          </w:hyperlink>
        </w:p>
        <w:p>
          <w:pPr>
            <w:pStyle w:val="Contents5"/>
            <w:tabs>
              <w:tab w:val="clear" w:pos="7892"/>
              <w:tab w:val="right" w:pos="9026" w:leader="dot"/>
            </w:tabs>
            <w:rPr/>
          </w:pPr>
          <w:hyperlink w:anchor="__RefHeading___Toc7368521_1051229030">
            <w:r>
              <w:rPr>
                <w:webHidden/>
                <w:rStyle w:val="IndexLink"/>
                <w:rtl w:val="true"/>
              </w:rPr>
              <w:t>في إحراز المصداق بالأصل في الشبهة المصداقية</w:t>
            </w:r>
            <w:r>
              <w:rPr>
                <w:rStyle w:val="IndexLink"/>
                <w:rtl w:val="true"/>
              </w:rPr>
              <w:tab/>
            </w:r>
            <w:r>
              <w:rPr>
                <w:rStyle w:val="IndexLink"/>
              </w:rPr>
              <w:t>321</w:t>
            </w:r>
          </w:hyperlink>
        </w:p>
        <w:p>
          <w:pPr>
            <w:pStyle w:val="Contents5"/>
            <w:tabs>
              <w:tab w:val="clear" w:pos="7892"/>
              <w:tab w:val="right" w:pos="9026" w:leader="dot"/>
            </w:tabs>
            <w:rPr/>
          </w:pPr>
          <w:hyperlink w:anchor="__RefHeading___Toc7368523_1051229030">
            <w:r>
              <w:rPr>
                <w:webHidden/>
                <w:rStyle w:val="IndexLink"/>
                <w:rtl w:val="true"/>
              </w:rPr>
              <w:t xml:space="preserve">وهم وإزاحة </w:t>
            </w:r>
            <w:r>
              <w:rPr>
                <w:rStyle w:val="IndexLink"/>
                <w:rtl w:val="true"/>
              </w:rPr>
              <w:t>:</w:t>
              <w:tab/>
            </w:r>
            <w:r>
              <w:rPr>
                <w:rStyle w:val="IndexLink"/>
              </w:rPr>
              <w:t>327</w:t>
            </w:r>
          </w:hyperlink>
        </w:p>
        <w:p>
          <w:pPr>
            <w:pStyle w:val="Contents4"/>
            <w:tabs>
              <w:tab w:val="clear" w:pos="8176"/>
              <w:tab w:val="right" w:pos="9026" w:leader="dot"/>
            </w:tabs>
            <w:rPr/>
          </w:pPr>
          <w:hyperlink w:anchor="__RefHeading___Toc7368525_1051229030">
            <w:r>
              <w:rPr>
                <w:webHidden/>
                <w:rStyle w:val="IndexLink"/>
                <w:rtl w:val="true"/>
              </w:rPr>
              <w:t>الأمر الرابع</w:t>
            </w:r>
            <w:r>
              <w:rPr>
                <w:rStyle w:val="IndexLink"/>
                <w:rtl w:val="true"/>
              </w:rPr>
              <w:t xml:space="preserve">: </w:t>
            </w:r>
            <w:r>
              <w:rPr>
                <w:rStyle w:val="IndexLink"/>
                <w:rtl w:val="true"/>
              </w:rPr>
              <w:t>في التمسّك بأصالة العموم عند الشكّ بين التخصيص والتخصّص</w:t>
            </w:r>
            <w:r>
              <w:rPr>
                <w:rStyle w:val="IndexLink"/>
                <w:rtl w:val="true"/>
              </w:rPr>
              <w:tab/>
            </w:r>
            <w:r>
              <w:rPr>
                <w:rStyle w:val="IndexLink"/>
              </w:rPr>
              <w:t>330</w:t>
            </w:r>
          </w:hyperlink>
        </w:p>
        <w:p>
          <w:pPr>
            <w:pStyle w:val="Contents4"/>
            <w:tabs>
              <w:tab w:val="clear" w:pos="8176"/>
              <w:tab w:val="right" w:pos="9026" w:leader="dot"/>
            </w:tabs>
            <w:rPr/>
          </w:pPr>
          <w:hyperlink w:anchor="__RefHeading___Toc7368527_1051229030">
            <w:r>
              <w:rPr>
                <w:webHidden/>
                <w:rStyle w:val="IndexLink"/>
                <w:rtl w:val="true"/>
              </w:rPr>
              <w:t>الأمر الخامس</w:t>
            </w:r>
            <w:r>
              <w:rPr>
                <w:rStyle w:val="IndexLink"/>
                <w:rtl w:val="true"/>
              </w:rPr>
              <w:t xml:space="preserve">: </w:t>
            </w:r>
            <w:r>
              <w:rPr>
                <w:rStyle w:val="IndexLink"/>
                <w:rtl w:val="true"/>
              </w:rPr>
              <w:t>لو دار الأمر بين التخصيص والتخصّص لإجمال الخاصّ</w:t>
            </w:r>
            <w:r>
              <w:rPr>
                <w:rStyle w:val="IndexLink"/>
                <w:rtl w:val="true"/>
              </w:rPr>
              <w:tab/>
            </w:r>
            <w:r>
              <w:rPr>
                <w:rStyle w:val="IndexLink"/>
              </w:rPr>
              <w:t>331</w:t>
            </w:r>
          </w:hyperlink>
        </w:p>
        <w:p>
          <w:pPr>
            <w:pStyle w:val="Contents4"/>
            <w:tabs>
              <w:tab w:val="clear" w:pos="8176"/>
              <w:tab w:val="right" w:pos="9026" w:leader="dot"/>
            </w:tabs>
            <w:rPr/>
          </w:pPr>
          <w:hyperlink w:anchor="__RefHeading___Toc7368529_1051229030">
            <w:r>
              <w:rPr>
                <w:webHidden/>
                <w:rStyle w:val="IndexLink"/>
                <w:rtl w:val="true"/>
              </w:rPr>
              <w:t>الأمر السادس</w:t>
            </w:r>
            <w:r>
              <w:rPr>
                <w:rStyle w:val="IndexLink"/>
                <w:rtl w:val="true"/>
              </w:rPr>
              <w:t xml:space="preserve">: </w:t>
            </w:r>
            <w:r>
              <w:rPr>
                <w:rStyle w:val="IndexLink"/>
                <w:rtl w:val="true"/>
              </w:rPr>
              <w:t>في وجه فتوى المشهور بالضمان في اليد المشكوكة</w:t>
            </w:r>
            <w:r>
              <w:rPr>
                <w:rStyle w:val="IndexLink"/>
                <w:rtl w:val="true"/>
              </w:rPr>
              <w:tab/>
            </w:r>
            <w:r>
              <w:rPr>
                <w:rStyle w:val="IndexLink"/>
              </w:rPr>
              <w:t>333</w:t>
            </w:r>
          </w:hyperlink>
        </w:p>
        <w:p>
          <w:pPr>
            <w:pStyle w:val="Contents3"/>
            <w:tabs>
              <w:tab w:val="clear" w:pos="8459"/>
              <w:tab w:val="right" w:pos="9026" w:leader="dot"/>
            </w:tabs>
            <w:rPr/>
          </w:pPr>
          <w:hyperlink w:anchor="__RefHeading___Toc7368531_1051229030">
            <w:r>
              <w:rPr>
                <w:webHidden/>
                <w:rStyle w:val="IndexLink"/>
                <w:rtl w:val="true"/>
              </w:rPr>
              <w:t>فصل في العمل بالعامّ قبل الفحص عن المخصّص</w:t>
            </w:r>
            <w:r>
              <w:rPr>
                <w:rStyle w:val="IndexLink"/>
                <w:rtl w:val="true"/>
              </w:rPr>
              <w:tab/>
            </w:r>
            <w:r>
              <w:rPr>
                <w:rStyle w:val="IndexLink"/>
              </w:rPr>
              <w:t>334</w:t>
            </w:r>
          </w:hyperlink>
        </w:p>
        <w:p>
          <w:pPr>
            <w:pStyle w:val="Contents3"/>
            <w:tabs>
              <w:tab w:val="clear" w:pos="8459"/>
              <w:tab w:val="right" w:pos="9026" w:leader="dot"/>
            </w:tabs>
            <w:rPr/>
          </w:pPr>
          <w:hyperlink w:anchor="__RefHeading___Toc7368533_1051229030">
            <w:r>
              <w:rPr>
                <w:webHidden/>
                <w:rStyle w:val="IndexLink"/>
                <w:rtl w:val="true"/>
              </w:rPr>
              <w:t>فصل في الخطابات الشفاهية</w:t>
            </w:r>
            <w:r>
              <w:rPr>
                <w:rStyle w:val="IndexLink"/>
                <w:rtl w:val="true"/>
              </w:rPr>
              <w:tab/>
            </w:r>
            <w:r>
              <w:rPr>
                <w:rStyle w:val="IndexLink"/>
              </w:rPr>
              <w:t>341</w:t>
            </w:r>
          </w:hyperlink>
        </w:p>
        <w:p>
          <w:pPr>
            <w:pStyle w:val="Contents3"/>
            <w:tabs>
              <w:tab w:val="clear" w:pos="8459"/>
              <w:tab w:val="right" w:pos="9026" w:leader="dot"/>
            </w:tabs>
            <w:rPr/>
          </w:pPr>
          <w:hyperlink w:anchor="__RefHeading___Toc7368535_1051229030">
            <w:r>
              <w:rPr>
                <w:webHidden/>
                <w:rStyle w:val="IndexLink"/>
                <w:rtl w:val="true"/>
              </w:rPr>
              <w:t>فصل في تخصيص العامّ بالضمير الراجع إلى بعض أفراده</w:t>
            </w:r>
            <w:r>
              <w:rPr>
                <w:rStyle w:val="IndexLink"/>
                <w:rtl w:val="true"/>
              </w:rPr>
              <w:tab/>
            </w:r>
            <w:r>
              <w:rPr>
                <w:rStyle w:val="IndexLink"/>
              </w:rPr>
              <w:t>348</w:t>
            </w:r>
          </w:hyperlink>
        </w:p>
        <w:p>
          <w:pPr>
            <w:pStyle w:val="Contents3"/>
            <w:tabs>
              <w:tab w:val="clear" w:pos="8459"/>
              <w:tab w:val="right" w:pos="9026" w:leader="dot"/>
            </w:tabs>
            <w:rPr/>
          </w:pPr>
          <w:hyperlink w:anchor="__RefHeading___Toc7368537_1051229030">
            <w:r>
              <w:rPr>
                <w:webHidden/>
                <w:rStyle w:val="IndexLink"/>
                <w:rtl w:val="true"/>
              </w:rPr>
              <w:t>فصل في تخصيص العامّ بالمفهوم</w:t>
            </w:r>
            <w:r>
              <w:rPr>
                <w:rStyle w:val="IndexLink"/>
                <w:rtl w:val="true"/>
              </w:rPr>
              <w:tab/>
            </w:r>
            <w:r>
              <w:rPr>
                <w:rStyle w:val="IndexLink"/>
              </w:rPr>
              <w:t>351</w:t>
            </w:r>
          </w:hyperlink>
        </w:p>
        <w:p>
          <w:pPr>
            <w:pStyle w:val="Contents3"/>
            <w:tabs>
              <w:tab w:val="clear" w:pos="8459"/>
              <w:tab w:val="right" w:pos="9026" w:leader="dot"/>
            </w:tabs>
            <w:rPr/>
          </w:pPr>
          <w:hyperlink w:anchor="__RefHeading___Toc7368539_1051229030">
            <w:r>
              <w:rPr>
                <w:webHidden/>
                <w:rStyle w:val="IndexLink"/>
                <w:rtl w:val="true"/>
              </w:rPr>
              <w:t>فصل الاستثناء المتعقّب لجمل متعدّدة</w:t>
            </w:r>
            <w:r>
              <w:rPr>
                <w:rStyle w:val="IndexLink"/>
                <w:rtl w:val="true"/>
              </w:rPr>
              <w:tab/>
            </w:r>
            <w:r>
              <w:rPr>
                <w:rStyle w:val="IndexLink"/>
              </w:rPr>
              <w:t>354</w:t>
            </w:r>
          </w:hyperlink>
        </w:p>
        <w:p>
          <w:pPr>
            <w:pStyle w:val="Contents3"/>
            <w:tabs>
              <w:tab w:val="clear" w:pos="8459"/>
              <w:tab w:val="right" w:pos="9026" w:leader="dot"/>
            </w:tabs>
            <w:rPr/>
          </w:pPr>
          <w:hyperlink w:anchor="__RefHeading___Toc7368541_1051229030">
            <w:r>
              <w:rPr>
                <w:webHidden/>
                <w:rStyle w:val="IndexLink"/>
                <w:rtl w:val="true"/>
              </w:rPr>
              <w:t>فصل جواز تخصيص الكتاب بالخبر الواحد</w:t>
            </w:r>
            <w:r>
              <w:rPr>
                <w:rStyle w:val="IndexLink"/>
                <w:rtl w:val="true"/>
              </w:rPr>
              <w:tab/>
            </w:r>
            <w:r>
              <w:rPr>
                <w:rStyle w:val="IndexLink"/>
              </w:rPr>
              <w:t>356</w:t>
            </w:r>
          </w:hyperlink>
        </w:p>
        <w:p>
          <w:pPr>
            <w:pStyle w:val="Contents2"/>
            <w:tabs>
              <w:tab w:val="clear" w:pos="8743"/>
              <w:tab w:val="right" w:pos="9026" w:leader="dot"/>
            </w:tabs>
            <w:rPr/>
          </w:pPr>
          <w:hyperlink w:anchor="__RefHeading___Toc7368543_1051229030">
            <w:r>
              <w:rPr>
                <w:webHidden/>
                <w:rStyle w:val="IndexLink"/>
                <w:rtl w:val="true"/>
              </w:rPr>
              <w:t>المقصد الخامس</w:t>
            </w:r>
            <w:r>
              <w:rPr>
                <w:rStyle w:val="IndexLink"/>
                <w:rtl w:val="true"/>
              </w:rPr>
              <w:t xml:space="preserve">: </w:t>
            </w:r>
            <w:r>
              <w:rPr>
                <w:rStyle w:val="IndexLink"/>
                <w:rtl w:val="true"/>
              </w:rPr>
              <w:t>في المطلق والمقيّد</w:t>
            </w:r>
            <w:r>
              <w:rPr>
                <w:rStyle w:val="IndexLink"/>
                <w:rtl w:val="true"/>
              </w:rPr>
              <w:tab/>
            </w:r>
            <w:r>
              <w:rPr>
                <w:rStyle w:val="IndexLink"/>
              </w:rPr>
              <w:t>360</w:t>
            </w:r>
          </w:hyperlink>
        </w:p>
        <w:p>
          <w:pPr>
            <w:pStyle w:val="Contents3"/>
            <w:tabs>
              <w:tab w:val="clear" w:pos="8459"/>
              <w:tab w:val="right" w:pos="9026" w:leader="dot"/>
            </w:tabs>
            <w:rPr/>
          </w:pPr>
          <w:hyperlink w:anchor="__RefHeading___Toc7368545_105122903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7368547_1051229030">
            <w:r>
              <w:rPr>
                <w:webHidden/>
                <w:rStyle w:val="IndexLink"/>
                <w:rtl w:val="true"/>
              </w:rPr>
              <w:t>فصل في تعريف المطلق والمقيّد</w:t>
            </w:r>
            <w:r>
              <w:rPr>
                <w:rStyle w:val="IndexLink"/>
                <w:rtl w:val="true"/>
              </w:rPr>
              <w:tab/>
            </w:r>
            <w:r>
              <w:rPr>
                <w:rStyle w:val="IndexLink"/>
              </w:rPr>
              <w:t>362</w:t>
            </w:r>
          </w:hyperlink>
        </w:p>
        <w:p>
          <w:pPr>
            <w:pStyle w:val="Contents4"/>
            <w:tabs>
              <w:tab w:val="clear" w:pos="8176"/>
              <w:tab w:val="right" w:pos="9026" w:leader="dot"/>
            </w:tabs>
            <w:rPr/>
          </w:pPr>
          <w:hyperlink w:anchor="__RefHeading___Toc7368549_1051229030">
            <w:r>
              <w:rPr>
                <w:webHidden/>
                <w:rStyle w:val="IndexLink"/>
                <w:rtl w:val="true"/>
              </w:rPr>
              <w:t>في تعريف المطلق والمقيّد</w:t>
            </w:r>
            <w:r>
              <w:rPr>
                <w:rStyle w:val="IndexLink"/>
                <w:rtl w:val="true"/>
              </w:rPr>
              <w:tab/>
            </w:r>
            <w:r>
              <w:rPr>
                <w:rStyle w:val="IndexLink"/>
              </w:rPr>
              <w:t>362</w:t>
            </w:r>
          </w:hyperlink>
        </w:p>
        <w:p>
          <w:pPr>
            <w:pStyle w:val="Contents4"/>
            <w:tabs>
              <w:tab w:val="clear" w:pos="8176"/>
              <w:tab w:val="right" w:pos="9026" w:leader="dot"/>
            </w:tabs>
            <w:rPr/>
          </w:pPr>
          <w:hyperlink w:anchor="__RefHeading___Toc7368551_1051229030">
            <w:r>
              <w:rPr>
                <w:webHidden/>
                <w:rStyle w:val="IndexLink"/>
                <w:rtl w:val="true"/>
              </w:rPr>
              <w:t xml:space="preserve">تنبيه </w:t>
            </w:r>
            <w:r>
              <w:rPr>
                <w:rStyle w:val="IndexLink"/>
                <w:rtl w:val="true"/>
              </w:rPr>
              <w:t xml:space="preserve">: </w:t>
            </w:r>
            <w:r>
              <w:rPr>
                <w:rStyle w:val="IndexLink"/>
                <w:rtl w:val="true"/>
              </w:rPr>
              <w:t>في ألفاظ المطلق</w:t>
            </w:r>
            <w:r>
              <w:rPr>
                <w:rStyle w:val="IndexLink"/>
                <w:rtl w:val="true"/>
              </w:rPr>
              <w:tab/>
            </w:r>
            <w:r>
              <w:rPr>
                <w:rStyle w:val="IndexLink"/>
              </w:rPr>
              <w:t>365</w:t>
            </w:r>
          </w:hyperlink>
        </w:p>
        <w:p>
          <w:pPr>
            <w:pStyle w:val="Contents3"/>
            <w:tabs>
              <w:tab w:val="clear" w:pos="8459"/>
              <w:tab w:val="right" w:pos="9026" w:leader="dot"/>
            </w:tabs>
            <w:rPr/>
          </w:pPr>
          <w:hyperlink w:anchor="__RefHeading___Toc7368553_1051229030">
            <w:r>
              <w:rPr>
                <w:webHidden/>
                <w:rStyle w:val="IndexLink"/>
                <w:rtl w:val="true"/>
              </w:rPr>
              <w:t>فصل في مقدّمات الحكمة</w:t>
            </w:r>
            <w:r>
              <w:rPr>
                <w:rStyle w:val="IndexLink"/>
                <w:rtl w:val="true"/>
              </w:rPr>
              <w:tab/>
            </w:r>
            <w:r>
              <w:rPr>
                <w:rStyle w:val="IndexLink"/>
              </w:rPr>
              <w:t>373</w:t>
            </w:r>
          </w:hyperlink>
        </w:p>
        <w:p>
          <w:pPr>
            <w:pStyle w:val="Contents4"/>
            <w:tabs>
              <w:tab w:val="clear" w:pos="8176"/>
              <w:tab w:val="right" w:pos="9026" w:leader="dot"/>
            </w:tabs>
            <w:rPr/>
          </w:pPr>
          <w:hyperlink w:anchor="__RefHeading___Toc7368555_1051229030">
            <w:r>
              <w:rPr>
                <w:webHidden/>
                <w:rStyle w:val="IndexLink"/>
                <w:rtl w:val="true"/>
              </w:rPr>
              <w:t>في مقدّمات الحكمة</w:t>
            </w:r>
            <w:r>
              <w:rPr>
                <w:rStyle w:val="IndexLink"/>
                <w:rtl w:val="true"/>
              </w:rPr>
              <w:tab/>
            </w:r>
            <w:r>
              <w:rPr>
                <w:rStyle w:val="IndexLink"/>
              </w:rPr>
              <w:t>373</w:t>
            </w:r>
          </w:hyperlink>
        </w:p>
        <w:p>
          <w:pPr>
            <w:pStyle w:val="Contents4"/>
            <w:tabs>
              <w:tab w:val="clear" w:pos="8176"/>
              <w:tab w:val="right" w:pos="9026" w:leader="dot"/>
            </w:tabs>
            <w:rPr/>
          </w:pPr>
          <w:hyperlink w:anchor="__RefHeading___Toc7368557_1051229030">
            <w:r>
              <w:rPr>
                <w:webHidden/>
                <w:rStyle w:val="IndexLink"/>
                <w:rtl w:val="true"/>
              </w:rPr>
              <w:t>الإطلاق والتقييد ثبوتاً</w:t>
            </w:r>
            <w:r>
              <w:rPr>
                <w:rStyle w:val="IndexLink"/>
                <w:rtl w:val="true"/>
              </w:rPr>
              <w:tab/>
            </w:r>
            <w:r>
              <w:rPr>
                <w:rStyle w:val="IndexLink"/>
              </w:rPr>
              <w:t>373</w:t>
            </w:r>
          </w:hyperlink>
        </w:p>
        <w:p>
          <w:pPr>
            <w:pStyle w:val="Contents4"/>
            <w:tabs>
              <w:tab w:val="clear" w:pos="8176"/>
              <w:tab w:val="right" w:pos="9026" w:leader="dot"/>
            </w:tabs>
            <w:rPr/>
          </w:pPr>
          <w:hyperlink w:anchor="__RefHeading___Toc7368559_1051229030">
            <w:r>
              <w:rPr>
                <w:webHidden/>
                <w:rStyle w:val="IndexLink"/>
                <w:rtl w:val="true"/>
              </w:rPr>
              <w:t>إحراز الإطلاق في مقام الإثبات</w:t>
            </w:r>
            <w:r>
              <w:rPr>
                <w:rStyle w:val="IndexLink"/>
                <w:rtl w:val="true"/>
              </w:rPr>
              <w:tab/>
            </w:r>
            <w:r>
              <w:rPr>
                <w:rStyle w:val="IndexLink"/>
              </w:rPr>
              <w:t>375</w:t>
            </w:r>
          </w:hyperlink>
        </w:p>
        <w:p>
          <w:pPr>
            <w:pStyle w:val="Contents4"/>
            <w:tabs>
              <w:tab w:val="clear" w:pos="8176"/>
              <w:tab w:val="right" w:pos="9026" w:leader="dot"/>
            </w:tabs>
            <w:rPr/>
          </w:pPr>
          <w:hyperlink w:anchor="__RefHeading___Toc7368561_1051229030">
            <w:r>
              <w:rPr>
                <w:webHidden/>
                <w:rStyle w:val="IndexLink"/>
                <w:rtl w:val="true"/>
              </w:rPr>
              <w:t>الاستدلال على الإطلاق بدليل الحكمة</w:t>
            </w:r>
            <w:r>
              <w:rPr>
                <w:rStyle w:val="IndexLink"/>
                <w:rtl w:val="true"/>
              </w:rPr>
              <w:tab/>
            </w:r>
            <w:r>
              <w:rPr>
                <w:rStyle w:val="IndexLink"/>
              </w:rPr>
              <w:t>375</w:t>
            </w:r>
          </w:hyperlink>
        </w:p>
        <w:p>
          <w:pPr>
            <w:pStyle w:val="Contents4"/>
            <w:tabs>
              <w:tab w:val="clear" w:pos="8176"/>
              <w:tab w:val="right" w:pos="9026" w:leader="dot"/>
            </w:tabs>
            <w:rPr/>
          </w:pPr>
          <w:hyperlink w:anchor="__RefHeading___Toc7368563_1051229030">
            <w:r>
              <w:rPr>
                <w:webHidden/>
                <w:rStyle w:val="IndexLink"/>
                <w:rtl w:val="true"/>
              </w:rPr>
              <w:t xml:space="preserve">فذلكة </w:t>
            </w:r>
            <w:r>
              <w:rPr>
                <w:rStyle w:val="IndexLink"/>
                <w:rtl w:val="true"/>
              </w:rPr>
              <w:t xml:space="preserve">: </w:t>
            </w:r>
            <w:r>
              <w:rPr>
                <w:rStyle w:val="IndexLink"/>
                <w:rtl w:val="true"/>
              </w:rPr>
              <w:t>في ملخّص ما حقّقناه في معنى الإطلاق والتقييد</w:t>
            </w:r>
            <w:r>
              <w:rPr>
                <w:rStyle w:val="IndexLink"/>
                <w:rtl w:val="true"/>
              </w:rPr>
              <w:tab/>
            </w:r>
            <w:r>
              <w:rPr>
                <w:rStyle w:val="IndexLink"/>
              </w:rPr>
              <w:t>379</w:t>
            </w:r>
          </w:hyperlink>
        </w:p>
        <w:p>
          <w:pPr>
            <w:pStyle w:val="Contents4"/>
            <w:tabs>
              <w:tab w:val="clear" w:pos="8176"/>
              <w:tab w:val="right" w:pos="9026" w:leader="dot"/>
            </w:tabs>
            <w:rPr/>
          </w:pPr>
          <w:hyperlink w:anchor="__RefHeading___Toc7368565_1051229030">
            <w:r>
              <w:rPr>
                <w:webHidden/>
                <w:rStyle w:val="IndexLink"/>
                <w:rtl w:val="true"/>
              </w:rPr>
              <w:t xml:space="preserve">تنبيه </w:t>
            </w:r>
            <w:r>
              <w:rPr>
                <w:rStyle w:val="IndexLink"/>
                <w:rtl w:val="true"/>
              </w:rPr>
              <w:t xml:space="preserve">: </w:t>
            </w:r>
            <w:r>
              <w:rPr>
                <w:rStyle w:val="IndexLink"/>
                <w:rtl w:val="true"/>
              </w:rPr>
              <w:t>حول مقالة سلطان العلماء</w:t>
            </w:r>
            <w:r>
              <w:rPr>
                <w:rStyle w:val="IndexLink"/>
                <w:rtl w:val="true"/>
              </w:rPr>
              <w:tab/>
            </w:r>
            <w:r>
              <w:rPr>
                <w:rStyle w:val="IndexLink"/>
              </w:rPr>
              <w:t>382</w:t>
            </w:r>
          </w:hyperlink>
        </w:p>
        <w:p>
          <w:pPr>
            <w:pStyle w:val="Contents5"/>
            <w:tabs>
              <w:tab w:val="clear" w:pos="7892"/>
              <w:tab w:val="right" w:pos="9026" w:leader="dot"/>
            </w:tabs>
            <w:rPr/>
          </w:pPr>
          <w:hyperlink w:anchor="__RefHeading___Toc7368567_1051229030">
            <w:r>
              <w:rPr>
                <w:webHidden/>
                <w:rStyle w:val="IndexLink"/>
                <w:rtl w:val="true"/>
              </w:rPr>
              <w:t>حول مقالة سلطان العلماء</w:t>
            </w:r>
            <w:r>
              <w:rPr>
                <w:rStyle w:val="IndexLink"/>
                <w:rtl w:val="true"/>
              </w:rPr>
              <w:tab/>
            </w:r>
            <w:r>
              <w:rPr>
                <w:rStyle w:val="IndexLink"/>
              </w:rPr>
              <w:t>382</w:t>
            </w:r>
          </w:hyperlink>
        </w:p>
        <w:p>
          <w:pPr>
            <w:pStyle w:val="Contents5"/>
            <w:tabs>
              <w:tab w:val="clear" w:pos="7892"/>
              <w:tab w:val="right" w:pos="9026" w:leader="dot"/>
            </w:tabs>
            <w:rPr/>
          </w:pPr>
          <w:hyperlink w:anchor="__RefHeading___Toc7368569_1051229030">
            <w:r>
              <w:rPr>
                <w:webHidden/>
                <w:rStyle w:val="IndexLink"/>
                <w:rtl w:val="true"/>
              </w:rPr>
              <w:t xml:space="preserve">الأمر الأوّل </w:t>
            </w:r>
            <w:r>
              <w:rPr>
                <w:rStyle w:val="IndexLink"/>
                <w:rtl w:val="true"/>
              </w:rPr>
              <w:t xml:space="preserve">: </w:t>
            </w:r>
            <w:r>
              <w:rPr>
                <w:rStyle w:val="IndexLink"/>
                <w:rtl w:val="true"/>
              </w:rPr>
              <w:t>طريق إحراز كون المتكلّم في مقام البيان</w:t>
            </w:r>
            <w:r>
              <w:rPr>
                <w:rStyle w:val="IndexLink"/>
                <w:rtl w:val="true"/>
              </w:rPr>
              <w:tab/>
            </w:r>
            <w:r>
              <w:rPr>
                <w:rStyle w:val="IndexLink"/>
              </w:rPr>
              <w:t>383</w:t>
            </w:r>
          </w:hyperlink>
        </w:p>
        <w:p>
          <w:pPr>
            <w:pStyle w:val="Contents5"/>
            <w:tabs>
              <w:tab w:val="clear" w:pos="7892"/>
              <w:tab w:val="right" w:pos="9026" w:leader="dot"/>
            </w:tabs>
            <w:rPr/>
          </w:pPr>
          <w:hyperlink w:anchor="__RefHeading___Toc7368571_1051229030">
            <w:r>
              <w:rPr>
                <w:webHidden/>
                <w:rStyle w:val="IndexLink"/>
                <w:rtl w:val="true"/>
              </w:rPr>
              <w:t xml:space="preserve">الأمر الثاني </w:t>
            </w:r>
            <w:r>
              <w:rPr>
                <w:rStyle w:val="IndexLink"/>
                <w:rtl w:val="true"/>
              </w:rPr>
              <w:t xml:space="preserve">: </w:t>
            </w:r>
            <w:r>
              <w:rPr>
                <w:rStyle w:val="IndexLink"/>
                <w:rtl w:val="true"/>
              </w:rPr>
              <w:t>إشكال ودفع</w:t>
            </w:r>
            <w:r>
              <w:rPr>
                <w:rStyle w:val="IndexLink"/>
                <w:rtl w:val="true"/>
              </w:rPr>
              <w:tab/>
            </w:r>
            <w:r>
              <w:rPr>
                <w:rStyle w:val="IndexLink"/>
              </w:rPr>
              <w:t>384</w:t>
            </w:r>
          </w:hyperlink>
        </w:p>
        <w:p>
          <w:pPr>
            <w:pStyle w:val="Contents5"/>
            <w:tabs>
              <w:tab w:val="clear" w:pos="7892"/>
              <w:tab w:val="right" w:pos="9026" w:leader="dot"/>
            </w:tabs>
            <w:rPr/>
          </w:pPr>
          <w:hyperlink w:anchor="__RefHeading___Toc7368573_1051229030">
            <w:r>
              <w:rPr>
                <w:webHidden/>
                <w:rStyle w:val="IndexLink"/>
                <w:rtl w:val="true"/>
              </w:rPr>
              <w:t xml:space="preserve">الأمر الثالث </w:t>
            </w:r>
            <w:r>
              <w:rPr>
                <w:rStyle w:val="IndexLink"/>
                <w:rtl w:val="true"/>
              </w:rPr>
              <w:t xml:space="preserve">: </w:t>
            </w:r>
            <w:r>
              <w:rPr>
                <w:rStyle w:val="IndexLink"/>
                <w:rtl w:val="true"/>
              </w:rPr>
              <w:t>أقسام المطلق</w:t>
            </w:r>
            <w:r>
              <w:rPr>
                <w:rStyle w:val="IndexLink"/>
                <w:rtl w:val="true"/>
              </w:rPr>
              <w:tab/>
            </w:r>
            <w:r>
              <w:rPr>
                <w:rStyle w:val="IndexLink"/>
              </w:rPr>
              <w:t>386</w:t>
            </w:r>
          </w:hyperlink>
        </w:p>
        <w:p>
          <w:pPr>
            <w:pStyle w:val="Contents5"/>
            <w:tabs>
              <w:tab w:val="clear" w:pos="7892"/>
              <w:tab w:val="right" w:pos="9026" w:leader="dot"/>
            </w:tabs>
            <w:rPr/>
          </w:pPr>
          <w:hyperlink w:anchor="__RefHeading___Toc7368575_1051229030">
            <w:r>
              <w:rPr>
                <w:webHidden/>
                <w:rStyle w:val="IndexLink"/>
                <w:rtl w:val="true"/>
              </w:rPr>
              <w:t xml:space="preserve">الأمر الرابع </w:t>
            </w:r>
            <w:r>
              <w:rPr>
                <w:rStyle w:val="IndexLink"/>
                <w:rtl w:val="true"/>
              </w:rPr>
              <w:t xml:space="preserve">: </w:t>
            </w:r>
            <w:r>
              <w:rPr>
                <w:rStyle w:val="IndexLink"/>
                <w:rtl w:val="true"/>
              </w:rPr>
              <w:t>شرط الاحتياج إلى مقدّمات الحكمة</w:t>
            </w:r>
            <w:r>
              <w:rPr>
                <w:rStyle w:val="IndexLink"/>
                <w:rtl w:val="true"/>
              </w:rPr>
              <w:tab/>
            </w:r>
            <w:r>
              <w:rPr>
                <w:rStyle w:val="IndexLink"/>
              </w:rPr>
              <w:t>388</w:t>
            </w:r>
          </w:hyperlink>
        </w:p>
        <w:p>
          <w:pPr>
            <w:pStyle w:val="Contents2"/>
            <w:tabs>
              <w:tab w:val="clear" w:pos="8743"/>
              <w:tab w:val="right" w:pos="9026" w:leader="dot"/>
            </w:tabs>
            <w:rPr/>
          </w:pPr>
          <w:hyperlink w:anchor="__RefHeading___Toc7368577_1051229030">
            <w:r>
              <w:rPr>
                <w:webHidden/>
                <w:rStyle w:val="IndexLink"/>
                <w:rtl w:val="true"/>
              </w:rPr>
              <w:t>المقصد السادس</w:t>
            </w:r>
            <w:r>
              <w:rPr>
                <w:rStyle w:val="IndexLink"/>
                <w:rtl w:val="true"/>
              </w:rPr>
              <w:t xml:space="preserve">: </w:t>
            </w:r>
            <w:r>
              <w:rPr>
                <w:rStyle w:val="IndexLink"/>
                <w:rtl w:val="true"/>
              </w:rPr>
              <w:t>في بيان الأمارات المعتبرة عقلاً أو شرعاً</w:t>
            </w:r>
            <w:r>
              <w:rPr>
                <w:rStyle w:val="IndexLink"/>
                <w:rtl w:val="true"/>
              </w:rPr>
              <w:tab/>
            </w:r>
            <w:r>
              <w:rPr>
                <w:rStyle w:val="IndexLink"/>
              </w:rPr>
              <w:t>394</w:t>
            </w:r>
          </w:hyperlink>
        </w:p>
        <w:p>
          <w:pPr>
            <w:pStyle w:val="Contents3"/>
            <w:tabs>
              <w:tab w:val="clear" w:pos="8459"/>
              <w:tab w:val="right" w:pos="9026" w:leader="dot"/>
            </w:tabs>
            <w:rPr/>
          </w:pPr>
          <w:hyperlink w:anchor="__RefHeading___Toc7368579_1051229030">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7368581_1051229030">
            <w:r>
              <w:rPr>
                <w:webHidden/>
                <w:rStyle w:val="IndexLink"/>
                <w:rtl w:val="true"/>
              </w:rPr>
              <w:t>الفصل الأوّل</w:t>
            </w:r>
            <w:r>
              <w:rPr>
                <w:rStyle w:val="IndexLink"/>
                <w:rtl w:val="true"/>
              </w:rPr>
              <w:t xml:space="preserve">: </w:t>
            </w:r>
            <w:r>
              <w:rPr>
                <w:rStyle w:val="IndexLink"/>
                <w:rtl w:val="true"/>
              </w:rPr>
              <w:t>في تمهيدات لمباحث القطع</w:t>
            </w:r>
            <w:r>
              <w:rPr>
                <w:rStyle w:val="IndexLink"/>
                <w:rtl w:val="true"/>
              </w:rPr>
              <w:tab/>
            </w:r>
            <w:r>
              <w:rPr>
                <w:rStyle w:val="IndexLink"/>
              </w:rPr>
              <w:t>396</w:t>
            </w:r>
          </w:hyperlink>
        </w:p>
        <w:p>
          <w:pPr>
            <w:pStyle w:val="Contents4"/>
            <w:tabs>
              <w:tab w:val="clear" w:pos="8176"/>
              <w:tab w:val="right" w:pos="9026" w:leader="dot"/>
            </w:tabs>
            <w:rPr/>
          </w:pPr>
          <w:hyperlink w:anchor="__RefHeading___Toc7368583_1051229030">
            <w:r>
              <w:rPr>
                <w:webHidden/>
                <w:rStyle w:val="IndexLink"/>
                <w:rtl w:val="true"/>
              </w:rPr>
              <w:t>في تمهيدات لمباحث القطع</w:t>
            </w:r>
            <w:r>
              <w:rPr>
                <w:rStyle w:val="IndexLink"/>
                <w:rtl w:val="true"/>
              </w:rPr>
              <w:tab/>
            </w:r>
            <w:r>
              <w:rPr>
                <w:rStyle w:val="IndexLink"/>
              </w:rPr>
              <w:t>396</w:t>
            </w:r>
          </w:hyperlink>
        </w:p>
        <w:p>
          <w:pPr>
            <w:pStyle w:val="Contents4"/>
            <w:tabs>
              <w:tab w:val="clear" w:pos="8176"/>
              <w:tab w:val="right" w:pos="9026" w:leader="dot"/>
            </w:tabs>
            <w:rPr/>
          </w:pPr>
          <w:hyperlink w:anchor="__RefHeading___Toc7368585_1051229030">
            <w:r>
              <w:rPr>
                <w:webHidden/>
                <w:rStyle w:val="IndexLink"/>
                <w:rtl w:val="true"/>
              </w:rPr>
              <w:t xml:space="preserve">الأمر الأوّل </w:t>
            </w:r>
            <w:r>
              <w:rPr>
                <w:rStyle w:val="IndexLink"/>
                <w:rtl w:val="true"/>
              </w:rPr>
              <w:t xml:space="preserve">: </w:t>
            </w:r>
            <w:r>
              <w:rPr>
                <w:rStyle w:val="IndexLink"/>
                <w:rtl w:val="true"/>
              </w:rPr>
              <w:t>اُصولية مبحث القطع</w:t>
            </w:r>
            <w:r>
              <w:rPr>
                <w:rStyle w:val="IndexLink"/>
                <w:rtl w:val="true"/>
              </w:rPr>
              <w:tab/>
            </w:r>
            <w:r>
              <w:rPr>
                <w:rStyle w:val="IndexLink"/>
              </w:rPr>
              <w:t>396</w:t>
            </w:r>
          </w:hyperlink>
        </w:p>
        <w:p>
          <w:pPr>
            <w:pStyle w:val="Contents4"/>
            <w:tabs>
              <w:tab w:val="clear" w:pos="8176"/>
              <w:tab w:val="right" w:pos="9026" w:leader="dot"/>
            </w:tabs>
            <w:rPr/>
          </w:pPr>
          <w:hyperlink w:anchor="__RefHeading___Toc7368587_1051229030">
            <w:r>
              <w:rPr>
                <w:webHidden/>
                <w:rStyle w:val="IndexLink"/>
                <w:rtl w:val="true"/>
              </w:rPr>
              <w:t xml:space="preserve">الأمر الثاني </w:t>
            </w:r>
            <w:r>
              <w:rPr>
                <w:rStyle w:val="IndexLink"/>
                <w:rtl w:val="true"/>
              </w:rPr>
              <w:t xml:space="preserve">: </w:t>
            </w:r>
            <w:r>
              <w:rPr>
                <w:rStyle w:val="IndexLink"/>
                <w:rtl w:val="true"/>
              </w:rPr>
              <w:t xml:space="preserve">في المراد من </w:t>
            </w:r>
            <w:r>
              <w:rPr>
                <w:rStyle w:val="IndexLink"/>
                <w:rtl w:val="true"/>
              </w:rPr>
              <w:t>«</w:t>
            </w:r>
            <w:r>
              <w:rPr>
                <w:rStyle w:val="IndexLink"/>
                <w:rtl w:val="true"/>
              </w:rPr>
              <w:t>المكلّف</w:t>
            </w:r>
            <w:r>
              <w:rPr>
                <w:rStyle w:val="IndexLink"/>
                <w:rtl w:val="true"/>
              </w:rPr>
              <w:t xml:space="preserve">» </w:t>
            </w:r>
            <w:r>
              <w:rPr>
                <w:rStyle w:val="IndexLink"/>
                <w:rtl w:val="true"/>
              </w:rPr>
              <w:t>في تقسيم الشيخ قدّس سرّه</w:t>
            </w:r>
            <w:r>
              <w:rPr>
                <w:rStyle w:val="IndexLink"/>
                <w:rtl w:val="true"/>
              </w:rPr>
              <w:tab/>
            </w:r>
            <w:r>
              <w:rPr>
                <w:rStyle w:val="IndexLink"/>
              </w:rPr>
              <w:t>397</w:t>
            </w:r>
          </w:hyperlink>
        </w:p>
        <w:p>
          <w:pPr>
            <w:pStyle w:val="Contents4"/>
            <w:tabs>
              <w:tab w:val="clear" w:pos="8176"/>
              <w:tab w:val="right" w:pos="9026" w:leader="dot"/>
            </w:tabs>
            <w:rPr/>
          </w:pPr>
          <w:hyperlink w:anchor="__RefHeading___Toc7368589_1051229030">
            <w:r>
              <w:rPr>
                <w:webHidden/>
                <w:rStyle w:val="IndexLink"/>
                <w:rtl w:val="true"/>
              </w:rPr>
              <w:t xml:space="preserve">الأمر الثالث </w:t>
            </w:r>
            <w:r>
              <w:rPr>
                <w:rStyle w:val="IndexLink"/>
                <w:rtl w:val="true"/>
              </w:rPr>
              <w:t xml:space="preserve">: </w:t>
            </w:r>
            <w:r>
              <w:rPr>
                <w:rStyle w:val="IndexLink"/>
                <w:rtl w:val="true"/>
              </w:rPr>
              <w:t>في مراتب الحكم</w:t>
            </w:r>
            <w:r>
              <w:rPr>
                <w:rStyle w:val="IndexLink"/>
                <w:rtl w:val="true"/>
              </w:rPr>
              <w:tab/>
            </w:r>
            <w:r>
              <w:rPr>
                <w:rStyle w:val="IndexLink"/>
              </w:rPr>
              <w:t>397</w:t>
            </w:r>
          </w:hyperlink>
        </w:p>
        <w:p>
          <w:pPr>
            <w:pStyle w:val="Contents4"/>
            <w:tabs>
              <w:tab w:val="clear" w:pos="8176"/>
              <w:tab w:val="right" w:pos="9026" w:leader="dot"/>
            </w:tabs>
            <w:rPr/>
          </w:pPr>
          <w:hyperlink w:anchor="__RefHeading___Toc7368591_1051229030">
            <w:r>
              <w:rPr>
                <w:webHidden/>
                <w:rStyle w:val="IndexLink"/>
                <w:rtl w:val="true"/>
              </w:rPr>
              <w:t xml:space="preserve">الأمر الرابع </w:t>
            </w:r>
            <w:r>
              <w:rPr>
                <w:rStyle w:val="IndexLink"/>
                <w:rtl w:val="true"/>
              </w:rPr>
              <w:t xml:space="preserve">: </w:t>
            </w:r>
            <w:r>
              <w:rPr>
                <w:rStyle w:val="IndexLink"/>
                <w:rtl w:val="true"/>
              </w:rPr>
              <w:t>في تقسيم الحكم إلى الواقعي والظاهري</w:t>
            </w:r>
            <w:r>
              <w:rPr>
                <w:rStyle w:val="IndexLink"/>
                <w:rtl w:val="true"/>
              </w:rPr>
              <w:tab/>
            </w:r>
            <w:r>
              <w:rPr>
                <w:rStyle w:val="IndexLink"/>
              </w:rPr>
              <w:t>399</w:t>
            </w:r>
          </w:hyperlink>
        </w:p>
        <w:p>
          <w:pPr>
            <w:pStyle w:val="Contents4"/>
            <w:tabs>
              <w:tab w:val="clear" w:pos="8176"/>
              <w:tab w:val="right" w:pos="9026" w:leader="dot"/>
            </w:tabs>
            <w:rPr/>
          </w:pPr>
          <w:hyperlink w:anchor="__RefHeading___Toc7368593_1051229030">
            <w:r>
              <w:rPr>
                <w:webHidden/>
                <w:rStyle w:val="IndexLink"/>
                <w:rtl w:val="true"/>
              </w:rPr>
              <w:t xml:space="preserve">الأمر الخامس </w:t>
            </w:r>
            <w:r>
              <w:rPr>
                <w:rStyle w:val="IndexLink"/>
                <w:rtl w:val="true"/>
              </w:rPr>
              <w:t xml:space="preserve">: </w:t>
            </w:r>
            <w:r>
              <w:rPr>
                <w:rStyle w:val="IndexLink"/>
                <w:rtl w:val="true"/>
              </w:rPr>
              <w:t>في تقسيم حالات المكلّف باعتبار وجود المنجّز وعدمه</w:t>
            </w:r>
            <w:r>
              <w:rPr>
                <w:rStyle w:val="IndexLink"/>
                <w:rtl w:val="true"/>
              </w:rPr>
              <w:tab/>
            </w:r>
            <w:r>
              <w:rPr>
                <w:rStyle w:val="IndexLink"/>
              </w:rPr>
              <w:t>401</w:t>
            </w:r>
          </w:hyperlink>
        </w:p>
        <w:p>
          <w:pPr>
            <w:pStyle w:val="Contents3"/>
            <w:tabs>
              <w:tab w:val="clear" w:pos="8459"/>
              <w:tab w:val="right" w:pos="9026" w:leader="dot"/>
            </w:tabs>
            <w:rPr/>
          </w:pPr>
          <w:hyperlink w:anchor="__RefHeading___Toc7368595_1051229030">
            <w:r>
              <w:rPr>
                <w:webHidden/>
                <w:rStyle w:val="IndexLink"/>
                <w:rtl w:val="true"/>
              </w:rPr>
              <w:t>الفصل الثاني</w:t>
            </w:r>
            <w:r>
              <w:rPr>
                <w:rStyle w:val="IndexLink"/>
                <w:rtl w:val="true"/>
              </w:rPr>
              <w:t xml:space="preserve">: </w:t>
            </w:r>
            <w:r>
              <w:rPr>
                <w:rStyle w:val="IndexLink"/>
                <w:rtl w:val="true"/>
              </w:rPr>
              <w:t>معنى حجّية القطع</w:t>
            </w:r>
            <w:r>
              <w:rPr>
                <w:rStyle w:val="IndexLink"/>
                <w:rtl w:val="true"/>
              </w:rPr>
              <w:tab/>
            </w:r>
            <w:r>
              <w:rPr>
                <w:rStyle w:val="IndexLink"/>
              </w:rPr>
              <w:t>404</w:t>
            </w:r>
          </w:hyperlink>
        </w:p>
        <w:p>
          <w:pPr>
            <w:pStyle w:val="Contents3"/>
            <w:tabs>
              <w:tab w:val="clear" w:pos="8459"/>
              <w:tab w:val="right" w:pos="9026" w:leader="dot"/>
            </w:tabs>
            <w:rPr/>
          </w:pPr>
          <w:hyperlink w:anchor="__RefHeading___Toc7368597_1051229030">
            <w:r>
              <w:rPr>
                <w:webHidden/>
                <w:rStyle w:val="IndexLink"/>
                <w:rtl w:val="true"/>
              </w:rPr>
              <w:t>الفصل الثالث</w:t>
            </w:r>
            <w:r>
              <w:rPr>
                <w:rStyle w:val="IndexLink"/>
                <w:rtl w:val="true"/>
              </w:rPr>
              <w:t xml:space="preserve">: </w:t>
            </w:r>
            <w:r>
              <w:rPr>
                <w:rStyle w:val="IndexLink"/>
                <w:rtl w:val="true"/>
              </w:rPr>
              <w:t>في قيام الأمارة مقام القطع الموضوعي والطريقي</w:t>
            </w:r>
            <w:r>
              <w:rPr>
                <w:rStyle w:val="IndexLink"/>
                <w:rtl w:val="true"/>
              </w:rPr>
              <w:tab/>
            </w:r>
            <w:r>
              <w:rPr>
                <w:rStyle w:val="IndexLink"/>
              </w:rPr>
              <w:t>408</w:t>
            </w:r>
          </w:hyperlink>
        </w:p>
        <w:p>
          <w:pPr>
            <w:pStyle w:val="Contents3"/>
            <w:tabs>
              <w:tab w:val="clear" w:pos="8459"/>
              <w:tab w:val="right" w:pos="9026" w:leader="dot"/>
            </w:tabs>
            <w:rPr/>
          </w:pPr>
          <w:hyperlink w:anchor="__RefHeading___Toc7368599_1051229030">
            <w:r>
              <w:rPr>
                <w:webHidden/>
                <w:rStyle w:val="IndexLink"/>
                <w:rtl w:val="true"/>
              </w:rPr>
              <w:t>الفصل الرابع</w:t>
            </w:r>
            <w:r>
              <w:rPr>
                <w:rStyle w:val="IndexLink"/>
                <w:rtl w:val="true"/>
              </w:rPr>
              <w:t xml:space="preserve">: </w:t>
            </w:r>
            <w:r>
              <w:rPr>
                <w:rStyle w:val="IndexLink"/>
                <w:rtl w:val="true"/>
              </w:rPr>
              <w:t>في التجرّي</w:t>
            </w:r>
            <w:r>
              <w:rPr>
                <w:rStyle w:val="IndexLink"/>
                <w:rtl w:val="true"/>
              </w:rPr>
              <w:tab/>
            </w:r>
            <w:r>
              <w:rPr>
                <w:rStyle w:val="IndexLink"/>
              </w:rPr>
              <w:t>414</w:t>
            </w:r>
          </w:hyperlink>
        </w:p>
        <w:p>
          <w:pPr>
            <w:pStyle w:val="Contents4"/>
            <w:tabs>
              <w:tab w:val="clear" w:pos="8176"/>
              <w:tab w:val="right" w:pos="9026" w:leader="dot"/>
            </w:tabs>
            <w:rPr/>
          </w:pPr>
          <w:hyperlink w:anchor="__RefHeading___Toc7368601_1051229030">
            <w:r>
              <w:rPr>
                <w:webHidden/>
                <w:rStyle w:val="IndexLink"/>
                <w:rtl w:val="true"/>
              </w:rPr>
              <w:t>تحرير محلّ النزاع</w:t>
            </w:r>
            <w:r>
              <w:rPr>
                <w:rStyle w:val="IndexLink"/>
                <w:rtl w:val="true"/>
              </w:rPr>
              <w:tab/>
            </w:r>
            <w:r>
              <w:rPr>
                <w:rStyle w:val="IndexLink"/>
              </w:rPr>
              <w:t>414</w:t>
            </w:r>
          </w:hyperlink>
        </w:p>
        <w:p>
          <w:pPr>
            <w:pStyle w:val="Contents4"/>
            <w:tabs>
              <w:tab w:val="clear" w:pos="8176"/>
              <w:tab w:val="right" w:pos="9026" w:leader="dot"/>
            </w:tabs>
            <w:rPr/>
          </w:pPr>
          <w:hyperlink w:anchor="__RefHeading___Toc7368603_1051229030">
            <w:r>
              <w:rPr>
                <w:webHidden/>
                <w:rStyle w:val="IndexLink"/>
                <w:rtl w:val="true"/>
              </w:rPr>
              <w:t>فيما استدلّ على قبح التجرّي</w:t>
            </w:r>
            <w:r>
              <w:rPr>
                <w:rStyle w:val="IndexLink"/>
                <w:rtl w:val="true"/>
              </w:rPr>
              <w:tab/>
            </w:r>
            <w:r>
              <w:rPr>
                <w:rStyle w:val="IndexLink"/>
              </w:rPr>
              <w:t>416</w:t>
            </w:r>
          </w:hyperlink>
        </w:p>
        <w:p>
          <w:pPr>
            <w:pStyle w:val="Contents4"/>
            <w:tabs>
              <w:tab w:val="clear" w:pos="8176"/>
              <w:tab w:val="right" w:pos="9026" w:leader="dot"/>
            </w:tabs>
            <w:rPr/>
          </w:pPr>
          <w:hyperlink w:anchor="__RefHeading___Toc7368605_1051229030">
            <w:r>
              <w:rPr>
                <w:webHidden/>
                <w:rStyle w:val="IndexLink"/>
                <w:rtl w:val="true"/>
              </w:rPr>
              <w:t>مقالة المحقّق الخراساني في هذا المقام</w:t>
            </w:r>
            <w:r>
              <w:rPr>
                <w:rStyle w:val="IndexLink"/>
                <w:rtl w:val="true"/>
              </w:rPr>
              <w:tab/>
            </w:r>
            <w:r>
              <w:rPr>
                <w:rStyle w:val="IndexLink"/>
              </w:rPr>
              <w:t>419</w:t>
            </w:r>
          </w:hyperlink>
        </w:p>
        <w:p>
          <w:pPr>
            <w:pStyle w:val="Contents4"/>
            <w:tabs>
              <w:tab w:val="clear" w:pos="8176"/>
              <w:tab w:val="right" w:pos="9026" w:leader="dot"/>
            </w:tabs>
            <w:rPr/>
          </w:pPr>
          <w:hyperlink w:anchor="__RefHeading___Toc7368607_1051229030">
            <w:r>
              <w:rPr>
                <w:webHidden/>
                <w:rStyle w:val="IndexLink"/>
                <w:rtl w:val="true"/>
              </w:rPr>
              <w:t>تفصيل صاحب الفصول رحمه الله علیه</w:t>
            </w:r>
            <w:r>
              <w:rPr>
                <w:rStyle w:val="IndexLink"/>
                <w:rtl w:val="true"/>
              </w:rPr>
              <w:tab/>
            </w:r>
            <w:r>
              <w:rPr>
                <w:rStyle w:val="IndexLink"/>
              </w:rPr>
              <w:t>421</w:t>
            </w:r>
          </w:hyperlink>
        </w:p>
        <w:p>
          <w:pPr>
            <w:pStyle w:val="Contents3"/>
            <w:tabs>
              <w:tab w:val="clear" w:pos="8459"/>
              <w:tab w:val="right" w:pos="9026" w:leader="dot"/>
            </w:tabs>
            <w:rPr/>
          </w:pPr>
          <w:hyperlink w:anchor="__RefHeading___Toc7368609_1051229030">
            <w:r>
              <w:rPr>
                <w:webHidden/>
                <w:rStyle w:val="IndexLink"/>
                <w:rtl w:val="true"/>
              </w:rPr>
              <w:t>الفصل الخامس</w:t>
            </w:r>
            <w:r>
              <w:rPr>
                <w:rStyle w:val="IndexLink"/>
                <w:rtl w:val="true"/>
              </w:rPr>
              <w:t xml:space="preserve">: </w:t>
            </w:r>
            <w:r>
              <w:rPr>
                <w:rStyle w:val="IndexLink"/>
                <w:rtl w:val="true"/>
              </w:rPr>
              <w:t>في العلم الإجمالي</w:t>
            </w:r>
            <w:r>
              <w:rPr>
                <w:rStyle w:val="IndexLink"/>
                <w:rtl w:val="true"/>
              </w:rPr>
              <w:tab/>
            </w:r>
            <w:r>
              <w:rPr>
                <w:rStyle w:val="IndexLink"/>
              </w:rPr>
              <w:t>426</w:t>
            </w:r>
          </w:hyperlink>
        </w:p>
        <w:p>
          <w:pPr>
            <w:pStyle w:val="Contents4"/>
            <w:tabs>
              <w:tab w:val="clear" w:pos="8176"/>
              <w:tab w:val="right" w:pos="9026" w:leader="dot"/>
            </w:tabs>
            <w:rPr/>
          </w:pPr>
          <w:hyperlink w:anchor="__RefHeading___Toc7368611_1051229030">
            <w:r>
              <w:rPr>
                <w:webHidden/>
                <w:rStyle w:val="IndexLink"/>
                <w:rtl w:val="true"/>
              </w:rPr>
              <w:t>في العلم الإجمالي</w:t>
            </w:r>
            <w:r>
              <w:rPr>
                <w:rStyle w:val="IndexLink"/>
                <w:rtl w:val="true"/>
              </w:rPr>
              <w:tab/>
            </w:r>
            <w:r>
              <w:rPr>
                <w:rStyle w:val="IndexLink"/>
              </w:rPr>
              <w:t>426</w:t>
            </w:r>
          </w:hyperlink>
        </w:p>
        <w:p>
          <w:pPr>
            <w:pStyle w:val="Contents4"/>
            <w:tabs>
              <w:tab w:val="clear" w:pos="8176"/>
              <w:tab w:val="right" w:pos="9026" w:leader="dot"/>
            </w:tabs>
            <w:rPr/>
          </w:pPr>
          <w:hyperlink w:anchor="__RefHeading___Toc7368613_1051229030">
            <w:r>
              <w:rPr>
                <w:webHidden/>
                <w:rStyle w:val="IndexLink"/>
                <w:rtl w:val="true"/>
              </w:rPr>
              <w:t xml:space="preserve">المقام الأوّل </w:t>
            </w:r>
            <w:r>
              <w:rPr>
                <w:rStyle w:val="IndexLink"/>
                <w:rtl w:val="true"/>
              </w:rPr>
              <w:t xml:space="preserve">: </w:t>
            </w:r>
            <w:r>
              <w:rPr>
                <w:rStyle w:val="IndexLink"/>
                <w:rtl w:val="true"/>
              </w:rPr>
              <w:t>في إثبات التكليف بالعلم الإجمالي</w:t>
            </w:r>
            <w:r>
              <w:rPr>
                <w:rStyle w:val="IndexLink"/>
                <w:rtl w:val="true"/>
              </w:rPr>
              <w:tab/>
            </w:r>
            <w:r>
              <w:rPr>
                <w:rStyle w:val="IndexLink"/>
              </w:rPr>
              <w:t>426</w:t>
            </w:r>
          </w:hyperlink>
        </w:p>
        <w:p>
          <w:pPr>
            <w:pStyle w:val="Contents4"/>
            <w:tabs>
              <w:tab w:val="clear" w:pos="8176"/>
              <w:tab w:val="right" w:pos="9026" w:leader="dot"/>
            </w:tabs>
            <w:rPr/>
          </w:pPr>
          <w:hyperlink w:anchor="__RefHeading___Toc7368615_1051229030">
            <w:r>
              <w:rPr>
                <w:webHidden/>
                <w:rStyle w:val="IndexLink"/>
                <w:rtl w:val="true"/>
              </w:rPr>
              <w:t xml:space="preserve">المقام الثاني </w:t>
            </w:r>
            <w:r>
              <w:rPr>
                <w:rStyle w:val="IndexLink"/>
                <w:rtl w:val="true"/>
              </w:rPr>
              <w:t xml:space="preserve">: </w:t>
            </w:r>
            <w:r>
              <w:rPr>
                <w:rStyle w:val="IndexLink"/>
                <w:rtl w:val="true"/>
              </w:rPr>
              <w:t>في إسقاط التكليف</w:t>
            </w:r>
            <w:r>
              <w:rPr>
                <w:rStyle w:val="IndexLink"/>
                <w:rtl w:val="true"/>
              </w:rPr>
              <w:tab/>
            </w:r>
            <w:r>
              <w:rPr>
                <w:rStyle w:val="IndexLink"/>
              </w:rPr>
              <w:t>433</w:t>
            </w:r>
          </w:hyperlink>
        </w:p>
        <w:p>
          <w:pPr>
            <w:pStyle w:val="Contents3"/>
            <w:tabs>
              <w:tab w:val="clear" w:pos="8459"/>
              <w:tab w:val="right" w:pos="9026" w:leader="dot"/>
            </w:tabs>
            <w:rPr/>
          </w:pPr>
          <w:hyperlink w:anchor="__RefHeading___Toc7368617_1051229030">
            <w:r>
              <w:rPr>
                <w:webHidden/>
                <w:rStyle w:val="IndexLink"/>
                <w:rtl w:val="true"/>
              </w:rPr>
              <w:t>الفصل السادس</w:t>
            </w:r>
            <w:r>
              <w:rPr>
                <w:rStyle w:val="IndexLink"/>
                <w:rtl w:val="true"/>
              </w:rPr>
              <w:t xml:space="preserve">: </w:t>
            </w:r>
            <w:r>
              <w:rPr>
                <w:rStyle w:val="IndexLink"/>
                <w:rtl w:val="true"/>
              </w:rPr>
              <w:t>الأمارات الغير العلمية</w:t>
            </w:r>
            <w:r>
              <w:rPr>
                <w:rStyle w:val="IndexLink"/>
                <w:rtl w:val="true"/>
              </w:rPr>
              <w:tab/>
            </w:r>
            <w:r>
              <w:rPr>
                <w:rStyle w:val="IndexLink"/>
              </w:rPr>
              <w:t>438</w:t>
            </w:r>
          </w:hyperlink>
        </w:p>
        <w:p>
          <w:pPr>
            <w:pStyle w:val="Contents4"/>
            <w:tabs>
              <w:tab w:val="clear" w:pos="8176"/>
              <w:tab w:val="right" w:pos="9026" w:leader="dot"/>
            </w:tabs>
            <w:rPr/>
          </w:pPr>
          <w:hyperlink w:anchor="__RefHeading___Toc7368619_105122903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7368621_1051229030">
            <w:r>
              <w:rPr>
                <w:webHidden/>
                <w:rStyle w:val="IndexLink"/>
                <w:rtl w:val="true"/>
              </w:rPr>
              <w:t xml:space="preserve">المبحث الأوّل </w:t>
            </w:r>
            <w:r>
              <w:rPr>
                <w:rStyle w:val="IndexLink"/>
                <w:rtl w:val="true"/>
              </w:rPr>
              <w:t xml:space="preserve">: </w:t>
            </w:r>
            <w:r>
              <w:rPr>
                <w:rStyle w:val="IndexLink"/>
                <w:rtl w:val="true"/>
              </w:rPr>
              <w:t>في إمكان التعبّد بها</w:t>
            </w:r>
            <w:r>
              <w:rPr>
                <w:rStyle w:val="IndexLink"/>
                <w:rtl w:val="true"/>
              </w:rPr>
              <w:tab/>
            </w:r>
            <w:r>
              <w:rPr>
                <w:rStyle w:val="IndexLink"/>
              </w:rPr>
              <w:t>438</w:t>
            </w:r>
          </w:hyperlink>
        </w:p>
        <w:p>
          <w:pPr>
            <w:pStyle w:val="Contents5"/>
            <w:tabs>
              <w:tab w:val="clear" w:pos="7892"/>
              <w:tab w:val="right" w:pos="9026" w:leader="dot"/>
            </w:tabs>
            <w:rPr/>
          </w:pPr>
          <w:hyperlink w:anchor="__RefHeading___Toc7368623_1051229030">
            <w:r>
              <w:rPr>
                <w:webHidden/>
                <w:rStyle w:val="IndexLink"/>
                <w:rtl w:val="true"/>
              </w:rPr>
              <w:t>المراد بالإمكان</w:t>
            </w:r>
            <w:r>
              <w:rPr>
                <w:rStyle w:val="IndexLink"/>
                <w:rtl w:val="true"/>
              </w:rPr>
              <w:tab/>
            </w:r>
            <w:r>
              <w:rPr>
                <w:rStyle w:val="IndexLink"/>
              </w:rPr>
              <w:t>438</w:t>
            </w:r>
          </w:hyperlink>
        </w:p>
        <w:p>
          <w:pPr>
            <w:pStyle w:val="Contents5"/>
            <w:tabs>
              <w:tab w:val="clear" w:pos="7892"/>
              <w:tab w:val="right" w:pos="9026" w:leader="dot"/>
            </w:tabs>
            <w:rPr/>
          </w:pPr>
          <w:hyperlink w:anchor="__RefHeading___Toc7368625_1051229030">
            <w:r>
              <w:rPr>
                <w:webHidden/>
                <w:rStyle w:val="IndexLink"/>
                <w:rtl w:val="true"/>
              </w:rPr>
              <w:t>استدلال ابن قبة لامتناع التعبّد بالأمارات</w:t>
            </w:r>
            <w:r>
              <w:rPr>
                <w:rStyle w:val="IndexLink"/>
                <w:rtl w:val="true"/>
              </w:rPr>
              <w:tab/>
            </w:r>
            <w:r>
              <w:rPr>
                <w:rStyle w:val="IndexLink"/>
              </w:rPr>
              <w:t>439</w:t>
            </w:r>
          </w:hyperlink>
        </w:p>
        <w:p>
          <w:pPr>
            <w:pStyle w:val="Contents5"/>
            <w:tabs>
              <w:tab w:val="clear" w:pos="7892"/>
              <w:tab w:val="right" w:pos="9026" w:leader="dot"/>
            </w:tabs>
            <w:rPr/>
          </w:pPr>
          <w:hyperlink w:anchor="__RefHeading___Toc7368627_1051229030">
            <w:r>
              <w:rPr>
                <w:webHidden/>
                <w:rStyle w:val="IndexLink"/>
                <w:rtl w:val="true"/>
              </w:rPr>
              <w:t>في بيان ما هو المجعول في الأمارات الشرعية</w:t>
            </w:r>
            <w:r>
              <w:rPr>
                <w:rStyle w:val="IndexLink"/>
                <w:rtl w:val="true"/>
              </w:rPr>
              <w:tab/>
            </w:r>
            <w:r>
              <w:rPr>
                <w:rStyle w:val="IndexLink"/>
              </w:rPr>
              <w:t>451</w:t>
            </w:r>
          </w:hyperlink>
        </w:p>
        <w:p>
          <w:pPr>
            <w:pStyle w:val="Contents5"/>
            <w:tabs>
              <w:tab w:val="clear" w:pos="7892"/>
              <w:tab w:val="right" w:pos="9026" w:leader="dot"/>
            </w:tabs>
            <w:rPr/>
          </w:pPr>
          <w:hyperlink w:anchor="__RefHeading___Toc7368629_1051229030">
            <w:r>
              <w:rPr>
                <w:webHidden/>
                <w:rStyle w:val="IndexLink"/>
                <w:rtl w:val="true"/>
              </w:rPr>
              <w:t>ظهور دليل الحكم الظاهري في الإجزاء</w:t>
            </w:r>
            <w:r>
              <w:rPr>
                <w:rStyle w:val="IndexLink"/>
                <w:rtl w:val="true"/>
              </w:rPr>
              <w:tab/>
            </w:r>
            <w:r>
              <w:rPr>
                <w:rStyle w:val="IndexLink"/>
              </w:rPr>
              <w:t>452</w:t>
            </w:r>
          </w:hyperlink>
        </w:p>
        <w:p>
          <w:pPr>
            <w:pStyle w:val="Contents2"/>
            <w:tabs>
              <w:tab w:val="clear" w:pos="8743"/>
              <w:tab w:val="right" w:pos="9026" w:leader="dot"/>
            </w:tabs>
            <w:rPr/>
          </w:pPr>
          <w:hyperlink w:anchor="__RefHeading___Toc7368631_1051229030">
            <w:r>
              <w:rPr>
                <w:webHidden/>
                <w:rStyle w:val="IndexLink"/>
                <w:rtl w:val="true"/>
              </w:rPr>
              <w:t>الفهارس العامّة</w:t>
            </w:r>
            <w:r>
              <w:rPr>
                <w:rStyle w:val="IndexLink"/>
                <w:rtl w:val="true"/>
              </w:rPr>
              <w:tab/>
            </w:r>
            <w:r>
              <w:rPr>
                <w:rStyle w:val="IndexLink"/>
              </w:rPr>
              <w:t>458</w:t>
            </w:r>
          </w:hyperlink>
        </w:p>
        <w:p>
          <w:pPr>
            <w:pStyle w:val="Contents3"/>
            <w:tabs>
              <w:tab w:val="clear" w:pos="8459"/>
              <w:tab w:val="right" w:pos="9026" w:leader="dot"/>
            </w:tabs>
            <w:rPr/>
          </w:pPr>
          <w:hyperlink w:anchor="__RefHeading___Toc7368633_1051229030">
            <w:r>
              <w:rPr>
                <w:webHidden/>
                <w:rStyle w:val="IndexLink"/>
                <w:rtl w:val="true"/>
              </w:rPr>
              <w:t>الفهارس العامّة</w:t>
            </w:r>
            <w:r>
              <w:rPr>
                <w:rStyle w:val="IndexLink"/>
                <w:rtl w:val="true"/>
              </w:rPr>
              <w:tab/>
            </w:r>
            <w:r>
              <w:rPr>
                <w:rStyle w:val="IndexLink"/>
              </w:rPr>
              <w:t>458</w:t>
            </w:r>
          </w:hyperlink>
        </w:p>
        <w:p>
          <w:pPr>
            <w:pStyle w:val="Contents3"/>
            <w:tabs>
              <w:tab w:val="clear" w:pos="8459"/>
              <w:tab w:val="right" w:pos="9026" w:leader="dot"/>
            </w:tabs>
            <w:rPr/>
          </w:pPr>
          <w:hyperlink w:anchor="__RefHeading___Toc7368635_105122903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460</w:t>
            </w:r>
          </w:hyperlink>
        </w:p>
        <w:p>
          <w:pPr>
            <w:pStyle w:val="Contents3"/>
            <w:tabs>
              <w:tab w:val="clear" w:pos="8459"/>
              <w:tab w:val="right" w:pos="9026" w:leader="dot"/>
            </w:tabs>
            <w:rPr/>
          </w:pPr>
          <w:hyperlink w:anchor="__RefHeading___Toc7368637_105122903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464</w:t>
            </w:r>
          </w:hyperlink>
        </w:p>
        <w:p>
          <w:pPr>
            <w:pStyle w:val="Contents3"/>
            <w:tabs>
              <w:tab w:val="clear" w:pos="8459"/>
              <w:tab w:val="right" w:pos="9026" w:leader="dot"/>
            </w:tabs>
            <w:rPr/>
          </w:pPr>
          <w:hyperlink w:anchor="__RefHeading___Toc7368639_1051229030">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7368641_105122903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468</w:t>
            </w:r>
          </w:hyperlink>
        </w:p>
        <w:p>
          <w:pPr>
            <w:pStyle w:val="Contents3"/>
            <w:tabs>
              <w:tab w:val="clear" w:pos="8459"/>
              <w:tab w:val="right" w:pos="9026" w:leader="dot"/>
            </w:tabs>
            <w:rPr/>
          </w:pPr>
          <w:hyperlink w:anchor="__RefHeading___Toc7368643_105122903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474</w:t>
            </w:r>
          </w:hyperlink>
        </w:p>
        <w:p>
          <w:pPr>
            <w:pStyle w:val="Contents3"/>
            <w:tabs>
              <w:tab w:val="clear" w:pos="8459"/>
              <w:tab w:val="right" w:pos="9026" w:leader="dot"/>
            </w:tabs>
            <w:rPr/>
          </w:pPr>
          <w:hyperlink w:anchor="__RefHeading___Toc7368645_1051229030">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476</w:t>
            </w:r>
          </w:hyperlink>
        </w:p>
        <w:p>
          <w:pPr>
            <w:pStyle w:val="Contents3"/>
            <w:tabs>
              <w:tab w:val="clear" w:pos="8459"/>
              <w:tab w:val="right" w:pos="9026" w:leader="dot"/>
            </w:tabs>
            <w:rPr/>
          </w:pPr>
          <w:hyperlink w:anchor="__RefHeading___Toc7368647_1051229030">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492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0_80468"/>
      <w:bookmarkStart w:id="1" w:name="pg8030_80468"/>
      <w:bookmarkEnd w:id="1"/>
    </w:p>
    <w:p>
      <w:pPr>
        <w:pStyle w:val="Heading2"/>
        <w:numPr>
          <w:ilvl w:val="1"/>
          <w:numId w:val="1"/>
        </w:numPr>
        <w:rPr/>
      </w:pPr>
      <w:bookmarkStart w:id="2" w:name="pg8030_80468"/>
      <w:bookmarkStart w:id="3" w:name="__RefHeading___Toc7368181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818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30_80476"/>
      <w:bookmarkStart w:id="8" w:name="pg8030_80476"/>
      <w:bookmarkEnd w:id="8"/>
    </w:p>
    <w:p>
      <w:pPr>
        <w:pStyle w:val="Heading2"/>
        <w:numPr>
          <w:ilvl w:val="1"/>
          <w:numId w:val="1"/>
        </w:numPr>
        <w:rPr/>
      </w:pPr>
      <w:bookmarkStart w:id="9" w:name="pg8030_80476"/>
      <w:bookmarkStart w:id="10" w:name="__RefHeading___Toc7368185_1051229030"/>
      <w:bookmarkStart w:id="11" w:name="_Toc3"/>
      <w:bookmarkEnd w:id="9"/>
      <w:bookmarkEnd w:id="10"/>
      <w:r>
        <w:rPr>
          <w:rtl w:val="true"/>
        </w:rPr>
        <w:t>مقدّمة بقلم آیة الله العظمی السبحاني</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أنزل الكتاب تبياناً لكلّ شيء ، وجعل السنّةَ الشريفة مفتاحاً لفهمه ، ومبيّنة لمعضلاته ، والصلاة والسلام على أفضل من اُوتي الحكمة ، وفصل الخطاب ، وآله الطاهرين الأطياب ، الذين هم عيبة علمِه ، وموئل حُكْمه ، صلاة دائمة مادامت السماوات ذات أبراج ، والأرض ذات فجاج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فمن دواعي الخير وبواعث الفخر والاعتزاز أن أحظى بكتابة مقدّمة لسِفْر أملاه أحد مشايخي العظام ؛ أعني السيّد المحقّق البروجردي ، ودبّجتْه يراعة اُستاذي الكبير الإمام الخميني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أستعرض في هذه الكلمة الموجزة الأدوارَ التي اجتازها علم الاُصول ؛ طوالَ قرون متوالية في الأوساط العلمية الشيعية الإمامية ؛ ليكون القارئ العزيز على بصيرة من تأريخ هذا العلم ، ومراحله وأدواره ، وكيفية نشوئه وتطوّره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أتقدّم بكلمتي هذه إلى رحاب الاُستاذين الجليلين اللّذين لهما حقّ عظيم على العلم وأهله ، كما أنّ لهما دوراً في تطوير علم الاُصول وتكامله في المرحلة النهائية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بصدد الإدلاء بترجمتهما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تركا من الآثار الجليلة والتصانيف ، وأخصّ بالذكر الإمام الخميني وما قام به من خدمة كبيرة للإسلام من خِلال ثورته الإسلامية المباركة ، والتي أعقبتها صحوة إسلامية على نِطاق 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والإمام هو النجم الساطع ، والجبل الأشمّ الذي لا ترقى إليه أنظار المتطلّعين ، وليس بوسعي أن اُقدّم صورة واضحة المعالم عن سيرته وخدماته ، وجهاده والبَصَمات التي تركها على العقل الإسلامي ، ولعلّ في هذا التقديم أداءً لجزء يسير ممّا عليّ من الحقوق الكبيرة للاُستاذين العَلَمين ، والرجاء الواثق أن يحظى بالقبول لدى القُرّاء الأعزّاء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نشوؤه وأدواره الإسلام عقيدة وشريعة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والعقيدة هي الإيمان باللّه سبحانه وصفاته والتعرّف على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والشريعة هي الأحكام والقوانين الكفيلة ببيان وظيفة الفرد والمجتمع في حقول مختلفة تجمعها العبادات ، والمعاملات ، والإيقاعات ، والسياسات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فالمتكلّم الإسلامي من تكفّل ببيان العقيدة ، وبرهن على الإيمان باللّه سبحانه وصفاتِهِ الجمالية والجلالية ، وأفعالِهِ من لزوم بعث الأنبياء ونصب الأوصياء لهداية الناس وحشرهم يوم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الفقيه من قام ببيان الأحكام الشرعية الكفيلة بإدارة الفرد والمجتمع ، والتنويه بوظيفتهما أمام اللّه سبحانه ووظيفة كلٍّ منهما بالنسبة إلى الآخر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لفيفاً من العلماء أخذوا على عاتقهم بكلتا الوظيفتين ، فهم في مجال </w:t>
      </w:r>
    </w:p>
    <w:p>
      <w:pPr>
        <w:pStyle w:val="BookText"/>
        <w:rPr/>
      </w:pPr>
      <w:r>
        <w:rPr>
          <w:rFonts w:ascii="Amiri" w:hAnsi="Amiri" w:eastAsia="Amiri" w:cs="Amiri"/>
          <w:color w:val="111111"/>
          <w:sz w:val="28"/>
          <w:sz w:val="28"/>
          <w:szCs w:val="28"/>
          <w:rtl w:val="true"/>
          <w:lang w:bidi="ar-SA"/>
        </w:rPr>
        <w:t xml:space="preserve">العقيدة أبطال الفكر وسَنامه ، وفي مجال التشريع أساطين الفقه وأعلامه ، ولهم الرئاسة التامّة في فهم الدين على مختلف الأصعِدة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تزفّه مؤسّسة تنظيم ونشر آثار الإمام الخميني قدّس سرّه إلى القُرّاء الكرام له صلة بالفقه والشريعة ؛ حيث يعرّف لنا القواعدَ الممّهدة في استنباط الأحكام الشرعية وما ينتهي إليه المجتهد في مقام العمل ، وقد سُمّي منذ أوّل يوم دوّن بعلم اُصول الفقه لصلته الوثيقة بعلم الفقه ، فهو أساس ذلك العلم وركنه ، وعماد الاجتهاد وسناده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بذل الوسع في استنباط الأحكام الشرعية من مصادرها ، وهو رمز خلود الدين وحياته ، وجعله غضّاً طريّاً مصوناً عن الاندراس عَبْر القرون ، ومُغني المسلمينَ عن التطفّل على موائد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من خلال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طبيعة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خاتم الأديان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فتح باب الاجتهاد ؛ لما سيواجه الدين في مسيرته من أحداث وتحدّيات مستجِدّة ، وموضوعات جديدة لم يكن لها مثيل أو نظير في عصر النصّ ، فلا محيص عن معالجتها ؛ إمّا من خلال بذل الجهود الكافية في فهم الكتاب والسنّة وغيرهما من مصادر التشريع واستنباط حكمها ، وإمّا اللجوء إلى القوانين الوضعية ، أو عدم الإفصاح عن حكمها وإهمالها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هو المطلوب ، والثاني سيشكّل نقصاً في التشريع الإسلامي ، وهو سبحانه قد أكمل دينه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لا ينسجم مع طبيعة الحياة ونواميسها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كلّ واحدٍ من أصحابِ النبي صلی الله علیه و آله وسلم متمكّناً من دوامِ الحضورِ عنده صلی الله علیه و آله وسلم لأخذ الأحكام عنه ، بل كان في مدّة حياته يحضره بعضهم دون بعض ، وفي وقت دون وقت ، وكان يسمع جواب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مسألة يسأل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الأصحاب ويفوت عن الآخرين ، فلمّا تفرّق الأصحاب بعد وفاته صلی الله علیه و آله وسلم في البلدان ، تفرّقت الأحكام المرويّة عنه صلی الله علیه و آله وسلم فيها ، فتُروى في كلّ بلدة منها جملة ، وتُروى عنه في غير تلك البلدة جملة اُخرى ؛ حيث إنّه قد حضر المدني من الأحكام ما لم يحضره المصري ، وحضر المصري ما لم يحضره الشامي ، وحضر الشامي ما لم يحضره البصري ، وحضر البصري ما لم يحضره الكوفي إلى غير ذلك ، وكان كلّ منهم يجتهد فيما لم يحضره من الأحكام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الصحابي قد يسمع من النبي صلی الله علیه و آله وسلم في واقعة حكماً ، ويسمع الآخر في مثلها خلافه ، وتكون هناك خصوصية في أحدهما اقتضت تغاير الحكمين ، وغفل أحدهما عن الخصوصية ، أو التفت إليها وغفل عن نقلها مع الحديث ، فيحصل التعارض في الأحاديث ظاهراً ؛ بالرغم من عدم تنافيهما واقعاً ، ولهذه الأسباب وأضعافِ أمثالها ، احتاج حتّى نفس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فازوا بشرف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الأحكام إلى الاجتهاد والنظر في الحديث ، وضمّ بعضه إلى بعض ، والالتفات إلى القرائن الحالية ، فقد يكون للكلام ظاهر ومراد النبي خلافه اعتماداً على قرينة في المقام ، والحديث نقل والقرينة لم تنقل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من أهل الرأي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يروي نفس ألفاظ الحديث للسامع من بعيد أو قريب ، فهو في هذا الحال راوٍ ومحدّثٍ ، وتارة </w:t>
      </w:r>
    </w:p>
    <w:p>
      <w:pPr>
        <w:pStyle w:val="BookText"/>
        <w:rPr/>
      </w:pPr>
      <w:r>
        <w:rPr>
          <w:rFonts w:ascii="Amiri" w:hAnsi="Amiri" w:eastAsia="Amiri" w:cs="Amiri"/>
          <w:color w:val="111111"/>
          <w:sz w:val="28"/>
          <w:sz w:val="28"/>
          <w:szCs w:val="28"/>
          <w:rtl w:val="true"/>
          <w:lang w:bidi="ar-SA"/>
        </w:rPr>
        <w:t>يذكر الحكم الذي استفاده من الرواية أو الروايات بحسب نظره ، فهو في هذا الحال مُفتٍ وصاحب رأي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صاحب الشريعة ما عُني بالتفاصيل والجزئيات ؛ لعدم سنوح الفرصة لبيانها ، أو تعذّر بيان حكم موضوعات لم يكن لها نظير في حياتهم ، بل كان 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صعباً على المخاطبين ، فلا محيص لصاحبِ الشريعةِ عن إلقاء اُصول كلّية ذات مادّة حيويّة قابلة لاستنباط الأحكام وفقاً للظروفِ والأزمنة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حياة الدين مرهونة بمُدارسته ومُذاكرته ، ولو افترضنا أنّ النبي صلی الله علیه و آله وسلم ذكر التفاصيل والجزئيات وأودعها بين دفّتي كتاب ، لاستولى الرُّكود الفكري على عقلية الاُمّة ، ولانحسر كثير من المفاهيم والقِيَم الإسلامية عن ذهنيتها ، وأوجب ضياع العلم وتطرّق التحريف إلى اُصوله وفروعه ؛ حتّى إلى الكتاب الذي فيه تلك التفاصيل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لم تقم للإسلام دعامة ، ولا حُفِظ كِيانُه ونظامه ، إلاّ على ضوء هذه البحوث العلمية والنقاشات الدارجة بين العلماء ، أو ردّ صاحب فكر على ذي فكر آخر بلا محاباة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شيخنا العلاّمة المتضلّع شيخ الشريعة الأصفهاني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الأعلام كلاماً يُعرب عمّا قلناه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عدم محاباة العلماء بعضهم لبعضٍ، من أعظم مزايا هذه الاُمّة التي أعظم اللّه بها عليهم النعمة ؛ حيث حفظهم عن وصمةِ محاباة أهل الكتابين، </w:t>
      </w:r>
    </w:p>
    <w:p>
      <w:pPr>
        <w:pStyle w:val="BookText"/>
        <w:rPr/>
      </w:pPr>
      <w:r>
        <w:rPr>
          <w:rFonts w:ascii="Amiri" w:hAnsi="Amiri" w:eastAsia="Amiri" w:cs="Amiri"/>
          <w:color w:val="111111"/>
          <w:sz w:val="28"/>
          <w:sz w:val="28"/>
          <w:szCs w:val="28"/>
          <w:rtl w:val="true"/>
          <w:lang w:bidi="ar-SA"/>
        </w:rPr>
        <w:t xml:space="preserve">المؤدّية إلى تحريف ما فيهما واندراس تينك الملّتين ، فلم يتركوا لقائل قولاً فيه أدنى دخول إلاّ بيّنوه ، ولفاعل فعلاً فيه تحريف إلاّ قوّموه ، حتّى اتّضحت الآراء،دوانعدمت الأهواء ، ودامت الشريعة البيضاء على مل‌ء الآفاق بأضوائها ، وشفاء القلوب بها من أدوائها ، مأمونةً عن التحريف ، ومصونة عن التصحيف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هذه مكانة الاجتهاد ومنزلته ودوره في خلود الشريعة ، فعلم الاُصول هو الذي يتطرّق إلى كيفية الاجتهاد والاستنباط ، ويذلّل للفقيه استنباط الحكم من مصادره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الكلّية في أحاديث الأئمّة</w:t>
      </w:r>
    </w:p>
    <w:p>
      <w:pPr>
        <w:pStyle w:val="BookText"/>
        <w:rPr/>
      </w:pPr>
      <w:r>
        <w:rPr>
          <w:rFonts w:ascii="IRNazanin" w:hAnsi="IRNazanin" w:eastAsia="IRNazanin"/>
          <w:color w:val="111111"/>
          <w:sz w:val="28"/>
          <w:sz w:val="28"/>
          <w:szCs w:val="28"/>
          <w:rtl w:val="true"/>
          <w:lang w:bidi="fa-IR"/>
        </w:rPr>
        <w:t xml:space="preserve">لم يكن علم الاُصول بمحتواه أمراً مغفولاً عنه ، فقد أملى الإمام الباقر علیه السلام وأعقبه الصادق علیه السلام على أصحابهم قواعد كلّية في الاستنباط ، رتّبها بعض الأصحاب على ترتيب مباحث اُصول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أ لّف في ذلك المضمار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عام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اُصول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يشتمل على القواعد الكلّية المنصوصة في اُصول الفقه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العلاّمة شبّر عبداللّه بن محمّد الرضا الحسيني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الأصلية</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الموسوي ، هاشم بن زين العابدين الخوانساري الأصفهاني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وافته المنية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فهذه الكتب الحاوية على النصوص المرويّة عن أئمّة أهل البيت في القواعد والاُصول الكلّية في مجال اُصول الفقه ، تُعرِبُ عن العناية التي يوليها أئمّة أهل البيت علیهم السلام لهذا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تبعهم أصحابهم ، فهذا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يونس بن عبد الرحمان وجهاً في أصحابنا متقدّماً عظيم المنزلة ، روى عن أبي الحسن موسى والرضا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 ومسائله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نفس باب التعادل والتراجيح في الكتب الاُصولية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سهل النوبختي إسماعيل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المتكلّمين من أصحابنا وغيرهم ، له جلالة في الدنيا والدين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والأحكام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كبار الشيعة ، وكان فاضلاً عالماً متكلّماً ، وله مجلس تحضره جماعة من المتكلّمين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الحسن بن موسى النوبختي</w:t>
      </w:r>
    </w:p>
    <w:p>
      <w:pPr>
        <w:pStyle w:val="BookText"/>
        <w:rPr/>
      </w:pPr>
      <w:r>
        <w:rPr>
          <w:rFonts w:ascii="Amiri" w:hAnsi="Amiri" w:eastAsia="Amiri" w:cs="Amiri"/>
          <w:color w:val="111111"/>
          <w:sz w:val="28"/>
          <w:sz w:val="28"/>
          <w:szCs w:val="28"/>
          <w:rtl w:val="true"/>
          <w:lang w:bidi="ar-SA"/>
        </w:rPr>
        <w:t xml:space="preserve">عرّفه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المتكلّم المبرّز على نظرائه في زمانه قبل الثلاثمائة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والعمل به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ابن اُخت أبي سهل بن نوبخت ، متكلّم فيلسوف ، كان يجتمع إليه جماعة من النَقَلة لكتب الفلسفة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 ، أبو محمّد ، من متكلّمي الإمامية ، وله تصانيف كثيرة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وأدواره</w:t>
      </w:r>
    </w:p>
    <w:p>
      <w:pPr>
        <w:pStyle w:val="BookText"/>
        <w:rPr/>
      </w:pPr>
      <w:r>
        <w:rPr>
          <w:rFonts w:ascii="Amiri" w:hAnsi="Amiri" w:eastAsia="Amiri" w:cs="Amiri"/>
          <w:color w:val="111111"/>
          <w:sz w:val="28"/>
          <w:sz w:val="28"/>
          <w:szCs w:val="28"/>
          <w:rtl w:val="true"/>
          <w:lang w:bidi="ar-SA"/>
        </w:rPr>
        <w:t xml:space="preserve">اجتاز علم الاُصول من لدن تأسيسه إلى زماننا هذا مرحلتين ، وامتازت المرحلة الثانية بالإبداع والابتكار وطرح مسائل مستجدّة ، لم تكن مذكورة في كتب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المرحلةُ الاُولى منذُ أوائل القرن الثالث إلى عصر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اجتازت أدواراً ثلاثة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النشوء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بُدئ بإفراد بعض المسائل الاُصولية بالتأليف ، دون أن يعمّ كافّة المسائل المعنونة في هذا العلم يومذاك ، ولم نقف في هذا الدور على كتاب عامّ يشمل جميع مسائله ، وقد عرفت أنّ يونس بن عبد الرحمان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وأبا سهل النوبختي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بن موسى النوبختي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وبالرغم من ذلك فقد ازدهرت حركة الاستنباط والاجتهاد بين أصحابنا في هذا الدور ، 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فقهاء الشيعة ، المعاصر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العماني فقيه متكلّم ثقة ، له كتب في الفقه والكلام ،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مشهور في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الحاجّ من خراسان إلاّ طلب واشترى منه نسخاً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ألّف الشيخ الكبير أبو علي الكاتب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 لأحكام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وهو كتاب كبير جامع ، ذكر فهرس كتبه الشيخ النجاشي في رجاله ،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 في الفقه المحمّدي</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أصحابنا ثقة جليلُ القدر صنّف فأكثر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حاجة المستنبط في علم الاُصول لم تكن مقصورة على عصر دون عصر ، بل كلّما تقدّمت عَجَلة الحضارة نحوَ الأمام ، ازدادت الحاجة إلى تدوين قواعد الاستنباط ؛ للإجابة على الحوادث المستجدّة وملابساتها التي كان الفقهاء يواجهونها طيّ الزمان ، ممّا ترك تأثيراً إيجابياً على علم الاُصول وساهم في نموّه ، فأفردوا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كما في الدور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بالتأليف ، وقد تحمّل ذلك العب‌ء ثُلّة من أساطين العلم وسنامه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وشيخ الاُمّة محمّد بن النعمان ، المشهور بالمفيد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في ضمن مصنّفاته</w:t>
      </w:r>
      <w:r>
        <w:rPr>
          <w:rStyle w:val="FootnoteAnchor"/>
          <w:rtl w:val="true"/>
        </w:rPr>
        <w:footnoteReference w:id="11"/>
      </w:r>
      <w:r>
        <w:rPr>
          <w:rFonts w:ascii="Amiri" w:hAnsi="Amiri" w:eastAsia="Amiri" w:cs="Amiri"/>
          <w:color w:val="111111"/>
          <w:sz w:val="28"/>
          <w:sz w:val="28"/>
          <w:szCs w:val="28"/>
          <w:rtl w:val="true"/>
          <w:lang w:bidi="ar-SA"/>
        </w:rPr>
        <w:t xml:space="preserve">، ونقل خلاصته شيخنا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الحسين ، المعروف بالمرتضى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من العلوم ما لم يُدانِهِ أحد في زمانه ، وسمع من الحديث فأكثر ، وكان متكلّماً شاعراً أديباً عظيم المنزلة في العلم والدين والدنيا ، وعدّ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الكتاب في جزءين طباعة منقّحة ، وقد عثرت على نسخة خطّية منها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فرغ من تأليفها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وقد نقل عنه جلُّ من تأخّر من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 جليل من أصحابنا ، ثقة عين ، من تلامذة </w:t>
      </w:r>
    </w:p>
    <w:p>
      <w:pPr>
        <w:pStyle w:val="BookText"/>
        <w:rPr/>
      </w:pPr>
      <w:r>
        <w:rPr>
          <w:rFonts w:ascii="Amiri" w:hAnsi="Amiri" w:eastAsia="Amiri" w:cs="Amiri"/>
          <w:color w:val="111111"/>
          <w:sz w:val="28"/>
          <w:sz w:val="28"/>
          <w:szCs w:val="28"/>
          <w:rtl w:val="true"/>
          <w:lang w:bidi="ar-SA"/>
        </w:rPr>
        <w:t xml:space="preserve">شيخنا أبي عبداللّه ، وعدّ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وقد طبع غير مرّة ، وهو كتاب مفصّل مبسوط يحتوي على الآراء الاُصولية المطروحة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بن عبدالعزيز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الازدهار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 هذا الدور منذ أواخر القرن السادس إلى أواسط القرن الثامن ، وقد صنّف أصحابنا كتباً خاصّة في اُصول الفقه تُعرِب عن الإنجازات الضخمة ، والمنزلة ا لراقية التي بلغها علمُ الاُصول من خلال دراسة مسائله بإسهاب ودِقّة وإمعان أكثر ، ومن المصنّفين في هذا الحقل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البارع السيّد حمزة بن علي بن زهرة الحلبي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إلى علمي الاُصول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وكتابه هذا يدور على محاور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والمعارف ، اُصول الفقه ،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الكتاب محقّقاً في مؤسّسة الإمام الصادق علیه السلام في جزءين ، والناظر في قسم اُصول الفقه يرى فيه التفتّح والازدهار بالنسبة إلى ما سبقه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محمود بن علي بن حسن الحمصي الرازي ، وقد 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والمرشد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w:t>
      </w:r>
    </w:p>
    <w:p>
      <w:pPr>
        <w:pStyle w:val="BookText"/>
        <w:rPr/>
      </w:pPr>
      <w:r>
        <w:rPr>
          <w:rFonts w:ascii="Amiri" w:hAnsi="Amiri" w:eastAsia="Amiri" w:cs="Amiri"/>
          <w:color w:val="111111"/>
          <w:sz w:val="28"/>
          <w:sz w:val="28"/>
          <w:szCs w:val="28"/>
          <w:rtl w:val="true"/>
          <w:lang w:bidi="ar-SA"/>
        </w:rPr>
        <w:t>الفيحاء ، عند منصرفه من زيارة الحرمين بالحجاز</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منتجب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سديد الدين علاّمة زمانه في الاُصولين ، ورع ثقة ، وذكر مصنّفاته التي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المصادر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والتنقيح في التحسين والتقبيح</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 الحسن بن أبي زكريا الهذلي الحلّي ، المكنّ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بأبي القاسم ، الملقّب بنجم الدين ، والمشتهر بالمحقّق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داود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 المحقّق المدقّق الإمام العلاّمة واحد عصره ، كان ألسَنَ أهل زمانه ، وأقومهم بالحجّة ، وأسرعهم استحضاراً ، قرأت عليه وربّاني صغيراً ، وكان له عليّ إحسان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تأليفه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 في اُصول الفقه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وقد طبع غير مرّة ، وهو وإن كان صغير الحجم ، لكنّه كثير المعنى شأنُ كلّ ما جادت به قريحتُه في عالم التأليف ، فهذا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 عليه العلماء في جميع الأعصار ، وكتبوا عليه شروحاً وتعاليق وقد طبع في إيران ولبنان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علم الاُصول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المطهّر ،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غنيّ عن التعريف ، برع في المعقول والمنقول ، وتقدّم على العلماء الفحول ، </w:t>
      </w:r>
    </w:p>
    <w:p>
      <w:pPr>
        <w:pStyle w:val="BookText"/>
        <w:rPr/>
      </w:pPr>
      <w:r>
        <w:rPr>
          <w:rFonts w:ascii="Amiri" w:hAnsi="Amiri" w:eastAsia="Amiri" w:cs="Amiri"/>
          <w:color w:val="111111"/>
          <w:sz w:val="28"/>
          <w:sz w:val="28"/>
          <w:szCs w:val="28"/>
          <w:rtl w:val="true"/>
          <w:lang w:bidi="ar-SA"/>
        </w:rPr>
        <w:t xml:space="preserve">وهو في عصر الصبا ، أخذ عن فقيه أهل البيت الشيخ نجم الدين أبي القاسم جعفر بن الحسن ، خاله ، وعن أبيه سديد الدين يوسف بن مطهّر الحلّي ، وأخذ العلوم العقلية عن نصير الدين الطوسي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في غير واحد من الموضوعات النقلية والعقلية ، كما ألّف في اُصول الفقه تصانيف عديدة ذكرها السيّد الأمين في أعيانه ، نشير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الوصول وإيضاح السبل في شرح مختصر منتهى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الوصول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صنّفه باسم ولده فخر الدين ، وهو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عليه شروح وتعاليق مذكورة في أعيان الشيعة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بن أبي الفوارس بن محمّد بن علي الأعرجي الحسيني ، ابن اُخت العلاّمة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وصفه الشهيد الأوّل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الإمام فقيه أهل البيت علیهم السلام في زمانه ، عميد الحقّ والدين ، أبو عبداللّه عبد المطّلب بن الأعرج الحسيني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وصفه غيره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الفخر وفريد الدهر ، مولانا الإمام الربّاني ، وهو ابن اُخت العلاّمة الحلّي رحمه الله علیه وقد أ لّف كتباً كثيرة في الفقه وغيره ، كما أ لّف في </w:t>
      </w:r>
    </w:p>
    <w:p>
      <w:pPr>
        <w:pStyle w:val="BookText"/>
        <w:rPr/>
      </w:pPr>
      <w:r>
        <w:rPr>
          <w:rFonts w:ascii="Amiri" w:hAnsi="Amiri" w:eastAsia="Amiri" w:cs="Amiri"/>
          <w:color w:val="111111"/>
          <w:sz w:val="28"/>
          <w:sz w:val="28"/>
          <w:szCs w:val="28"/>
          <w:rtl w:val="true"/>
          <w:lang w:bidi="ar-SA"/>
        </w:rPr>
        <w:t xml:space="preserve">اُصول الفقه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لخاله العلاّمة الحلّي ، وقد فرغ منه في الخامس عشر من رجب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عبداللّه بن أبي الفوارس ابن اُخت العلاّمة الحلّي ، فقد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لخاله ، وقام الشهيد بالجمع بين الشرحين ، وسمّاه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البين الجامع بين شرحي الأخوين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محمّد بن الحسن نجل العلاّمة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شرح تهذيب والده وسمّاه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الأمل أن يواكب التأليفُ تقدّمَ العصر ، ولكن الركب توقّف عن متابعة هذا التطوّر وأخلد الى الركود ، فلا نكاد نعثر على تصانيف اُصولية بعد شيخنا عميد الدين إلاّ ما ندر ، كمقدّمة المعالم للمحقّق الشيخ حسين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انصبّت الجهود على تدوين القواعد الفقهية وتنظيمها بشكل بديع نستعرض بعضها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محمّد بن مكّي ،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استعرض فيه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 ومع الاعتراف بفضله وتقدّمه في التأليف ، لم يفصّل القواعد الفقهية عن الاُصولية أو العربية ، كما لم يرتّب القواعد الفقهية على أبواب الفقه المشهورة ؛ ممّا حدا بتلميذه المقداد عبداللّه السيوري إلى ترتيب تلك القواعد كما سيوافيك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المتبحّر والاُصولي المتكلّم 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رجال العلم والتحقيق ، فقد قام بترتيب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لشيخه الشهيد ، وسمّاه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نضد القواعد الفقهية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محقّقاً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الأجلّ زين الدين بن نور الدين علي بن أحمد ،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في عائلة نذرت نفسها للدين والعلم ، وقد ألّف في غير واحد من الموضوعات ، ومن آثاره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في هذا الكتاب بين فنَّي تخريج الفروع على الاُصول وتخريج الفروع على القواعد العربية ، وهو كتاب قلّ نظيره عظيم المنزلة ، طبع مرّة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 كما طبع أخيراً محقّقاً في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 المؤلّف فيه مئتي قاعدة ، وفرغ منها في مستهلّ عام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تمّت المرحلة الاُولى التي طواها علم الاُصول ، وحان الآن استعراض المرحلة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الإبداع والابتكار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ظهرت الأخبارية في أواخر القرن العاشر وبداية القرن الحادي عشر على يد الشيخ محمّد أمين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 حملة شعواء على الاُصول والاُصوليين ، وزيّف مسلك الاجتهاد المبنيّ على القواعد الاُصولية ، وزعم أنّ طريقة أئمّة أهل البيت علیهم السلام وأصحابه تخالف ذلك المسلك ، فممّا قاله في ذمّ الاجتهاد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وأوّل من غفل عن طريقة أصحاب الأئمّة علیهم السلام واعتمد على فنّ الكلام وعلى اُصول الفقه ، المبنيّين على الأفكار العقلية المتداولة بين العامّة ، محمّد بن أحمد بن الجُنيد العامل بالقياس ، وحسن بن علي بن أبي عقيل العماني المتكلّم ، ولمّا أظهر الشيخ المفيد حُسن الظنّ بتصانيفهما بين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السيّد الأجلّ المرتضى وشيخ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شاعت طريقتهما بين متأخّري أصحابنا حتّى وصلت النوبة إلى العلاّمة الحلّي ، فالتزم في تصانيفه أكثر القواعد الاُصولية من العامّة ، ثمّ تبعه الشهيدان والفاضل الشيخ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تعالى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الأخبارية منهج مبتدع ؛ ولم يكن بين علماء الشيعة إلى زمان ظهورها منهجان متقابلان متضادّان في مجال الفروع باسم المنهج الاُصولي والأخباري ؛ حتّى يكون لكلّ منهج ، مبادئ مستقلّة يناقض أحدهما الآخر ، بل كان الجميع على خطّ واحد ، وكان الاختلاف في لون الخدمة وكيفية أداء الوظيفة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استدلّ على انقسام علماء الإمامية إلى أخباريّين واُصوليّين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شارح المواقف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الإمامية أوّلاً على مذهب أئمّتهم حتّى تمادى بهم الزمان فاختلفوا وتشعّب متأخّروهم إلى المعتزلة وإلى الأخباريّين</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الشهرستاني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الإمامية كانوا في الأوّل على مذهب أئمّتهم في الاُصول ، ثمّ اختلفوا في الروايات عن أئمّتهم حتّى </w:t>
      </w:r>
    </w:p>
    <w:p>
      <w:pPr>
        <w:pStyle w:val="BookText"/>
        <w:rPr/>
      </w:pPr>
      <w:r>
        <w:rPr>
          <w:rFonts w:ascii="Amiri" w:hAnsi="Amiri" w:eastAsia="Amiri" w:cs="Amiri"/>
          <w:color w:val="111111"/>
          <w:sz w:val="28"/>
          <w:sz w:val="28"/>
          <w:szCs w:val="28"/>
          <w:rtl w:val="true"/>
          <w:lang w:bidi="ar-SA"/>
        </w:rPr>
        <w:t xml:space="preserve">تمادى بهم الزمان ، فاختارت كلّ فرقة طريقة ، فصارت الإمامية بعضها معتزلة إمّا وعيدية وإمّا تفضيلية ، وبعضها أخبارية مشبّهة وإمّا سلفية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جواز العمل بخبر الواحد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فالأخباريون منهم لم يعوّلوا في اُصول الدين وفروعه إلاّ على أخبار الآحاد ، والاُصوليون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جعفر الطوسي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على خبر الواحد ، ولم ينكره سوى المرتضى وأتباعه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بدّ هنا من تعليقة مختصرة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الشاهدين أجنبيّان عمّا يرومه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نقله بالمعنى ، ولو نقل النصّ بلفظه لظهر للقارئ الكريم ما رامه شارح المواقف وإليك نصّه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وتشعّب متأخّروهم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وعيدية أو تفضيلية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ظاهر ما وردت به الأخبار المتشابهة ، وهؤلاء ينقسمون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المتشابهات على أنّ المراد بها ظواهرها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أنّ ما أراد اللّه بها حقّ بلا تشبيه كما عليه السلف ، وإلى ملتحقة بالفرقة الضالّة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نصّ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الاستنتاج ؛ وذلك لأنّ مسلك الأخبارية الذي ابتدعه الشيخ الأمين ليس إلاّ مسلكاً فقهياً قوامه عدم حجّية ظواهر الكتاب أوّلاً ، ولزوم العمل بالأخبار قاطبة من دون إمعان النظر في الأسناد ، وعلاج التعارض بالحمل على التقيّة وغيرها ثانياً ، وعدم حجّية العقل في استنباط الأحكام ثالثاً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الشيعة إلى أخبارية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المسائل العقائدية دون الفقهية، فعلى ما ذكراه فالشيعة تشعّبت في تفسير الصفات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والاستواء والوجه وغير ذلك ممّا ورد في الأخبار بل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وسلفية ، وملتحقة بالفِرق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بأنّ ما ذكره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المسلك الذي ابتدعه الأسترآبادي ، عجيب جدّاً مع اختلافهما في موضوع البحث ، فأين العمل بظواهر الأخبار في صفاته سبحانه ، عن الأخبارية التي ابتدعها الأمين الأسترآبادي في سبيل استخراج الأحكام الشرعية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مسلكه مبنيّ على اُسس وقوائم لم تكن معروفة عند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ذكره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أيضاً لا يمُتّ بصلة إلى مسلك الأخبارية المبتدَع ، بل هو راجع إلى مسألة خلافية بين علماء الإمامية منذ زمن بعيد ؛ وهل أنّ الخبر الواحد حجّة في الاُصول كما هو حجّة في الفروع أو لا ؟ فالمحدّثون والذين سبروا غور الأخبار ، ذهبوا إلى القول الأوّل ، والاُصوليون الذين حكّموا العقل في مجال العقائد قالوا بالثاني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فالأخباري في كلام العلاّمة هو من يمارس الخبر ويدوّنه شأن كلّ محدّث ، لا من يسلك مسلك الأخباريّين في استنباط الأحكام الشرعية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الفكرة الخاطئة الشاذّة عن الكتاب والسنّة وإجماع الأصحاب الأوائل ، شغلت بال العلماء من أصحابنا ما يقرب من قرنين ، وأضحت تلك البُرهة فترة ركود الاُصول وتأ لُّق نجم الأخبارية ، فترى أنّ أكثر مؤلّفاتهم تعلو عليها صبغة الأخبارية ، وهم بين متطرِّف كالأمين الأسترآبادي ، ومعتدل كالشيخ </w:t>
      </w:r>
    </w:p>
    <w:p>
      <w:pPr>
        <w:pStyle w:val="BookText"/>
        <w:rPr/>
      </w:pP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سوء الحظّ أنّ النزاع بين أصحاب المسلكين لم يقتصر على نطاق المحافل العلمية ، بل تسرّب إلى الأوساط العامّة والمجتمعات ، فاُريقت دماء طاهرة ، وهتكت أعراض من جرّاء ذلك ، وقُتل فيها الشيخ أبو أحمد الشريف محمّد بن عبد النبي المحدِّث النيسابوري ، المعروف بميرزا محمّد الأخباري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تجاهر بذمِّ الاُصوليين قاطبة والنيل منهم ، فلقي حتفه عند هجوم العامّة عليه عن عمر يناهز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الهجوم العنيف الذي شنّه الأمين الأسترآبادي وأتباعه على الحركة الاُصولية ، نرى أنّ هناك مَن أخذ بزمام الحركة ؛ بتأليف كتب استطاعت حينها أن تصمد بوجه الأخبارية وتذود عن كيان الحركة الاُصولية ، وقاموا بمحاولات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قام الشيخ عبداللّه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أخيراً محقّقاً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لّف المحقّق الجليل السيّد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وإن كان كتاباً فقهياً ، ولكنّه طرح فيه أفكاراً اُصولية بلون فلسفي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 الشيخ المحقّق محمّد حسن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مطبوع على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المحقّق جمال الدين محمّد بن الحسين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بتصنيف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للعضدي ، كما هو مذكور في ترجمته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في فترة انقضاض الحركة الأخبارية على المدرسة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 لظهور حركة اُصولية جديدة تبنّاها المحقّق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فتح بأفكاره آفاقاً جديدة في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المحقّق البهبهاني في إنعاش المذهب  وكان للاُستاذ الأكبر الشيخ محمّد باقر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فعّال في إخماد نائرة الفتنة؛ بالردّ القاطع على الأخباريّين ، وتزييف أفكارهم ، وتربية جيل من العلماء والمفكّرين على اُسس مستقاة من الكتاب والسُنّة والعقل الصريح ، واتّفاق الأصحاب ، واستطاع أن يشيِّدَ للاُصولِ أركاناً جديدةً ، ودعامات رصينة ، فنهض بالاُصول من خموله الذي دام قرنين ، مُعلناً بانتهاء عصر الركود وابتداء عصر التطوّر والابتكار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وبذر البذرة الاُولى التي تلقّفها العلماء بعده بالرعاية حتّى أينعت وأثمرت ثمارها على يد أساطين من العلماء في غضون الأدوار الآتية ، وبها امتازت هذه المرحلة عمّا سبقها من المرحلة الاُولى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الانفتاح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ابتُدئ هذا الدور بنُخبة من تلامذة الوحيد البهبهاني ، وفي طليعتهم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الطباطبائي المعروف ببحر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 المتبحّر الميرزا أبو القاسم الجيلاني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الفحل السيّد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طبع أخيراً في عشرة أجزاء محقّقاً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النضوج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هذا الدور بتلاميذ خرّيجي مدرسة البهبهاني ، فقاموا بوضع صياغة جديدة للاُسس الاُصولية من منظار جديد ، وعلى رأسهم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بن عبد الرحيم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معالم الاُصول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شريف الآملي المازندراني ، المعروف بشريف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فخراً أنّ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النجم اللامع في سماء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استسقى من فيّاض علمه ، وقد بقيت من آثاره العلمية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أمر الآمر مع العلم بانتفاء الشرط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التكامل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فيه علم الاُصول الذروةَ في التحقيق والتعميق والبحث ، وتطرّقت إليه مسائل جديدة لم تكن مألوفة فيما سبق ، ويعتبر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 المِقْدام في هذا الحقل ؛ حيث استطاع بعقليته الفذّة أن يشيّد أركاناً جديدة لعلم الاُصول ، بلغ بها قمّةَ التطوّر والتكامل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إذا قارنت المؤلّفات الاُصولية في هذه البرهة مع ما اُلّف في المرحلة الاُولى وحتّى مستهلّ المرحلة الثانية ، تجد بينهما بوناً شاسعاً يتراءى في بادئ النظر كأ نّهما علمان ، وما هذا إلاّ بفضل التطوّر والتكامل الذي طرأ على بُنْية الاُصول على يد هذا العبقري الفذّ ، ولم يزل ينبوعه فيّاضاً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مدرسته العديد من الفطاحل والعباقرة ، وأخصّ بالذكر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المجدّد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الكبير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كتابه هذا محور البحوث الاُصولية في الحوزات العلمية 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تخرّج على 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رجال الفكر والعلماء البارعين في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البارع الميرزا حسين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 آراءه تلميذه البارع الشيخ محمّد علي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كتابه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دوّن تلك الآراء أيضاً تلميذه الآخر المرجع الديني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دوّن أفكاره العالم البارع 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الكبير 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تخرّج من مدرسته طليعة من العلماء ، منهم سيّدنا المحقّق العلاّمة </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المحقّق محمّد هادي الميلاني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وأخيرهم لا آخرهم سيّد مشايخنا السيّد المحقّق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قضى عشرة أعوام من عمره الشريف في درس المحقّق الخراساني ، ودوّن شيئاً من أفكار اُستاذه ، وناقشها في موارد خاصّة تتجلّى في تعليقته الثمينة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المقدّسة حرم أهل البيت علیهم السلام</w:t>
      </w:r>
    </w:p>
    <w:p>
      <w:pPr>
        <w:pStyle w:val="BookText"/>
        <w:rPr/>
      </w:pPr>
      <w:r>
        <w:rPr>
          <w:rFonts w:ascii="Amiri" w:hAnsi="Amiri" w:eastAsia="Amiri" w:cs="Amiri"/>
          <w:color w:val="111111"/>
          <w:sz w:val="28"/>
          <w:sz w:val="28"/>
          <w:szCs w:val="28"/>
          <w:rtl w:val="true"/>
          <w:lang w:bidi="ar-SA"/>
        </w:rPr>
        <w:t xml:space="preserve">إنّ مدينة قم المقدّسة كانت بلدة عامرة بالعلم والفقه منذ القرن الثاني إلى أواخر القرن الرابع ، اكتظّت بعباقرة الحديث والفقه والرجال ، ومنها انتشر العلم إلى سائر الأمصار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فالمحدِّثون القُمّيّون عُرفوا في سماء الحديث والفقه ، وكفاك أنّ إبراهيم بن هاشم ، وابنه علي بن إبراهيم، وأحمد بن محمّد بن خالد البرقي ، وأحمد بن محمّد بن عيسى الأشعري ، ومحمّد بن أحمد بن عمران الأشعري ، وغيرهم من جهابذة الحديث والفقه، خرّيجوا مدرسة قم، وقد تركوا مصنّفات ثمينة بقيت مصونة عن حوادث الزمان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تأ لّق نجم العلم في هذه البلدة على منوال واحد ، بل توالى عليه طلوع وغروب مرّة تلو اُخرى إلى أن ساق القضاء رجل العلم والفضيلة ، مثال الزهد والتقى ، آية اللّه العظمى الشيخ عبدالكريم الحائري اليزدي إليها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بتأسيس الحوزة العلمية فيها ونفض الغبار عن كاهل حوزتها </w:t>
      </w:r>
    </w:p>
    <w:p>
      <w:pPr>
        <w:pStyle w:val="BookText"/>
        <w:rPr/>
      </w:pPr>
      <w:r>
        <w:rPr>
          <w:rFonts w:ascii="IRNazanin" w:hAnsi="IRNazanin" w:eastAsia="IRNazanin"/>
          <w:color w:val="111111"/>
          <w:sz w:val="28"/>
          <w:sz w:val="28"/>
          <w:szCs w:val="28"/>
          <w:rtl w:val="true"/>
          <w:lang w:bidi="fa-IR"/>
        </w:rPr>
        <w:t xml:space="preserve">القديمة ، ونفث روحاً جديدة في عروقها في حين كانت رياح الضلال تعصف في أرجاء العالم كلّه ، ووقعت إيران العزيزة في مهبِّ رياحه ، لكن شاءت الأقدار الإلهية أن تكون الحوزة العلمية سدّاً منيعاً أمام التيّارات الإلحادية ، و وتداً راسخاً يحول دون الهزّة العلمانية ، فأضحت مناراً فيّاضاً يشعّ نوراً وهداية في قلوب الاُمّة الإسلامية ؛ على وجه تمثّل قول أئمّة أهل البيت علیهم السلام في حقّ هذه البلدة الطيّبة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 المؤسّس آية اللّه الحائري مدينة قم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المرجّب من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وتقاطر روّاد العلم إليها من كلّ فجٍّ عميق ، فانتعش العلم ببركته ، وخرّج طليعة من روّاد العلم والعلماء إلى أن لبّى نداء ربّه في أواخر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وبذلك فقدت الحوزة العلمية أكبر زعيم لها ومؤسّسها ، ولكن استمرّ عطاء الحوزة العلمية على يد تلامذته ، فقاموا برعاية الجامعة العلمية بعد رحيله أحسن رعاية ، وأخذوا بزمام الاُمور بعزم سديد ويد من حديد في جوّ مشحون بأنواع من الِمحن والشدائد ، التي كادت أن تقلع جذور تلك الشجرة المباركة الطيّبة ، وينبغي علينا ذكرهم إجلالاً للجهود الثمينة التي بذلوها والعناية التي أولوها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السيّد محمّد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السيّد صدر الدين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السيّد محمّد تقي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الأقطاب الثلاثة كانوا مراجع العلم وأساتذة الحوزة وزعماءها صابرين للمحن والكوارث ، غير مكترثين بما ينتابهم من صروف الدهر ، وغِيَر </w:t>
      </w:r>
    </w:p>
    <w:p>
      <w:pPr>
        <w:pStyle w:val="BookText"/>
        <w:rPr/>
      </w:pPr>
      <w:r>
        <w:rPr>
          <w:rFonts w:ascii="Amiri" w:hAnsi="Amiri" w:eastAsia="Amiri" w:cs="Amiri"/>
          <w:color w:val="111111"/>
          <w:sz w:val="28"/>
          <w:sz w:val="28"/>
          <w:szCs w:val="28"/>
          <w:rtl w:val="true"/>
          <w:lang w:bidi="ar-SA"/>
        </w:rPr>
        <w:t xml:space="preserve">الزمان ، مجابهين ضوضاء الباطل بحكمة عملية وعِظة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كانوا ناهضين بأعباء الرعاية والإصلاح والدراسة والتعليم ، إلى أن شاءت الأقدار الإلهية أن شاركهم أحد أفذاذ العلم وأقطاب الفقه والحديث والاُصول ؛ أعني آية اللّه العظمى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غادر مسقط رأسه متوجّهاً إلى قم في مستهلّ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بعد فترة قصيرة من مكوثه في طهران لتدهور صحّته ، فاستقبله العلماء بحفاوة بالغة ، فعادت روح جديدة فيعروق الحوزة ، وتجسّدت الآمال الكبيرة في شخصه وشخصيته وزعامته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السيّد البروجردي في قم المقدّسة</w:t>
      </w:r>
    </w:p>
    <w:p>
      <w:pPr>
        <w:pStyle w:val="BookText"/>
        <w:rPr/>
      </w:pPr>
      <w:r>
        <w:rPr>
          <w:rFonts w:ascii="Amiri" w:hAnsi="Amiri" w:eastAsia="Amiri" w:cs="Amiri"/>
          <w:color w:val="111111"/>
          <w:sz w:val="28"/>
          <w:sz w:val="28"/>
          <w:szCs w:val="28"/>
          <w:rtl w:val="true"/>
          <w:lang w:bidi="ar-SA"/>
        </w:rPr>
        <w:t xml:space="preserve">قام السيّد بإلقاء الدروس ورعاية الحوزة ، إلى أن هزّ نبأ وفاة زعيم الشيعة آية اللّه العظمى السيّد أبو الحسن الأصفهاني البلادَ الإسلامية في اليوم الثامن من ذي الحجّة الحرام من 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ومنذ ذلك الحين استقطب سيّدنا البروجردي أنظار الشيعة في كلّ أرجاء المعمورة ، وتجسّدت فيه الزعامة الدينية للشيعة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ولع شديد بإلقاء الدروس والمحاضرات وتربية الفقهاء على الرغم من قيامه بأعباء الزعامة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وتعبِّر محاضراته الفقهية عن أبكار أفكاره ، فتناول إلى غير واحد من أبواب الفقه ، كالإجارة ، والوصيّة ، والصلاة ، والخُمس ، والطهارة ، وغير ذلك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اُصول الفقه فقد جعل محور دراستها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لاُستاذه </w:t>
      </w:r>
    </w:p>
    <w:p>
      <w:pPr>
        <w:pStyle w:val="BookText"/>
        <w:rPr/>
      </w:pPr>
      <w:r>
        <w:rPr>
          <w:rFonts w:ascii="Amiri" w:hAnsi="Amiri" w:eastAsia="Amiri" w:cs="Amiri"/>
          <w:color w:val="111111"/>
          <w:sz w:val="28"/>
          <w:sz w:val="28"/>
          <w:szCs w:val="28"/>
          <w:rtl w:val="true"/>
          <w:lang w:bidi="ar-SA"/>
        </w:rPr>
        <w:t xml:space="preserve">المحقّق الخراساني ، فألقى محاضرات في معظم مباحث الألفاظ ، ثمّ في المباحث العقلية ، فأكمل البحث في القطع والظنّ والبراءة وشيء من مباحث الاشتغال ، حتّى عاقته اُمور الزعامة عن مواصلتها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البروجردي آية في جُلّ العلوم الإسلامية فما منعه سَبْر الغور في الفقه واُصوله ، عن دراسة المعقول والكلام والتأريخ والرجال ؛ ممّا أدّى إلى انكباب الفضلاء وعلماء الحوزة على محاضراته ؛ مع أ نّهم كانوا فيالرعيل الأوّل من الأساتذة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كان يحضر محاضرات سيّدنا البروجردي ، الزعيم الأكبر والإمام الأعظم سيّدنا آية اللّه العظمى السيّد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قدّس سرّه أحد المتلهّفين والمتحمِّسين لإقامة السيّد البروجردي في حوزة قم ، وقد تحمّل جهوداً مُضنية في هذا السبيل ، وشكّلت فيما بعدُ إحدى الدوافع الرئيسية إلى حضوره وزملائه في درس السيّد البروجردي ؛ حتّى أضفى طابع النشاط والحيوية على محاضراته ، وأعطاها تأ لّقها وتميّزها عن سائر الدروس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حضور سيّدنا الإمام الخميني أندية دروس السيّد البروجردي حضوراً شكلياً ولإضفاء الجلال والإكبار للمحاضرة فقط ، بل كان هناك دافع آخر ، وهو الاستقاء من منهل علمه ورحيق فكره ، وكنت أحسّ حينما أنظر إليه أ نّه يُنصت إلى دروس الاُستاذ بوعي ودقّة وشَغَف ولم يكن يدور بخَلَدي أ نّه يدوّن ما يسمعه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بصفاء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حدّثني به شفهياً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جدارة كتابة تلك الدروس لئلاّ تذهب جهود المحاضر سُدىً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ويرجع تأريخ كتابة تلك الدروس إلى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وامتدّت إلى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وقد عاقت بعض الحوادث سيّدنا الإمام الخميني عن متابعة العمل ، ومع ذلك فالكتاب يشتمل على معظم مباحث الألفاظ ومباحث القطع وشيء من مباحث 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الإمام الخميني ينقل آراء السيّد البروجردي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 أحضرها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الاُصول بدقّة ، ثمّ يتابعها بالدراسة والنقاش ، وكان المصدر الوحيد لنقل آرائه هو ما كتبه من محاضراته ، وقد شاهدت ما كتبه بخطّه الشريف في هذا المضمار ، غير أ نّه ممّا يؤسف له أنّ بعض الطوارق أتلفت بعض أوراقه ، ومع ذلك ففي الباقي غِنىً وكفاية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وأتقدّم بالشكر الجزيل إلى الهيئة العلمية المشرفة على نشر آثار الإمام الخميني قدّس سرّه على وجه يلائم روح العصر ومتطلّباته ، وأخصّ بالذكر حفيده السيّد حسن الخميني ، فهو كوالده المغفور له حجّة الإسلام السيّد أحمد الخميني قدّس سرّه ، قد أدّيا بعض ما للإمام قدّس سرّه من حقوق عليهما وعلى الاُمّة ، فلهما ولمساعيهما أسمى آيات الثناء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حول شخصية الإمام الخميني قدّس سرّه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القلائل التي يضنّ بهم الدهر إلاّ في فترات يسيرة ، والكلام عنه وعن خدماته الجليلة وآثاره ومُعطَياته للاُمّة ، خاصّة تلك الثورة الإسلامية العظيمة التي رجّت البلاد وقوّضت عروش الطواغيت ، رهن مقال مُسهَب أو كتاب مفرد ، وقد قمنا ببعض وظيفتنا </w:t>
      </w:r>
    </w:p>
    <w:p>
      <w:pPr>
        <w:pStyle w:val="BookText"/>
        <w:rPr/>
      </w:pPr>
      <w:r>
        <w:rPr>
          <w:rFonts w:ascii="Amiri" w:hAnsi="Amiri" w:eastAsia="Amiri" w:cs="Amiri"/>
          <w:color w:val="111111"/>
          <w:sz w:val="28"/>
          <w:sz w:val="28"/>
          <w:szCs w:val="28"/>
          <w:rtl w:val="true"/>
          <w:lang w:bidi="ar-SA"/>
        </w:rPr>
        <w:t xml:space="preserve">تِجاهَ اُستاذنا الكبير عام رحيله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ونشير في هذا المقال إلى الدورات الاُصولية المختلفة التي أقامها ، والآثار التي تركها في ذاك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بتدريس خارج الاُصول بعد حلول السيّد البروجردي بقم المقدّسة ، وبما أنّ السيّد البروجردي بدأ بمباحث الألفاظ ، نزل الإمام عند رغبة ثُلّة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الشهيد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إلقاء محاضرات حول الأدلّة الاجتهادية والاُصول العملية، وكان يكتب ما يلقي تحت عنوان 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انتهت دراسته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ضبط المباحث بصورة التعليقة ، وعدل إلى كتابتها بصورة مستقلّة ، حتّى انتهت هذه الدورة إلى دراسة مبحث الاجتهاد والتقليد، وتمّت المحاضرات في شعبان المعظّم من عام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وقد كنّا نحضر محاضراته في هذه الدورة من أواسط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نشر من الإمام بصورة 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قاعدة لا ضرر ، ومنها إلى مبحث الاجتهاد والتقليد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نتاج هذه الدورة المختصّة بالمباحث العقلية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بتدريس دورة جديدة كاملة في مُختتم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وانتهت تلك الدورة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الدورة هي التي كتبناها وأشرف قدّس سرّه على كلّ ما حرّرناه ، وكتب تقريظاً في صدر الكتاب، وطُبع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 غير أ نّا لم ننشر ما يرجع إلى الاستصحاب والتعادل والتراجيح ؛ وذلك لأنّه قد سبقنا نشر ما كتبه الاُستاذ بقلمه الشريف في الدورة الاُولى المختصّة بالمباحث العقلية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نُشر منه أخيراً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اللفظية ، فهو نتاج هذه الدورة ، وقد تمّ بدر تمامه في شهر شوّال المكرّم من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بدورة ثالثة استغرقت بين خمس أو ستّ سنوات ، وقد علّق في هذه الدورة بعض ما بدأ له من الأنظار ، وسجّلها في كتيّب خاصّ إكمالاً للمحاضرات السابقة التي كتبتُها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العوائق حالت دون إكمالها ، وتوقّف ركب البحث والدراسة في ثنايا مباحث الاشتغال ، عقْب إقصاء الاُستاذ إلى تركيا ومنها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جُلّ ما قام به الاُستاذ من محاضرات قيّمة في اُصول الفقه ، وأمّا سائر محاضراته في الفقه وغيره فحدِّث عنها ولا حرج ، وللحديث عنه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وللاُستاذ قدّس سرّه رسالة اُخرى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سجّل فيها ما بدأ لاُستاذه الكبير آية اللّه الحائري من أبكار أفكار ، ونتاجات جديدة في علم الاُصول وراء 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الاُصول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فأرجوا من المسؤولين في مؤسّسة نشر آثار الإمام ، نشر هذه الرسالة والتي كانت تضمّ أشياء اُخرى سجّلها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أرفع آيات الاعتذار إلى سماحة اُستاذي الكبير الإمام الخميني قدّس سرّه ، فإنّ ما قدّمتُ له من الترجمة لم تكن إلاّ لمحة خاطفة ، لا تحيط بجزء من جوانب شخصيته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عند كرام الناس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مؤسّسة الإمام الصادق علیه السلام </w:t>
      </w:r>
      <w:bookmarkStart w:id="12" w:name="pg8030_80534"/>
    </w:p>
    <w:p>
      <w:pPr>
        <w:pStyle w:val="Heading2"/>
        <w:numPr>
          <w:ilvl w:val="1"/>
          <w:numId w:val="1"/>
        </w:numPr>
        <w:rPr/>
      </w:pPr>
      <w:bookmarkStart w:id="13" w:name="__RefHeading___Toc7368187_1051229030"/>
      <w:bookmarkStart w:id="14" w:name="_Toc4"/>
      <w:bookmarkEnd w:id="12"/>
      <w:bookmarkEnd w:id="13"/>
      <w:r>
        <w:rPr>
          <w:rtl w:val="true"/>
        </w:rPr>
        <w:t>حول تحقيق الكتاب</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صحّحنا الكتاب طبقاً للنسخة التي بخطّ المؤلّف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بتقويم النصّ وترقيمه بعلائم الترقيم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أضفنا عدداً من العناوين بهدف تسهيل الرجوع للكتاب، ونظراً لكثرتها فقد جرّدناها من المعقوفين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تخريج الآيات الكريمة ، والأحاديث الشريفة ، وقد أسندناها إلى مصادرها الأصلية كالكتب الأربعة وكتب الواسطة كوسائل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الأقوال والآراء المنقولة قدر المستطاع ؛ سواء الفقهية منها أو الاُصولية أو الرجالية أو التفسيرية أو الفلسفية أو اللغوية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نتمكّن من تحديد صاحب القول الأصلي، أو لم نعثر على القول في كتابه ، أو لم يكن المنقول مطابقاً للموجود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الفهارس الفنّية في آخر الكتاب تسهيلاً لأمر المحقّقين والاستفادة الكاملة من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ضاع كثير من أوراق الكتاب مربوطة بأبحاث وضع الحروف إلى آخر المشتقّ وبعض الأوراق من خلال باقي المباحث فتركناها إلاّ بعض المواضع التي أثبتناها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للبحث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الكتاب كان خالياً عن أيّة تعليقة تحقيقية مع كثرة اختلاف آراء الإمام </w:t>
      </w:r>
    </w:p>
    <w:p>
      <w:pPr>
        <w:pStyle w:val="BookText"/>
        <w:rPr/>
      </w:pPr>
      <w:r>
        <w:rPr>
          <w:rFonts w:ascii="Amiri" w:hAnsi="Amiri" w:eastAsia="Amiri" w:cs="Amiri"/>
          <w:color w:val="111111"/>
          <w:sz w:val="28"/>
          <w:sz w:val="28"/>
          <w:szCs w:val="28"/>
          <w:rtl w:val="true"/>
          <w:lang w:bidi="ar-SA"/>
        </w:rPr>
        <w:t xml:space="preserve">والسيّد البروجردي، فقد ذكر في الطبعة الاُولى هوامش تفصيلية مبيّنة مواضع الاختلافات، أمّا الآن فقد حذفنا هذه التعليقات اتّكالاً على أصل المؤلّفات المطبوعة في ضمن هذه الموسوعة وحذراً من التكرار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تسمية الكتاب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جانب المؤسّسة كما هو المرسوم في تسمية الكتب التي لم يسمّها صاحبها ، حيث إنّ الكتاب قد طبع أوّل مرّة بعد رحيل الإمام في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أنّ بعض هذه المراحل لتحقيق الكتاب قد وقعت في الطبعة الاُولى وفي هذه الطبعة قد صحّحناها وهذّبناها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نتقدّم بالشكر الجزيل والثناء الجميل لجميع الأفاضل الذين ساهموا في هذا المشروع المبارك والذي استمرّ ستّة أعوام لنشر هذه الموسوعة ، ونسأل الباري أن يوفّقهم جميعاً ويثيبهم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الخمينى قدّس سرّه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خط الإمام قدّس سرّه للصفحة الاُولى من الأصل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نموذج من خط الإمام قدّس سرّه من الأصل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559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خط الإمام قدّس سرّه للصفحة الأخيرة من الأصل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33_80571"/>
      <w:bookmarkStart w:id="16" w:name="pg8033_80571"/>
      <w:bookmarkEnd w:id="16"/>
    </w:p>
    <w:p>
      <w:pPr>
        <w:pStyle w:val="Heading2"/>
        <w:numPr>
          <w:ilvl w:val="1"/>
          <w:numId w:val="1"/>
        </w:numPr>
        <w:rPr/>
      </w:pPr>
      <w:bookmarkStart w:id="17" w:name="pg8033_80571"/>
      <w:bookmarkStart w:id="18" w:name="__RefHeading___Toc7368189_1051229030"/>
      <w:bookmarkStart w:id="19" w:name="_Toc5"/>
      <w:bookmarkEnd w:id="17"/>
      <w:bookmarkEnd w:id="18"/>
      <w:r>
        <w:rPr>
          <w:rtl w:val="true"/>
        </w:rPr>
        <w:t>المقدّمة</w:t>
      </w:r>
      <w:bookmarkEnd w:id="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368191_1051229030"/>
      <w:bookmarkStart w:id="21" w:name="_Toc6"/>
      <w:bookmarkEnd w:id="20"/>
      <w:r>
        <w:rPr>
          <w:rtl w:val="true"/>
        </w:rPr>
        <w:t>المقدّمة</w:t>
      </w:r>
      <w:bookmarkEnd w:id="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33_80575"/>
      <w:bookmarkStart w:id="23" w:name="pg8033_80575"/>
      <w:bookmarkEnd w:id="23"/>
    </w:p>
    <w:p>
      <w:pPr>
        <w:pStyle w:val="Heading3"/>
        <w:numPr>
          <w:ilvl w:val="2"/>
          <w:numId w:val="1"/>
        </w:numPr>
        <w:rPr/>
      </w:pPr>
      <w:bookmarkStart w:id="24" w:name="pg8033_80575"/>
      <w:bookmarkStart w:id="25" w:name="__RefHeading___Toc7368193_1051229030"/>
      <w:bookmarkStart w:id="26" w:name="_Toc7"/>
      <w:bookmarkEnd w:id="24"/>
      <w:bookmarkEnd w:id="25"/>
      <w:r>
        <w:rPr>
          <w:rtl w:val="true"/>
        </w:rPr>
        <w:t>فصل في موضوع علم الاُصول وتعريفه</w:t>
      </w:r>
      <w:bookmarkEnd w:id="2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مسلّمات أهل الفنون من الحكماء وأصحاب الميزان ،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موضوعات العلوم هي التي يبحث في تلك العلوم عن عوارضها الذاتية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بتمايز الموضوعات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شيء آخر قد تسالم عليه أصحاب فنّ الاُصول من السابقين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موضوع علم الاُصول الأدلّة الأربعة بما هي متّصفة بالوصف العنواني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عليه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عمدة المباحث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اُصولية على هذا الفرض ، مثل حجّية الخبر الواحد ، ومباحث التعادل والترجيح وأمثالهما ، وتندرج في المبادئ</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ذوات الأدلّة ، لا بما هي متّصفة بهذا الوصف ، فيكون البحث عن حجّية الخبر ، بحثاً عن العوارض الذاتية لذات الموضوع ؛ فإنّ الخبر من السنّة ، وهي الموضوع ، واتّصافه بالحجّية من العوارض الذاتية للموضوع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على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الخبر الواحد ، لا تكاد تعدّ من عوارض السنّة ، بل هي من عوارض الخبر الواحد ، والخبر بما هو لا يكون موضوعاً للعلم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تصدّى العلاّمة الخراساني رحمه الله علیه لدفع تمام الإشكالات ؛ بأنّ موضوع العلم لا هذا ولا ذاك ، بل هو الكلّي المتّحد مع موضوعات المسائل خارجاً ، على وزان اتّحاد الطبيعي مع أفراده ، والمغايرة من حيث المفهوم ، كما هو الشأن في الطبيعي مع الأفراد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ربّما لا نعرف في بعض العلوم جهةً مشتركة متّحدة مع موضوعات المسائل ، كي تكون هي الموضوع للعلم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7" w:name="pg8033_80578"/>
    </w:p>
    <w:p>
      <w:pPr>
        <w:pStyle w:val="BookText"/>
        <w:rPr/>
      </w:pPr>
      <w:bookmarkEnd w:id="27"/>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مع عدم تشخيص الموضوع ، ربّما تتداخل العلوم في المسائل ، ولا يعلم أ نّها من أيّ علم من العلوم ، وقد تسالم القوم على أنّ تمايز العلوم بالموضوعات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 نّه لا بدّ وأن تكون بين المسائل جهة مشتركة سارية في جميع موضوعات مسائل كلّ فنّ من الفنون ، وهذه هي موضوع العلم وإن لم نعرف اسمها ؛ إذ الأسماء لا دخل لها في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 نّه لا نسلّم هذا التسالم ، بل نقول في قبالهم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تمايز العلوم بتمايز الأغراض ، لا الموضوعات ، وكلّ مسألة دخيلة في غرض المدوّن ، تكون لا محالة من مسائل العلم المدوّن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368195_1051229030"/>
      <w:bookmarkStart w:id="29" w:name="_Toc8"/>
      <w:bookmarkEnd w:id="28"/>
      <w:r>
        <w:rPr>
          <w:rtl w:val="true"/>
        </w:rPr>
        <w:t>في تمايز العلوم</w:t>
      </w:r>
      <w:bookmarkEnd w:id="29"/>
    </w:p>
    <w:p>
      <w:pPr>
        <w:pStyle w:val="BookText"/>
        <w:rPr/>
      </w:pPr>
      <w:r>
        <w:rPr>
          <w:rFonts w:ascii="Amiri" w:hAnsi="Amiri" w:eastAsia="Amiri" w:cs="Amiri"/>
          <w:color w:val="111111"/>
          <w:sz w:val="28"/>
          <w:sz w:val="28"/>
          <w:szCs w:val="28"/>
          <w:rtl w:val="true"/>
          <w:lang w:bidi="ar-SA"/>
        </w:rPr>
        <w:t xml:space="preserve">هذا ، والذي يؤدّي إليه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مسائل العلوم والفنون ؛ من الأدبية ، والعقلية ، والفقهية ، والاُصولية وغيرها ، كلّها تكون في حدود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عداها من المدوِّن وأغراضه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خصوصية ، بها تمتاز مسائل كلّ علم عمّا سواها من مسائل العلم الآخر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مسألة من كلّ علم ، لها بنفسها خصوصية ذاتية ، تشترك هذه المسألة في لواء هذه الخصوصية مع عدّة مسائل اُخرى ، فتكون هذه وتلك جميعاً من فروع علم واحد ، وهذه الحيثية المشتركة ثابتة وسارية في جميع مسائل الفنّ ، من دون نظرٍ إلى ما هو الغرض من التدوين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الإمعان في مسائل علم النحو ، يتّضح أنّ ما يبحث عنه في تمامها ليس إلاّ كيفية أواخر الكلمة ؛ من المرفوعية ، والمنصوبية ، والمجرورية ، وتلك الخصوصية سارية في جميع مسائل علم النحو ولو مع الغفلة عمّا هو الغرض من التدوين ؛ إذ من الواضح أنّ تلك الخصوصية السارية ، لا تكون إلاّ لذوات المسائل بما هي مسائل ، بدون أن يكون للأغراض الداعية إلى التدوين دخل فيها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علم الصرف والمعاني والبيان والفلسفة وغيرها ، فإنّ الخصوصية الموجودة سارية في جميع مسائل الفلسفة الإلهية ، وثابتة لتمامها ، من غير دخالة للأغراض فيها ؛ بل هي بنفس ذواتها واجدة لتلك الخصوصية 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w:t>
      </w:r>
      <w:r>
        <w:rPr>
          <w:rStyle w:val="FootnoteAnchor"/>
          <w:rtl w:val="true"/>
        </w:rPr>
        <w:footnoteReference w:id="31"/>
      </w:r>
      <w:r>
        <w:rPr>
          <w:rFonts w:ascii="IRNazanin" w:hAnsi="IRNazanin" w:eastAsia="IRNazanin"/>
          <w:color w:val="111111"/>
          <w:sz w:val="28"/>
          <w:sz w:val="28"/>
          <w:szCs w:val="28"/>
          <w:rtl w:val="true"/>
          <w:lang w:bidi="fa-IR"/>
        </w:rPr>
        <w:t xml:space="preserve">ذلك بل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الطوسي رحمه الله علیه في أوّل مبحث طبيعيات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مباحث الهيولى والصورة التي يبتني عليها العلم الطبيعي ، مصادرات فيه ، ومسائل من الفلسفة الاُولى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موضوع الفلسفة هو الموجود بما هو موجود وإثبات وجود المادّة والصورة من فروع الفلسفة ، لا العلم الطبيعي ، بل من مبادئه ؛ لأنّ الموضوع فيه الجسم الطبيعي المتأ لّف من المادّة والصورة ، مع أنّ الغرض في العلم الطبيعي يشمل البحث عن الهيولى والصورة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المسائل المتشتّتة في كلّ علم مع تشتّتها ، لها خصوصية </w:t>
      </w:r>
    </w:p>
    <w:p>
      <w:pPr>
        <w:pStyle w:val="BookText"/>
        <w:rPr/>
      </w:pPr>
      <w:r>
        <w:rPr>
          <w:rFonts w:ascii="Amiri" w:hAnsi="Amiri" w:eastAsia="Amiri" w:cs="Amiri"/>
          <w:color w:val="111111"/>
          <w:sz w:val="28"/>
          <w:sz w:val="28"/>
          <w:szCs w:val="28"/>
          <w:rtl w:val="true"/>
          <w:lang w:bidi="ar-SA"/>
        </w:rPr>
        <w:t xml:space="preserve">جامعة لشتاتها ، وحافظة لمتفرّقاتها ، وتلك الخصوصية ثابتة في حدّ ذاتها مع قطع النظر عن الأغراض ؛ فإنّ الأغراض جهات طارئة خارجة عن ذوات المسائل ، ولا تكاد تكون مميّزة للعلوم ؛ لأنّ المميّز لا بدّ وأن يكون من الخصوصيات الثابتة لذوات المسائل ؛ إذ الغرض الأوّل من الفلسفة وإن كان العلم بموجودية الأشياء ، والعلم هو التصديق ، إلاّ أنّ العلم كيف يمكن أن يكون الجهة المميّزة للفلسفة عن غيرها من العلوم ؛ بحيث يكون جامعاً لمسائلها ، ومانعاً عن 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العلوم كلّها ممّا يتعلّق هذا الغرض بها ، وتكون مسائل جميع الفنون واجدة لتلك الخصوصية من حيث تعلّق الغرض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الأغراض إنّما تكون متفرّعة على تلك الخصوصيات الذاتية الثابتة لجميع المسائل في المرتبة الثانية ، وهذا ممّا لا ينكر البتّة ؛ فإنّ الغرض من تدوين النحو مثلاً ؛ هو العلم بكيفية أواخر الكلمة ، ومن المعلوم أنّ هذا الغرض لا يتعلّق إلاّ بعد ما كانت لمسائل النحو خصوصية ذاتية ؛ هي كيفية أواخر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الأغراض الثانوية ، كتحصيل نفع أو مصلحة من المسائل الشخصية أو النوعية ، مثل التقرّب إلى اللّه تعالى ، أو غير ذلك ، فهي ممّا تختلف باختلاف الأشخاص ، فكيف يحصل بها ميز كلّي في العلوم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العلم هو الحيثية المشتركة الجامعة التي تشترك فيها المسائل بأجمعها ، وعين هذه الحيثية هي الجهة المميّزة بين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موضوعات العلوم </w:t>
      </w:r>
      <w:r>
        <w:rPr>
          <w:rFonts w:eastAsia="Amiri" w:cs="Amiri" w:ascii="Amiri" w:hAnsi="Amiri"/>
          <w:color w:val="111111"/>
          <w:sz w:val="28"/>
          <w:szCs w:val="28"/>
          <w:rtl w:val="true"/>
          <w:lang w:bidi="ar-SA"/>
        </w:rPr>
        <w:t xml:space="preserve">. </w:t>
      </w:r>
      <w:bookmarkStart w:id="30" w:name="pg8033_80584"/>
    </w:p>
    <w:p>
      <w:pPr>
        <w:pStyle w:val="Heading3"/>
        <w:numPr>
          <w:ilvl w:val="2"/>
          <w:numId w:val="1"/>
        </w:numPr>
        <w:rPr/>
      </w:pPr>
      <w:bookmarkStart w:id="31" w:name="__RefHeading___Toc7368197_1051229030"/>
      <w:bookmarkStart w:id="32" w:name="_Toc9"/>
      <w:bookmarkEnd w:id="30"/>
      <w:bookmarkEnd w:id="31"/>
      <w:r>
        <w:rPr>
          <w:rtl w:val="true"/>
        </w:rPr>
        <w:t>في تمايز المسائل</w:t>
      </w:r>
      <w:bookmarkEnd w:id="32"/>
    </w:p>
    <w:p>
      <w:pPr>
        <w:pStyle w:val="BookText"/>
        <w:rPr/>
      </w:pPr>
      <w:r>
        <w:rPr>
          <w:rFonts w:ascii="Amiri" w:hAnsi="Amiri" w:eastAsia="Amiri" w:cs="Amiri"/>
          <w:color w:val="111111"/>
          <w:sz w:val="28"/>
          <w:sz w:val="28"/>
          <w:szCs w:val="28"/>
          <w:rtl w:val="true"/>
          <w:lang w:bidi="ar-SA"/>
        </w:rPr>
        <w:t xml:space="preserve">وأمّا امتياز نفس المسائل بعضها عن بعض ، فهو أيضاً بنفس ذوات المسائل ؛ فإنّ الخصوصية التي تكون في هذه المسألة ، غير ما تكون في غيرها ، لكن هذه الجهات المميّزة بين المسائل ، إنّما تنتزع من الحيثية المشتركة الكلّية التي تكون موضوعاً للعلم ، وتكون تلك الجهات خارجة عن ذات الموضوع مفهوماً ، ومتّحدة معها خارجاً ، على وِزان خارجات المحمول ، لا المحمولات بالضميمة التي تكون حقائق غير حقيقة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تكون تلك الجهات المميّزة بين المسائل ، هي عين الجهة المشتركة ذاتاً ومفهوماً ؛ لأنّ الحيثية المشتركة لا يعقل أن تكون عين الحيثيات المتمايزة في المسائل ، ولا جزءها ، بل إنّما تكون مغايرة لها مفهوماً ، ومن عوارضها التي تتّحد معها وجوداً ، كما هو الشأن في العوارض التي من قبيل خارجات المحمول ، فتحمل هذه الجهات المتمايزة المائزة بين المسائل على الجهة المشتركة الوحدانية ، وتكون محمولات لها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العرض المصطلح في لسان الطبيعي</w:t>
      </w:r>
      <w:r>
        <w:rPr>
          <w:rStyle w:val="FootnoteAnchor"/>
          <w:rtl w:val="true"/>
        </w:rPr>
        <w:footnoteReference w:id="33"/>
      </w:r>
      <w:r>
        <w:rPr>
          <w:rFonts w:ascii="Amiri" w:hAnsi="Amiri" w:eastAsia="Amiri" w:cs="Amiri"/>
          <w:color w:val="111111"/>
          <w:sz w:val="28"/>
          <w:sz w:val="28"/>
          <w:szCs w:val="28"/>
          <w:rtl w:val="true"/>
          <w:lang w:bidi="ar-SA"/>
        </w:rPr>
        <w:t>، والعرض المصطلح في لسان المنطقي</w:t>
      </w:r>
      <w:r>
        <w:rPr>
          <w:rStyle w:val="FootnoteAnchor"/>
          <w:rtl w:val="true"/>
        </w:rPr>
        <w:footnoteReference w:id="34"/>
      </w:r>
      <w:r>
        <w:rPr>
          <w:rFonts w:ascii="Amiri" w:hAnsi="Amiri" w:eastAsia="Amiri" w:cs="Amiri"/>
          <w:color w:val="111111"/>
          <w:sz w:val="28"/>
          <w:sz w:val="28"/>
          <w:szCs w:val="28"/>
          <w:rtl w:val="true"/>
          <w:lang w:bidi="ar-SA"/>
        </w:rPr>
        <w:t xml:space="preserve">، وتنقدح أيضاً مواضع الخلط بين الاصطلاحين ؛ إذ العرض في اصطلاح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وجد وجد في الموضوع ، في قبال الجوهر الذي يوجد لا في الموضوع ، بل على نحو الاستقلال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والعرض في لسان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خارجاً عن مقام الذات ولو كان منتزعاً عنها ، وبهذا الاصطلاح يكون مفهوم الناطق عرضاً بالنسبة إلى مفهوم الحيوان ؛ لأنّ الناطق مفهوم خارج عن مفهوم الحيوان ، وكذلك الحيوان بالنسبة إلى مفهوم الناطق ، ولكنّهما ذاتيان بالنسبة إلى الإنسان ، ولذا 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أوّلياً مفهومياً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فقد يكون ما في الاصطلاح المنطقي بالنسبة إلى شيء عرضاً ، وبالنسبة إلى شيء آخر ذاتياً ، وأمّا الأعراض في لسان الحكيم الطبيعي ، فهي ممّا لا تختلف بالوجوه والاعتبارات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المائزة المتمايزة في المسائل التي حكمنا بأ نّها من عوارض الجهة المشتركة ، إنّما هي عوارض لها في اصطلاح المنطقي ، لا العوارض باصطلاح الطبيعي ؛ فإنّها تكون بالنسبة إلى الجامع من قبيل خارج المحمول ؛ بمعنى أ نّها متّحدة في الخارج معها بحيث لا يكون في الخارج شيء غير تلك الحيثية المشتركة ، مثل أنّ الجسمية ليست إلاّ ما تكون في الخارج موجودةً ، حيث لا يكون في الخارج شيء بحذاء الجسمية ، وشيء آخر بحذاء الموجودية ، وهكذا العقل ، وكلّ 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الجهة المشتركة في جميع مسائل علم الفلسفة ، ويكون موضوعاً للعلم ، هو الموجود بما هو موجود ، والحيثيات المائزة المتمايزة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كالجسمية ، والهيولى ، والصورة ، والعقل ، وكلّ 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الجهات المنتزعة من الوجود ، وتكون من عوارض الموجود بما هو موجود ؛ بحيث لا يكون في الخارج إلاّ نفس أ نّه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 فالجهة المشتركة التي تكون موضوعاً للعلم ، هي محمول المسائل ، لا أنّها موضوع المسائل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بين ألسنة أهل الميزان ، هو حمل الأعمّ على الأخصّ ، وإلاّ فموضوعية الموجود ممّا لا شكّ فيها ، كما أنّ عرضية الجسم بالمعنى الذي ذكرناه ، ليس مشكوكاً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العرض الذاتي هو ما كان عارضاً للمعروض بلا واسطة عارضٍ آخر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تمايز العلوم بتمايز الموضوعات المتقيّدة بالحيثيات ، كالكلمة والكلام من حيث الإعراب والبناء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فواضح الفساد ؛ لما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بالعرض كما حقّقناه ، ليس ما هو مصطلح في باب الطبيعيات ، كي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العرض الذاتي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الخلط بين الاصطلاحين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بتمايز الحيثيات المشتركة السارية في جميع المسائل ؛ بحيث يكون الموضوع نفس تلك الحيثية ، وهي الجامعة المائزة ، لا أنّه بتمايز الموضوعات المتقيّدة بالحيثيات</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والذي أظنّه في تمايز العلوم ؛ هو أنّ الحيثية المشتركة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أغراض المدوّنين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الاكتفاء بها في سبيل التمايز ، كما أنّ الأغراض أيضاً بنفسها لا</w:t>
      </w:r>
    </w:p>
    <w:p>
      <w:pPr>
        <w:pStyle w:val="BookText"/>
        <w:rPr/>
      </w:pPr>
      <w:r>
        <w:rPr>
          <w:rFonts w:ascii="Amiri" w:hAnsi="Amiri" w:eastAsia="Amiri" w:cs="Amiri"/>
          <w:color w:val="111111"/>
          <w:sz w:val="28"/>
          <w:sz w:val="28"/>
          <w:szCs w:val="28"/>
          <w:rtl w:val="true"/>
          <w:lang w:bidi="ar-SA"/>
        </w:rPr>
        <w:t xml:space="preserve">يمكن الاكتفاء بها ، بل ما هو المميّز للعلوم هو الحيثيات المتعلّقة لغرض التدوين ، فعليك بالتأمّل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تمثيله بالكلمة والكلام من حيث الإعراب والبناء ، فغير خالٍ من التسامح كما لا يخفى ، ولعلّه لتفهيم المتعلّمين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 العلم هو نفس موضوعات المسائل ، وما يتّحد معها خارجاً ، كالطبيعي وأفراده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الطبيعي تمام حقيقة كلّ فرد من أفراده ، كالإنسان بالنسبة إلى أفراده ، وليست الأفراد خارجة عنه كي تكون من عوارضه ، وتكون من خارجات المحمول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المائزة بين المسائل ، جهات منتزعة من الجهة المشتركة ، وتكون بالنسبة إلى الجامع من قبيل خارج المحمول ، وأ نّها عوارض ذاتية بحسب اصطلاح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هو الموضوع للعلوم ، وما هو المميّز فيها على النحو الكلّي</w:t>
      </w:r>
      <w:r>
        <w:rPr>
          <w:rFonts w:eastAsia="Amiri" w:cs="Amiri" w:ascii="Amiri" w:hAnsi="Amiri"/>
          <w:color w:val="111111"/>
          <w:sz w:val="28"/>
          <w:szCs w:val="28"/>
          <w:rtl w:val="true"/>
          <w:lang w:bidi="ar-SA"/>
        </w:rPr>
        <w:t xml:space="preserve">. </w:t>
      </w:r>
      <w:bookmarkStart w:id="33" w:name="pg8033_80592"/>
    </w:p>
    <w:p>
      <w:pPr>
        <w:pStyle w:val="Heading3"/>
        <w:numPr>
          <w:ilvl w:val="2"/>
          <w:numId w:val="1"/>
        </w:numPr>
        <w:rPr/>
      </w:pPr>
      <w:bookmarkStart w:id="34" w:name="__RefHeading___Toc7368199_1051229030"/>
      <w:bookmarkStart w:id="35" w:name="_Toc10"/>
      <w:bookmarkEnd w:id="33"/>
      <w:bookmarkEnd w:id="34"/>
      <w:r>
        <w:rPr>
          <w:rtl w:val="true"/>
        </w:rPr>
        <w:t>التحقيق في موضوع علم الاُصول</w:t>
      </w:r>
      <w:bookmarkEnd w:id="35"/>
    </w:p>
    <w:p>
      <w:pPr>
        <w:pStyle w:val="BookText"/>
        <w:rPr/>
      </w:pPr>
      <w:r>
        <w:rPr>
          <w:rFonts w:ascii="Amiri" w:hAnsi="Amiri" w:eastAsia="Amiri" w:cs="Amiri"/>
          <w:color w:val="111111"/>
          <w:sz w:val="28"/>
          <w:sz w:val="28"/>
          <w:szCs w:val="28"/>
          <w:rtl w:val="true"/>
          <w:lang w:bidi="ar-SA"/>
        </w:rPr>
        <w:t>وأمّا موضوع علم الاُصول ، فقد قال مؤسّسه الأوّل في رسالة له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الشافعية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موضوع العلم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يبحث فيه عن أنّ القياس حجّة أم لا ، أو أنّ قول الصحابي حجّة في الفقه أم لا ، أو أنّ الاستصحاب حجّة في الفقه أم لا ، أو أنّ الاستحسان حجّة ، أو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الفقه أم لا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 نّه جارٍ وسارٍ في جميع المسائل ، هو الموضوع للعلم ، وهو بعينه موضوع المسائل أيضاً ، وإن وقع محمولاً في قضايا المسائل ، وحمل على موضوعاتها ، كما أشرنا إليه</w:t>
      </w:r>
      <w:r>
        <w:rPr>
          <w:rStyle w:val="FootnoteAnchor"/>
          <w:rtl w:val="true"/>
        </w:rPr>
        <w:footnoteReference w:id="40"/>
      </w:r>
      <w:r>
        <w:rPr>
          <w:rFonts w:ascii="Amiri" w:hAnsi="Amiri" w:eastAsia="Amiri" w:cs="Amiri"/>
          <w:color w:val="111111"/>
          <w:sz w:val="28"/>
          <w:sz w:val="28"/>
          <w:szCs w:val="28"/>
          <w:rtl w:val="true"/>
          <w:lang w:bidi="ar-SA"/>
        </w:rPr>
        <w:t xml:space="preserve">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صراح الحقّ في موضوع علم الاُصول كما يؤدّي إليه النظر ، وبه تندفع جميع الإشكالات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البحث عن دليلية الدليل ، بحث عن المبادئ</w:t>
      </w:r>
      <w:r>
        <w:rPr>
          <w:rStyle w:val="FootnoteAnchor"/>
          <w:rtl w:val="true"/>
        </w:rPr>
        <w:footnoteReference w:id="41"/>
      </w:r>
      <w:r>
        <w:rPr>
          <w:rFonts w:ascii="Amiri" w:hAnsi="Amiri" w:eastAsia="Amiri" w:cs="Amiri"/>
          <w:color w:val="111111"/>
          <w:sz w:val="28"/>
          <w:sz w:val="28"/>
          <w:szCs w:val="28"/>
          <w:rtl w:val="true"/>
          <w:lang w:bidi="ar-SA"/>
        </w:rPr>
        <w:t xml:space="preserve">، فمردود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ليس الأدلّة بما هي أدلّة ، بل الموضوع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يكون خارجاً عن ذات هذا العنوان ومحمولاً عليه ، يكون من عوارض الموضوع حسب اصطلاح المنطقي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 فكلّ مسألة من المسائل ، لو كان البحث فيها عن حجّيتها ، فهي من عوارض الحجّة ، فتكون من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الواحد ، فيبحث فيه عن أ نّه حجّة في الفقه أم لا ، كما أنّ الشهرة أو الإجماع أو حجّية أيّ من الخبرين في باب التعارض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المسائل ، فمسألة الاشتغال يبحث فيها عن حجّية العلم الإجمالي ؛ وأ نّه كالعلم التفصيلي في الحجّية تنجيزاً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وإن كان من شدّة الوضوح بمثابة لا يبحث في حجّيته ، بل حجّية كلّ شيء بالقطع ، وحجّية القطع بمقتضى ذاته ، إلاّ أ نّه إذا توهّم المتوهّم وشكّ في حجّيته ، فإثبات حجّيته حينئذٍ يجعله من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بمسائل الكلام أشبه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 هذا الكلام ؛ لأنّ البحث في علم الكلام عن إثبات واجب الوجود وتوحيده وصفاته تعالى ، وإثبات النبوّة والولاية والعقائد الإسلامية ، وليست حجّية القطع من جملة 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حجّية الظواهر ، فهي وإن كانت ممّا لا ريب فيها ، إلاّ أنّ القدماء كانوا يعنونون هذا البحث في خصوص الموارد التي يعرض للكلام اعتلالٌ ما من التقييد والتخصيص ؛ ممّا يوجب اضطراب الظهور ، وكانوا يبحثون في أنّ العامّ والمطلق بعد التخصيص والتقييد ، باقيان على الحجّية أم لا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البحث في كتب المتأخّرين ، معنون على النحو الأعمّ الأبسط ، من </w:t>
      </w:r>
    </w:p>
    <w:p>
      <w:pPr>
        <w:pStyle w:val="BookText"/>
        <w:rPr/>
      </w:pPr>
      <w:r>
        <w:rPr>
          <w:rFonts w:ascii="Amiri" w:hAnsi="Amiri" w:eastAsia="Amiri" w:cs="Amiri"/>
          <w:color w:val="111111"/>
          <w:sz w:val="28"/>
          <w:sz w:val="28"/>
          <w:szCs w:val="28"/>
          <w:rtl w:val="true"/>
          <w:lang w:bidi="ar-SA"/>
        </w:rPr>
        <w:t xml:space="preserve">دون اقتصارٍ على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البحث عن حجّية الظهور بحث عن عوارض الحجّة ، ويكون من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كان الظهور فيها ضعيفاً قابلاً للترديد والإنكار ، هو البحث عن حجّية المفاهيم ، وسنبرهن في محلّه</w:t>
      </w:r>
      <w:r>
        <w:rPr>
          <w:rStyle w:val="FootnoteAnchor"/>
          <w:rtl w:val="true"/>
        </w:rPr>
        <w:footnoteReference w:id="44"/>
      </w:r>
      <w:r>
        <w:rPr>
          <w:rFonts w:ascii="IRNazanin" w:hAnsi="IRNazanin" w:eastAsia="IRNazanin"/>
          <w:color w:val="111111"/>
          <w:sz w:val="28"/>
          <w:sz w:val="28"/>
          <w:szCs w:val="28"/>
          <w:rtl w:val="true"/>
          <w:lang w:bidi="fa-IR"/>
        </w:rPr>
        <w:t>على أنّ وجود المفهوم ولو على نحو الإبهام وغاية الضعف ، ممّا لا يقبل الإنكار ، إنّما الكلام في حجّية هذا الظهور وعدمها ، وهذا بخلاف ما هو المعروف عن الشيخ رحمه الله علیه في باب المفاهيم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كان البحث عن حجّية المفاهيم من المسائل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البراءة ، فالبحث فيها يرجع إلى أنّ احتمال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أم لا ، ومنجّزية الاحتمال عبارة اُخرى عن الحجّية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 ففيه يبحث أيضاً عن حجّية البقاء والبناء على الحالة السابقة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التخيير عند عدم إمكان الاحتياط ، أو ترجيح أحد الجانبين ، يبحث في الاُصول عن أنّ هذا الجانب ، هل هو حجّة في الفقه أم لا ؟ وحينئذٍ لا مجال للتخيير ، بل هو من باب التعادل والترجيح ، وأمّا مع عدم الترجيح وتساوي الطرفين ، فيبحث فيه عن أنّ التخيير بالنسبة إلى كلّ من الطرفين ، معذِّر عن التكليف وحجّة في الفقه ، وتؤلّف منه قضيّة حملية ؛ من موضوع خاصّ ، ومحمول عامّ ؛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بعض المباحث والمسائل التي لا يمكن إيقاعها موضوعاً لهذا المحمول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كبعض مباحث الألفاظ مثل مسألة الوضع ، والحقيقة والمجاز ، والمشتقّ وغيرها ، أو كبعض المسائل العقلية مثل مسألة الضدّ ، واجتماع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إمّا من المبادئ اللغوية ، أو من المبادئ الأحكامية كبحث مقدّمة الواجب ، كما سيأتي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الكلام في تمايز العلوم ، وموضوع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تعريفه ، فبعد ما حقّقناه في موضوعه ، واضح لا يحتاج إلى مزيد بيانٍ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الحقّ ، ونحن معه حيثما دار ؛ فإنّ الحقّ أحقُّ أن يتّبع ولو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وتأمّل في المقام </w:t>
      </w:r>
      <w:r>
        <w:rPr>
          <w:rFonts w:eastAsia="Amiri" w:cs="Amiri" w:ascii="Amiri" w:hAnsi="Amiri"/>
          <w:color w:val="111111"/>
          <w:sz w:val="28"/>
          <w:szCs w:val="28"/>
          <w:rtl w:val="true"/>
          <w:lang w:bidi="ar-SA"/>
        </w:rPr>
        <w:t xml:space="preserve">. </w:t>
      </w:r>
      <w:bookmarkStart w:id="36" w:name="pg8033_80600"/>
    </w:p>
    <w:p>
      <w:pPr>
        <w:pStyle w:val="Heading3"/>
        <w:numPr>
          <w:ilvl w:val="2"/>
          <w:numId w:val="1"/>
        </w:numPr>
        <w:rPr/>
      </w:pPr>
      <w:bookmarkStart w:id="37" w:name="__RefHeading___Toc7368201_1051229030"/>
      <w:bookmarkStart w:id="38" w:name="_Toc11"/>
      <w:bookmarkEnd w:id="36"/>
      <w:bookmarkEnd w:id="37"/>
      <w:r>
        <w:rPr>
          <w:rtl w:val="true"/>
        </w:rPr>
        <w:t>فصل البحث في الوضع</w:t>
      </w:r>
      <w:bookmarkEnd w:id="38"/>
    </w:p>
    <w:p>
      <w:pPr>
        <w:pStyle w:val="BookText"/>
        <w:rPr/>
      </w:pP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نحو اختصاص للّفظ بالمعنى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ليس إلاّ إحالة إلى مجهول ، وليس له معنىً محصّل دالّ على كيفية تعلّق الألفاظ بالمعاني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الوضع ليس هو اختصاص اللفظ وارتباط بالمعنى ، بل الارتباط والاختصاص ما يحصل من الوضع ، فحينئذٍ لا بدّ وأن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اسم المصدر ، كي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نحو اختصاص للّفظ بالمعنى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باعتبار هذا المعنى ، ليس إلاّ الدلالة الشأنية ، وجعل اللفظ بحيث إذا سمع يفهم منه المعنى ، وينتقل الذهن من هذا الكيف المسموع إلى المعنى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الدلالة الشأنية باعتبار سببها تنقسم إلى ما هي بالتعيين ، أو بكثرة الاستعمال </w:t>
      </w:r>
      <w:r>
        <w:rPr>
          <w:rFonts w:eastAsia="Amiri" w:cs="Amiri" w:ascii="Amiri" w:hAnsi="Amiri"/>
          <w:color w:val="111111"/>
          <w:sz w:val="28"/>
          <w:szCs w:val="28"/>
          <w:rtl w:val="true"/>
          <w:lang w:bidi="ar-SA"/>
        </w:rPr>
        <w:t xml:space="preserve">. </w:t>
      </w:r>
      <w:bookmarkStart w:id="39" w:name="pg8033_80602"/>
    </w:p>
    <w:p>
      <w:pPr>
        <w:pStyle w:val="BookText"/>
        <w:rPr/>
      </w:pPr>
      <w:bookmarkEnd w:id="39"/>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وضع اللفظ بمعناه الاشتقاقي المفعولي ، أو بمعنى اسم المصدر ، هو الدلالة الشأنية على المعنى بنحو الاندكاك والمرآتية ، بحيث إذا سمع يفهم منه المعنى ، وهذه الدلالة بهذه الحيثية لا تحصل بصرف الوضع ، بل إنّما تحصل باتّباع الواضع في الوضع التعييني ، وبكثرة الاستعمال في الوضع التعيّني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فالدلالة الشأنية للألفاظ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بتعيين الواضع بشرط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اللفظ بداعي الوضع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368203_1051229030"/>
      <w:bookmarkStart w:id="41" w:name="_Toc12"/>
      <w:bookmarkEnd w:id="40"/>
      <w:r>
        <w:rPr>
          <w:rtl w:val="true"/>
        </w:rPr>
        <w:t>حول أقسام الوضع والموضوع له</w:t>
      </w:r>
      <w:bookmarkEnd w:id="41"/>
    </w:p>
    <w:p>
      <w:pPr>
        <w:pStyle w:val="BookText"/>
        <w:rPr/>
      </w:pPr>
      <w:r>
        <w:rPr>
          <w:rFonts w:ascii="Amiri" w:hAnsi="Amiri" w:eastAsia="Amiri" w:cs="Amiri"/>
          <w:color w:val="111111"/>
          <w:sz w:val="28"/>
          <w:sz w:val="28"/>
          <w:szCs w:val="28"/>
          <w:rtl w:val="true"/>
          <w:lang w:bidi="ar-SA"/>
        </w:rPr>
        <w:t xml:space="preserve">ثمّ إنّه لو كان اللحاظ على نحو العموم ، ووضع اللفظ لهذا الملحوظ العامّ ، كان الوضع عامّاً ، والموضوع 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الملحوظ حين الوضع عامّاً ،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يوضع بإزاء الخواصّ والجزئيات ، كان الوضع عامّاً ، والموضوع له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الملحوظ خاصّاً ، والوضع بإزاء هذا الخاصّ ، فالوضع والموضوع له خاصّان ، كما في 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الأقسام الثلاثة ممّا لا يكاد يشكّ في تصويرها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تصوير قسم رابع ؛ هو الوضع الخاصّ والموضوع له العامّ ، كما يتراءى تصويره من كلام المحقّق الرشتي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على خلاف ما فرضه ؛ إذ الجزئي ليس بكاسب ولا مكتسب ، </w:t>
      </w:r>
      <w:bookmarkStart w:id="42" w:name="pg8033_80604"/>
    </w:p>
    <w:p>
      <w:pPr>
        <w:pStyle w:val="BookText"/>
        <w:rPr/>
      </w:pPr>
      <w:bookmarkEnd w:id="42"/>
      <w:r>
        <w:rPr>
          <w:rFonts w:ascii="Amiri" w:hAnsi="Amiri" w:eastAsia="Amiri" w:cs="Amiri"/>
          <w:color w:val="111111"/>
          <w:sz w:val="28"/>
          <w:sz w:val="28"/>
          <w:szCs w:val="28"/>
          <w:rtl w:val="true"/>
          <w:lang w:bidi="ar-SA"/>
        </w:rPr>
        <w:t xml:space="preserve">ولا يمكن أن يكون بجزئيته وجهاً وعنواناً للعامّ ، كما يمكن أن يكون العامّ وجهاً وعنواناً للأفراد ، هذا هو السرّ في استحالة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مقام الفرض والثبوت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مقام الإثبات ، فذكرت لكلّ من الأقسام المفروضة أمثال ، وقد اضطربت أفهام الأعلام في خصوص القسم الثاني ؛ وهو الوضع العامّ والموضوع له الخاصّ ، الذي يتمثّل بالحروف ، فالاختلاف كلّه إنّما هو فيما هو الموضوع له في الحروف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368205_1051229030"/>
      <w:bookmarkStart w:id="44" w:name="_Toc13"/>
      <w:bookmarkEnd w:id="43"/>
      <w:r>
        <w:rPr>
          <w:rtl w:val="true"/>
        </w:rPr>
        <w:t>المعنى الحرفي</w:t>
      </w:r>
      <w:bookmarkEnd w:id="44"/>
    </w:p>
    <w:p>
      <w:pPr>
        <w:pStyle w:val="BookText"/>
        <w:rPr/>
      </w:pPr>
      <w:r>
        <w:rPr>
          <w:rFonts w:ascii="Amiri" w:hAnsi="Amiri" w:eastAsia="Amiri" w:cs="Amiri"/>
          <w:color w:val="111111"/>
          <w:sz w:val="28"/>
          <w:sz w:val="28"/>
          <w:szCs w:val="28"/>
          <w:rtl w:val="true"/>
          <w:lang w:bidi="ar-SA"/>
        </w:rPr>
        <w:t xml:space="preserve">فقد قال المحقّق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والحرف كليهما في مرتبة الذات سيّان ، من دون فرق جوهري بينهما ، والخصوصية الاستقلالية والغيرية ناشئة من قِبَل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تحقيق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ما دلّ على معنىً في نفسه ، والحرفَ ما دلّ على معنىً في غير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قبال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التعريف ؛ أنّ الاسم كلمة دلّت في نفس هذا المعنى ، والحرف كلمة دلّت على معنىً في غير هذا المعنى ، والفرق بين الاسم والحرف هو الفرق بين العرض والجوهر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الكلمة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المعنى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اختار المحقّق الخراساني كلام الرضيّ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في حدّ ذاته لا مستقلّ ، ولا لامستقلّ ، والخصوصيات ناشئة عن طور الاستعمالات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 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الشريف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المعنى إن كان ملحوظاً على النحو الآلي والمرآتي يكون حرفياً ، وإن كان ملحوظاً على نحو الاستقلال والنفسية يكون اسمياً ، ومناط المعنى الاسمي والحرفي هو اللحاظ الاستقلالي والآلي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المعنى الحرفي هو الارتباط بين المفاهيم المستقلّة ، وألفاظ الحروف موضوعة بإزاء تلك الارتباطات ، وأمّا المعنى الاسمي فهو نفس هذه المفاهيم المستقلّة التي لا ربط بينها في حدّ ذاتها مع قطع النظر عن المعاني الحرفية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المعنى الحرفي هو الإنشائي الإيقاعي ، والمعنى الاسمي ما ليس كذلك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تمام هذه الأقوال ما لا يخفى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المحقّق الرضيّ والذي اختاره المحقّق الخراساني ، فهو أنّ من المعلوم عدم إمكان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الخبرية أو الابتدائية ، وهذا </w:t>
      </w:r>
    </w:p>
    <w:p>
      <w:pPr>
        <w:pStyle w:val="BookText"/>
        <w:rPr/>
      </w:pPr>
      <w:r>
        <w:rPr>
          <w:rFonts w:ascii="Amiri" w:hAnsi="Amiri" w:eastAsia="Amiri" w:cs="Amiri"/>
          <w:color w:val="111111"/>
          <w:sz w:val="28"/>
          <w:sz w:val="28"/>
          <w:szCs w:val="28"/>
          <w:rtl w:val="true"/>
          <w:lang w:bidi="ar-SA"/>
        </w:rPr>
        <w:t>ممّا لا يمكن إنكاره ، فإن لم يكن فرق ذاتي بين الحروف والأسماء بحسب المعنى ، فلِمَ لا يمكن استعمال كلّ واحد في محلّ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الآخرون في تحقيق التعريف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خلاف 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للانتهاء</w:t>
      </w:r>
      <w:r>
        <w:rPr>
          <w:rStyle w:val="FootnoteAnchor"/>
          <w:rtl w:val="true"/>
        </w:rPr>
        <w:footnoteReference w:id="53"/>
      </w:r>
      <w:r>
        <w:rPr>
          <w:rFonts w:ascii="Amiri" w:hAnsi="Amiri" w:eastAsia="Amiri" w:cs="Amiri"/>
          <w:color w:val="111111"/>
          <w:sz w:val="28"/>
          <w:sz w:val="28"/>
          <w:szCs w:val="28"/>
          <w:rtl w:val="true"/>
          <w:lang w:bidi="ar-SA"/>
        </w:rPr>
        <w:t>مع أنّها لو دلّت على معنىً في غير هذا المعنى ، فكيف يمكن دلالتها على الابتداء والانتهاء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ما ينبغي ؛ فإنّ المعاني الإنشائية ما توجد في عالم الاعتبار ؛ بحيث لا تكون حقيقتها إلاّ حقيقة اعتبارية صرفة ، مثل الملكية ، والزوجية وأمثالهما ، وأمّا المعاني الحرفية فكلّها وجودات حقيقية ، وهذا ممّا لا يقبل الإنكار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أفاده الآخرون</w:t>
      </w:r>
      <w:r>
        <w:rPr>
          <w:rStyle w:val="FootnoteAnchor"/>
          <w:rtl w:val="true"/>
        </w:rPr>
        <w:footnoteReference w:id="54"/>
      </w:r>
      <w:r>
        <w:rPr>
          <w:rFonts w:ascii="Amiri" w:hAnsi="Amiri" w:eastAsia="Amiri" w:cs="Amiri"/>
          <w:color w:val="111111"/>
          <w:sz w:val="28"/>
          <w:sz w:val="28"/>
          <w:szCs w:val="28"/>
          <w:rtl w:val="true"/>
          <w:lang w:bidi="ar-SA"/>
        </w:rPr>
        <w:t xml:space="preserve">من نقد كلامهم فتامّها قد لا يخلو من التأمّل وارتكاب المشقّات التي لا تزيد المتعلّمين إلاّ مرارة وكلالةً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إرجاع بعض هذه المقالات إلى ما نحن بصدد تحقيقه ، كما سيجيء إن شاء اللّه تعالى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سلخنا أذهاننا عن الألفاظ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إلاّ السير الخارجي ممتدّاً بهذا الامتداد الخاصّ ، والبصرة ، والكوفة ، وأمّا أوّلية السير وآخريته فليس بحذائهما شيء في الخارج قبال تلك الأشياء الخارجية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هذا الامتداد المعيّن الذي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الخارج كان له حدّ ؛ هو الانقطاع والتناهي بالنسبة إلى الطرفين ؛ أعني طرفيه المحاذي أحدهما للبصرة ، وآخرهما للكوفة ، فتعيّن امتداد السير في الخارج إنّما هو بانقطاع أطرافه وتناهيها المحاذي أحدهما للمبدأ ، والآخر للمقصد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التناهي والانقطاع الخارجي ، إنّما هو منشأ لا نتزاع مفهوم الأوّلية والآخرية ، وهذا من غير أن يكون بإزاء نفس الأوّلية والآخرية شيء في الخارج ، كما يكون بإزاء السير والبصرة والكوفة شيء في الخارج ، مع قطع النظر عمّا يوجد في وعاء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اللحاظ الذهني فهو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عين ما يكون واقعاً في الخارج ؛ بأن يلاحظ ذلك الامتداد المتناهي الأطراف بالبصرة والكوفة ، بدون تعقّل للوصف الانتزاعي من الأوّلية والآخرية اللّتين لا حقيقة لهما في الخارج ، فتكون حينئذٍ القضيّة المعقولة في الذهن قضيّة تامّة مرتبطة بعض أجزائها ببعض ، حاكية عمّا يكون واقعاً في الخارج ، فيكون نفس هذا الربط بين السير والبصرة وبين السير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تناهي السير وانقطاعه المعقول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لوحظ عين ما هو واقع موجود في الخارج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بالإضافة لما في الخارج ، مفاهيم اُخرى انتزاعية من الخصوصيات والنفسيات الخارجية ، مثلما إذا لوحظ قبال تصوّر السير والبصرة والكوفة ، مفهوم الأوّلية والآخرية ؛ بانتزاعهما من السير المتناهي الأطراف ، فيكون في وعاء الذهن الأوّلية والآخرية والسير والبصرة والكوفة ، فالمعقول في </w:t>
      </w:r>
    </w:p>
    <w:p>
      <w:pPr>
        <w:pStyle w:val="BookText"/>
        <w:rPr/>
      </w:pPr>
      <w:r>
        <w:rPr>
          <w:rFonts w:ascii="Amiri" w:hAnsi="Amiri" w:eastAsia="Amiri" w:cs="Amiri"/>
          <w:color w:val="111111"/>
          <w:sz w:val="28"/>
          <w:sz w:val="28"/>
          <w:szCs w:val="28"/>
          <w:rtl w:val="true"/>
          <w:lang w:bidi="ar-SA"/>
        </w:rPr>
        <w:t>الذهن هذه المفاهيم المتشتّتة التي لا ربط بينها ، وهذه المتشتّ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تات ليست إلاّ التصوّرات الذهنية التي قد تصلح لأن تكون 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ينضمّ إليها روابط تربط بين هذه المتشتّ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تات المتفرّقات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سيري البصرة، وآخره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لوحظ أيضاً السير الخاصّ الخارجي المقتطع الطرفان بما أ نّه وقع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تعقّل ما يكون واقعاً في الخارج ، هو بعينه تعقّل الأشياء المرتبطة بعضها ببعض ، ويكون الربط بينها حقيقة الربط وما يكون ربطاً بالحمل الشائع الصناعي، لا الربط بالحمل الأوّلي، والأوّلية والآخرية والربط والارتباط، ليست إلاّ مفاهيم الربط ، ومفاهيم الربط ليست بمفيدة للارتباط بين الأشياء والمفاهيم الكلّية حقيقة ، ولذا مفاهيم الأوّلية والآخرية والبصرة والكوفة والسير في حدّ ذاتها ، ليست إلاّ صرف التصوّرات الذهنية ما لم ينضمّ إليها ما يكون بالحمل الشائع ربطاً ، ومع الانضمام تكون القضيّة العقلية حاكية عمّا وقع في الخارج ، ويصير السير حينئذٍ مرتبطاً إلى السائر المتناهي سيره بالبصرة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الروابط كلّها مصاديق الربط ، ومصاديق الربط عبارة اُخرى عن السير الذي وقع في الخارج ، والمعاني الحرفية ما يوجد بها الارتباط بين المفاهيم المتفرّقة ، وهي هذه الروابط الحقيقية ، والابتداء والانتهاء هما الربط بالحمل الأوّلي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الحرفية ما يوجد بها الارتباط بين المفاهيم المتفرّقة المتشتّتة ، والمعاني الاسمية نفس هذه المتفرّقات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الفرق بين المعنى الاسمي والمعنى الحرفي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مناط الفرق وسرّ هذا الافتراق ، فهو ما أشرنا إليه ؛ من أنّ الملحوظ المتعقّل في الذهن ، لا بدّ وأن يكون عين ما وقع أو عين ما سيقع في الخارج من المفاهيم المرتبطة ؛ فإنّ السير الذي يقع في الخارج ، لا بدّ وأن يكون مقطوع الطرفين ، وانقطاع الطرفين في الخارج عين الارتباط في الذهن ، وهذا هو معنى الربط الحقيقي الذي يكون الحرف موضوعاً بإزائه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الملحوظ هو المفاهيم ، لا بما أ نّها عين ما وقع في الخارج ، بل بما أ نّها مفاهيم تصوّرية ، أو بما أنّ الارتباطات الملحوظة في الذهن ، ارتباطات مفهومية انتزاعية ، مثل مفهوم الابتداء والانتهاء ، فلا يكون حينئذٍ إلاّ صِرف التصوّرات الذهنية المتشتّتة ، لا ربط بعضها ببعض ، فهذه هي المعاني الاسمية غير المشوبة بالمعاني الحرفية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انقدح ما في كلام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فرق بين الأسماء </w:t>
      </w:r>
      <w:r>
        <w:rPr>
          <w:rFonts w:eastAsia="Amiri" w:cs="Amiri" w:ascii="Amiri" w:hAnsi="Amiri"/>
          <w:color w:val="111111"/>
          <w:sz w:val="28"/>
          <w:szCs w:val="28"/>
          <w:rtl w:val="true"/>
          <w:lang w:bidi="ar-SA"/>
        </w:rPr>
        <w:t>.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033_80619"/>
      <w:bookmarkStart w:id="46" w:name="pg8033_80619"/>
      <w:bookmarkEnd w:id="46"/>
    </w:p>
    <w:p>
      <w:pPr>
        <w:pStyle w:val="Heading2"/>
        <w:numPr>
          <w:ilvl w:val="1"/>
          <w:numId w:val="1"/>
        </w:numPr>
        <w:rPr/>
      </w:pPr>
      <w:bookmarkStart w:id="47" w:name="pg8033_80619"/>
      <w:bookmarkStart w:id="48" w:name="__RefHeading___Toc7368207_1051229030"/>
      <w:bookmarkStart w:id="49" w:name="_Toc14"/>
      <w:bookmarkEnd w:id="47"/>
      <w:bookmarkEnd w:id="48"/>
      <w:r>
        <w:rPr>
          <w:rtl w:val="true"/>
        </w:rPr>
        <w:t>المقصد الأوّل</w:t>
      </w:r>
      <w:r>
        <w:rPr>
          <w:rtl w:val="true"/>
        </w:rPr>
        <w:t xml:space="preserve">: </w:t>
      </w:r>
      <w:r>
        <w:rPr>
          <w:rtl w:val="true"/>
        </w:rPr>
        <w:t>في الأوامر</w:t>
      </w:r>
      <w:bookmarkEnd w:id="49"/>
    </w:p>
    <w:p>
      <w:pPr>
        <w:pStyle w:val="Heading3"/>
        <w:numPr>
          <w:ilvl w:val="2"/>
          <w:numId w:val="1"/>
        </w:numPr>
        <w:rPr/>
      </w:pPr>
      <w:bookmarkStart w:id="50" w:name="__RefHeading___Toc7368209_1051229030"/>
      <w:bookmarkStart w:id="51" w:name="_Toc15"/>
      <w:bookmarkEnd w:id="50"/>
      <w:r>
        <w:rPr>
          <w:rtl w:val="true"/>
        </w:rPr>
        <w:t>اشارة</w:t>
      </w:r>
      <w:bookmarkEnd w:id="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مطالب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033_80622"/>
      <w:bookmarkStart w:id="53" w:name="pg8033_80622"/>
      <w:bookmarkEnd w:id="53"/>
    </w:p>
    <w:p>
      <w:pPr>
        <w:pStyle w:val="Heading3"/>
        <w:numPr>
          <w:ilvl w:val="2"/>
          <w:numId w:val="1"/>
        </w:numPr>
        <w:rPr/>
      </w:pPr>
      <w:bookmarkStart w:id="54" w:name="pg8033_80622"/>
      <w:bookmarkStart w:id="55" w:name="__RefHeading___Toc7368211_1051229030"/>
      <w:bookmarkStart w:id="56" w:name="_Toc16"/>
      <w:bookmarkEnd w:id="54"/>
      <w:bookmarkEnd w:id="55"/>
      <w:r>
        <w:rPr>
          <w:rtl w:val="true"/>
        </w:rPr>
        <w:t>المطلب الأوّل</w:t>
      </w:r>
      <w:r>
        <w:rPr>
          <w:rtl w:val="true"/>
        </w:rPr>
        <w:t xml:space="preserve">: </w:t>
      </w:r>
      <w:r>
        <w:rPr>
          <w:rtl w:val="true"/>
        </w:rPr>
        <w:t>فيما يتعلّق بمادّة الأمر</w:t>
      </w:r>
      <w:bookmarkEnd w:id="56"/>
    </w:p>
    <w:p>
      <w:pPr>
        <w:pStyle w:val="Heading4"/>
        <w:numPr>
          <w:ilvl w:val="3"/>
          <w:numId w:val="1"/>
        </w:numPr>
        <w:rPr/>
      </w:pPr>
      <w:bookmarkStart w:id="57" w:name="__RefHeading___Toc7368213_1051229030"/>
      <w:bookmarkStart w:id="58" w:name="_Toc17"/>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368215_1051229030"/>
      <w:bookmarkStart w:id="60" w:name="_Toc18"/>
      <w:bookmarkEnd w:id="59"/>
      <w:r>
        <w:rPr>
          <w:rtl w:val="true"/>
        </w:rPr>
        <w:t xml:space="preserve">الجهة الثالثة </w:t>
      </w:r>
      <w:r>
        <w:rPr>
          <w:rtl w:val="true"/>
        </w:rPr>
        <w:t xml:space="preserve">: </w:t>
      </w:r>
      <w:r>
        <w:rPr>
          <w:rtl w:val="true"/>
        </w:rPr>
        <w:t>في الطلب والإرادة</w:t>
      </w:r>
      <w:bookmarkEnd w:id="60"/>
    </w:p>
    <w:p>
      <w:pPr>
        <w:pStyle w:val="Heading5"/>
        <w:numPr>
          <w:ilvl w:val="4"/>
          <w:numId w:val="1"/>
        </w:numPr>
        <w:rPr/>
      </w:pPr>
      <w:bookmarkStart w:id="61" w:name="__RefHeading___Toc7368217_1051229030"/>
      <w:bookmarkStart w:id="62" w:name="_Toc19"/>
      <w:bookmarkEnd w:id="61"/>
      <w:r>
        <w:rPr>
          <w:rtl w:val="true"/>
        </w:rPr>
        <w:t>دليلا الأشاعرة على ثبوت الطلب النفسي</w:t>
      </w:r>
      <w:bookmarkEnd w:id="62"/>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أنّ الطلب اللفظي ، قد يتحقّق بلا إرادة قائمة بذات المتكلّم تكون مبدأً له ، كأمره تعالى إبراهيم علیه السلام بذبح ولده ، وأمثاله من الأوامر الامتحانية ، ولا بدّ لهذا الطلب اللفظي من مبدأ حالّ في نفس المتكلّم ، وحيث لم يكن الإرادة بالضرورة ، وليس شيء آخر من الأوصاف النفسانية صالحاً للمبدئية ، فلا محالة يكون هو الطلب 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في مورد ، ثبت الإمكان ، فليكن كذلك في سائر الأوامر ، بل في مطلق الكلام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الخراساني قدّس سرّه على مسلكه في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الإرادة الإنشائية كالطلب الإنشائي في مورد النقض محقّقان ، والإرادة الحقيقية كالطلب الحقيقي غير محقّقين</w:t>
      </w:r>
      <w:r>
        <w:rPr>
          <w:rStyle w:val="FootnoteAnchor"/>
          <w:rtl w:val="true"/>
        </w:rPr>
        <w:footnoteReference w:id="58"/>
      </w:r>
      <w:r>
        <w:rPr>
          <w:rFonts w:ascii="Amiri" w:hAnsi="Amiri" w:eastAsia="Amiri" w:cs="Amiri"/>
          <w:color w:val="111111"/>
          <w:sz w:val="28"/>
          <w:sz w:val="28"/>
          <w:szCs w:val="28"/>
          <w:rtl w:val="true"/>
          <w:lang w:bidi="ar-SA"/>
        </w:rPr>
        <w:t xml:space="preserve">وقد عرفت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لتلك الأوامر هو الإرادة الحقيقية أيضاً، لكنّها الإرادة المتعلّقة بالغايات والمقدّمات التي لا تحصل إلاّ بالأمر بنفس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الكمالات الفعلية التي لأجلها شرعت التكاليف الإلهية ، قد لا تحصل إلاّ بإتيان نفس المأمور به ، كالأوامر الحقيقية ؛ فإنّ في صدور متعلّقاتها من المكلّف مصالحَ لا تحصل إلاّ به ، وقد تحصل بنفس المقدّمات المسبّبة لذيها ؛ بنحو يعتقد المكلّف أنّ الآمر أراد صدور ذي المقدّمة ، فمن إرادة الغاية ينبعث إرادة إلى المقدّمات التي بوجودها تحصل الغاية ، ولمّا كان حصول الغاية متوقّفاً على نفس طلب ذي المقدّمة ، فلا محالة ينبعث إرادة إلى طلبه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الخليل علیه السلام الذي هو مورد النقض ، لو أراد اللّه تعالى حصول مرتبة من الكمال له ، التي لا تحصل إلاّ بتقديم إرادة اللّه على إرادته ، وإعراضه عمّا سواه تعالى بإعراضه عن أحبّ أعزّته وفلذة كبده وقرّة عينه ، فهذه الإرادة لاستكمال الخليل تصير مبدأً لإرادة مقدّمات ذبح الولد ؛ بحيث يقطع الخليل علیه السلام بأ نّه تعالى أراد منه الذبح ؛ فإنّ الغاية كما تحصل بالذبح تحصل بنفس المقدّمات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الذبح بما هو نتيجة فعله الاختياري ، غير دخيل في حصول الكمال المطلوب ، بل الكمال يحصل بتسليمه لأمر المولى ، وإتيان ما في قدرته من </w:t>
      </w:r>
    </w:p>
    <w:p>
      <w:pPr>
        <w:pStyle w:val="BookText"/>
        <w:rPr/>
      </w:pPr>
      <w:r>
        <w:rPr>
          <w:rFonts w:ascii="IRNazanin" w:hAnsi="IRNazanin" w:eastAsia="IRNazanin"/>
          <w:color w:val="111111"/>
          <w:sz w:val="28"/>
          <w:sz w:val="28"/>
          <w:szCs w:val="28"/>
          <w:rtl w:val="true"/>
          <w:lang w:bidi="fa-IR"/>
        </w:rPr>
        <w:t xml:space="preserve">أسباب الذبح ؛ من تلّه للجبين ، ووضع المدية على الحلقوم ، والإمرار بشدّة لإرادة الذبح فلم يبق من أسبابه الاختيارية شيء إلاّ أتى به ، فوقع منه ما في قدرته ، وما لم يقع لم يكن تحت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 لهذا الأمر العظيم الذي تصغر دونه المُعْظمات ، حصل له الكمال التامّ المتوقّع الذي لا يحصل إلاّ بالمقدّمات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فإرادة حصول هذه الغاية العظمى ، صارت سبباً لإرادة المقدّمات على نحو اعتقد الخليل علیه السلام مطلوبية ذي المقدّمة منه ؛ فإنّ الغاية لم تكن مترتّبة على المقدّمات إلاّ بهذا النحو ، وحصولها به لم يكن ممكناً إلاّ بالأمر بالذبح ، فالأمر به مسبّب عن هذه الإرادة ، فلم يكن غير الإرادة شيء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مبدأ الأوامر اللفظية هي الإرادة ، لوجب أن يكون في أمر الكفّار بالإسلام وأمر الناس بإتيان شيء ، حصول المأمور به بالضرورة ؛ لعدم تخلّف مراد اللّه تعالى عن إرادته الواجبة ؛ لكن يتخلّف حصول المأمور به عن الطلب كثيراً ، فيجب أن لا يكون مبدؤه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بدّ للطلب اللفظي من مبدأ ، ولا يكون غير الطلب النفسي شيء آخر ، فيكون هو المبدأ</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فبرهانهم على هيئة قياس استثنائي ، ينتج من رفع التالي رفع المقدّم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الإرادة الواجبة مبدأً للطلب اللفظي ، لزم حصول المطلوب بالضرورة ، لكنّ المطلوب لا يحصل كثيراً ما بالضرورة ، فلم تكن الإرادة مبدأً 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اللفظي لا بدّ له من مبدأ ، وليس سوى الطلب النفسي ما يكون مبدأً ، فيكون هو المبدأ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في مورد ، </w:t>
      </w:r>
      <w:bookmarkStart w:id="63" w:name="pg8033_80629"/>
    </w:p>
    <w:p>
      <w:pPr>
        <w:pStyle w:val="BookText"/>
        <w:rPr/>
      </w:pPr>
      <w:bookmarkEnd w:id="63"/>
      <w:r>
        <w:rPr>
          <w:rFonts w:ascii="Amiri" w:hAnsi="Amiri" w:eastAsia="Amiri" w:cs="Amiri"/>
          <w:color w:val="111111"/>
          <w:sz w:val="28"/>
          <w:sz w:val="28"/>
          <w:szCs w:val="28"/>
          <w:rtl w:val="true"/>
          <w:lang w:bidi="ar-SA"/>
        </w:rPr>
        <w:t xml:space="preserve">فليكن سائر الموارد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العدلية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التي لا تتخلّف عن المراد ، هي إرادته تعالى فعل نفسه ، وأمّا إرادته فعل غيره فلا يلزم أن لا تتخلّف</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المحقّق الخراساني بما يرجع إلى جوابهم ؛ فإنّ الإرادة التكوينية هي إرادة فعله تعالى ، والإرادة التشريعية هي إرادة فعل غيره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7368219_1051229030"/>
      <w:bookmarkStart w:id="65" w:name="_Toc20"/>
      <w:bookmarkEnd w:id="64"/>
      <w:r>
        <w:rPr>
          <w:rtl w:val="true"/>
        </w:rPr>
        <w:t>الجبر والتفويض</w:t>
      </w:r>
      <w:bookmarkEnd w:id="65"/>
    </w:p>
    <w:p>
      <w:pPr>
        <w:pStyle w:val="BookText"/>
        <w:rPr/>
      </w:pPr>
      <w:r>
        <w:rPr>
          <w:rFonts w:ascii="Amiri" w:hAnsi="Amiri" w:eastAsia="Amiri" w:cs="Amiri"/>
          <w:color w:val="111111"/>
          <w:sz w:val="28"/>
          <w:sz w:val="28"/>
          <w:szCs w:val="28"/>
          <w:rtl w:val="true"/>
          <w:lang w:bidi="ar-SA"/>
        </w:rPr>
        <w:t>وإلى هنا تمّ كلام الفريقين ، ولا يحتاج إلى شيء آخر ، لكن المحقّق الخراساني قدّس سرّه أضاف شيئاً آخر غير مربوطٍ بالنزاع ؛ وهو تفسير الإرادة بالعلم بالنظام الأتمّ الأصلح على ما هو مذاق الحكماء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التكوينية والتشريعية إذا توافقتا فلا بدّ من الإطاعة والإيمان ، وإذا تخالفتا فلا محيص عن أن يختار الكفر والعصيان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فتولّد منه الإشكال المعروف ، الذي أشار إليه قائلهم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خوردن من ، حق ز أزل ميدانست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مى نخورم ، علم خدا جهل بُوَد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فأجاب عنه قدّس سرّه بما لا يشفي العليل ، ولا يحسم مادّة الإشكال ، بل يؤكّده ويؤيّده ، حتّى انتهى الأمر إلى كسر رأس القلم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بيان أصل الإشكال ، والتفصّي عنه بنحو الإجمال ؛ فإنّ دفعه تفصيلاً متوقّف على مقدّمات لا يمكن تحصيلها إلاّ في مقرّه من العلوم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الإشكال هو أنّ الإرادة إذا كانت هي العلم بالنظام الأتمّ ، وقد تعلّق العلم بوجود الفعل عن العبد ، فيكون واجب الحصول ، وهو مضطرّ في إيجاده ، فكيف يكون مثل هذا الفعل مورداً للحسن والقبح والمثوبة والعقوبة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العبد إن علم اللّه وجوده ، وتعلّق به قضاؤه وإرادته ، فهو واجب الصدور ، وإلاّ فيكون ممتنع الصدور ، فكيف يكون العبد قادراً عليه ، ويستحقّ به الثواب والعقاب كما عليه العدلية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أجاب عنه المحقّق البارع نصير الملّة والدين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تابع للمعلوم ، لا المعلوم للعلم ، فلا يكون تعلّق العلم موجباً للوجوب والامتناع في المعلوم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بعض المحقّقين من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تابعية العلم للمعلوم إنّما هي في العلوم الانفعالية ، لا الفعلية ، وهو تعالى علمه فعلي ، فالمعلوم تابع للعلم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واضح الورود على ظاهر كلامه ، ولكن يمكن توجيهه بما لا يرد عليه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علّية كلّ مرتبة من مراتب نظام الكلّ لمرتبة تالية منه ، </w:t>
      </w:r>
    </w:p>
    <w:p>
      <w:pPr>
        <w:pStyle w:val="BookText"/>
        <w:rPr/>
      </w:pPr>
      <w:r>
        <w:rPr>
          <w:rFonts w:ascii="Amiri" w:hAnsi="Amiri" w:eastAsia="Amiri" w:cs="Amiri"/>
          <w:color w:val="111111"/>
          <w:sz w:val="28"/>
          <w:sz w:val="28"/>
          <w:szCs w:val="28"/>
          <w:rtl w:val="true"/>
          <w:lang w:bidi="ar-SA"/>
        </w:rPr>
        <w:t xml:space="preserve">إنّما تكون لخصوصية ذاتية فيها ، وهي غير مجعولة ، بل الجاعل أوجدها ، والخصوصية ذاتية ثابتة لها بلا جعل ، فما كان العلم بالنسبة إليه فعلياً هو وجود النظام ، وأمّا كون المراتب ذات خصوصية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خصوصية 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العلم بالنسبة إليها فعلياً ، بل هو شبيه بالانفعالي ، وتابع للمعلوم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استحقاق العبد للثواب والعقاب ، ليس هو إرادية الفعل ومجرّد صدوره عن العلم والإرادة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الحيوانات تكون أفعالها عن علم وإرادة بالضرورة ، فلو كان مجرّد صدور الفعل عن علم وإرادة ، مصحّحاً لاستحقاق العقوبة ، للزم الالتزام بصحّة عقوبة الحيوان ، مع قضاء الضرورة ببطلانه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الاستحقاق وصحّة العقوبة ، هو اختيارية الفعل ، وليست الاختيارية بمجرّد الصدور عن علم وإرادة كما يظهر من المحقّق الخراساني</w:t>
      </w:r>
      <w:r>
        <w:rPr>
          <w:rStyle w:val="FootnoteAnchor"/>
          <w:rtl w:val="true"/>
        </w:rPr>
        <w:footnoteReference w:id="68"/>
      </w:r>
      <w:r>
        <w:rPr>
          <w:rFonts w:ascii="Amiri" w:hAnsi="Amiri" w:eastAsia="Amiri" w:cs="Amiri"/>
          <w:color w:val="111111"/>
          <w:sz w:val="28"/>
          <w:sz w:val="28"/>
          <w:szCs w:val="28"/>
          <w:rtl w:val="true"/>
          <w:lang w:bidi="ar-SA"/>
        </w:rPr>
        <w:t>وغيره</w:t>
      </w:r>
      <w:r>
        <w:rPr>
          <w:rStyle w:val="FootnoteAnchor"/>
          <w:rtl w:val="true"/>
        </w:rPr>
        <w:footnoteReference w:id="69"/>
      </w:r>
      <w:r>
        <w:rPr>
          <w:rFonts w:ascii="IRNazanin" w:hAnsi="IRNazanin" w:eastAsia="IRNazanin"/>
          <w:color w:val="111111"/>
          <w:sz w:val="28"/>
          <w:sz w:val="28"/>
          <w:szCs w:val="28"/>
          <w:rtl w:val="true"/>
          <w:lang w:bidi="fa-IR"/>
        </w:rPr>
        <w:t xml:space="preserve">وإلاّ لعاد المحذور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الحال لا بدّ من تمهيد مقدّمة ؛ وهي أنّ الإنسان مخلوق من رقائق مختلفة ، هي رقائق العوالم العلوية والعوالم السفلية ، وله بحسب اقتضاء كلّ رقيقة ميل ، فله ميول مختلفة ، فباقتضاء رقائقه العلوية له ميل إلى جهة العلوّ وعالم التقديس والتنزيه ، فيحنّ إلى الكمال وحقيقة العبودية ، وباقتضاء رقائقه السفلية يميل إلى جهة السفل والمنزلة الحيوانية والشيطانية ، </w:t>
      </w:r>
    </w:p>
    <w:p>
      <w:pPr>
        <w:pStyle w:val="BookText"/>
        <w:rPr/>
      </w:pPr>
      <w:r>
        <w:rPr>
          <w:rFonts w:ascii="Amiri" w:hAnsi="Amiri" w:eastAsia="Amiri" w:cs="Amiri"/>
          <w:color w:val="111111"/>
          <w:sz w:val="28"/>
          <w:sz w:val="28"/>
          <w:szCs w:val="28"/>
          <w:rtl w:val="true"/>
          <w:lang w:bidi="ar-SA"/>
        </w:rPr>
        <w:t xml:space="preserve">ويحنّ إلى الشيطنة والشهوة البهيمية والغضب السبعي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دائماً بين هاتين الجاذبتين ، ومعركة جنود الرحمان والشيطان ، وقد أعطاه اللّه تعالى عقلاً محيطاً مميّزاً للمصالح والمفاسد في العاجل والآجل ، حاكماً على سائر القوى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مع إعطائه القوّة المميّزة العاقلة ، لم يتركه سدىً ، بل بعث إليه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والمرسلين ، وأنزل الكتب السماوية ، هادياً إلى الطريق القويم ، مرشداً إلى الصراط المستقيم ، داعياً إلى ما به كماله وسعادته ، زاجراً عمّا به نقصه وشقاوته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الإنسان في صدور كلّ فعل منه ، لا بدّ من تصوّره وترجيحه أحد جانبي الفعل والترك ، وحيث كان له عقل مميّز ، وله ميول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الفعل والترك في كفّتي ميزان عقله ، فإن رجح جانب الفعل يختار لنفسه فعله ، ويفعله بإرادته ، أو يختار تركه ويتركه كذلك ، فقد يرجّح النفع الدنيوي العاجل على الضرر الاُخروي الآجل فيختاره ؛ أي يعتقده خيراً لنفسه ، فيفعله باختياره وإرادته ، وقد يرجّح تركه فيتركه كذلك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إلى ما ذكرنا أشار تعالى في سورة الدهر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النطفة الروحانية التي أشارت إليها أخبار الطينة</w:t>
      </w:r>
      <w:r>
        <w:rPr>
          <w:rStyle w:val="FootnoteAnchor"/>
          <w:rtl w:val="true"/>
        </w:rPr>
        <w:footnoteReference w:id="71"/>
      </w:r>
      <w:r>
        <w:rPr>
          <w:rFonts w:ascii="Amiri" w:hAnsi="Amiri" w:eastAsia="Amiri" w:cs="Amiri"/>
          <w:color w:val="111111"/>
          <w:sz w:val="28"/>
          <w:sz w:val="28"/>
          <w:szCs w:val="28"/>
          <w:rtl w:val="true"/>
          <w:lang w:bidi="ar-SA"/>
        </w:rPr>
        <w:t xml:space="preserve">كما يظهر للمتدبّر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والمشج هو المختلط ، والجمع للإشارة إلى كثرة الاختلاط ، وهذا الاختلاط إشارة إلى الرقائق العلوية والسفلية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الروحانية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الابتلاء مناسب للروح ، لا للجسد والمادّة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والبصر أيضاً هما الروحانيان منهما ؛ بمناسبة الابتلاء والهداية ، فبهما يميّز الصلاح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وهداية السبيل عبارة عن بعث الأنبياء ، وإرسال الرسل ، وإنزال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اختيار الطاعة ، فيكون شاكراً لأنعم اللّه ، أو المعصية فيكون كفوراً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إتيان العمل بالإرادة ، لا يوجب استحقاق العقوبة والمثوبة ، بل المناط هو الإتيان باختيارٍ وترجيحٍ بحسب ميزان العقل ،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مكّنه من تحصيل السعادة ، وهداه إلى طرقها ، وأعطاه المؤيّدات الداخلية والخارجية ، فإذا كفر بأنعم اللّه واختار لنفسه الشقاوة ، فلا يلومنّ إلاّ نفسه ، وإذا اختار السعادة فليشكر ربّه </w:t>
      </w:r>
      <w:r>
        <w:rPr>
          <w:rFonts w:eastAsia="Amiri" w:cs="Amiri" w:ascii="Amiri" w:hAnsi="Amiri"/>
          <w:color w:val="111111"/>
          <w:sz w:val="28"/>
          <w:szCs w:val="28"/>
          <w:rtl w:val="true"/>
          <w:lang w:bidi="ar-SA"/>
        </w:rPr>
        <w:t xml:space="preserve">. </w:t>
      </w:r>
      <w:bookmarkStart w:id="66" w:name="pg8033_80638"/>
    </w:p>
    <w:p>
      <w:pPr>
        <w:pStyle w:val="Heading4"/>
        <w:numPr>
          <w:ilvl w:val="3"/>
          <w:numId w:val="1"/>
        </w:numPr>
        <w:rPr/>
      </w:pPr>
      <w:bookmarkStart w:id="67" w:name="__RefHeading___Toc7368221_1051229030"/>
      <w:bookmarkStart w:id="68" w:name="_Toc21"/>
      <w:bookmarkEnd w:id="66"/>
      <w:bookmarkEnd w:id="67"/>
      <w:r>
        <w:rPr>
          <w:rtl w:val="true"/>
        </w:rPr>
        <w:t>الجهة الرابعة في أنّ الأمر إذا كان مطلقاً بلا قرينة هل يحمل على الوجوب أو الندب ؟</w:t>
      </w:r>
      <w:bookmarkEnd w:id="68"/>
    </w:p>
    <w:p>
      <w:pPr>
        <w:pStyle w:val="Heading5"/>
        <w:numPr>
          <w:ilvl w:val="4"/>
          <w:numId w:val="1"/>
        </w:numPr>
        <w:rPr/>
      </w:pPr>
      <w:bookmarkStart w:id="69" w:name="__RefHeading___Toc7368223_1051229030"/>
      <w:bookmarkStart w:id="70" w:name="_Toc22"/>
      <w:bookmarkEnd w:id="69"/>
      <w:r>
        <w:rPr>
          <w:rtl w:val="true"/>
        </w:rPr>
        <w:t>في أنّ الأمر إذا كان مطلقاً بلا قرينة هل يحمل على الوجوب أو الندب ؟</w:t>
      </w:r>
      <w:bookmarkEnd w:id="70"/>
    </w:p>
    <w:p>
      <w:pPr>
        <w:pStyle w:val="BookText"/>
        <w:rPr/>
      </w:pPr>
      <w:r>
        <w:rPr>
          <w:rFonts w:ascii="Amiri" w:hAnsi="Amiri" w:eastAsia="Amiri" w:cs="Amiri"/>
          <w:color w:val="111111"/>
          <w:sz w:val="28"/>
          <w:sz w:val="28"/>
          <w:szCs w:val="28"/>
          <w:rtl w:val="true"/>
          <w:lang w:bidi="ar-SA"/>
        </w:rPr>
        <w:t xml:space="preserve">ولا بدّ قبل تحقيق المقام من تقديم اُمور </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368225_1051229030"/>
      <w:bookmarkStart w:id="72" w:name="_Toc23"/>
      <w:bookmarkEnd w:id="71"/>
      <w:r>
        <w:rPr>
          <w:rtl w:val="true"/>
        </w:rPr>
        <w:t xml:space="preserve">الأمر الأوّل </w:t>
      </w:r>
      <w:r>
        <w:rPr>
          <w:rtl w:val="true"/>
        </w:rPr>
        <w:t xml:space="preserve">: </w:t>
      </w:r>
      <w:r>
        <w:rPr>
          <w:rtl w:val="true"/>
        </w:rPr>
        <w:t>في معنى الطلب</w:t>
      </w:r>
      <w:bookmarkEnd w:id="72"/>
    </w:p>
    <w:p>
      <w:pPr>
        <w:pStyle w:val="BookText"/>
        <w:rPr/>
      </w:pPr>
      <w:r>
        <w:rPr>
          <w:rFonts w:ascii="Amiri" w:hAnsi="Amiri" w:eastAsia="Amiri" w:cs="Amiri"/>
          <w:color w:val="111111"/>
          <w:sz w:val="28"/>
          <w:sz w:val="28"/>
          <w:szCs w:val="28"/>
          <w:rtl w:val="true"/>
          <w:lang w:bidi="ar-SA"/>
        </w:rPr>
        <w:t>قد عرفت أنّ الطلب النفساني الذي ادّعاه الأشاعرة ، ممّا لا أساس له</w:t>
      </w:r>
      <w:r>
        <w:rPr>
          <w:rStyle w:val="FootnoteAnchor"/>
          <w:rtl w:val="true"/>
        </w:rPr>
        <w:footnoteReference w:id="72"/>
      </w:r>
      <w:r>
        <w:rPr>
          <w:rFonts w:ascii="Amiri" w:hAnsi="Amiri" w:eastAsia="Amiri" w:cs="Amiri"/>
          <w:color w:val="111111"/>
          <w:sz w:val="28"/>
          <w:sz w:val="28"/>
          <w:szCs w:val="28"/>
          <w:rtl w:val="true"/>
          <w:lang w:bidi="ar-SA"/>
        </w:rPr>
        <w:t xml:space="preserve">، فاعلم أنّ الطلب عبارة عن البعث والإغراء نحو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المريد لوجود شيء في الخارج ، قد تتعلّق إرادته بإتيانه مباشرة ، فإرادته تصير مبدأً لتحريك عضلاته وآلاته الفعّالة نحو المطلوب ، فيوجده ويحقّقه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تتعلّق إرادته بإيجاد الغير لمطلوبه ، فيحرّكه ويبعثه نحوه بواسطة طلبه وأمره ، فكأ نّه يستخدم غيره ويجعله كعضلاته وآلاته الفعّالة ، فيحرّكه نحوه ، كتحريك عضلاته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البعث والإغراء عبارة عن الطلب ، استحبابياً كان أو وجوبياً ، وقبل هذا البعث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يصدق كما لا يخفى </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368227_1051229030"/>
      <w:bookmarkStart w:id="74" w:name="_Toc24"/>
      <w:bookmarkEnd w:id="73"/>
      <w:r>
        <w:rPr>
          <w:rtl w:val="true"/>
        </w:rPr>
        <w:t>الأمر الثاني</w:t>
      </w:r>
      <w:bookmarkEnd w:id="74"/>
    </w:p>
    <w:p>
      <w:pPr>
        <w:pStyle w:val="BookText"/>
        <w:rPr/>
      </w:pPr>
      <w:r>
        <w:rPr>
          <w:rFonts w:ascii="Amiri" w:hAnsi="Amiri" w:eastAsia="Amiri" w:cs="Amiri"/>
          <w:color w:val="111111"/>
          <w:sz w:val="28"/>
          <w:sz w:val="28"/>
          <w:szCs w:val="28"/>
          <w:rtl w:val="true"/>
          <w:lang w:bidi="ar-SA"/>
        </w:rPr>
        <w:t>في تحصيل معنى الطلب الندبي والوجوبي وبيان ما به الافتراق بينهما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به الامتياز بين الشيئين قد يكون تمام الذات ، كامتياز </w:t>
      </w:r>
    </w:p>
    <w:p>
      <w:pPr>
        <w:pStyle w:val="BookText"/>
        <w:rPr/>
      </w:pPr>
      <w:r>
        <w:rPr>
          <w:rFonts w:ascii="Amiri" w:hAnsi="Amiri" w:eastAsia="Amiri" w:cs="Amiri"/>
          <w:color w:val="111111"/>
          <w:sz w:val="28"/>
          <w:sz w:val="28"/>
          <w:szCs w:val="28"/>
          <w:rtl w:val="true"/>
          <w:lang w:bidi="ar-SA"/>
        </w:rPr>
        <w:t xml:space="preserve">الأجناس العالية بعضها مع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بعض الذات ، كامتياز الأنواع من الجنس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المنضمّات والاُمور الخارجة عن الذات ، كامتياز الأشخاص من النوع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قسم رابع عند طائفة من الفلاسفة</w:t>
      </w:r>
      <w:r>
        <w:rPr>
          <w:rStyle w:val="FootnoteAnchor"/>
          <w:rtl w:val="true"/>
        </w:rPr>
        <w:footnoteReference w:id="73"/>
      </w:r>
      <w:r>
        <w:rPr>
          <w:rFonts w:ascii="Amiri" w:hAnsi="Amiri" w:eastAsia="Amiri" w:cs="Amiri"/>
          <w:color w:val="111111"/>
          <w:sz w:val="28"/>
          <w:sz w:val="28"/>
          <w:szCs w:val="28"/>
          <w:rtl w:val="true"/>
          <w:lang w:bidi="ar-SA"/>
        </w:rPr>
        <w:t>، وهو كون نفس الذات والحقيقة المشتركة ما به الامتياز والافتراق ؛ بأن يكون لنفس الحقيقة والذات عَرض عريض ومراتب مختلفة ، كامتياز مراتب الوجود وامتياز مراتب الحقائق البسيطة ، كالخطّ القصير والطويل ، ومراتب الشدّة والضعف في الألوان البسيطة ، كما هو المقرّر في محالّه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ما به الامتياز بين مبدأ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الوجوبي والندبي ، هو هذا القسم ، وأنّ الإرادة لمّا كانت من الحقائق البسيطة كالعلم والوجود والوحدة ، تكون لها مراتب مختلفة ، وما به الامتياز فيها عين ما به الاشتراك ، وتكون بينها ذات عَرض 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الاختلاف بتمام الذات ، حتّى تكون الإرادة الوجوبية متباينة مع الندبية ، فواضح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الامتياز ببعض الذات باطل ؛ فإنّها حقيقة بسيطة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اختلافهما بالعوارض ،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تكون الإرادتان واحدة ، وتكون </w:t>
      </w:r>
      <w:bookmarkStart w:id="75" w:name="pg8033_80642"/>
    </w:p>
    <w:p>
      <w:pPr>
        <w:pStyle w:val="BookText"/>
        <w:rPr/>
      </w:pPr>
      <w:bookmarkEnd w:id="75"/>
      <w:r>
        <w:rPr>
          <w:rFonts w:ascii="Amiri" w:hAnsi="Amiri" w:eastAsia="Amiri" w:cs="Amiri"/>
          <w:color w:val="111111"/>
          <w:sz w:val="28"/>
          <w:sz w:val="28"/>
          <w:szCs w:val="28"/>
          <w:rtl w:val="true"/>
          <w:lang w:bidi="ar-SA"/>
        </w:rPr>
        <w:t xml:space="preserve">الإرادة الوجوبية في درجة واحدة مع الندبية ؛ فإنّه خلاف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تكون الإرادة الشديدة والضعيفة اللّتان هما المبدأ للوجوب والندب ، المرتبتين المختلفتين بتمام ذاتهما ، والمشتركتين بتمام ذاتهما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الامتياز بنحو القسم الرابع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وسائر البسائط ، فلمّا كانت الإرادتان مختلفتين ، يكون الطلب الناشئ منهما مختلفاً بالتبع ، فيكون الطلب الوجوبي هو الطلب المتأكّد الناشئ عن الإرادة الشديدة القويّة ، والطلب الندبي هو الطلب الغير المتأكّد الناشئ من الإرادة الضعيفة </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7368229_1051229030"/>
      <w:bookmarkStart w:id="77" w:name="_Toc25"/>
      <w:bookmarkEnd w:id="76"/>
      <w:r>
        <w:rPr>
          <w:rtl w:val="true"/>
        </w:rPr>
        <w:t xml:space="preserve">الأمر الثالث </w:t>
      </w:r>
      <w:r>
        <w:rPr>
          <w:rtl w:val="true"/>
        </w:rPr>
        <w:t xml:space="preserve">: </w:t>
      </w:r>
      <w:r>
        <w:rPr>
          <w:rtl w:val="true"/>
        </w:rPr>
        <w:t>في الفرق بين الطلب الندبي والوجوبي</w:t>
      </w:r>
      <w:bookmarkEnd w:id="77"/>
    </w:p>
    <w:p>
      <w:pPr>
        <w:pStyle w:val="BookText"/>
        <w:rPr/>
      </w:pPr>
      <w:r>
        <w:rPr>
          <w:rFonts w:ascii="Amiri" w:hAnsi="Amiri" w:eastAsia="Amiri" w:cs="Amiri"/>
          <w:color w:val="111111"/>
          <w:sz w:val="28"/>
          <w:sz w:val="28"/>
          <w:szCs w:val="28"/>
          <w:rtl w:val="true"/>
          <w:lang w:bidi="ar-SA"/>
        </w:rPr>
        <w:t xml:space="preserve">إنّ الطلب الذي هو البعث والإغراء نحو العمل ، قد يكون متأكّداً ببعض أداة التأكيد ، كنونَي التأكيد وغيرهما ، وقد يكون مقروناً بترخيص الترك ، وقد يكون مطلقاً غير مقترنٍ بشيء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مبدئَي الندبي والوجوبي بالشدّة والضعف ، وأمّا الفرق بين نفس الطلبين، فيكون بالاقتران بالترخيص وعدمه ، كما سيأتي عن قريب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الافتراق بينهما إنّما يكون بصحّ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المؤاخذة على الترك وعدمها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هو الرجحان مع المنع من الترك ، والندب هو </w:t>
      </w:r>
      <w:bookmarkStart w:id="78" w:name="pg8033_80644"/>
    </w:p>
    <w:p>
      <w:pPr>
        <w:pStyle w:val="BookText"/>
        <w:rPr/>
      </w:pPr>
      <w:bookmarkEnd w:id="78"/>
      <w:r>
        <w:rPr>
          <w:rFonts w:ascii="Amiri" w:hAnsi="Amiri" w:eastAsia="Amiri" w:cs="Amiri"/>
          <w:color w:val="111111"/>
          <w:sz w:val="28"/>
          <w:sz w:val="28"/>
          <w:szCs w:val="28"/>
          <w:rtl w:val="true"/>
          <w:lang w:bidi="ar-SA"/>
        </w:rPr>
        <w:t>الرجحان مع الإذن في الترك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المؤاخذة إنّما هي من الآثار العقلية التي يتأخّر وجودها عن تحصّل الأمر ، ولا يمكن دخالتها في تقوّم الأمر المتقدّم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الرجحان والرضا بالترك وعدمه ، من مبادئ تحصّل الأمر الوجوبي والندبي ، فلا يعقل تقوّمهما بهما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368231_1051229030"/>
      <w:bookmarkStart w:id="80" w:name="_Toc26"/>
      <w:bookmarkEnd w:id="79"/>
      <w:r>
        <w:rPr>
          <w:rtl w:val="true"/>
        </w:rPr>
        <w:t xml:space="preserve">الأمر الرابع </w:t>
      </w:r>
      <w:r>
        <w:rPr>
          <w:rtl w:val="true"/>
        </w:rPr>
        <w:t xml:space="preserve">: </w:t>
      </w:r>
      <w:r>
        <w:rPr>
          <w:rtl w:val="true"/>
        </w:rPr>
        <w:t>في دلالة الطلب على الإرادة دلالة عقلية</w:t>
      </w:r>
      <w:bookmarkEnd w:id="80"/>
    </w:p>
    <w:p>
      <w:pPr>
        <w:pStyle w:val="BookText"/>
        <w:rPr/>
      </w:pPr>
      <w:r>
        <w:rPr>
          <w:rFonts w:ascii="Amiri" w:hAnsi="Amiri" w:eastAsia="Amiri" w:cs="Amiri"/>
          <w:color w:val="111111"/>
          <w:sz w:val="28"/>
          <w:sz w:val="28"/>
          <w:szCs w:val="28"/>
          <w:rtl w:val="true"/>
          <w:lang w:bidi="ar-SA"/>
        </w:rPr>
        <w:t xml:space="preserve">إنّ دلالة الطلب على الإرادة وكشفه عنها ، لا تكون دلالة وضعية جعلية ، بل دلالة عقلية ، كدلالة المعلول على علّته وكشف الصادر عن منشئه ومصدره ؛ فإنّ اللفظ الصادر عن المتكلّم بما أ نّه فعل صادر منه كسائر أفعاله ، يدلّ بالدلالة العقلية على أنّ فاعله مريد له ، ومبدأ صدوره هو إرادة الفاعل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على أنّ صدوره إنّما يكون لأجل إفادة ، ولا يكون لغواً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يدلّ على أنّ قائله أراد إفادة مضمون الجملة ؛ أي الفائدة الخبرية أو الإنشائية مثلاً ، لا الفائدة الهزلية ، وكلّ هذه دلالات عقلية ، لا وضعية جعلية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من حيث إنّه لفظ موضوع ، على أنّ المتكلّم به أراد المعنى الموضوع له ، لا المعاني المجازية ، وسيأتي إن شاء اللّه في باب المفاهيم ، أنّ دلالتها أيضاً من قبيل الدلالات العقلية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يظهر النظر فيما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صيغة الطلب </w:t>
      </w:r>
      <w:bookmarkStart w:id="81" w:name="pg8033_80646"/>
    </w:p>
    <w:p>
      <w:pPr>
        <w:pStyle w:val="BookText"/>
        <w:rPr/>
      </w:pPr>
      <w:bookmarkEnd w:id="81"/>
      <w:r>
        <w:rPr>
          <w:rFonts w:ascii="Amiri" w:hAnsi="Amiri" w:eastAsia="Amiri" w:cs="Amiri"/>
          <w:color w:val="111111"/>
          <w:sz w:val="28"/>
          <w:sz w:val="28"/>
          <w:szCs w:val="28"/>
          <w:rtl w:val="true"/>
          <w:lang w:bidi="ar-SA"/>
        </w:rPr>
        <w:t>والاستفهام والترجّي وغيرها ، تدلّ بالدلالة الالتزامية على ثبوت هذه الصفات حقيقة ، إمّا لأجل وضعها لإيقاعها فيما إذا كان الداعي إليه ثبوت هذه الصفات ، أو انصراف إطلاقها إلى هذه الصورة</w:t>
      </w:r>
      <w:r>
        <w:rPr>
          <w:rStyle w:val="FootnoteAnchor"/>
          <w:rtl w:val="true"/>
        </w:rPr>
        <w:footnoteReference w:id="7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هذه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الإرادة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لوجود الإنشائيات ، ومتقدّمة عليها تقدّم العلّة على المعلول ، ولا يعقل تقيّد المتأخّر بالمتقدّم ، وتجافي العلّة عن مقامها ، وصيرورتها قيداً لمعلولها المتأخّر عنها ، حتّى يكون الموضوع له هو المعلول المتقيّد بالعلّة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الإنشائيات على مبادئها ، إنّما هي دلالة عقلية ، لا وضعية جعلية ، وكشفها عن مبادئها هو كشف المعلول عن العلّة ، لا كشف اللفظ عن معناه الموضوع له </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7368233_1051229030"/>
      <w:bookmarkStart w:id="83" w:name="_Toc27"/>
      <w:bookmarkEnd w:id="82"/>
      <w:r>
        <w:rPr>
          <w:rtl w:val="true"/>
        </w:rPr>
        <w:t xml:space="preserve">الأمر الخامس </w:t>
      </w:r>
      <w:r>
        <w:rPr>
          <w:rtl w:val="true"/>
        </w:rPr>
        <w:t xml:space="preserve">: </w:t>
      </w:r>
      <w:r>
        <w:rPr>
          <w:rtl w:val="true"/>
        </w:rPr>
        <w:t>في تحرير محلّ النزاع</w:t>
      </w:r>
      <w:bookmarkEnd w:id="83"/>
    </w:p>
    <w:p>
      <w:pPr>
        <w:pStyle w:val="BookText"/>
        <w:rPr/>
      </w:pPr>
      <w:r>
        <w:rPr>
          <w:rFonts w:ascii="Amiri" w:hAnsi="Amiri" w:eastAsia="Amiri" w:cs="Amiri"/>
          <w:color w:val="111111"/>
          <w:sz w:val="28"/>
          <w:sz w:val="28"/>
          <w:szCs w:val="28"/>
          <w:rtl w:val="true"/>
          <w:lang w:bidi="ar-SA"/>
        </w:rPr>
        <w:t>إنّه قد يقرّر ويحرّر محلّ النزاع في حمل الأمر على الوجوب أو الندب ؛ بأنّ موضوع حكم العقلاء باستحقاق العبد للعقوبة والمذمّة واللوم ؛ لخروجه عن مراسم العبودية ومخالفته لسيّده ومولاه ، هل هو الأمر المتأكّد ببعض أداة التأكيد ، ويكون المجرّد عن المؤكّدات غير موضوعٍ لهذا الحكم العقلائي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تمام الموضوع هو الأمر ، سواء كان مطلقاً ، أو مقروناً بأداة التأكيد ، ويكون الاقتران بالترخيص رافعاً لحكم العقلاء ؟ </w:t>
      </w:r>
      <w:bookmarkStart w:id="84" w:name="pg8033_80648"/>
    </w:p>
    <w:p>
      <w:pPr>
        <w:pStyle w:val="BookText"/>
        <w:rPr/>
      </w:pPr>
      <w:bookmarkEnd w:id="84"/>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صدور الطلب تمام موضوعه ، إلاّ أن يقترن بالترخيص ، هذا بحسب مقام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يحكمون في مقام الشكّ في الاقتران وعدمه بالعقوبة أم لا ؟</w:t>
      </w:r>
    </w:p>
    <w:p>
      <w:pPr>
        <w:pStyle w:val="BookText"/>
        <w:rPr/>
      </w:pPr>
      <w:r>
        <w:rPr>
          <w:rFonts w:ascii="Amiri" w:hAnsi="Amiri" w:eastAsia="Amiri" w:cs="Amiri"/>
          <w:color w:val="111111"/>
          <w:sz w:val="28"/>
          <w:sz w:val="28"/>
          <w:szCs w:val="28"/>
          <w:rtl w:val="true"/>
          <w:lang w:bidi="ar-SA"/>
        </w:rPr>
        <w:t>وقد يحرّر النزاع ، بأنّ الأمر المقرون بأداة التأكيد ، هل يكشف عن الإرادة الشديدة التي هي موضوع حكم العقلاء للعقوبة ، أم الطلب المطلق الذي لا يقترن بالترخيص موضوعه ؟</w:t>
      </w:r>
    </w:p>
    <w:p>
      <w:pPr>
        <w:pStyle w:val="BookText"/>
        <w:rPr/>
      </w:pPr>
      <w:r>
        <w:rPr>
          <w:rFonts w:ascii="Amiri" w:hAnsi="Amiri" w:eastAsia="Amiri" w:cs="Amiri"/>
          <w:color w:val="111111"/>
          <w:sz w:val="28"/>
          <w:sz w:val="28"/>
          <w:szCs w:val="28"/>
          <w:rtl w:val="true"/>
          <w:lang w:bidi="ar-SA"/>
        </w:rPr>
        <w:t>فعلى التقرير الثاني ، يكون المدّعى أنّ موضوع حكم العقلاء باستحقاق الذمّ والعقوبة ، هو الإرادة الشديدة ؛ بحيث لو اطّلع العبد عليها ، ويكون المولى غافلاً غير آمرٍ أصلاً ، يجب عليه الإتيان بالمراد ، ولو لم يأتِ يكون عاصياً مستحقّاً لها ، ويكون النزاع في الكاشف ، وأ نّه هل هو الأمر مطلقاً ، أو المتأكّد منه ، وعلى أيّ شيء يحمل في مقام الشكّ في الاقتران بالترخيص أو التأكيد ؟</w:t>
      </w:r>
    </w:p>
    <w:p>
      <w:pPr>
        <w:pStyle w:val="Heading4"/>
        <w:numPr>
          <w:ilvl w:val="3"/>
          <w:numId w:val="1"/>
        </w:numPr>
        <w:rPr/>
      </w:pPr>
      <w:bookmarkStart w:id="85" w:name="__RefHeading___Toc7368235_1051229030"/>
      <w:bookmarkStart w:id="86" w:name="_Toc28"/>
      <w:bookmarkEnd w:id="85"/>
      <w:r>
        <w:rPr>
          <w:rtl w:val="true"/>
        </w:rPr>
        <w:t>تحقيق المقام</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صرف الطلب إذا صدر من المولى المنعم الذي له حقّ المولوية والسيادة ، متوجّهاً إلى العبد الذي له العبودية ، بأيّ نحوٍ من أنحاء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 أو بالإشارة ، أو الكتابة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العبد إطاعته ، ولو خالفه يستحقّ عند العقلاء العقوبة واللوم والمذمّة ، ولا يقبلون منه العذر أصلاً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الطلب تمام الموضوع لهذا الحكم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الطلب كاشف عن الموضوع الذي هو الإرادة الغير المقترنة بالرضا بالترك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الطلب تمام الموضوع ، لا بدّ من الالتزام بأنّ الموضوع هو الطلب الذي يكون مبدؤه إرادة الانبعاث ، لا مطلق الطلب ولو كان مبدؤه إرادة التعجيز والسخرية مثلاً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إحراز الطلب من المولى ، موضوع لحكم العقلاء ؛ إمّا ذاتاً ، وإمّا كشفاً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شكّ في مقارنة أمر المولى للترخيص ، أو إرادته للرضا بالترك ، يكون حكم العقلاء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العبد أمر المولى ؛ معتذراً بالشكّ في مقارنته للترخيص ، أو مقارنة إرادته للرضا بالترك ، عُدّ عاصياً مستحقّاً للعقوبة والذمّ عند العقلاء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العمدة في حمل الطلب المطلق على الوجوب ، وإن دلّ على ذلك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لاَ تَسْجُدَ إِذْ أَمَرْتُكَ</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لِلْمَلاَئِكَةِ اسْجُدُوا لاِدَمَ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فإنّ ذمّه تعالى لإبليس لمخالفته مجرّد أمره بالسجود ، كما يظهر من صدر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المطلق سواء كان مجرّداً عن الترخيص ، أو مشكوك التجرّد عنه ، محمول على الوجوب ، وإنّما يحمل على الندب إذا اُحرزت مقارنته للترخيص ، أو مقارنة الإرادة للرضا بالترك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المحقّق القمّي رحمه الله علیه ، ذهب إلى أنّ الطلب مطلقاً محمول على الوجوب</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ولا تعقل مقارنة الطلب للترخيص ؛ فإنّ البعث إلى الفعل والترخيص في الترك ، متنافيان غير مجتمعين ، وليست للإرادة مراتب ، بل الإرادة مطلقاً حتمية وجوبية ، والأوامر الندبية كلّها إرشادية ؛ ترشد إلى ما في متعلّقاتها من المصالح ، فالآتي بها لا ينال إلاّ تلك المصالح ، والتارك لها يحرم عنها ، وليس في البين طلب أصلاً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الوجوب والندب سنخين متباينين ، أحدهما من سنخ الطلب ، دون الآخر ، وهذا ليس ببعيدٍ عن الصواب </w:t>
      </w:r>
      <w:r>
        <w:rPr>
          <w:rFonts w:eastAsia="Amiri" w:cs="Amiri" w:ascii="Amiri" w:hAnsi="Amiri"/>
          <w:color w:val="111111"/>
          <w:sz w:val="28"/>
          <w:szCs w:val="28"/>
          <w:rtl w:val="true"/>
          <w:lang w:bidi="ar-SA"/>
        </w:rPr>
        <w:t xml:space="preserve">. </w:t>
      </w:r>
      <w:bookmarkStart w:id="87" w:name="pg8033_80653"/>
    </w:p>
    <w:p>
      <w:pPr>
        <w:pStyle w:val="Heading3"/>
        <w:numPr>
          <w:ilvl w:val="2"/>
          <w:numId w:val="1"/>
        </w:numPr>
        <w:rPr/>
      </w:pPr>
      <w:bookmarkStart w:id="88" w:name="__RefHeading___Toc7368237_1051229030"/>
      <w:bookmarkStart w:id="89" w:name="_Toc29"/>
      <w:bookmarkEnd w:id="87"/>
      <w:bookmarkEnd w:id="88"/>
      <w:r>
        <w:rPr>
          <w:rtl w:val="true"/>
        </w:rPr>
        <w:t>المطلب الثاني</w:t>
      </w:r>
      <w:r>
        <w:rPr>
          <w:rtl w:val="true"/>
        </w:rPr>
        <w:t xml:space="preserve">: </w:t>
      </w:r>
      <w:r>
        <w:rPr>
          <w:rtl w:val="true"/>
        </w:rPr>
        <w:t>فیما یتعلّق بصیغة الأمر</w:t>
      </w:r>
      <w:bookmarkEnd w:id="89"/>
    </w:p>
    <w:p>
      <w:pPr>
        <w:pStyle w:val="Heading4"/>
        <w:numPr>
          <w:ilvl w:val="3"/>
          <w:numId w:val="1"/>
        </w:numPr>
        <w:rPr/>
      </w:pPr>
      <w:bookmarkStart w:id="90" w:name="__RefHeading___Toc7368239_1051229030"/>
      <w:bookmarkStart w:id="91" w:name="_Toc30"/>
      <w:bookmarkEnd w:id="90"/>
      <w:r>
        <w:rPr>
          <w:rtl w:val="true"/>
        </w:rPr>
        <w:t>فیما یتعلّق بصیغة الأمر</w:t>
      </w:r>
      <w:bookmarkEnd w:id="9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368241_1051229030"/>
      <w:bookmarkStart w:id="93" w:name="_Toc31"/>
      <w:bookmarkEnd w:id="92"/>
      <w:r>
        <w:rPr>
          <w:rtl w:val="true"/>
        </w:rPr>
        <w:t xml:space="preserve">المبحث الأوّل </w:t>
      </w:r>
      <w:r>
        <w:rPr>
          <w:rtl w:val="true"/>
        </w:rPr>
        <w:t xml:space="preserve">: </w:t>
      </w:r>
      <w:r>
        <w:rPr>
          <w:rtl w:val="true"/>
        </w:rPr>
        <w:t>في الفرق فيما ينشأ به الطلب</w:t>
      </w:r>
      <w:bookmarkEnd w:id="93"/>
    </w:p>
    <w:p>
      <w:pPr>
        <w:pStyle w:val="BookText"/>
        <w:rPr/>
      </w:pPr>
      <w:r>
        <w:rPr>
          <w:rFonts w:ascii="Amiri" w:hAnsi="Amiri" w:eastAsia="Amiri" w:cs="Amiri"/>
          <w:color w:val="111111"/>
          <w:sz w:val="28"/>
          <w:sz w:val="28"/>
          <w:szCs w:val="28"/>
          <w:rtl w:val="true"/>
          <w:lang w:bidi="ar-SA"/>
        </w:rPr>
        <w:t xml:space="preserve">قد ينشأ الطلب بنحو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منك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ينشأ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تحقّق حقيقة الطلب بكلّ من الإنشائين ، فيبقى سؤال 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بعض أساتيذنا بأنّ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مفاده إلاّ النسبة الصدورية إلى الفاعل ، ولا يكون مفاده إنشاء الطلب ، بخلاف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الصدورية إمّا تصوّرية ، أو تصديقية ، وكلّ منهما أجنبيّ عن مفاد هذه الصيغ الإنشائية ؛ فإنّ الضرورة قاضية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صدور الضرب من زيد بنحو المعنى التصوّري ، ولا صدوره بنحو المعنى التصديقي ، وليست النسبة خارجة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تحقّق الطلب بكلٍّ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وبالهيئات الإنشائية ، 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الطلب مطلقاً وإن كان وسيلة إلى حصول المطلوب ، وتكون الغاية والمتوجّه إليه هو المطلوب ، وليس للطلب إلاّ سمة المقدّمية والتوصّل إليه ، لكن قد يلاحظ الطلب بنحو المعنى الحرفي ، فيكون فانياً في المطلوب غير منظورٍ فيه ، وهذا مفاد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يكون نفس الطلب منظوراً فيه بالنظر الاستقلالي وبنحو المعنى الاسمي ، ويكون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الذهن ، وإن كان وسيلة إلى حصول المطلوب ، وهذا مفاد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تنشأ حقيقة طلب الضرب بنحو المعنى الحرفي فانيةً في المطلوب ، وقد تنشأ بنحو المعنى الاسمي مستقلّة في الملحوظية ، وإن كانت في كلا الصورتين وسيلة إلى المطلوب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التفاوت فيما هو الملاك في حمل الطلب على الوجوب ، سواء اُنشئ بمادّته أو بهيئته ؛ فإنّ الملاك هو تحقّق الطلب بأيّ نحوٍ كان </w:t>
      </w:r>
      <w:r>
        <w:rPr>
          <w:rFonts w:eastAsia="Amiri" w:cs="Amiri" w:ascii="Amiri" w:hAnsi="Amiri"/>
          <w:color w:val="111111"/>
          <w:sz w:val="28"/>
          <w:szCs w:val="28"/>
          <w:rtl w:val="true"/>
          <w:lang w:bidi="ar-SA"/>
        </w:rPr>
        <w:t xml:space="preserve">. </w:t>
      </w:r>
      <w:bookmarkStart w:id="94" w:name="pg8033_80658"/>
    </w:p>
    <w:p>
      <w:pPr>
        <w:pStyle w:val="Heading4"/>
        <w:numPr>
          <w:ilvl w:val="3"/>
          <w:numId w:val="1"/>
        </w:numPr>
        <w:rPr/>
      </w:pPr>
      <w:bookmarkStart w:id="95" w:name="__RefHeading___Toc7368243_1051229030"/>
      <w:bookmarkStart w:id="96" w:name="_Toc32"/>
      <w:bookmarkEnd w:id="94"/>
      <w:bookmarkEnd w:id="95"/>
      <w:r>
        <w:rPr>
          <w:rtl w:val="true"/>
        </w:rPr>
        <w:t>المبحث الثاني في كثرة استعمال الأمر في الندب</w:t>
      </w:r>
      <w:bookmarkEnd w:id="96"/>
    </w:p>
    <w:p>
      <w:pPr>
        <w:pStyle w:val="Heading5"/>
        <w:numPr>
          <w:ilvl w:val="4"/>
          <w:numId w:val="1"/>
        </w:numPr>
        <w:rPr/>
      </w:pPr>
      <w:bookmarkStart w:id="97" w:name="__RefHeading___Toc7368245_1051229030"/>
      <w:bookmarkStart w:id="98" w:name="_Toc33"/>
      <w:bookmarkEnd w:id="97"/>
      <w:r>
        <w:rPr>
          <w:rtl w:val="true"/>
        </w:rPr>
        <w:t>في كثرة استعمال الأمر في الندب</w:t>
      </w:r>
      <w:bookmarkEnd w:id="98"/>
    </w:p>
    <w:p>
      <w:pPr>
        <w:pStyle w:val="BookText"/>
        <w:rPr/>
      </w:pPr>
      <w:r>
        <w:rPr>
          <w:rFonts w:ascii="IRNazanin" w:hAnsi="IRNazanin" w:eastAsia="IRNazanin"/>
          <w:color w:val="111111"/>
          <w:sz w:val="28"/>
          <w:sz w:val="28"/>
          <w:szCs w:val="28"/>
          <w:rtl w:val="true"/>
          <w:lang w:bidi="fa-IR"/>
        </w:rPr>
        <w:t xml:space="preserve">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 أنّ كثرة استعمال الأمر في الندب في الأحاديث المرويّة عن أئمّتنا علیهم السلام ، جعلته من المجازات الراجحة في الاستعمال ، المساوية للوجوب في الاحتمال ، فإذا ورد منهم أمر بلا قرينة نتوقّف فيه ، ولا نحمله على الوجوب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المحقّق الخراساني رحمه الله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 بأنّ كثرة الاستعمال فيه في الكتاب والسنّة وغيرهما ، لا يوجب صرف ظهوره عن معناه الوضعي ؛ لأنّ الاستعمال إنّما هو مع القرينة المصحوبة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صيرورته مشهوراً ليرجّح أو يتوقّف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بالعامّ فإنّه مع كثرة استعماله في الخاصّ حتّى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لم ينثلم ظهوره في العموم ما لم تقم قرينة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عدم ادّعائه كثرة الاستعمال في الكتاب والسنّة ، بل ادّعاها في الأخبار المرويّة عن الأئمّة علیهم السلام ، ولا ملازمة بينهما ؛ فإنّ ما ورد عنهم وإن كان مأخوذاً عنهما ، ولهذا قال الصادق علیه السلام في جواب 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اُحبّ أن تروي ما تروي لي مسنداً إلى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 ما أقوله </w:t>
      </w:r>
    </w:p>
    <w:p>
      <w:pPr>
        <w:pStyle w:val="BookText"/>
        <w:rPr/>
      </w:pPr>
      <w:r>
        <w:rPr>
          <w:rFonts w:ascii="IRNazanin" w:hAnsi="IRNazanin" w:eastAsia="IRNazanin"/>
          <w:color w:val="111111"/>
          <w:sz w:val="28"/>
          <w:sz w:val="28"/>
          <w:szCs w:val="28"/>
          <w:rtl w:val="true"/>
          <w:lang w:bidi="fa-IR"/>
        </w:rPr>
        <w:t xml:space="preserve">فهو ممّا حدّثني أبي ، عن أبيه ، عن أبيه ، عن أبيه أمير المؤمنين علیهم السلام ، عن رسول اللّه صلی الله علیه و آله وسلم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لكن لا يلزم أن تكون استعمالاتهم مطابقةً لاستعمال رسول اللّه صلی الله علیه و آله وسلم ، بل يمكن أن يكون استعمالهم الأمر في الندب أكثر بكثير من استعماله فيه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 والنقض كليهما مخدوشان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الأمر في الندب مع القرينة المصحوبة ، ليس معناه أنّ الأمر مع القرينة يستعمل في المعنى المجازي ، بل معناه أنّ الأمر يستعمل بنفسه فيه ، والمعيّن لهذا الاستعمال هو القرينة ، كما هو الشأن في سائر المجازات ، فإذا كان كذلك فكثرة استعمال اللفظ فيه توجب اُنساً للذهن بالنسبة إليه ؛ بحيث أ نّه ربّما يصير هذا الاُنس موجباً للترجيح وتقديم اقتضائه على اقتضاء الوضع أو التوقّف وعدم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لا يستعمل في الخاصّ ، بل هو مستعمل في العامّ دائماً ، والتخصيص إنّما هو إخراج ما دخل فيه ، وحينئذٍ فلا معنى لانثلام ظهوره ، بخلاف الأمر فإنّه مستعمل في الندب ، فكثرته توجب الاُنس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العامّ في الخاصّ لو سلّم ، ليس استعمالاً في عنوان الخاصّ ، حتّى يصير الذهن مأنوساً به ، ويصير اللفظ ظاهراً فيه ؛ بحيث يزاحم ظهوره في العموم ، بل يكون استعمالاً فيما هو بالحمل الشائع خاصّ ، فيكون </w:t>
      </w:r>
      <w:bookmarkStart w:id="99" w:name="pg8033_80662"/>
    </w:p>
    <w:p>
      <w:pPr>
        <w:pStyle w:val="BookText"/>
        <w:rPr/>
      </w:pPr>
      <w:bookmarkEnd w:id="99"/>
      <w:r>
        <w:rPr>
          <w:rFonts w:ascii="Amiri" w:hAnsi="Amiri" w:eastAsia="Amiri" w:cs="Amiri"/>
          <w:color w:val="111111"/>
          <w:sz w:val="28"/>
          <w:sz w:val="28"/>
          <w:szCs w:val="28"/>
          <w:rtl w:val="true"/>
          <w:lang w:bidi="ar-SA"/>
        </w:rPr>
        <w:t xml:space="preserve">المستعمل فيه مختلفاً متكثّراً ، وينتزع عنوان الخاصّ من 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كثرة الاستعمال في معنىً واحد ، موجبة للاُنس والظهور المزاحم لظهور العامّ ، وهذا بخلاف استعمال الأمر في الندب ، فإنّ كثرة استعماله فيه توجب الظهور المزاحم ؛ لكونه معنىً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طريقتنا في حمل الأمر على الوجوب ؛ فإنّ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 المولى ، فإمّا هو بنفسه موضوع لحكم العقلاء بوجوب الإطاعة وقبح المخالفة ، إلاّ إذا اُحرز الإذن في الترك ، وإمّا لكشفه عن الإرادة الحتمية كشفَ المعلول عن العلّة ، وليس من قبيل الاستعمال حتّى يرد عليه ما ذكر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368247_1051229030"/>
      <w:bookmarkStart w:id="101" w:name="_Toc34"/>
      <w:bookmarkEnd w:id="100"/>
      <w:r>
        <w:rPr>
          <w:rtl w:val="true"/>
        </w:rPr>
        <w:t xml:space="preserve">تنبيه </w:t>
      </w:r>
      <w:r>
        <w:rPr>
          <w:rtl w:val="true"/>
        </w:rPr>
        <w:t xml:space="preserve">: </w:t>
      </w:r>
      <w:r>
        <w:rPr>
          <w:rtl w:val="true"/>
        </w:rPr>
        <w:t>في الأحكام السلطانية</w:t>
      </w:r>
      <w:bookmarkEnd w:id="101"/>
    </w:p>
    <w:p>
      <w:pPr>
        <w:pStyle w:val="BookText"/>
        <w:rPr/>
      </w:pPr>
      <w:r>
        <w:rPr>
          <w:rFonts w:ascii="Amiri" w:hAnsi="Amiri" w:eastAsia="Amiri" w:cs="Amiri"/>
          <w:color w:val="111111"/>
          <w:sz w:val="28"/>
          <w:sz w:val="28"/>
          <w:szCs w:val="28"/>
          <w:rtl w:val="true"/>
          <w:lang w:bidi="ar-SA"/>
        </w:rPr>
        <w:t xml:space="preserve">وممّا ذكرنا في باب حمل الطلب على الوجوب ، وأنّ الطلب بأيّ نحو كان إمّا تمام الموضوع ، أو كاشف عنه ؛ يعرف حال الجمل الخبرية التي تستعمل في الطلب ، فلا نحتاج إلى بيانها وبيان سائر المباحث المربوطة بحمل الطلب على الوجوب ، لكن لا بأس بصرف عنان الكلام إلى ذكر نكتة كثيراً ما نحتاج إليها في الفقه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أنّ الأوامر الصادرة عن رسول اللّه صلی الله علیه و آله وسلم وعن الأئمّة المعصومين علیهم السلام ، قد تكون صادرة بعنوان السلطنة الإلهية ؛ وبما أ نّهم مسلّطون على الرعية من قبل اللّه تعالى ، ولهم الرئاسة العامّة ، كأمره صلی الله علیه و آله وسلم بالخروج مع جيش اُسامة بن ثابت ، وكأمر أميرالمؤمنين علیه السلام بخروج الجيش للشام ، وأشباههما ، فهذه الأوامر بما أنّها صادرة منهم ، واجبة الإطاعة ، والتخلّف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w:t>
      </w:r>
    </w:p>
    <w:p>
      <w:pPr>
        <w:pStyle w:val="BookText"/>
        <w:rPr/>
      </w:pPr>
      <w:r>
        <w:rPr>
          <w:rFonts w:ascii="IRNazanin" w:hAnsi="IRNazanin" w:eastAsia="IRNazanin"/>
          <w:color w:val="111111"/>
          <w:sz w:val="28"/>
          <w:sz w:val="28"/>
          <w:szCs w:val="28"/>
          <w:rtl w:val="true"/>
          <w:lang w:bidi="fa-IR"/>
        </w:rPr>
        <w:t xml:space="preserve">وبما أنّها أوامرهم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موجب للفسق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لأوامرهم ونواهيهم الكذائية موضوعية ، ولعلّ قول بُرَيرة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يا رسول اللّه ؟ كان استفساراً منه صلی الله علیه و آله وسلم عن أنّ أمره هل صدر بجهة السلطنة الإلهية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أنا شافع</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تكون أوامرهم ونواهيهم صادرة لا بجهة السلطنة والحكومة الإلهية ، بل لبيان الأحكام الإلهية والفتوى ، فلا تكون مولوية ، ومخالفتها لا تكون حراماً موجباً للفسق بما أنّها مخالفتهم ، بل بما أ نّها مخالفة لأحكام اللّه ؛ فإنّ أوامرهم الكذائية إرشادية إلى الأحكام الإلهية كفتوى الفقيه ، فلا تكون لها إطاعة ومعصية ، ولا مخالفتها موجبة للعقاب ، بل هي كاشفة عن أحكام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إنّها لو كانت مطلقة غير مقارنة للترخيص ، أو قرينة الندب ، تكون كاشفة عن الأوامر المولوية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كاشفة عن الطلب الإلهي ، فلا مناص من وجوب إطاعتها ، إلاّ مع الإذن في الترك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والنواهي المنقولة عن أئمّتنا المعصومين علیهم السلام ، بل عن رسول اللّه صلی الله علیه و آله وسلم ، جلّها إرشادية ليست بمولوية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تكون إرشاداً إلى الأوامر والنواهي الإلهية ، وقد تكون إرشاداً إلى الصحّة والفساد ، أو إلى الشرطية والمانعية ، أو المصلحة والمفسدة ؛ حسبما ما يستفاد من تفاصيلها وتضاعيفها </w:t>
      </w:r>
      <w:r>
        <w:rPr>
          <w:rFonts w:eastAsia="Amiri" w:cs="Amiri" w:ascii="Amiri" w:hAnsi="Amiri"/>
          <w:color w:val="111111"/>
          <w:sz w:val="28"/>
          <w:szCs w:val="28"/>
          <w:rtl w:val="true"/>
          <w:lang w:bidi="ar-SA"/>
        </w:rPr>
        <w:t xml:space="preserve">. </w:t>
      </w:r>
      <w:bookmarkStart w:id="102" w:name="pg8033_80666"/>
    </w:p>
    <w:p>
      <w:pPr>
        <w:pStyle w:val="Heading4"/>
        <w:numPr>
          <w:ilvl w:val="3"/>
          <w:numId w:val="1"/>
        </w:numPr>
        <w:rPr/>
      </w:pPr>
      <w:bookmarkStart w:id="103" w:name="__RefHeading___Toc7368249_1051229030"/>
      <w:bookmarkStart w:id="104" w:name="_Toc35"/>
      <w:bookmarkEnd w:id="102"/>
      <w:bookmarkEnd w:id="103"/>
      <w:r>
        <w:rPr>
          <w:rtl w:val="true"/>
        </w:rPr>
        <w:t>المبحث الثالث في التعبّدي والتوصّلي</w:t>
      </w:r>
      <w:bookmarkEnd w:id="104"/>
    </w:p>
    <w:p>
      <w:pPr>
        <w:pStyle w:val="Heading5"/>
        <w:numPr>
          <w:ilvl w:val="4"/>
          <w:numId w:val="1"/>
        </w:numPr>
        <w:rPr/>
      </w:pPr>
      <w:bookmarkStart w:id="105" w:name="__RefHeading___Toc7368251_1051229030"/>
      <w:bookmarkStart w:id="106" w:name="_Toc36"/>
      <w:bookmarkEnd w:id="105"/>
      <w:r>
        <w:rPr>
          <w:rtl w:val="true"/>
        </w:rPr>
        <w:t>في التعبّدي والتوصّلي</w:t>
      </w:r>
      <w:bookmarkEnd w:id="106"/>
    </w:p>
    <w:p>
      <w:pPr>
        <w:pStyle w:val="BookText"/>
        <w:rPr/>
      </w:pPr>
      <w:r>
        <w:rPr>
          <w:rFonts w:ascii="IRNazanin" w:hAnsi="IRNazanin" w:eastAsia="IRNazanin"/>
          <w:color w:val="111111"/>
          <w:sz w:val="28"/>
          <w:sz w:val="28"/>
          <w:szCs w:val="28"/>
          <w:rtl w:val="true"/>
          <w:lang w:bidi="fa-IR"/>
        </w:rPr>
        <w:t>كان الترتيب الطبيعي يقتضي بيان التعبّدي والتوصّلي وماهيتهما وما تقتضيه كلّ منهما ، ثمّ تفريع مورد الشكّ فيهما واقتضاء الأصل عليه ، لكن المحقّق الخراساني رحمه الله علیه جعل حال الشكّ أصلاً ، وجعل بيان ماهيتهما من مقدّماته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فهاهنا اُمور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368253_1051229030"/>
      <w:bookmarkStart w:id="108" w:name="_Toc37"/>
      <w:bookmarkEnd w:id="107"/>
      <w:r>
        <w:rPr>
          <w:rtl w:val="true"/>
        </w:rPr>
        <w:t xml:space="preserve">الأمر الأوّل </w:t>
      </w:r>
      <w:r>
        <w:rPr>
          <w:rtl w:val="true"/>
        </w:rPr>
        <w:t xml:space="preserve">: </w:t>
      </w:r>
      <w:r>
        <w:rPr>
          <w:rtl w:val="true"/>
        </w:rPr>
        <w:t>في تعريفهما</w:t>
      </w:r>
      <w:bookmarkEnd w:id="108"/>
    </w:p>
    <w:p>
      <w:pPr>
        <w:pStyle w:val="BookText"/>
        <w:rPr/>
      </w:pPr>
      <w:r>
        <w:rPr>
          <w:rFonts w:ascii="Amiri" w:hAnsi="Amiri" w:eastAsia="Amiri" w:cs="Amiri"/>
          <w:color w:val="111111"/>
          <w:sz w:val="28"/>
          <w:sz w:val="28"/>
          <w:szCs w:val="28"/>
          <w:rtl w:val="true"/>
          <w:lang w:bidi="ar-SA"/>
        </w:rPr>
        <w:t xml:space="preserve">الواجب والندب التعبّديان ، ما لا يسقط الغرض منهما إلاّ بإتيانهما مرتبطين بالمولى ، ومتقرّباً بهما إليه ، سواء تعلّق بهما أمر أم لا ، فتعظيم المولى ومدحه وثناؤه ، تكون تعبّدية وإن فرض عدم تعلّق الأمر بها ، لكن لا بدّ من إتيانها تقرّباً إليه تعالى ؛ لأنّ الإتيان بها لا يسقط الغرض كيفما اتّفق ، بل لا بدّ وأن تكون مرتبطة بالمولى ، ومقصوداً بها حصول عناوينها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والتوصّليان منهما ما يسقط الغرض بنفس وجودهما مطلقاً ، سواء اُتي بهما تقرّباً إليه تعالى أم لا ، وسواء قصدت عناوينهما أم لا ، بل لو وجدا بلا إرادة واختيارٍ وفي حال النوم والغفلة ، لحصل الغرض منهما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تعلّق الأمر بشيء غير إرادي محال ، كذا تعلّقه بالأعمّ منه أيضاً محال </w:t>
      </w:r>
      <w:r>
        <w:rPr>
          <w:rFonts w:eastAsia="Amiri" w:cs="Amiri" w:ascii="Amiri" w:hAnsi="Amiri"/>
          <w:color w:val="111111"/>
          <w:sz w:val="28"/>
          <w:szCs w:val="28"/>
          <w:rtl w:val="true"/>
          <w:lang w:bidi="ar-SA"/>
        </w:rPr>
        <w:t xml:space="preserve">. </w:t>
      </w:r>
      <w:bookmarkStart w:id="109" w:name="pg8033_80668"/>
    </w:p>
    <w:p>
      <w:pPr>
        <w:pStyle w:val="BookText"/>
        <w:rPr/>
      </w:pPr>
      <w:bookmarkEnd w:id="10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 الأمر في التوصّلي تعلّق بأمرٍ أعمّ من الإرادي ، بل الأمر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كان أو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لإيجاد الداعي في المأمور ، وبعثه إلى المأمور به لأن يريده ويفعله ، لكن قد يكون لتسبيبه للداعي أو لنفس الداعي والإرادة ، دخالة في الغرض ، وقد لا يكون لها دخالة أصلاً ، بل الغرض يحصل بنفس الفعل بأيّ نحوٍ اتّفق وجوده ، فالمولى يتوصّل بالأمر لإيجاد الداعي للعبد كي يفعل بإرادته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كونه في التوصّلي مراداً ، أو معنوناً بداعي الأمر ، أو قصد حصول العنوان وأمثال ذلك ، غير دخيل في الغرض من الأمر ؛ بحيث لو اتّفق تحقّقه بلا إرادة وشعورٍ لحصل به الغرض ، وسقط الأمر المسبّب من الغرض</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368255_1051229030"/>
      <w:bookmarkStart w:id="111" w:name="_Toc38"/>
      <w:bookmarkEnd w:id="110"/>
      <w:r>
        <w:rPr>
          <w:rtl w:val="true"/>
        </w:rPr>
        <w:t xml:space="preserve">الأمر الثاني </w:t>
      </w:r>
      <w:r>
        <w:rPr>
          <w:rtl w:val="true"/>
        </w:rPr>
        <w:t xml:space="preserve">: </w:t>
      </w:r>
      <w:r>
        <w:rPr>
          <w:rtl w:val="true"/>
        </w:rPr>
        <w:t>في أخذ قصد التقرّب في متعلّق الأمر</w:t>
      </w:r>
      <w:bookmarkEnd w:id="111"/>
    </w:p>
    <w:p>
      <w:pPr>
        <w:pStyle w:val="Heading6"/>
        <w:numPr>
          <w:ilvl w:val="5"/>
          <w:numId w:val="1"/>
        </w:numPr>
        <w:rPr/>
      </w:pPr>
      <w:bookmarkStart w:id="112" w:name="__RefHeading___Toc7368257_1051229030"/>
      <w:bookmarkStart w:id="113" w:name="_Toc39"/>
      <w:bookmarkEnd w:id="112"/>
      <w:r>
        <w:rPr>
          <w:rtl w:val="true"/>
        </w:rPr>
        <w:t>في أخذ قصد التقرّب في متعلّق الأمر</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اطّلعنا على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ينظمون قصد التقرّب وامتثال الأمر وأشباههما ، في سلك سائر القيود والشرائط الشرعية من غير تفريق بينها</w:t>
      </w:r>
      <w:r>
        <w:rPr>
          <w:rStyle w:val="FootnoteAnchor"/>
          <w:rtl w:val="true"/>
        </w:rPr>
        <w:footnoteReference w:id="90"/>
      </w:r>
      <w:r>
        <w:rPr>
          <w:rFonts w:ascii="IRNazanin" w:hAnsi="IRNazanin" w:eastAsia="IRNazanin"/>
          <w:color w:val="111111"/>
          <w:sz w:val="28"/>
          <w:sz w:val="28"/>
          <w:szCs w:val="28"/>
          <w:rtl w:val="true"/>
          <w:lang w:bidi="fa-IR"/>
        </w:rPr>
        <w:t>إلى عصر الشيخ العلاّمة الأنصاري رحمه الله علیه ، فأبدى التفرقة بينه وبين سائر القيود والشرائط ، وذهب إلى محالية أخذه في متعلّق الأوامر</w:t>
      </w:r>
      <w:r>
        <w:rPr>
          <w:rStyle w:val="FootnoteAnchor"/>
          <w:rtl w:val="true"/>
        </w:rPr>
        <w:footnoteReference w:id="91"/>
      </w:r>
      <w:r>
        <w:rPr>
          <w:rFonts w:ascii="Amiri" w:hAnsi="Amiri" w:eastAsia="Amiri" w:cs="Amiri"/>
          <w:color w:val="111111"/>
          <w:sz w:val="28"/>
          <w:sz w:val="28"/>
          <w:szCs w:val="28"/>
          <w:rtl w:val="true"/>
          <w:lang w:bidi="ar-SA"/>
        </w:rPr>
        <w:t>فأصبح ذلك كالضروريات بين المتأخّرين منه ؛ بحيث 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بالقبول أوّلاً ، ثمّ تكلّفوا في إقامة الدليل عليه ثانياً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اختلفت كلمات تلامذته وأدلّتهم في وجه الاستحالة ، فجعله بعض منهم من ناحية الأمر ؛ وأنّ تعلّق الأمر بهذا المقيّد محال</w:t>
      </w:r>
      <w:r>
        <w:rPr>
          <w:rStyle w:val="FootnoteAnchor"/>
          <w:rtl w:val="true"/>
        </w:rPr>
        <w:footnoteReference w:id="92"/>
      </w:r>
      <w:r>
        <w:rPr>
          <w:rFonts w:ascii="Amiri" w:hAnsi="Amiri" w:eastAsia="Amiri" w:cs="Amiri"/>
          <w:color w:val="111111"/>
          <w:sz w:val="28"/>
          <w:sz w:val="28"/>
          <w:szCs w:val="28"/>
          <w:rtl w:val="true"/>
          <w:lang w:bidi="ar-SA"/>
        </w:rPr>
        <w:t>وبعضهم من ناحية الإتيان ؛ وأنّ الإتيان بهذا النحو من المقيّد محال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حرّره المحقّق المقرّر لبحثه الشريف ، هو أنّ هذه القيود إنّما تتحقّق بعد تعلّق الأمر بالمتعلّق ، ولا يمكن أخذ ما يأتي من قِبَل الأمر في موضوعه ؛ لوجوب تقدّم الموضوع على الأمر الذي هو بحكم الموضوع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أخذه في الموضوع ، تقدّم الشيء على نفسه ؛ لأنّ الأمر متوقّف على الموضوع ، وهو بالفرض متوقّف على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بعضهم وجه الاستحالة ؛ بأنّ الأمر لا يتعلّق إلاّ بما هو المقدور ، فلا بدّ من كون المتعلّق مقدوراً، والفرض أنّه غير مقدور إلاّ بعد تعلّق الأمر به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أساتيذنا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الاستحالة لا ذاك ولا ذاك ، بل وجهها أنّ تعلّق الأمر بذلك المقيّد ، موجب للجمع بين اللحاظين ؛ أي الآلي والاستقلالي ، لأنّ الموضوع لا بدّ وأن يكون ملحوظاً بنحو الاستقلال ، والأمر لكونه آلة لحصول المطلوب ، ليس ملحوظاً إلاّ بنحو الآلية والحرفية ، فإذا قيّد الموضوع بما يأتي من قِبَل الأمر ، فلا بدّ وأن يكون الأمر ملحوظاً بنحو الاستقلال ؛ لمكان الموضوعية ، فيجمع بين اللحاظين المتنافيين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المحقّق الخراساني رحمه الله علیه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المحال إنّما هو من ناحية إتيان المأمور به ، وإنّ الإتيان بالمتعلّق الكذائي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داعوية الأمر إنّما تكون إلى ما لو وجد يكون مصداقاً لعنوان المأمور به ، فإن كان المأمور به مثلاً نفس الصلاة ، تكون الداعوية إليها ، وإن كان الصلاة متقيّدة بالداعوية ، فداعويته لا محالة تكون إليها مع هذا التقيّد ، مع أنّ هذا التقيّد إنّما يتحقّق بعد الداعوية ، فداعوية الأمر تتوقّف على أنّ ما وجد يكون معنوناً بالداعوية ، وهو يتوقّف على داعوية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يدعو إلاّ إلى متعلّقه ، والمتعلّق بالفرض متقيّد بالداعوية ، فالأمر لا بدّ وأن يدعو إلى داعويته ، فتحقّق المتعلّق في الخارج مستلزم للدور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المقام لا يدعو إلاّ إلى المتقيّد بالداعوية ؛ أي الصلاة بداعي الأمر ، فتكون داعوية الأمر إلى داعويته ، فننقل الكلام إلى الداعوية الثانية ، هل هي تدعو إلى الصلاة ، أو إلى الصلاة بداعي الأمر ؟ فإن كانت تدعو إليها مطلقاً فلا تكون مأموراً بها ؛ لأنّه هو المتقيّد ، وإن دعت إلى المتقيّد فلا بدّ من فرض داعوية ثالثة ، فيذهب الأمر إلى غير نهاية ، ولا تقف السلسلة إلاّ إذا كانت الصلاة بنفسها مأموراً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التقرّب المعتبر في المأمور به ، هو قصد الأمر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عبارة عن قصد المحبوبية ، أو حسن الفعل ، أو المصلحة ، فلا يلزم منه محال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جملة من الإشكالات الواردة في المقام ، وقد عرفت أنّ بعضها راجع إلى استحالة الأمر ، وبعضها إلى استحالة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الموقوف والموقوف عليه متغايران ، فلا دور في البين ؛ فإنّ الأمر إنّما يتوقّف على الموضوع في الوجود الذهني ؛ أي على الوجود الذهني للموضوع ، والموضوع يتوقّف بوجوده الخارجي على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يتوقّف على القدرة في زمان إيجاد المأمور به ، وفي زمان الإيجاد يصير المكلّف قادراً ولو بنفس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هاهنا لا يستلزم تقدّم الموقوف عليه على الموقوف ، والتقدّم هو مناط الدور ، بل التوقّف هاهنا بمعنى أنّ الأمر لا يحسن أو لا يجوز إلاّ مع علم الآمر بقدرة العبد في موطنه ولو حصلت بنفس الأمر ، فملاك الدور هاهنا غير متحقّق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المحال غير لازمٍ ، واللازم غير محالٍ ؛ فإنّ اجتماع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لحاظ واحد آلياً واستقلالياً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محالاً ، إلاّ أ نّه غير لازم ، وما هو لازم هو لحاظ الأمر استقلالاً بما أ نّه قيد للمتعلّق بلحاظٍ ، ولحاظه آلياً بما أ نّه بعث إلى المتعلّق بلحاظ آخر ، فيكون الشيء الواحد ملحوظاً بلحاظٍ آلي واستقلالي في آنين ؛ آن تصوّر الموضوع ، وآن تعلّق الأمر ، وهو غير محالٍ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بين قصد الأمر وغيره ممّا لا وجه له ؛ فإنّ الإشكال وارد حتّى بناءً على جعل قصد التقرّب عبارة عن قصد المحبوبية ، أو حسن الفعل ، أو المصلحة ، طابق النعل بالنعل ، بل الإشكال فيها أشدّ وروداً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الاستحالة على هذا الوجه ، لا يكون هو الدور المصطلح ، بل وجهها مناطه ؛ فإنّ داعوية الأمر لا تتوقّف على كون المأتيّ به منطبقاً على المأمور به بالحمل الأوّلي ، حتّى يختلف الموقوف والموقوف عليه ، بل تتوقّف على ما هو بالحمل الشائع مأمور به ، ولمّا كانت هاهنا نفس الداعوية مأخوذة في المتعلّق ، تصير الداعوية متوقّفة على نفسها ؛ أي كون الداعوية داعوية إلى داعوية نفسها ، وهذا مناط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بعينه وارد على إتيان الشيء بقصد المحبوبية والمرادية وشقيقيهما ؛ فإنّ ذوات الأعمال لا تكون متعلّقة للأمر ، بل هي مع تقيّدها بداعي المحبوبية ، أو الحسن أو المصلحة ، فالمدعوّ إليه بداعي المحبوبية وأمثالها ؛ هو أفعال مع الداعي ، فالداعوية تتوقّف على الداعوية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مثلاً لا تكون بنفسها محبوبة ، ولا ذات مصلحة ، فلا يمكن أن تكون ذاتها داعية إلى إتيانها بداعي المحبوبية والمصلحة ، بل لا بدّ من كونها متقيّدة بداعي المحبوبية والمصلحة ، داعية إلى إتيانها كذلك ، وهذا هو عين الإشكال ومناط الدور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فيها أشدّ وروداً ؛ لأنّ الأمر لمّا كان أمراً اختيارياً ، يمكن أن يتعلّق بما هو أوسع دائرة من الغرض ؛ للتوسّل به إليه ، فيكون الأمر داعياً إلى نفس الفعل بلا قيدٍ ، وإتيانه متقيّداً إنّما يكون بإرشادٍ من الشرع وحكم من العقل ، لكن في الحبّ والحسن والمصلحة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تعلّقت بأوسع من الغرض ؛ لأنّها اُمور غير اختيارية ، كما لا يخفى </w:t>
      </w:r>
      <w:r>
        <w:rPr>
          <w:rFonts w:eastAsia="Amiri" w:cs="Amiri" w:ascii="Amiri" w:hAnsi="Amiri"/>
          <w:color w:val="111111"/>
          <w:sz w:val="28"/>
          <w:szCs w:val="28"/>
          <w:rtl w:val="true"/>
          <w:lang w:bidi="ar-SA"/>
        </w:rPr>
        <w:t xml:space="preserve">. </w:t>
      </w:r>
      <w:bookmarkStart w:id="114" w:name="pg8033_80678"/>
    </w:p>
    <w:p>
      <w:pPr>
        <w:pStyle w:val="Heading6"/>
        <w:numPr>
          <w:ilvl w:val="5"/>
          <w:numId w:val="1"/>
        </w:numPr>
        <w:rPr/>
      </w:pPr>
      <w:bookmarkStart w:id="115" w:name="__RefHeading___Toc7368259_1051229030"/>
      <w:bookmarkStart w:id="116" w:name="_Toc40"/>
      <w:bookmarkEnd w:id="114"/>
      <w:bookmarkEnd w:id="115"/>
      <w:r>
        <w:rPr>
          <w:rtl w:val="true"/>
        </w:rPr>
        <w:t>تفصّيات عن عويصة أخذ قصد التقرّب</w:t>
      </w:r>
      <w:bookmarkEnd w:id="116"/>
    </w:p>
    <w:p>
      <w:pPr>
        <w:pStyle w:val="BookText"/>
        <w:rPr/>
      </w:pPr>
      <w:r>
        <w:rPr>
          <w:rFonts w:ascii="Amiri" w:hAnsi="Amiri" w:eastAsia="Amiri" w:cs="Amiri"/>
          <w:color w:val="111111"/>
          <w:sz w:val="28"/>
          <w:sz w:val="28"/>
          <w:szCs w:val="28"/>
          <w:rtl w:val="true"/>
          <w:lang w:bidi="ar-SA"/>
        </w:rPr>
        <w:t xml:space="preserve">وهاهنا تفصّيات عن هذه العويصة ، نذكر بعضها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الأنصاري قدّس سرّه ؛ من أنّ الإشكال إنّما يكون ، إذا كان اعتبار قصد الأمر وأمثاله بأمرٍ واحدٍ ، وأمّا إذا كان بأمرين ؛ تعلّق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العمل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بداعي أمره ، فلا محذور أصلاً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ما أفاده المحقّق الخراساني رحمه الله علیه </w:t>
      </w:r>
      <w:r>
        <w:rPr>
          <w:rStyle w:val="FootnoteAnchor"/>
          <w:rtl w:val="true"/>
        </w:rPr>
        <w:footnoteReference w:id="98"/>
      </w:r>
      <w:r>
        <w:rPr>
          <w:rFonts w:ascii="Amiri" w:hAnsi="Amiri" w:eastAsia="Amiri" w:cs="Amiri"/>
          <w:color w:val="111111"/>
          <w:sz w:val="28"/>
          <w:sz w:val="28"/>
          <w:szCs w:val="28"/>
          <w:rtl w:val="true"/>
          <w:lang w:bidi="ar-SA"/>
        </w:rPr>
        <w:t xml:space="preserve">أنّ قصد امتثال هذا الأمر الصوري الذي لا روح فيه ، ولا يترتّب عليه غرض ، ولا يكون ذا مصلحة وحسن ومحبوبية أصلاً ، لا يكون مقرّباً للمولى أبداً ، فقصد هذا الأمر الصوري مع لا قصده سواء ، فلا يصل المولى بهذه الحيلة إلى غرضه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الأعاظم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العبادة ليس إلاّ وقوع الفعل على وجهٍ يوجب القرب عند المولى ، وهذا لا يتوقّف على الأمر ؛ لأنّ الفعل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للقصد دخل في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قوامه بالقصد ، كالتعظيم والإهانة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تعظيم من له الأهلية بما هو أهل له حسن عقلاً ، ومقرّب ذاتاً ، بلا احتياجٍ إلى الأمر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يشكّ في أنّ التعظيم المناسب للمولى ماذا ؟ وقد يتخيّل كون </w:t>
      </w:r>
    </w:p>
    <w:p>
      <w:pPr>
        <w:pStyle w:val="BookText"/>
        <w:rPr/>
      </w:pPr>
      <w:r>
        <w:rPr>
          <w:rFonts w:ascii="Amiri" w:hAnsi="Amiri" w:eastAsia="Amiri" w:cs="Amiri"/>
          <w:color w:val="111111"/>
          <w:sz w:val="28"/>
          <w:sz w:val="28"/>
          <w:szCs w:val="28"/>
          <w:rtl w:val="true"/>
          <w:lang w:bidi="ar-SA"/>
        </w:rPr>
        <w:t xml:space="preserve">عمل تعظيماً له ، والواقع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ذوات الأفعال والأقوال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إضافة قصدٍ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محبوبة ولا مجزية قطعاً ، لكن من الممكن كون صدورها مقرونة بقصد نفس هذه العناوين ، مناسباً لمقام الباري عزّ شأنه ، غاية الأمر أنّ الإنسان لقصور إدراكه لا يدرك ذلك ، ويحتاج إلى إعلام اللّه تعالى ، فلو فرضت إحاطته بجميع الخصوصيات لم يحتج إلى الإعلام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عبارة عن إظهار عظمة المولى والشكر على نعمائه ، ومن الواضح أنّ محقّقات هذه العناوين مختلفة باعتبار المعظِّم والمعظّم ، وبعد إعلام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المناسب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حصولها على الأمر حتّى يلزم الدور ، بل يكفي قصد نفس العناوين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قائم ، بل الضرورة على لزوم قصد التقرّب في العبادات ولولا ذلك لأمكن لنا إنكار أصل قصد القربة والامتثال فيها ؛ لكونه أسهل من دفع هذه العويصة ، وإنّما أوقع الأصحابَ في حيص وبيص ، قيامُ هذا الإجماع والضرورة ، وعلى ما ذكره قدّس سرّه يلزم أن لا يعتبر في العبادات قصد التقرّب ؛ فإنّ العناوين القصدية إذا اُتي بها بقصد تحقّق عناوينها ، تتحقّق في الوعاء المناسب لها ، مثل المعاني الإنشائية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تحقّق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الامتثال والتقرّب معتبراً في المتعلّق ، حتّى يرد إشكال الدور ، بل هو نظير المعاني الإنشائية التي تتحقّق </w:t>
      </w:r>
    </w:p>
    <w:p>
      <w:pPr>
        <w:pStyle w:val="BookText"/>
        <w:rPr/>
      </w:pPr>
      <w:r>
        <w:rPr>
          <w:rFonts w:ascii="Amiri" w:hAnsi="Amiri" w:eastAsia="Amiri" w:cs="Amiri"/>
          <w:color w:val="111111"/>
          <w:sz w:val="28"/>
          <w:sz w:val="28"/>
          <w:szCs w:val="28"/>
          <w:rtl w:val="true"/>
          <w:lang w:bidi="ar-SA"/>
        </w:rPr>
        <w:t xml:space="preserve">بنفس قصد عناوينها ، مع مظهرٍ دالٍّ عليها ، فكما أنّ البيع إذا قصد تحقّقه بإنشاء مفهومه ؛ يتحقّق عنوانه ، كذلك حقيقة التواضع والتعظيم والعبادة إذا قصد بالأفعال حصول عناوينها ، وقصد التقرّب والمحبوبية وأمثالهما ، أمر خارج غير دخيل في تحقّق عناوينها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كما عرفت ، فلا بدّ وأن يلتزم القائل بأنّ المعتبر في العبادات ليس إلاّ قصد حصول عناوينها ، مع عدم اعتبار قصد التقرّب والامتثال فيها ، فلو أوجد المكلّف الصلاة والحجّ وغيرهما من العبادات ، قاصداً حصول عناوينها ولو بشهوة نفسه ، التزم بالصحّة والإجزاء ، مع أنّ هذا خلاف الإجماع ، بل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ذوات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بعدم صدورها عن الدواعي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للأمر ، وهذا ليس تمام المطلوب ، لكن يتّحد في الخارج معه ؛ فإنّ المطلوب هو الأفعال مع الداعي الإلهي ، وصَرفِ الدواعي النفسانية ، وهما متّحدان في الخارج ، والمولى إنّما أمر بأحد الجزءين لتعذّر الأمر بكليهما ، والأمر بأحد الجزءين إنّما يكون للغير ، كالغسل قبل الفجر لا غيرياً ، فلهذا لا يكون الأمر صورياً ، بل حقيقياً ، والإشكال من ناحية القدرة قد عرفت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اُخذ في المتعلّق ، لا يكون قصد التقرّب وأمثاله ، ولكن يتّحد معه ، فلا محذور فيه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الاعتراف بأنّ هذا التقرير أسلم من الإشكال ممّا أفاده الشيخ من </w:t>
      </w:r>
      <w:bookmarkStart w:id="117" w:name="pg8033_80684"/>
    </w:p>
    <w:p>
      <w:pPr>
        <w:pStyle w:val="BookText"/>
        <w:rPr/>
      </w:pPr>
      <w:bookmarkEnd w:id="117"/>
      <w:r>
        <w:rPr>
          <w:rFonts w:ascii="Amiri" w:hAnsi="Amiri" w:eastAsia="Amiri" w:cs="Amiri"/>
          <w:color w:val="111111"/>
          <w:sz w:val="28"/>
          <w:sz w:val="28"/>
          <w:szCs w:val="28"/>
          <w:rtl w:val="true"/>
          <w:lang w:bidi="ar-SA"/>
        </w:rPr>
        <w:t>تصوّر الأمرين</w:t>
      </w:r>
      <w:r>
        <w:rPr>
          <w:rStyle w:val="FootnoteAnchor"/>
          <w:rtl w:val="true"/>
        </w:rPr>
        <w:footnoteReference w:id="101"/>
      </w:r>
      <w:r>
        <w:rPr>
          <w:rFonts w:ascii="IRNazanin" w:hAnsi="IRNazanin" w:eastAsia="IRNazanin"/>
          <w:color w:val="111111"/>
          <w:sz w:val="28"/>
          <w:sz w:val="28"/>
          <w:szCs w:val="28"/>
          <w:rtl w:val="true"/>
          <w:lang w:bidi="fa-IR"/>
        </w:rPr>
        <w:t xml:space="preserve">مع أ نّه يرد عليه ما أوردنا على مقالة الشيخ رحمه الله علیه ؛ فإنّ ما هو المطلوب هو الأجزاء مع كلا القيدين بالفرض ، فقصد أحد القيدين ؛ أي صَرف الدواعي النفسانية فقط، لا يكون مقرّباً ، بل الأمر به صوري لا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دليل على اعتبار صَرف الدواعي النفسانية في العبادات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إنّه ملازم لما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 ؛ وهو قصد 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التزام بالإشكال ، لا دفع له ؛ فإنّه بعد اعتبار قصد التقرّب في العبادات بالإجماع نشأ هذا الإشكال ، فلا بدّ من دفعه مع هذا الفرض </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368261_1051229030"/>
      <w:bookmarkStart w:id="119" w:name="_Toc41"/>
      <w:bookmarkEnd w:id="118"/>
      <w:r>
        <w:rPr>
          <w:rtl w:val="true"/>
        </w:rPr>
        <w:t>التحقيق في التفصّي عن عويصة أخذ قصد التقرّب</w:t>
      </w:r>
      <w:bookmarkEnd w:id="119"/>
    </w:p>
    <w:p>
      <w:pPr>
        <w:pStyle w:val="Heading6"/>
        <w:numPr>
          <w:ilvl w:val="5"/>
          <w:numId w:val="1"/>
        </w:numPr>
        <w:rPr/>
      </w:pPr>
      <w:bookmarkStart w:id="120" w:name="__RefHeading___Toc7368263_1051229030"/>
      <w:bookmarkStart w:id="121" w:name="_Toc42"/>
      <w:bookmarkEnd w:id="120"/>
      <w:r>
        <w:rPr>
          <w:rtl w:val="true"/>
        </w:rPr>
        <w:t xml:space="preserve">تحقيق ودفع </w:t>
      </w:r>
      <w:r>
        <w:rPr>
          <w:rtl w:val="true"/>
        </w:rPr>
        <w:t>:</w:t>
      </w:r>
      <w:bookmarkEnd w:id="121"/>
    </w:p>
    <w:p>
      <w:pPr>
        <w:pStyle w:val="BookText"/>
        <w:rPr/>
      </w:pPr>
      <w:r>
        <w:rPr>
          <w:rFonts w:ascii="Amiri" w:hAnsi="Amiri" w:eastAsia="Amiri" w:cs="Amiri"/>
          <w:color w:val="111111"/>
          <w:sz w:val="28"/>
          <w:sz w:val="28"/>
          <w:szCs w:val="28"/>
          <w:rtl w:val="true"/>
          <w:lang w:bidi="ar-SA"/>
        </w:rPr>
        <w:t xml:space="preserve">ولنا في المقام تحقيق تحسم به مادّة الإشكال ، ولا بدّ لتوضيحه من تمهيد مقدّمات </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368265_1051229030"/>
      <w:bookmarkStart w:id="123" w:name="_Toc43"/>
      <w:bookmarkEnd w:id="122"/>
      <w:r>
        <w:rPr>
          <w:rtl w:val="true"/>
        </w:rPr>
        <w:t xml:space="preserve">الاُولى </w:t>
      </w:r>
      <w:r>
        <w:rPr>
          <w:rtl w:val="true"/>
        </w:rPr>
        <w:t xml:space="preserve">: </w:t>
      </w:r>
      <w:r>
        <w:rPr>
          <w:rtl w:val="true"/>
        </w:rPr>
        <w:t>أنحاء أخذ القصد</w:t>
      </w:r>
      <w:bookmarkEnd w:id="123"/>
    </w:p>
    <w:p>
      <w:pPr>
        <w:pStyle w:val="BookText"/>
        <w:rPr/>
      </w:pPr>
      <w:r>
        <w:rPr>
          <w:rFonts w:ascii="Amiri" w:hAnsi="Amiri" w:eastAsia="Amiri" w:cs="Amiri"/>
          <w:color w:val="111111"/>
          <w:sz w:val="28"/>
          <w:sz w:val="28"/>
          <w:szCs w:val="28"/>
          <w:rtl w:val="true"/>
          <w:lang w:bidi="ar-SA"/>
        </w:rPr>
        <w:t xml:space="preserve">إنّ قصد الأمر والامتثال والمحبوبية وأمثالها ، قد يؤخذ في المأمور به على نحو الجزئية مثل سائر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يؤخذ على نحو القيدية ؛ بنحوٍ يكون التقيّد بالمعنى الحرفي داخلاً ، والقيد خارجاً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يؤخذ لا بنحو الجزئية ولا القيدية ، بل يكون المأمور به عنواناً لا ينطبق </w:t>
      </w:r>
      <w:bookmarkStart w:id="124" w:name="pg8033_80686"/>
    </w:p>
    <w:p>
      <w:pPr>
        <w:pStyle w:val="BookText"/>
        <w:rPr/>
      </w:pPr>
      <w:bookmarkEnd w:id="124"/>
      <w:r>
        <w:rPr>
          <w:rFonts w:ascii="Amiri" w:hAnsi="Amiri" w:eastAsia="Amiri" w:cs="Amiri"/>
          <w:color w:val="111111"/>
          <w:sz w:val="28"/>
          <w:sz w:val="28"/>
          <w:szCs w:val="28"/>
          <w:rtl w:val="true"/>
          <w:lang w:bidi="ar-SA"/>
        </w:rPr>
        <w:t xml:space="preserve">على الأجزاء إلاّ في حال إتيانها مع هذا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للصلاة عنوان حقيقي ، لا يتحقّق في الخارج إلاّ بعد كون الأجزاء والشرائط المعهودة ، متقيّدة بقصد الأمر أو المحبوبية ، لكن لمّا كان هذا أمراً لا يعلم إلاّ من قِبَل اللّه ، فلا بدّ وأن يكشف عنه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 لا تكون الصلاة عبارة عن الأجزاء والشرائط المعهودة مطلقاً ، بل هي عنوان لا ينطبق عليها إلاّ في حال مقارنتها مع قصد التقرّب أو المحبوبية </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368267_1051229030"/>
      <w:bookmarkStart w:id="126" w:name="_Toc44"/>
      <w:bookmarkEnd w:id="125"/>
      <w:r>
        <w:rPr>
          <w:rtl w:val="true"/>
        </w:rPr>
        <w:t xml:space="preserve">الثانية </w:t>
      </w:r>
      <w:r>
        <w:rPr>
          <w:rtl w:val="true"/>
        </w:rPr>
        <w:t xml:space="preserve">: </w:t>
      </w:r>
      <w:r>
        <w:rPr>
          <w:rtl w:val="true"/>
        </w:rPr>
        <w:t>الميزان في مقرّبية المقدّمات</w:t>
      </w:r>
      <w:bookmarkEnd w:id="126"/>
    </w:p>
    <w:p>
      <w:pPr>
        <w:pStyle w:val="BookText"/>
        <w:rPr/>
      </w:pPr>
      <w:r>
        <w:rPr>
          <w:rFonts w:ascii="Amiri" w:hAnsi="Amiri" w:eastAsia="Amiri" w:cs="Amiri"/>
          <w:color w:val="111111"/>
          <w:sz w:val="28"/>
          <w:sz w:val="28"/>
          <w:szCs w:val="28"/>
          <w:rtl w:val="true"/>
          <w:lang w:bidi="ar-SA"/>
        </w:rPr>
        <w:t xml:space="preserve">إنّ المقدّمات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أو خارجية ، تحليلية عقلية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واجبة بوجوب آخر غير وجوب ذي المقدّمة ، حتّى يكون لها امتثال ومعصية ، بل لو فرض ترشّح الوجوب عليها من ذيها ، لا يكون وجوبها المقدّمي بما هو ، مقرّباً للمولى ومحصّلاً لغرضه ، وليس لهذا الوجوب امتثال ولا عصيان ، بل مقرّبية المقدّمات وامتثالها بنفس مقرّبية ذي المقدّمة وامتثاله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فالمقدّمات إنّما تكون مقرّبة ؛ لكونها وسيلة لإتيان ذي المقدّمة ، ومقرّبية ذي المقدّمة بواسطة كونه امتثالاً لأمر المولى ، ومحصّلاً لغرضه ، وهذا المعنى موجود في المقدّمات ، تعلّق بها أمر أم لا ، ولو لم يأتِ المكلّف بالمقدّمات وسيلة إلى حصول ذيها ، لا تكون مقرّبة ، تعلّق بها الأمر أم لا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فالميزان في مقرّبيتها كونها وسيلة إلى حصول ذيها الذي يكون إتيانه طاعة لأمر المولى، وعملاً بوظيفة العبودية، ويكون تعلّق الأمر كالحجر بجنب الإنسان</w:t>
      </w:r>
      <w:r>
        <w:rPr>
          <w:rFonts w:eastAsia="Amiri" w:cs="Amiri" w:ascii="Amiri" w:hAnsi="Amiri"/>
          <w:color w:val="111111"/>
          <w:sz w:val="28"/>
          <w:szCs w:val="28"/>
          <w:rtl w:val="true"/>
          <w:lang w:bidi="ar-SA"/>
        </w:rPr>
        <w:t xml:space="preserve">. </w:t>
      </w:r>
      <w:bookmarkStart w:id="127" w:name="pg8033_80689"/>
    </w:p>
    <w:p>
      <w:pPr>
        <w:pStyle w:val="BookText"/>
        <w:rPr/>
      </w:pPr>
      <w:bookmarkEnd w:id="127"/>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للأوامر المتعلّقة بالمقدّمات نفسية ، بل هي فانية في الأمر النفسي المتعلّق بذي المقدّمة </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368269_1051229030"/>
      <w:bookmarkStart w:id="129" w:name="_Toc45"/>
      <w:bookmarkEnd w:id="128"/>
      <w:r>
        <w:rPr>
          <w:rtl w:val="true"/>
        </w:rPr>
        <w:t xml:space="preserve">الثالثة </w:t>
      </w:r>
      <w:r>
        <w:rPr>
          <w:rtl w:val="true"/>
        </w:rPr>
        <w:t xml:space="preserve">: </w:t>
      </w:r>
      <w:r>
        <w:rPr>
          <w:rtl w:val="true"/>
        </w:rPr>
        <w:t>فيما هو الباعث نحو العمل</w:t>
      </w:r>
      <w:bookmarkEnd w:id="129"/>
    </w:p>
    <w:p>
      <w:pPr>
        <w:pStyle w:val="BookText"/>
        <w:rPr/>
      </w:pPr>
      <w:r>
        <w:rPr>
          <w:rFonts w:ascii="Amiri" w:hAnsi="Amiri" w:eastAsia="Amiri" w:cs="Amiri"/>
          <w:color w:val="111111"/>
          <w:sz w:val="28"/>
          <w:sz w:val="28"/>
          <w:szCs w:val="28"/>
          <w:rtl w:val="true"/>
          <w:lang w:bidi="ar-SA"/>
        </w:rPr>
        <w:t xml:space="preserve">إنّ الأمر لا يكون محرّكاً وباعثاً نحو العمل مطلقاً ، بل هو موضوع لتحقّق الإطاعة ، وإنّما المحرّك والباعث نحو العمل ، مبادئ اُخر موجودة في نفس المكلّف ، على تفاوت مراتب العباد ومقاماتهم ؛ فإنّ المبدأ المحرّك قد يكون حبّ المولى ، وقد يكون إدراك عظمته وصيرورة العبد مقهوراً تحت نور سطوته وجلاله ، وهذان المبدءان من أعلى مراتب العبودية ، وتكون العبادة المتحقّقة بهما من أعلى مدارج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هاتين المرتبتين مرتبة رؤية العبد نعماء المولى ، ومشاهدة استغراقه في بحار جوده ونواله ؛ من أوّل نشأة وجوده إلى آخر مراتبه ، من النعم الظاهرة والباطنة والحسّية والمعنوية ، وهذا الشعور والإدراك مبدأ محرّك له نحو طاعة أوامره ونواهيه ؛ أداءً لبعض حقوقه تبارك وتعالى ، وشكراً لبعض آلائه ونعمائه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المرتبة مرتبة الخوف من ناره وأليم عذابه ، ومرتبة الطمع في جنّته ونعيمه ، وهاتان المرتبتان من أدنى مراتب العبودية وأخسّها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 في نفس العبد إحدى تلك المبادئ الخمسة ، تصير محرّكة له نحو طاعته ، فالأوامر والنواهي موضوعات لتحقّق الطاعة ، لا محرّكات نحوها ، وإنّما المحرّك ما عرفت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مهّدنا لك من المقدّمات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الإشكال في المقام هو </w:t>
      </w:r>
    </w:p>
    <w:p>
      <w:pPr>
        <w:pStyle w:val="BookText"/>
        <w:rPr/>
      </w:pPr>
      <w:r>
        <w:rPr>
          <w:rFonts w:ascii="Amiri" w:hAnsi="Amiri" w:eastAsia="Amiri" w:cs="Amiri"/>
          <w:color w:val="111111"/>
          <w:sz w:val="28"/>
          <w:sz w:val="28"/>
          <w:szCs w:val="28"/>
          <w:rtl w:val="true"/>
          <w:lang w:bidi="ar-SA"/>
        </w:rPr>
        <w:t>الدور الوارد في ناحية إتيان المأمور به ، وهذا هو الإشكال الدائر على لسان المحقّق الخراساني قدّس سرّه وتصدّى لجوابه</w:t>
      </w:r>
      <w:r>
        <w:rPr>
          <w:rStyle w:val="FootnoteAnchor"/>
          <w:rtl w:val="true"/>
        </w:rPr>
        <w:footnoteReference w:id="102"/>
      </w:r>
      <w:r>
        <w:rPr>
          <w:rFonts w:ascii="Amiri" w:hAnsi="Amiri" w:eastAsia="Amiri" w:cs="Amiri"/>
          <w:color w:val="111111"/>
          <w:sz w:val="28"/>
          <w:sz w:val="28"/>
          <w:szCs w:val="28"/>
          <w:rtl w:val="true"/>
          <w:lang w:bidi="ar-SA"/>
        </w:rPr>
        <w:t xml:space="preserve">، وأمّا الإشكالات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الدور من ناحية تعلّق الأمر ، ومن ناحية القدرة ، والإشكال من ناحية الجمع بين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الجواب عنها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هذا الإشكال العويص والعويصة المشكلة ، التي هي كالشبهة في مقابل الضرورة والبديهة ؛ فإنّ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اعتبار قصد التقرّب في العبادات ، ومن لدن تأسيس الشرائع إلى الآن كان الأمر على هذا المنوال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نّك قد عرفت في المقدّمة الثانية ، أنّ المقدّمات إذا اُوجدت واُتي بها وسيلة إلى إتيان ذيها ، تكون مقرّبيتها بعين مقرّبية ذي المقدّمة ، فالمكلّف إذا علم بأنّ الإتيان بأجزاء المأمور به بقصد التقرّب والتوسّل إلى المأمور به ، يلازم في الخارج حصولَ هذا القيد الذي لا يمكن داعوية الأمر إليه ، فلا محالة يأتي بها ، ويتحقّق المأمور به بتمام الأجزاء والشرائط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بعضها بداعوية الأمر ، وبعضها بالملازمة بينه وبين سائر الأجزاء والشرائط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لا يدعو إلاّ إلى متعلّقه ، وتكون دعوته للأجزاء في ضمن دعوته للكلّ ، فلا يعقل أن يدعو إلى بعض الأجزاء ويحرّك إليه إلاّ في ضمن تحريكه إلى الكلّ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في المقدّمة الثالثة ، أنّ الأمر لا يكون باعثاً ومحرّكاً نحو </w:t>
      </w:r>
    </w:p>
    <w:p>
      <w:pPr>
        <w:pStyle w:val="BookText"/>
        <w:rPr/>
      </w:pPr>
      <w:r>
        <w:rPr>
          <w:rFonts w:ascii="Amiri" w:hAnsi="Amiri" w:eastAsia="Amiri" w:cs="Amiri"/>
          <w:color w:val="111111"/>
          <w:sz w:val="28"/>
          <w:sz w:val="28"/>
          <w:szCs w:val="28"/>
          <w:rtl w:val="true"/>
          <w:lang w:bidi="ar-SA"/>
        </w:rPr>
        <w:t xml:space="preserve">المأمور به ، وإنّما هو الموضوع المحقّق للطاعة ، والباعث المحرّك هو أحد المبادئ الخمسة ،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لا يدعو إلاّ إلى ما ليس بحاصل من الأجزاء والشرائط ، والفرض أنّ قيد التقرّب يحصل بنفس تحقّق الأجزاء بقصد التوسّل إلى المأمور به ، والتقرّب في الأجزاء والمقدّمات عين التقرّب في الكلّ وذي المقدّمة ، فلا يلزم أن يكون قيد التقرّب مدعوّاً إليه حتّى يلزم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تكون داعوية الأمر إلى بعض المأمور به ، وهذا التزام بالإشكال ، مع أنّ الأمر لا يدعو إلاّ إلى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في المقدّمة الاُولى ، أنّ أخذ قصد التقرّب يتصوّر على وجوه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اُخذ على نحو القيدية أو على نحو المحصّلية ، لا على نحو الجزئية ، ويكون هذا القيد حاصلاً متحقّقاً ، فلا يلزم أن تكون الدعوة إليه ، بل لا يمكن ؛ لأنّها تكون من قبيل تحصيل الحاصل ، كما أنّ الأمر كذلك في سائر القيود والشرائط ، مثل الستر ، والتوجّه إلى القبلة ، وطهارة اللباس ، فلو كان المكلّف مستور العورة ، متوجّهاً إلى القبلة ولو بغير داعوية الأمر ، تكون دعوته إلى سائر القيود التي ليست بحاصلة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 فالإشكال بحاله ؛ فإنّ داعوية الأمر تتوقّف على كون المدعوّ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للمأمور به ، ومعنوناً بعنوانه ، والفرض أنّ كونه مصداقاً معنوناً به ، يتوقّف على الداعوية ؛ لكونها من قيود المأمور به ، وهذا كرٌّ على ما فرّ منه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داعوية الأمر لا تتوقّف على ما ذكر ؛ بمعنى لزوم تقدّم كون </w:t>
      </w:r>
    </w:p>
    <w:p>
      <w:pPr>
        <w:pStyle w:val="BookText"/>
        <w:rPr/>
      </w:pPr>
      <w:r>
        <w:rPr>
          <w:rFonts w:ascii="Amiri" w:hAnsi="Amiri" w:eastAsia="Amiri" w:cs="Amiri"/>
          <w:color w:val="111111"/>
          <w:sz w:val="28"/>
          <w:sz w:val="28"/>
          <w:szCs w:val="28"/>
          <w:rtl w:val="true"/>
          <w:lang w:bidi="ar-SA"/>
        </w:rPr>
        <w:t xml:space="preserve">الأفعال معنونةً به على الداعوية ، بل لو صارت الأجزاء معنونةً بعنوان المأمور به ، ومصداقاً له ولو بنفس داعوية الأمر ، يكون كافياً ، فالمكلّف إذا وجد في نفسه أحد المبادئ الخمسة المحرّكة نحو طاعة المولى ، وكان متهيّئاً لإطاعة أوامره ، منتظراً لصدورها عنه ، ورأى إيجاد الأجزاء في الخارج بقصد التقرّب إلى المولى إيجاداً لما هو مصداق حقيقي للمأمور به ولتمام المطلوب ، ومعنوناً بعنوان الطاعة له ، يصير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إلى إتيانها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الحاصل من الأجزاء ، عين التقرّب الحاصل من الكلّ ، وأنّ الأمر الترشّحي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الأمر المتعلّق بالكلّ باعتبارٍ ، ولا نفسية له أصلاً ، فالمكلّف يقصد التقرّب بإتيان الأجزاء ؛ لكونها وسيلة إلى تحقّق المأمور به في الخارج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 من أوّل البحث إلى هاهنا ، يظهر النظر فيما أفاده المحقّق الخراساني رحمه الله علیه في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الصلاة صارت مأموراً بها بالأمر بها مقيّدة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لأنّ ذات المقيّد لا تكون مأموراً بها، فإنّ الجزء التحليلي العقلي لا يتّصف بالوجوب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التحليلي وإن كان لا يتّصف بالوجوب ، لكن لا احتياج إليه في حصول التقرّب به إلى المولى ، إذا اُتي به للتوسّل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أنّ ذات الصلاة إذا اُتيت بقصد التوسّل إلى تمام المطلوب ، يحصل بها القرب وتمام المطلوب ؛ أي الصلاة المقيّدة ، وقد عرفت أنّ التقرّب بالمقدّمات </w:t>
      </w:r>
    </w:p>
    <w:p>
      <w:pPr>
        <w:pStyle w:val="BookText"/>
        <w:rPr/>
      </w:pPr>
      <w:r>
        <w:rPr>
          <w:rFonts w:ascii="Amiri" w:hAnsi="Amiri" w:eastAsia="Amiri" w:cs="Amiri"/>
          <w:color w:val="111111"/>
          <w:sz w:val="28"/>
          <w:sz w:val="28"/>
          <w:szCs w:val="28"/>
          <w:rtl w:val="true"/>
          <w:lang w:bidi="ar-SA"/>
        </w:rPr>
        <w:t>إنّما يكون بنفس التقرّب بذيها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الصلاة وإن لم تكن مأموراً بها ، لكنّها مقدّمة لحصول المأموربه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كذلك يمكن قصد التقرّب به ؛ لأجل التوصّل إلى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 سرّه في جواب أخذ الامتثال شطراً 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ممتنع اعتباره كذلك ؛ فإنّه موجب لتعلّق الوجوب بأمرٍ غير اختياري ، فإنّ الإرادة غير اختيارية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اختيارية الإرادة بنفس ذاتها ، واختيارية غيرها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بعينه وارد بناءً على تعلّق الأمر بنفس الصلاة ، وعدم سقوط الغرض إلاّ بإتيانها بقصد الامتثال ؛ فإنّ الإتيان بقصد الامتثال إذا كان غير اختياري ، فلا يمكن أن يكون تحصيل الغرض المتوقّف عليه واجباً ؛ لإناطة الامتثال بأمرٍ غير اختياري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وفذلكة الكلام فيما ذكرنا من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كما أ نّه يدعو إلى ذلك الشيء ، كذلك يدعو إلى مقدّماته الداخلية ، تحليلية كانت أو غيرها ، وإلى مقدّماته الخارجية ، وداعوية الأمر ليست بمعنى محرّكيته ، بل المحرّك هو المبادئ الخمسة السالفة المتحقّقة في النفس ، ويكون الأمر موضوعاً لتحقّق الطاعة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الداعي إلى إتيان ما هو مصداق المأمور به ، موجوداً في النفس </w:t>
      </w:r>
    </w:p>
    <w:p>
      <w:pPr>
        <w:pStyle w:val="BookText"/>
        <w:rPr/>
      </w:pPr>
      <w:r>
        <w:rPr>
          <w:rFonts w:ascii="Amiri" w:hAnsi="Amiri" w:eastAsia="Amiri" w:cs="Amiri"/>
          <w:color w:val="111111"/>
          <w:sz w:val="28"/>
          <w:sz w:val="28"/>
          <w:szCs w:val="28"/>
          <w:rtl w:val="true"/>
          <w:lang w:bidi="ar-SA"/>
        </w:rPr>
        <w:t xml:space="preserve">بواسطة إحدى المبادئ ، ورأى المكلّف أنّ إتيان الأجزاء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الداعي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حقيقي للمأمور به ، يصير الأمر داعياً إلى إتيان الأجزاء الغير الموجودة ، لا إلى إتيان هذا القيد أو الجزء المتحقّق في النفس بعلله ؛ لأنّ الأمر لا يدعو إلاّ إلى ما ليس بحاصل من المقدّمات الخارجية والداخلية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أنّ داعي الامتثال حاصل لا من قِبَل الأمر ، بل من قِبَل المبادئ السالفة ، فالأمر قد تعلّق بالصلاة بداعي الأمر ، وقد عرفت سابقاً أ نّه لا محذور فيه</w:t>
      </w:r>
      <w:r>
        <w:rPr>
          <w:rStyle w:val="FootnoteAnchor"/>
          <w:rtl w:val="true"/>
        </w:rPr>
        <w:footnoteReference w:id="107"/>
      </w:r>
      <w:r>
        <w:rPr>
          <w:rFonts w:ascii="Amiri" w:hAnsi="Amiri" w:eastAsia="Amiri" w:cs="Amiri"/>
          <w:color w:val="111111"/>
          <w:sz w:val="28"/>
          <w:sz w:val="28"/>
          <w:szCs w:val="28"/>
          <w:rtl w:val="true"/>
          <w:lang w:bidi="ar-SA"/>
        </w:rPr>
        <w:t xml:space="preserve">، ولمّا كان الداعي موجوداً فلا يدعو إلاّ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الإشكال من أصله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وجه آخر لعلّه يكون أقرب إلى الأفهام ؛ وهو أ نّه بعد ما عرفت في المقدّمة الاُولى أنّ قصد الأمر والامتثال وأمثالهما ، قد يؤخذ بنحو الجزئية ، أو بنحو القيدية ، وقد لا يؤخذ في المأمور به ، بل يكون من قيود محصّل المأمور به</w:t>
      </w:r>
      <w:r>
        <w:rPr>
          <w:rStyle w:val="FootnoteAnchor"/>
          <w:rtl w:val="true"/>
        </w:rPr>
        <w:footnoteReference w:id="108"/>
      </w:r>
      <w:r>
        <w:rPr>
          <w:rFonts w:ascii="Amiri" w:hAnsi="Amiri" w:eastAsia="Amiri" w:cs="Amiri"/>
          <w:color w:val="111111"/>
          <w:sz w:val="28"/>
          <w:sz w:val="28"/>
          <w:szCs w:val="28"/>
          <w:rtl w:val="true"/>
          <w:lang w:bidi="ar-SA"/>
        </w:rPr>
        <w:t>، وفي المقدّمة الثالثة أنّ المحرّك الداعي إلى امتثال أوامر المولى هو إحدى المبادئ الخمسة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إذا كان في نفسه المبدأ المحرّك متحقّقاً ، فلا محالة يصير هذا المبدأ أوّلاً داعياً إلى امتثال أوامر المولى بنحو العنوان الكلّي ، ثمّ ينشأ من هذا الداعي داعٍ إلى ما يكون مصداقاً لهذا العنوان الكلّي ، كالصلاة والحجّ مثلاً ، </w:t>
      </w:r>
      <w:bookmarkStart w:id="130" w:name="pg8033_80701"/>
    </w:p>
    <w:p>
      <w:pPr>
        <w:pStyle w:val="BookText"/>
        <w:rPr/>
      </w:pPr>
      <w:bookmarkEnd w:id="130"/>
      <w:r>
        <w:rPr>
          <w:rFonts w:ascii="Amiri" w:hAnsi="Amiri" w:eastAsia="Amiri" w:cs="Amiri"/>
          <w:color w:val="111111"/>
          <w:sz w:val="28"/>
          <w:sz w:val="28"/>
          <w:szCs w:val="28"/>
          <w:rtl w:val="true"/>
          <w:lang w:bidi="ar-SA"/>
        </w:rPr>
        <w:t xml:space="preserve">ويمكن أن يكون المأمور به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الأمر بهذا العنوان ، دون نفس الأجزاء والشرائط ، وتكون الأجزاء في حال تحقّق الشرائط ورفع الموانع مصداقاً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ينشأ من الداعي إلى إتيان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المأمور به 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إلى إتيان الأجزاء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مع الداعي المحقّق في النفس بمبادئه ، محصِّلة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محذور ؛ فإنّ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يتوقّف على قصد الامتثال ، لكن تحقّق قصد الامتثال غير متوقّفٍ على 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الصلاة ، بل هو متوقّف على إحدى المبادئ المحقّقة في النفس بعللها ، وهذا واضح جدّاً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368271_1051229030"/>
      <w:bookmarkStart w:id="132" w:name="_Toc46"/>
      <w:bookmarkEnd w:id="131"/>
      <w:r>
        <w:rPr>
          <w:rtl w:val="true"/>
        </w:rPr>
        <w:t xml:space="preserve">الأمر الثالث </w:t>
      </w:r>
      <w:r>
        <w:rPr>
          <w:rtl w:val="true"/>
        </w:rPr>
        <w:t xml:space="preserve">: </w:t>
      </w:r>
      <w:r>
        <w:rPr>
          <w:rtl w:val="true"/>
        </w:rPr>
        <w:t>في مقام الشكّ في التعبّدية والتوصّلية</w:t>
      </w:r>
      <w:bookmarkEnd w:id="132"/>
    </w:p>
    <w:p>
      <w:pPr>
        <w:pStyle w:val="BookText"/>
        <w:rPr/>
      </w:pPr>
      <w:r>
        <w:rPr>
          <w:rFonts w:ascii="Amiri" w:hAnsi="Amiri" w:eastAsia="Amiri" w:cs="Amiri"/>
          <w:color w:val="111111"/>
          <w:sz w:val="28"/>
          <w:sz w:val="28"/>
          <w:szCs w:val="28"/>
          <w:rtl w:val="true"/>
          <w:lang w:bidi="ar-SA"/>
        </w:rPr>
        <w:t xml:space="preserve">إذا عرفت حال التعبّدي والتوصّلي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عنونوا البحث عنهما في المقام ؛ لاستنتاج النتيجة في مقام الشكّ في التعبّدية والتوصّلية ؛ من جواز التمسّك بأصالة الإطلاق مع تمامية مقدّماته وعدمه ، وجواز التمسّك بأصالة البراءة وعدمه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عن كلا الأمرين ، محتاجاً إلى إشباع الكلام والنقض والإبرام ، وليس المقام مناسباً له ، فيجب إيكال الأمر إلى المباحث المناسبة لهما من ذي قبل ، بعون اللّه وحسن توفيقه </w:t>
      </w:r>
      <w:r>
        <w:rPr>
          <w:rFonts w:eastAsia="Amiri" w:cs="Amiri" w:ascii="Amiri" w:hAnsi="Amiri"/>
          <w:color w:val="111111"/>
          <w:sz w:val="28"/>
          <w:szCs w:val="28"/>
          <w:rtl w:val="true"/>
          <w:lang w:bidi="ar-SA"/>
        </w:rPr>
        <w:t xml:space="preserve">. </w:t>
      </w:r>
      <w:bookmarkStart w:id="133" w:name="pg8033_80703"/>
    </w:p>
    <w:p>
      <w:pPr>
        <w:pStyle w:val="Heading4"/>
        <w:numPr>
          <w:ilvl w:val="3"/>
          <w:numId w:val="1"/>
        </w:numPr>
        <w:rPr/>
      </w:pPr>
      <w:bookmarkStart w:id="134" w:name="__RefHeading___Toc7368273_1051229030"/>
      <w:bookmarkStart w:id="135" w:name="_Toc47"/>
      <w:bookmarkEnd w:id="133"/>
      <w:bookmarkEnd w:id="134"/>
      <w:r>
        <w:rPr>
          <w:rtl w:val="true"/>
        </w:rPr>
        <w:t xml:space="preserve">المبحث الرابع في </w:t>
      </w:r>
      <w:r>
        <w:rPr>
          <w:rtl w:val="true"/>
        </w:rPr>
        <w:t>«</w:t>
      </w:r>
      <w:r>
        <w:rPr>
          <w:rtl w:val="true"/>
        </w:rPr>
        <w:t>المرّة والتكرار</w:t>
      </w:r>
      <w:r>
        <w:rPr>
          <w:rtl w:val="true"/>
        </w:rPr>
        <w:t xml:space="preserve">» </w:t>
      </w:r>
      <w:r>
        <w:rPr>
          <w:rtl w:val="true"/>
        </w:rPr>
        <w:t>و</w:t>
      </w:r>
      <w:r>
        <w:rPr>
          <w:rtl w:val="true"/>
        </w:rPr>
        <w:t>«</w:t>
      </w:r>
      <w:r>
        <w:rPr>
          <w:rtl w:val="true"/>
        </w:rPr>
        <w:t>الفور والتراخي</w:t>
      </w:r>
      <w:r>
        <w:rPr>
          <w:rtl w:val="true"/>
        </w:rPr>
        <w:t>»</w:t>
      </w:r>
      <w:bookmarkEnd w:id="135"/>
    </w:p>
    <w:p>
      <w:pPr>
        <w:pStyle w:val="Heading5"/>
        <w:numPr>
          <w:ilvl w:val="4"/>
          <w:numId w:val="1"/>
        </w:numPr>
        <w:rPr/>
      </w:pPr>
      <w:bookmarkStart w:id="136" w:name="__RefHeading___Toc7368275_1051229030"/>
      <w:bookmarkStart w:id="137" w:name="_Toc48"/>
      <w:bookmarkEnd w:id="136"/>
      <w:r>
        <w:rPr>
          <w:rtl w:val="true"/>
        </w:rPr>
        <w:t xml:space="preserve">في </w:t>
      </w:r>
      <w:r>
        <w:rPr>
          <w:rtl w:val="true"/>
        </w:rPr>
        <w:t>«</w:t>
      </w:r>
      <w:r>
        <w:rPr>
          <w:rtl w:val="true"/>
        </w:rPr>
        <w:t>المرّة والتكرار</w:t>
      </w:r>
      <w:r>
        <w:rPr>
          <w:rtl w:val="true"/>
        </w:rPr>
        <w:t xml:space="preserve">» </w:t>
      </w:r>
      <w:r>
        <w:rPr>
          <w:rtl w:val="true"/>
        </w:rPr>
        <w:t>و</w:t>
      </w:r>
      <w:r>
        <w:rPr>
          <w:rtl w:val="true"/>
        </w:rPr>
        <w:t>«</w:t>
      </w:r>
      <w:r>
        <w:rPr>
          <w:rtl w:val="true"/>
        </w:rPr>
        <w:t>الفور والتراخي</w:t>
      </w:r>
      <w:r>
        <w:rPr>
          <w:rtl w:val="true"/>
        </w:rPr>
        <w:t>»</w:t>
      </w:r>
      <w:bookmarkEnd w:id="137"/>
    </w:p>
    <w:p>
      <w:pPr>
        <w:pStyle w:val="BookText"/>
        <w:rPr/>
      </w:pPr>
      <w:r>
        <w:rPr>
          <w:rFonts w:ascii="Amiri" w:hAnsi="Amiri" w:eastAsia="Amiri" w:cs="Amiri"/>
          <w:color w:val="111111"/>
          <w:sz w:val="28"/>
          <w:sz w:val="28"/>
          <w:szCs w:val="28"/>
          <w:rtl w:val="true"/>
          <w:lang w:bidi="ar-SA"/>
        </w:rPr>
        <w:t xml:space="preserve">لا إشكال في أنّ الظاهر من صيغة الأمر ، هو إيجاد الطبيعة ، والمرّةُ والتكرار والفور والتراخي ، كلّها خارجة عن مدلولها ؛ فإنّ المادّة هي نفس الطبيعة بلا قيدٍ ، ومفاد الهيئة هو البعث والإغراء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الأفراد ، أو الدفعة والدفعات ، والفرق بينهما أنّ الآتي بعدّة أفراد دفعةً ، آتٍ بما هو مصداق المأمور به على الثاني ، دون الأوّل ، ولا إشكال في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 نّه على المختار ؛ من دلالتها على طلب الطبيعة ، لو أتى المكلّف بعدّة أفرادٍ معاً ، هل يكون امتثالاً واحداً ؛ حيث إنّ الطبيعة كما تتحقّق في ضمن فردٍ ما ، تتحقّق في ضمن جميع الأفراد ، وهي أمر وحداني ؟</w:t>
      </w:r>
    </w:p>
    <w:p>
      <w:pPr>
        <w:pStyle w:val="BookText"/>
        <w:rPr/>
      </w:pPr>
      <w:r>
        <w:rPr>
          <w:rFonts w:ascii="Amiri" w:hAnsi="Amiri" w:eastAsia="Amiri" w:cs="Amiri"/>
          <w:color w:val="111111"/>
          <w:sz w:val="28"/>
          <w:sz w:val="28"/>
          <w:szCs w:val="28"/>
          <w:rtl w:val="true"/>
          <w:lang w:bidi="ar-SA"/>
        </w:rPr>
        <w:t>أو امتثالات بعدد الأفراد ؛ حيث إنّ الطبيعة تتكثّر بتكثّر أفرادها ، ولا يكون فردان من الطبيعة موجوداً على حدة ، حتّى يكون المجموع وجوداً وحدانياً للطبيعة ، بل الطبيعة اللا بشرط تتكثّر ، وكلّ فردٍ من الأفراد محقّق للطبيعة ، ولمّا كان المطلوب هو الطبيعة بلا تقيّدٍ بالمرّة والتكرار ، فحينئذٍ لو أتى المكلّف بأفراد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متعدّدة فقد أوجد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بإيجاد كلّ فردٍ ، ويكون كلّ فردٍ امتثالاً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موجود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الطبيعة مع كلّ فردٍ موجودة برأسها على نعت الكثرة ؟ الحقُّ هو الثاني </w:t>
      </w:r>
      <w:r>
        <w:rPr>
          <w:rFonts w:eastAsia="Amiri" w:cs="Amiri" w:ascii="Amiri" w:hAnsi="Amiri"/>
          <w:color w:val="111111"/>
          <w:sz w:val="28"/>
          <w:szCs w:val="28"/>
          <w:rtl w:val="true"/>
          <w:lang w:bidi="ar-SA"/>
        </w:rPr>
        <w:t xml:space="preserve">. </w:t>
      </w:r>
      <w:bookmarkStart w:id="138" w:name="pg8033_80705"/>
    </w:p>
    <w:p>
      <w:pPr>
        <w:pStyle w:val="BookText"/>
        <w:rPr/>
      </w:pPr>
      <w:bookmarkEnd w:id="138"/>
      <w:r>
        <w:rPr>
          <w:rFonts w:ascii="Amiri" w:hAnsi="Amiri" w:eastAsia="Amiri" w:cs="Amiri"/>
          <w:color w:val="111111"/>
          <w:sz w:val="28"/>
          <w:sz w:val="28"/>
          <w:szCs w:val="28"/>
          <w:rtl w:val="true"/>
          <w:lang w:bidi="ar-SA"/>
        </w:rPr>
        <w:t xml:space="preserve">ومن هذا القبيل الواجب الكفائي ، حيث إنّ الأمر فيه متعلّق بنفس الطبيعة ، ويكون جميع المكلّفين مأمورين بإتيانها ، فلو أتى واحد منهم بها تسقط عن الباقي ، ولا مجال للامتثال ثانياً ، ولو أتى عدّة منهم بها دفعة ، يكون كلّ واحدٍ منهم ممتثلاً ، وتتحقّق امتثالات ، لا امتثال واحد من الجميع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368277_1051229030"/>
      <w:bookmarkStart w:id="140" w:name="_Toc49"/>
      <w:bookmarkEnd w:id="139"/>
      <w:r>
        <w:rPr>
          <w:rtl w:val="true"/>
        </w:rPr>
        <w:t xml:space="preserve">تنبيه </w:t>
      </w:r>
      <w:r>
        <w:rPr>
          <w:rtl w:val="true"/>
        </w:rPr>
        <w:t xml:space="preserve">: </w:t>
      </w:r>
      <w:r>
        <w:rPr>
          <w:rtl w:val="true"/>
        </w:rPr>
        <w:t>في الأوامر الواقعة عقيب الحظر</w:t>
      </w:r>
      <w:bookmarkEnd w:id="14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ضابط في الأوامر الواقعة عقيب الحظر ، حتّى نرجع إليه في موارده ، بل الفقيه لا بدّ له من الاجتهاد في كلّ موردٍ موردٍ حسب اختلاف المقامات ، ويستظهر من كلّ مورد ما هو مقتضى المقامات </w:t>
      </w:r>
      <w:r>
        <w:rPr>
          <w:rFonts w:eastAsia="Amiri" w:cs="Amiri" w:ascii="Amiri" w:hAnsi="Amiri"/>
          <w:color w:val="111111"/>
          <w:sz w:val="28"/>
          <w:szCs w:val="28"/>
          <w:rtl w:val="true"/>
          <w:lang w:bidi="ar-SA"/>
        </w:rPr>
        <w:t xml:space="preserve">. </w:t>
      </w:r>
      <w:bookmarkStart w:id="141" w:name="pg8033_80707"/>
    </w:p>
    <w:p>
      <w:pPr>
        <w:pStyle w:val="Heading3"/>
        <w:numPr>
          <w:ilvl w:val="2"/>
          <w:numId w:val="1"/>
        </w:numPr>
        <w:rPr/>
      </w:pPr>
      <w:bookmarkStart w:id="142" w:name="__RefHeading___Toc7368279_1051229030"/>
      <w:bookmarkStart w:id="143" w:name="_Toc50"/>
      <w:bookmarkEnd w:id="141"/>
      <w:bookmarkEnd w:id="142"/>
      <w:r>
        <w:rPr>
          <w:rtl w:val="true"/>
        </w:rPr>
        <w:t>المطلب الثالث</w:t>
      </w:r>
      <w:r>
        <w:rPr>
          <w:rtl w:val="true"/>
        </w:rPr>
        <w:t xml:space="preserve">: </w:t>
      </w:r>
      <w:r>
        <w:rPr>
          <w:rtl w:val="true"/>
        </w:rPr>
        <w:t>في الإجزاء</w:t>
      </w:r>
      <w:bookmarkEnd w:id="143"/>
    </w:p>
    <w:p>
      <w:pPr>
        <w:pStyle w:val="Heading4"/>
        <w:numPr>
          <w:ilvl w:val="3"/>
          <w:numId w:val="1"/>
        </w:numPr>
        <w:rPr/>
      </w:pPr>
      <w:bookmarkStart w:id="144" w:name="__RefHeading___Toc7368281_1051229030"/>
      <w:bookmarkStart w:id="145" w:name="_Toc51"/>
      <w:bookmarkEnd w:id="144"/>
      <w:r>
        <w:rPr>
          <w:rtl w:val="true"/>
        </w:rPr>
        <w:t>في الإجزاء</w:t>
      </w:r>
      <w:bookmarkEnd w:id="145"/>
    </w:p>
    <w:p>
      <w:pPr>
        <w:pStyle w:val="BookText"/>
        <w:rPr/>
      </w:pPr>
      <w:r>
        <w:rPr>
          <w:rFonts w:ascii="Amiri" w:hAnsi="Amiri" w:eastAsia="Amiri" w:cs="Amiri"/>
          <w:color w:val="111111"/>
          <w:sz w:val="28"/>
          <w:sz w:val="28"/>
          <w:szCs w:val="28"/>
          <w:rtl w:val="true"/>
          <w:lang w:bidi="ar-SA"/>
        </w:rPr>
        <w:t xml:space="preserve">وقبل الخوض في المقصود ، لا بدّ من تمهيد اُمور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368283_1051229030"/>
      <w:bookmarkStart w:id="147" w:name="_Toc52"/>
      <w:bookmarkEnd w:id="146"/>
      <w:r>
        <w:rPr>
          <w:rtl w:val="true"/>
        </w:rPr>
        <w:t xml:space="preserve">الأمر الأوّل </w:t>
      </w:r>
      <w:r>
        <w:rPr>
          <w:rtl w:val="true"/>
        </w:rPr>
        <w:t xml:space="preserve">: </w:t>
      </w:r>
      <w:r>
        <w:rPr>
          <w:rtl w:val="true"/>
        </w:rPr>
        <w:t>في تحرير محلّ النزاع</w:t>
      </w:r>
      <w:bookmarkEnd w:id="147"/>
    </w:p>
    <w:p>
      <w:pPr>
        <w:pStyle w:val="BookText"/>
        <w:rPr/>
      </w:pPr>
      <w:r>
        <w:rPr>
          <w:rFonts w:ascii="Amiri" w:hAnsi="Amiri" w:eastAsia="Amiri" w:cs="Amiri"/>
          <w:color w:val="111111"/>
          <w:sz w:val="28"/>
          <w:sz w:val="28"/>
          <w:szCs w:val="28"/>
          <w:rtl w:val="true"/>
          <w:lang w:bidi="ar-SA"/>
        </w:rPr>
        <w:t xml:space="preserve">قد اختلفت تعبيرات الاُصوليين في تحرير محلّ الكلام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يقتضي الإجزاء على فرض الإتيان بمتعلّقه على وجهه أم لا</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على وجهه ، هل يقتضي الإجزاء أم لا</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والاقتضاء على التعبيرين مختلف ؛ فإنّه على التعبير الأوّل يكون الاقتضاء بمعنى الدلالة ، أي هل يدلّ الأمر على أنّ الإتيان بمتعلّقه مجزٍ أم لا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يكون بمعنى العلّية، وإن لم تكن العلّية بمعناها المصطلح، ويرجع المعنى إلى أنّ الإتيان الكذائي ، هل يوجب الإجزاء وامتناع التعبّد به ثانياً أم لا ؟ </w:t>
      </w:r>
      <w:bookmarkStart w:id="148" w:name="pg8033_80709"/>
    </w:p>
    <w:p>
      <w:pPr>
        <w:pStyle w:val="Heading4"/>
        <w:numPr>
          <w:ilvl w:val="3"/>
          <w:numId w:val="1"/>
        </w:numPr>
        <w:rPr/>
      </w:pPr>
      <w:bookmarkStart w:id="149" w:name="__RefHeading___Toc7368285_1051229030"/>
      <w:bookmarkStart w:id="150" w:name="_Toc53"/>
      <w:bookmarkEnd w:id="148"/>
      <w:bookmarkEnd w:id="149"/>
      <w:r>
        <w:rPr>
          <w:rtl w:val="true"/>
        </w:rPr>
        <w:t xml:space="preserve">الأمر الثاني </w:t>
      </w:r>
      <w:r>
        <w:rPr>
          <w:rtl w:val="true"/>
        </w:rPr>
        <w:t xml:space="preserve">: </w:t>
      </w:r>
      <w:r>
        <w:rPr>
          <w:rtl w:val="true"/>
        </w:rPr>
        <w:t xml:space="preserve">في المراد من </w:t>
      </w:r>
      <w:r>
        <w:rPr>
          <w:rtl w:val="true"/>
        </w:rPr>
        <w:t>«</w:t>
      </w:r>
      <w:r>
        <w:rPr>
          <w:rtl w:val="true"/>
        </w:rPr>
        <w:t>على وجهه</w:t>
      </w:r>
      <w:r>
        <w:rPr>
          <w:rtl w:val="true"/>
        </w:rPr>
        <w:t>»</w:t>
      </w:r>
      <w:bookmarkEnd w:id="150"/>
    </w:p>
    <w:p>
      <w:pPr>
        <w:pStyle w:val="BookText"/>
        <w:rPr/>
      </w:pPr>
      <w:r>
        <w:rPr>
          <w:rFonts w:ascii="Amiri" w:hAnsi="Amiri" w:eastAsia="Amiri" w:cs="Amiri"/>
          <w:color w:val="111111"/>
          <w:sz w:val="28"/>
          <w:sz w:val="28"/>
          <w:szCs w:val="28"/>
          <w:rtl w:val="true"/>
          <w:lang w:bidi="ar-SA"/>
        </w:rPr>
        <w:t xml:space="preserve">إنّ المراد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ينبغي أن يؤتى به ؛ أي إتيانه مع كلّ ما يعتبر فيه ، ويكون دخيلاً في المصلحة الحاصلة منه والغرض الذي اُمر به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إضافة هذا القيد ردٌّ على القاضي عبد الجبّار ؛ حيث أنكر الإجزاء ؛ مستدلاًّ بأنّ الطهارة الاستصحابية لا تجزي عن الواقع</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إتيان الصلاة معها لا يكون إتياناً بالمأمور به على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احتمال أنّ الوجه هو قصد الوجه</w:t>
      </w:r>
      <w:r>
        <w:rPr>
          <w:rStyle w:val="FootnoteAnchor"/>
          <w:rtl w:val="true"/>
        </w:rPr>
        <w:footnoteReference w:id="113"/>
      </w:r>
      <w:r>
        <w:rPr>
          <w:rFonts w:ascii="Amiri" w:hAnsi="Amiri" w:eastAsia="Amiri" w:cs="Amiri"/>
          <w:color w:val="111111"/>
          <w:sz w:val="28"/>
          <w:sz w:val="28"/>
          <w:szCs w:val="28"/>
          <w:rtl w:val="true"/>
          <w:lang w:bidi="ar-SA"/>
        </w:rPr>
        <w:t xml:space="preserve">فلا وجه لتخصيصه بالذكر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المقصود به إفادة ما يعتبر في المأمور به عقلاً، ولا يمكن أخذه فيه شرعاً كقصد التقرّب ، حتّى لا يكون القيد توضيحياً</w:t>
      </w:r>
      <w:r>
        <w:rPr>
          <w:rStyle w:val="FootnoteAnchor"/>
          <w:rtl w:val="true"/>
        </w:rPr>
        <w:footnoteReference w:id="114"/>
      </w:r>
      <w:r>
        <w:rPr>
          <w:rFonts w:ascii="IRNazanin" w:hAnsi="IRNazanin" w:eastAsia="IRNazanin"/>
          <w:color w:val="111111"/>
          <w:sz w:val="28"/>
          <w:sz w:val="28"/>
          <w:szCs w:val="28"/>
          <w:rtl w:val="true"/>
          <w:lang w:bidi="fa-IR"/>
        </w:rPr>
        <w:t xml:space="preserve">منظور فيه؛ فإنّ التفرقة بين الشرائط والقيود وإحداث القول بامتناع أخذ قصد القربة في المأمور به ، إنّما هو من زمن الشيخ العلاّمة الأنصاري رحمه الله علیه </w:t>
      </w:r>
      <w:r>
        <w:rPr>
          <w:rStyle w:val="FootnoteAnchor"/>
          <w:rtl w:val="true"/>
        </w:rPr>
        <w:footnoteReference w:id="115"/>
      </w:r>
      <w:r>
        <w:rPr>
          <w:rFonts w:ascii="Amiri" w:hAnsi="Amiri" w:eastAsia="Amiri" w:cs="Amiri"/>
          <w:color w:val="111111"/>
          <w:sz w:val="28"/>
          <w:sz w:val="28"/>
          <w:szCs w:val="28"/>
          <w:rtl w:val="true"/>
          <w:lang w:bidi="ar-SA"/>
        </w:rPr>
        <w:t xml:space="preserve">وتقييد العنوان بهذا القيد يكون في كلام المتقدّم عليه </w:t>
      </w:r>
      <w:r>
        <w:rPr>
          <w:rFonts w:eastAsia="Amiri" w:cs="Amiri" w:ascii="Amiri" w:hAnsi="Amiri"/>
          <w:color w:val="111111"/>
          <w:sz w:val="28"/>
          <w:szCs w:val="28"/>
          <w:rtl w:val="true"/>
          <w:lang w:bidi="ar-SA"/>
        </w:rPr>
        <w:t xml:space="preserve">. </w:t>
      </w:r>
      <w:bookmarkStart w:id="151" w:name="pg8033_80711"/>
    </w:p>
    <w:p>
      <w:pPr>
        <w:pStyle w:val="Heading4"/>
        <w:numPr>
          <w:ilvl w:val="3"/>
          <w:numId w:val="1"/>
        </w:numPr>
        <w:rPr/>
      </w:pPr>
      <w:bookmarkStart w:id="152" w:name="__RefHeading___Toc7368287_1051229030"/>
      <w:bookmarkStart w:id="153" w:name="_Toc54"/>
      <w:bookmarkEnd w:id="151"/>
      <w:bookmarkEnd w:id="152"/>
      <w:r>
        <w:rPr>
          <w:rtl w:val="true"/>
        </w:rPr>
        <w:t xml:space="preserve">الأمر الثالث </w:t>
      </w:r>
      <w:r>
        <w:rPr>
          <w:rtl w:val="true"/>
        </w:rPr>
        <w:t xml:space="preserve">: </w:t>
      </w:r>
      <w:r>
        <w:rPr>
          <w:rtl w:val="true"/>
        </w:rPr>
        <w:t>في فارق المسألة عن المرّة والتكرار وغيرها</w:t>
      </w:r>
      <w:bookmarkEnd w:id="153"/>
    </w:p>
    <w:p>
      <w:pPr>
        <w:pStyle w:val="Heading5"/>
        <w:numPr>
          <w:ilvl w:val="4"/>
          <w:numId w:val="1"/>
        </w:numPr>
        <w:rPr/>
      </w:pPr>
      <w:bookmarkStart w:id="154" w:name="__RefHeading___Toc7368289_1051229030"/>
      <w:bookmarkStart w:id="155" w:name="_Toc55"/>
      <w:bookmarkEnd w:id="154"/>
      <w:r>
        <w:rPr>
          <w:rtl w:val="true"/>
        </w:rPr>
        <w:t>في فارق المسألة عن المرّة والتكرار وغيرها</w:t>
      </w:r>
      <w:bookmarkEnd w:id="155"/>
    </w:p>
    <w:p>
      <w:pPr>
        <w:pStyle w:val="BookText"/>
        <w:rPr/>
      </w:pPr>
      <w:r>
        <w:rPr>
          <w:rFonts w:ascii="Amiri" w:hAnsi="Amiri" w:eastAsia="Amiri" w:cs="Amiri"/>
          <w:color w:val="111111"/>
          <w:sz w:val="28"/>
          <w:sz w:val="28"/>
          <w:szCs w:val="28"/>
          <w:rtl w:val="true"/>
          <w:lang w:bidi="ar-SA"/>
        </w:rPr>
        <w:t>الفرق بين مسألة المرّة والتكرار وهذه المسألة ، هو ما أفاده المحقّق الخراساني</w:t>
      </w:r>
      <w:r>
        <w:rPr>
          <w:rStyle w:val="FootnoteAnchor"/>
          <w:rtl w:val="true"/>
        </w:rPr>
        <w:footnoteReference w:id="116"/>
      </w:r>
      <w:r>
        <w:rPr>
          <w:rFonts w:ascii="Amiri" w:hAnsi="Amiri" w:eastAsia="Amiri" w:cs="Amiri"/>
          <w:color w:val="111111"/>
          <w:sz w:val="28"/>
          <w:sz w:val="28"/>
          <w:szCs w:val="28"/>
          <w:rtl w:val="true"/>
          <w:lang w:bidi="ar-SA"/>
        </w:rPr>
        <w:t>لكنّ الفرق بينها وبين مسألة تبعية الأداء للقضاء ليس كما أفاد</w:t>
      </w:r>
      <w:r>
        <w:rPr>
          <w:rStyle w:val="FootnoteAnchor"/>
          <w:rtl w:val="true"/>
        </w:rPr>
        <w:footnoteReference w:id="117"/>
      </w:r>
      <w:r>
        <w:rPr>
          <w:rFonts w:ascii="Amiri" w:hAnsi="Amiri" w:eastAsia="Amiri" w:cs="Amiri"/>
          <w:color w:val="111111"/>
          <w:sz w:val="28"/>
          <w:sz w:val="28"/>
          <w:szCs w:val="28"/>
          <w:rtl w:val="true"/>
          <w:lang w:bidi="ar-SA"/>
        </w:rPr>
        <w:t>، بل ما أفاده لا يخلو من غرابة من مثله ؛ فإنّه ليس بين المسألتين مشابهة ومناسبة أصلاً ، حتّى نحتاج إلى إبداء التفرقة ؛ فإنّ المبحوث عنه في مسألة الإجزاء ، هو أنّ الإتيان بالمأمور به على وجهه ، هل يقتضي الإجزاء أم لا ؟ والمبحوث في مسألة تبعية الأداء للقضاء ، هو أنّ الأمر المتعلّق بالصلاة في الوقت ، هل ينحلّ إلى الأمر بالصلاة وإلى الأمر بإيجادها في الوقت ، حتّى إذا لم يؤتَ بالقيد يجب الإتيان بالمطلق أم لا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الأمر بالصلاة في الوقت ، وجوب إتيانها خارج الوقت إذا لم يؤتَ بها فيه ، أم لا ؟ فالمفروض في هذه المسألة عدم الإتيان في الوقت ، والمفروض في مسألة الإجزاء هو الإتيان على وجهه ، فأيّ مشابهة بينهما حتّى نتصدّى لبيان التفرقة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 فالكلام يقع في ثلاثة مواضع </w:t>
      </w:r>
      <w:r>
        <w:rPr>
          <w:rFonts w:eastAsia="Amiri" w:cs="Amiri" w:ascii="Amiri" w:hAnsi="Amiri"/>
          <w:color w:val="111111"/>
          <w:sz w:val="28"/>
          <w:szCs w:val="28"/>
          <w:rtl w:val="true"/>
          <w:lang w:bidi="ar-SA"/>
        </w:rPr>
        <w:t xml:space="preserve">: </w:t>
      </w:r>
      <w:bookmarkStart w:id="156" w:name="pg8033_80713"/>
    </w:p>
    <w:p>
      <w:pPr>
        <w:pStyle w:val="Heading5"/>
        <w:numPr>
          <w:ilvl w:val="4"/>
          <w:numId w:val="1"/>
        </w:numPr>
        <w:rPr/>
      </w:pPr>
      <w:bookmarkStart w:id="157" w:name="__RefHeading___Toc7368291_1051229030"/>
      <w:bookmarkStart w:id="158" w:name="_Toc56"/>
      <w:bookmarkEnd w:id="156"/>
      <w:bookmarkEnd w:id="157"/>
      <w:r>
        <w:rPr>
          <w:rtl w:val="true"/>
        </w:rPr>
        <w:t>الموضع الأوّل في إجزاء الإتيان بالمأمور به مطلقاً عن التعبّد به ثانياً</w:t>
      </w:r>
      <w:bookmarkEnd w:id="158"/>
    </w:p>
    <w:p>
      <w:pPr>
        <w:pStyle w:val="BookText"/>
        <w:rPr/>
      </w:pPr>
      <w:r>
        <w:rPr>
          <w:rFonts w:ascii="Amiri" w:hAnsi="Amiri" w:eastAsia="Amiri" w:cs="Amiri"/>
          <w:color w:val="111111"/>
          <w:sz w:val="28"/>
          <w:sz w:val="28"/>
          <w:szCs w:val="28"/>
          <w:rtl w:val="true"/>
          <w:lang w:bidi="ar-SA"/>
        </w:rPr>
        <w:t xml:space="preserve">إنّ الإتيان بالمأمور به الواقعي أو الاضطراري أو الظاهري ، يجزي عن التعبّد به ثانياً ؛ فإنّ المولى قبل الأمر بموضوعٍ ، لا بدّ له من ملاحظة موضوع حكمه وكلّ ما له دخالة في سقوط غرضه ؛ من الأجزاء والشرائط ورفع الموانع ، ثمّ الأمر به ، فلو أتى المكلّف به مع كلّ ما له دخل عقلاً في حصول غرضه ، يستقلّ العقل بأ نّه لا مجال ثانياً لإتيانه تداركاً ، ولا مجال لأمر المولى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أو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التدارك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تبديل الامتثال فيما لا يسقط به الغرض ، فهو أمر آخر خارج عن موضوع البحث ؛ لرجوعه إلى كون الأمر بما لا يحصل الغرض منه فقط ، مقدّمياً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368293_1051229030"/>
      <w:bookmarkStart w:id="160" w:name="_Toc57"/>
      <w:bookmarkEnd w:id="159"/>
      <w:r>
        <w:rPr>
          <w:rtl w:val="true"/>
        </w:rPr>
        <w:t>الموضع الثاني في الأوامر الاضطرارية</w:t>
      </w:r>
      <w:bookmarkEnd w:id="160"/>
    </w:p>
    <w:p>
      <w:pPr>
        <w:pStyle w:val="Heading6"/>
        <w:numPr>
          <w:ilvl w:val="5"/>
          <w:numId w:val="1"/>
        </w:numPr>
        <w:rPr/>
      </w:pPr>
      <w:bookmarkStart w:id="161" w:name="__RefHeading___Toc7368295_1051229030"/>
      <w:bookmarkStart w:id="162" w:name="_Toc58"/>
      <w:bookmarkEnd w:id="161"/>
      <w:r>
        <w:rPr>
          <w:rtl w:val="true"/>
        </w:rPr>
        <w:t>وحدة الأمر أو تعدّده في المقام</w:t>
      </w:r>
      <w:bookmarkEnd w:id="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من عبّر بأنّ الإتيان بالمأمور به بالأمر الاضطراري ، هل يجزي عن الإتيان بالمأمور به بالأمر الواقعي</w:t>
      </w:r>
      <w:r>
        <w:rPr>
          <w:rStyle w:val="FootnoteAnchor"/>
          <w:rtl w:val="true"/>
        </w:rPr>
        <w:footnoteReference w:id="118"/>
      </w:r>
      <w:r>
        <w:rPr>
          <w:rFonts w:ascii="IRNazanin" w:hAnsi="IRNazanin" w:eastAsia="IRNazanin"/>
          <w:color w:val="111111"/>
          <w:sz w:val="28"/>
          <w:sz w:val="28"/>
          <w:szCs w:val="28"/>
          <w:rtl w:val="true"/>
          <w:lang w:bidi="fa-IR"/>
        </w:rPr>
        <w:t xml:space="preserve">؟ هو أنّ محل البحث والنقض </w:t>
      </w:r>
    </w:p>
    <w:p>
      <w:pPr>
        <w:pStyle w:val="BookText"/>
        <w:rPr/>
      </w:pPr>
      <w:r>
        <w:rPr>
          <w:rFonts w:ascii="Amiri" w:hAnsi="Amiri" w:eastAsia="Amiri" w:cs="Amiri"/>
          <w:color w:val="111111"/>
          <w:sz w:val="28"/>
          <w:sz w:val="28"/>
          <w:szCs w:val="28"/>
          <w:rtl w:val="true"/>
          <w:lang w:bidi="ar-SA"/>
        </w:rPr>
        <w:t>والإبرام أ نّه إذا تعلّق أمر بشيءٍ بملاحظة حال الاختيار ، ثمّ تعلّق أمر آخر بشيء بملاحظة حال الاضطرار، هل يجزي الإتيان بالاضطراري عن الاختياري أم لا ؟</w:t>
      </w:r>
    </w:p>
    <w:p>
      <w:pPr>
        <w:pStyle w:val="BookText"/>
        <w:rPr/>
      </w:pPr>
      <w:r>
        <w:rPr>
          <w:rFonts w:ascii="Amiri" w:hAnsi="Amiri" w:eastAsia="Amiri" w:cs="Amiri"/>
          <w:color w:val="111111"/>
          <w:sz w:val="28"/>
          <w:sz w:val="28"/>
          <w:szCs w:val="28"/>
          <w:rtl w:val="true"/>
          <w:lang w:bidi="ar-SA"/>
        </w:rPr>
        <w:t xml:space="preserve">فعليه لا بدّ وأن يكون هنا أمران متعلّقان بموضوعين ، حتّى نبحث عن إجزاء إتيان متعلّق الاضطراري منهما عن الاختياري ، مع أنّ الأمر ليس كذلك ، بل لا معنى للبحث عنه ؛ فإنّ الإتيان بمتعلّق أمرٍ لا معنى لأن يسقط أمراً آخر من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البحث كذلك لا موضوع له ؛ فإنّ الأوامر إنّما تتعلّق بالطبائع ، وإنّما الاختلاف في أفراد المأمور به وخصوصياتها الشخصية ؛ من حيث الجزء والشرط بالنسبة إلى حال الاختيار والاضطرار ، لا أنّ الأمر بها في حال الاختيار غيره في حال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فطبيعة الصلاة المتعلّقة للأمر ، تكون أجزاؤها وشرائطها مختلفة بحسب أحوال المكلّفين ؛ فالمختار لا بدّ له من القيام والسجود والطهارة ، والمضطرّ يتبدّل قيامه بالقعود ، وسجوده بالإيماء ، وطهارته المائية بالترابية ، مع أنّ الطبيعة هي المأمور بها في جميع الأحوال ، والاختلاف إنّما هو في مصاديقها وأفرادها التي لم يتعلّق الأمر بها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بالطبيعة مع هذه الشرائط والأجزاء في حال الاضطرار ، هل يجزي عن الأمر المتعلّق بها ، حتّى لا يحتاج إلى الإعادة والقضاء إذا صار المكلّف مختاراً ، أم لا ؟ </w:t>
      </w:r>
      <w:bookmarkStart w:id="163" w:name="pg8033_80717"/>
    </w:p>
    <w:p>
      <w:pPr>
        <w:pStyle w:val="Heading6"/>
        <w:numPr>
          <w:ilvl w:val="5"/>
          <w:numId w:val="1"/>
        </w:numPr>
        <w:rPr/>
      </w:pPr>
      <w:bookmarkStart w:id="164" w:name="__RefHeading___Toc7368297_1051229030"/>
      <w:bookmarkStart w:id="165" w:name="_Toc59"/>
      <w:bookmarkEnd w:id="163"/>
      <w:bookmarkEnd w:id="164"/>
      <w:r>
        <w:rPr>
          <w:rtl w:val="true"/>
        </w:rPr>
        <w:t>الإتيان بالفرد الاضطراري يقتضي الإجزاء أم لا ؟</w:t>
      </w:r>
      <w:bookmarkEnd w:id="165"/>
    </w:p>
    <w:p>
      <w:pPr>
        <w:pStyle w:val="BookText"/>
        <w:rPr/>
      </w:pPr>
      <w:r>
        <w:rPr>
          <w:rFonts w:ascii="Amiri" w:hAnsi="Amiri" w:eastAsia="Amiri" w:cs="Amiri"/>
          <w:color w:val="111111"/>
          <w:sz w:val="28"/>
          <w:sz w:val="28"/>
          <w:szCs w:val="28"/>
          <w:rtl w:val="true"/>
          <w:lang w:bidi="ar-SA"/>
        </w:rPr>
        <w:t xml:space="preserve">إذا عرفت ذلك ، فيقع البحث في مقتضى الأوامر الاختيارية ؛ وأنّ الإتيان بالفرد الاضطراري للطبيعة ، هل يجزي عنها ؛ بحيث يسقط الأمر المتعلّق بها ، أم لا ، بل تدلّ الأوامر المتوجّهة إلى الطبيعة ، على لزوم الإتيان بالفرد الاختياري بعد الإتيان بالفرد الاضطراري ؟ فلا بدّ أوّلاً من تنقيح موضوع البحث حتّى يتّضح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المكلّف مختاراً من أوّل الوقت إلى آخره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مضطرّاً كذلك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مختاراً في بعضه ، ومضطرّاً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نقول بأنّ الاضطرار المأخوذ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فقدان الماء ، والعجز عن القيام ، والتكتّف حال التقيّة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الاضطرار المستوعب للوقت ، وتارةً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الاضطرار في كلّ وقتٍ بالنسبة إلى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وجود الاضطرار في كلّ وقتٍ 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يكون موضوع الكلام في باب الإجزاء عن الإعادة ، هو هذا الفرض الأخير ، وأمّا الفروض الاُخر فهي خارجة عن مورد البحث ؛ أمّا الأوّلان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المأتيّ به لم يكن فرد المأمور به ؛ أي الفرد الاضطراري منه ، وموضوع البحث فيما إذا أتى المكلّف بالفرد الاضطراري من الطبيعة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ينحصر في الفرض الرابع ؛ أي ما إذا كانت الطبيعة متعلّقة للأمر في وقتٍ مضروب لها ، مثل الصلاة من دلوك الشمس إلى غروبها ، ويكون المكلّف </w:t>
      </w:r>
    </w:p>
    <w:p>
      <w:pPr>
        <w:pStyle w:val="BookText"/>
        <w:rPr/>
      </w:pPr>
      <w:r>
        <w:rPr>
          <w:rFonts w:ascii="Amiri" w:hAnsi="Amiri" w:eastAsia="Amiri" w:cs="Amiri"/>
          <w:color w:val="111111"/>
          <w:sz w:val="28"/>
          <w:sz w:val="28"/>
          <w:szCs w:val="28"/>
          <w:rtl w:val="true"/>
          <w:lang w:bidi="ar-SA"/>
        </w:rPr>
        <w:t xml:space="preserve">مخيّراً بين الإتيان بها في كلّ زمانٍ من الوقت المضروب لها تخييراً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لها فردان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 ويكون المكلّف على هذا الفرض مخيّراً في كلّ وقتٍ بين الإتيان بالفرد الاضطراري في حال الاضطرار ، أو الانتظار إلى زمان الاختيار والإتيان بالفرد الاختياري ، فإذا أتى بالاضطراري ، هل الأمر المتعلّق بالطبيعة والداعي إلى الفرد الاختياري ، يدعو إلى إتيان الاختياري بعد رفع الاضطرار أم لا ؟</w:t>
      </w:r>
    </w:p>
    <w:p>
      <w:pPr>
        <w:pStyle w:val="BookText"/>
        <w:rPr/>
      </w:pPr>
      <w:r>
        <w:rPr>
          <w:rFonts w:ascii="Amiri" w:hAnsi="Amiri" w:eastAsia="Amiri" w:cs="Amiri"/>
          <w:color w:val="111111"/>
          <w:sz w:val="28"/>
          <w:sz w:val="28"/>
          <w:szCs w:val="28"/>
          <w:rtl w:val="true"/>
          <w:lang w:bidi="ar-SA"/>
        </w:rPr>
        <w:t xml:space="preserve">ولعلّ الحكم بعد تنقيح موضوع البحث ، صار متّضحاً أيضاً ؛ لأنّه من القضايا التي قياساتها معها ؛ فإنّ بقاء الأمر بطبيعة مع الإتيان بفردها الذي تتحقّق الطبيعة به ،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الأمر بالطبيعة تخييراً مع الإتيان بأحد الأفراد غير معقولٍ ، وقد عرفت</w:t>
      </w:r>
      <w:r>
        <w:rPr>
          <w:rStyle w:val="FootnoteAnchor"/>
          <w:rtl w:val="true"/>
        </w:rPr>
        <w:footnoteReference w:id="120"/>
      </w:r>
      <w:r>
        <w:rPr>
          <w:rFonts w:ascii="Amiri" w:hAnsi="Amiri" w:eastAsia="Amiri" w:cs="Amiri"/>
          <w:color w:val="111111"/>
          <w:sz w:val="28"/>
          <w:sz w:val="28"/>
          <w:szCs w:val="28"/>
          <w:rtl w:val="true"/>
          <w:lang w:bidi="ar-SA"/>
        </w:rPr>
        <w:t xml:space="preserve">أنّ الفرد الاضطراري لم يكن له أمر مستقلّ ، وكذلك الاختياري ليس له أمر استقلالي ، حتّى نبحث في أنّ الإتيان بمتعلّق أحد الأمرين ، هل يجزي عن الأمر الآخر أم لا ؟ بل لا معنى لذلك ، إلاّ أن يقوم دليل عليه ، وهو أيضاً خارج عن مسألة الإجزاء كما لا يخفى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المأمور به الاضطراري ، بدل ونائب عن الاختياري في ظرف الاضطرار ،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بطلان المبنى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يقتضي </w:t>
      </w:r>
    </w:p>
    <w:p>
      <w:pPr>
        <w:pStyle w:val="BookText"/>
        <w:rPr/>
      </w:pPr>
      <w:r>
        <w:rPr>
          <w:rFonts w:ascii="Amiri" w:hAnsi="Amiri" w:eastAsia="Amiri" w:cs="Amiri"/>
          <w:color w:val="111111"/>
          <w:sz w:val="28"/>
          <w:sz w:val="28"/>
          <w:szCs w:val="28"/>
          <w:rtl w:val="true"/>
          <w:lang w:bidi="ar-SA"/>
        </w:rPr>
        <w:t xml:space="preserve">الإجزاء ؛ فإنّه أيضاً يرجع إلى التخيير بين الإتيان بالفرد الاضطراري البدلي في ظرفه ، والإتيان بالفرد الاختياري في ظرف رفع الاضطرار ، والإتيانُ بأحد فردي الواجب مسقط لأمره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الأمر بالنسبة إلى القضاء أيضاً ؛ فإنّه لو فرض استيعاب العذر لجميع الوقت ، أو يكون التكليف من قبيل المضيّق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أدلّة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الفرد الاختياري بالفرد الاضطراري ، وأتى به المكلّف ، فلا مجال للتشكيك في الإجزاء ، وعدم شمول أدلّة القضاء للمورد ؛ ضرورة أنّ الآتي بالفرد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متعيّناً له مع العذر 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بالطبيعة التي هي الفريضة ، فلا معنى لشمول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بحسب مقتضى أدلّة الواجبات وأدلّة تشريع الفرد الاضطراري ، وقد عرفت أ نّه لا يعقل بقاء الأمر بالطبيعة مع الإتيان بفردها ، وكما لا يعقل ذلك لا يعقل ورود أمرٍ آخر بعنوان التدارك أداءً أو قضاءً ؛ لأنّه فرع عدم الإتيان ، وهذا خلف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للشارع أن يأمر استقلالاً بإتيان فردٍ آخر من الطبيعة بملاكٍ آخر ، كما أ نّه لو قام دليل على عدم الإجزاء ، نستكشف منه أنّ الاضطرار في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مقتضى ظاهر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موضوعاً للحكم ، وهذان الفرضان خارجان عن موضوع البحث في مبحث الإجزاء </w:t>
      </w:r>
      <w:r>
        <w:rPr>
          <w:rFonts w:eastAsia="Amiri" w:cs="Amiri" w:ascii="Amiri" w:hAnsi="Amiri"/>
          <w:color w:val="111111"/>
          <w:sz w:val="28"/>
          <w:szCs w:val="28"/>
          <w:rtl w:val="true"/>
          <w:lang w:bidi="ar-SA"/>
        </w:rPr>
        <w:t xml:space="preserve">. </w:t>
      </w:r>
      <w:bookmarkStart w:id="166" w:name="pg8033_80723"/>
    </w:p>
    <w:p>
      <w:pPr>
        <w:pStyle w:val="BookText"/>
        <w:rPr/>
      </w:pPr>
      <w:bookmarkEnd w:id="166"/>
      <w:r>
        <w:rPr>
          <w:rFonts w:ascii="IRNazanin" w:hAnsi="IRNazanin" w:eastAsia="IRNazanin"/>
          <w:color w:val="111111"/>
          <w:sz w:val="28"/>
          <w:sz w:val="28"/>
          <w:szCs w:val="28"/>
          <w:rtl w:val="true"/>
          <w:lang w:bidi="fa-IR"/>
        </w:rPr>
        <w:t>وقد اتّضح بما تلوناه عليك ، وقوع الخلط في كلام المحقّق الخراساني رحمه الله علیه وغيره من المتأخّرين في تحرير محلّ البحث ، وأنّ التشقيقات التي تكلّفوها</w:t>
      </w:r>
      <w:r>
        <w:rPr>
          <w:rStyle w:val="FootnoteAnchor"/>
          <w:rtl w:val="true"/>
        </w:rPr>
        <w:footnoteReference w:id="122"/>
      </w:r>
      <w:r>
        <w:rPr>
          <w:rFonts w:ascii="Amiri" w:hAnsi="Amiri" w:eastAsia="Amiri" w:cs="Amiri"/>
          <w:color w:val="111111"/>
          <w:sz w:val="28"/>
          <w:sz w:val="28"/>
          <w:szCs w:val="28"/>
          <w:rtl w:val="true"/>
          <w:lang w:bidi="ar-SA"/>
        </w:rPr>
        <w:t xml:space="preserve">ممّا لا أساس لها ، ولا تغني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تمّت دلالة أدلّة الاضطرار على أ نّه أعمّ من المستوعب فهو ، وإلاّ فالأصل هو الاشتغال بلا ريبٍ ولا إشكالٍ ؛ لرجوعه إلى الشكّ في التعيين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الشكّ في سقوط التكليف عن الطبيعة بالإتيان بالفرد الاضطراري </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368299_1051229030"/>
      <w:bookmarkStart w:id="168" w:name="_Toc60"/>
      <w:bookmarkEnd w:id="167"/>
      <w:r>
        <w:rPr>
          <w:rtl w:val="true"/>
        </w:rPr>
        <w:t xml:space="preserve">تنبيه </w:t>
      </w:r>
      <w:r>
        <w:rPr>
          <w:rtl w:val="true"/>
        </w:rPr>
        <w:t>:</w:t>
      </w:r>
      <w:bookmarkEnd w:id="168"/>
    </w:p>
    <w:p>
      <w:pPr>
        <w:pStyle w:val="BookText"/>
        <w:rPr/>
      </w:pP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الإتيان بالفرد الاضطراري يقتضي الإجزاء ، إنّما هو فيما كان الأمر المتعلّق بالطبيعة باقياً في حال الاضطرار ، ودلّت أدلّة الاضطرار على كون الفرد الاضطراري في حاله مصداقاً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دلّت أدلّة الاضطرار على اتّساع دائرة الطبيعة ، وشمولها للفرد الفاقد للجزء أو الشرط ، أو الواجد للمانع في حال الاضطرار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اقتضى الاضطرار رفع الأمر عن الإتيان بالطبيعة عند الاضطرار ، فهو خارج عمّا ذكرنا ، مثلاً لو حكم قاضي العامّة يوم الثلاثين من شهر رمضان بكونه عيداً ، يجب الإفطار بمقتضى التقيّة ،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اُفطر يوماً من شهر </w:t>
      </w:r>
      <w:bookmarkStart w:id="169" w:name="pg8033_80725"/>
    </w:p>
    <w:p>
      <w:pPr>
        <w:pStyle w:val="BookText"/>
        <w:rPr/>
      </w:pPr>
      <w:bookmarkEnd w:id="169"/>
      <w:r>
        <w:rPr>
          <w:rFonts w:ascii="Amiri" w:hAnsi="Amiri" w:eastAsia="Amiri" w:cs="Amiri"/>
          <w:color w:val="111111"/>
          <w:sz w:val="28"/>
          <w:sz w:val="28"/>
          <w:szCs w:val="28"/>
          <w:rtl w:val="true"/>
          <w:lang w:bidi="ar-SA"/>
        </w:rPr>
        <w:t>رمضان أحبّ إليّ من أن يضرب عنقي</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لكن يجب قضاؤه ؛ لأنّ التقيّة تقتضي رفع الأمر عن الصوم في هذا اليوم ، لا رفع مفطرية الأكل والشرب كما لا يخفى </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368301_1051229030"/>
      <w:bookmarkStart w:id="171" w:name="_Toc61"/>
      <w:bookmarkEnd w:id="170"/>
      <w:r>
        <w:rPr>
          <w:rtl w:val="true"/>
        </w:rPr>
        <w:t>الموضع الثالث في أنّ الإتيان بالمأمور به الظاهري هل يقتضي الإجزاء أم لا ؟</w:t>
      </w:r>
      <w:bookmarkEnd w:id="171"/>
    </w:p>
    <w:p>
      <w:pPr>
        <w:pStyle w:val="Heading6"/>
        <w:numPr>
          <w:ilvl w:val="5"/>
          <w:numId w:val="1"/>
        </w:numPr>
        <w:rPr/>
      </w:pPr>
      <w:bookmarkStart w:id="172" w:name="__RefHeading___Toc7368303_1051229030"/>
      <w:bookmarkStart w:id="173" w:name="_Toc62"/>
      <w:bookmarkEnd w:id="172"/>
      <w:r>
        <w:rPr>
          <w:rtl w:val="true"/>
        </w:rPr>
        <w:t>في أنّ الإتيان بالمأمور به الظاهري هل يقتضي الإجزاء أم لا ؟</w:t>
      </w:r>
      <w:bookmarkEnd w:id="173"/>
    </w:p>
    <w:p>
      <w:pPr>
        <w:pStyle w:val="BookText"/>
        <w:rPr/>
      </w:pPr>
      <w:r>
        <w:rPr>
          <w:rFonts w:ascii="Amiri" w:hAnsi="Amiri" w:eastAsia="Amiri" w:cs="Amiri"/>
          <w:color w:val="111111"/>
          <w:sz w:val="28"/>
          <w:sz w:val="28"/>
          <w:szCs w:val="28"/>
          <w:rtl w:val="true"/>
          <w:lang w:bidi="ar-SA"/>
        </w:rPr>
        <w:t xml:space="preserve">وقبل الخوض في المقصود ، لا بدّ من تنقيح محلّ البحث ؛ حتّى لا يختلط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 المقام أيضاً حسبما حرّرنا في الأوامر الاضطرارية فيما إذا تعلّق أمر بطبيعة ، ويكون لها مصداق واقعي جامع 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الشرائط والأجزاء ، وفاقد لجميع الموانع ، ودلّت 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كانت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شيءٍ جزءاً أو شرطاً أو مانعاً في حال الجهل بالواقع ، فهل الإتيان بمصداق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اقتضاء الأدلّ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المأمور به أم لا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دلّ دليل على وجوب شيءٍ ، فأتى به المكلّف ، ثمّ تبيّن عدم وجوبه ، وإنّما الواجب شيء آخر ، فهو خارج عن محطّ البحث ، كما لو دلّ الدليل على وجوب صلاة الجمعة في يومها ، فصلّى المكلّف صلاة الجمعة ، ثمّ تبيّن وجوب الظهر ، فإنّ هذا خارج عن بحث الإجزاء ؛ لأنّه لا معنى لكون الإتيان </w:t>
      </w:r>
      <w:bookmarkStart w:id="174" w:name="pg8033_80727"/>
    </w:p>
    <w:p>
      <w:pPr>
        <w:pStyle w:val="BookText"/>
        <w:rPr/>
      </w:pPr>
      <w:bookmarkEnd w:id="174"/>
      <w:r>
        <w:rPr>
          <w:rFonts w:ascii="Amiri" w:hAnsi="Amiri" w:eastAsia="Amiri" w:cs="Amiri"/>
          <w:color w:val="111111"/>
          <w:sz w:val="28"/>
          <w:sz w:val="28"/>
          <w:szCs w:val="28"/>
          <w:rtl w:val="true"/>
          <w:lang w:bidi="ar-SA"/>
        </w:rPr>
        <w:t xml:space="preserve">بمتعلّق أمرٍ ، مجزياً عن أمرٍ آخر متعلّق بموضوع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دلّ دليل على عدم وجوب شيءٍ ، فلم يأتِ به المكلّف في وقته ، ثمّ تبيّن وجوبه ، فهو أيضاً خارج عن بحث الإجزاء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أنّ الإتيان بالمصداق الظاهري للمأمور به ، هل يكون مجزياً عن الأمر المتعلّق بالطبيعة أم لا ؟</w:t>
      </w:r>
    </w:p>
    <w:p>
      <w:pPr>
        <w:pStyle w:val="BookText"/>
        <w:rPr/>
      </w:pPr>
      <w:r>
        <w:rPr>
          <w:rFonts w:ascii="Amiri" w:hAnsi="Amiri" w:eastAsia="Amiri" w:cs="Amiri"/>
          <w:color w:val="111111"/>
          <w:sz w:val="28"/>
          <w:sz w:val="28"/>
          <w:szCs w:val="28"/>
          <w:rtl w:val="true"/>
          <w:lang w:bidi="ar-SA"/>
        </w:rPr>
        <w:t xml:space="preserve">إذا عرفت ذلك فيتمّ الكلام في مقامين </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368305_1051229030"/>
      <w:bookmarkStart w:id="176" w:name="_Toc63"/>
      <w:bookmarkEnd w:id="175"/>
      <w:r>
        <w:rPr>
          <w:rtl w:val="true"/>
        </w:rPr>
        <w:t xml:space="preserve">المقام الأوّل </w:t>
      </w:r>
      <w:r>
        <w:rPr>
          <w:rtl w:val="true"/>
        </w:rPr>
        <w:t xml:space="preserve">: </w:t>
      </w:r>
      <w:r>
        <w:rPr>
          <w:rtl w:val="true"/>
        </w:rPr>
        <w:t>في الإتيان بالمأمور به حسبما تقتضيه الاُصول الشرعية</w:t>
      </w:r>
      <w:bookmarkEnd w:id="176"/>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الخراساني رحمه الله علیه لم يستقصِ جميع الاُصول ، وإنّما تعرّض للاُصول المنقّحة لموضوع التكليف بلسان تحقّق ما هو شرطه أو شطره ، وأمّا الاُصول الحكمية الجارية في الأجزاء والشرائط، فغير مذكورة في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قد تعرّض في آخر كلامه للاُصول الحكمية الجارية في أصل التكليف ، كصلاة الجمعة والظهر</w:t>
      </w:r>
      <w:r>
        <w:rPr>
          <w:rStyle w:val="FootnoteAnchor"/>
          <w:rtl w:val="true"/>
        </w:rPr>
        <w:footnoteReference w:id="124"/>
      </w:r>
      <w:r>
        <w:rPr>
          <w:rFonts w:ascii="Amiri" w:hAnsi="Amiri" w:eastAsia="Amiri" w:cs="Amiri"/>
          <w:color w:val="111111"/>
          <w:sz w:val="28"/>
          <w:sz w:val="28"/>
          <w:szCs w:val="28"/>
          <w:rtl w:val="true"/>
          <w:lang w:bidi="ar-SA"/>
        </w:rPr>
        <w:t xml:space="preserve">فلا بدّ لنا من استقصاء الكلام في جميع الاُصول والأمارات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نتعرّض أوّلاً لمقام الإثبات ؛ وأنّ مقتضى ملاحظة الأدلّة الواقعية المثبتة للأجزاء والشرائط والموانع والأدلّة الظاهرية بحسب الإثبات ما هو ؟ ثمّ لو دلّت الأدلّة على الإجزاء إثباتاً نتشبّث بها ، إلاّ أن يدلّ دليل عقلي على الامتناع فنتركها بمقدار دلالته ، ونأخذ بالباقي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الاُصول ما تتعرّض لبيان تنقيح الموضوع في الشبهة </w:t>
      </w:r>
    </w:p>
    <w:p>
      <w:pPr>
        <w:pStyle w:val="BookText"/>
        <w:rPr/>
      </w:pPr>
      <w:r>
        <w:rPr>
          <w:rFonts w:ascii="Amiri" w:hAnsi="Amiri" w:eastAsia="Amiri" w:cs="Amiri"/>
          <w:color w:val="111111"/>
          <w:sz w:val="28"/>
          <w:sz w:val="28"/>
          <w:szCs w:val="28"/>
          <w:rtl w:val="true"/>
          <w:lang w:bidi="ar-SA"/>
        </w:rPr>
        <w:t xml:space="preserve">الموضوعية ، مثل قاعدة التجاوز والفراغ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تتعرّض لتنقيح المأمور به في الشبهة الحكمية ، مثل أصالة البراءة المستفادة من مثل حديث الرفع</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أمثال هذه الاُصول المنقّحة للمتعلّق والمأمور به مطلقاً ، لا إشكال في أنّ الظاهر منها هو الإجزاء ؛ 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هو البناء على إتيان الجزء المشكوك فيه ، والبناء على إتيان الشرط المشكوك فيه وعدم المانع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البناء على ذلك ، أنّ المصلّي الذي أتى بالصلاة لغرض إسقاط الأمر المتوجّ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إليه ، وصيرورته مستريحاً من التكليف الإلهي وتبعاته ، قد صار مستريحاً منه بإتيان هذا الفرد المشكوك فيه من حيث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بعد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القاعدة بلسان الحكومة ، يدلّ على توسعة المأمور به ؛ بحيث يشمل ذيله هذا الفرد المشكوك فيه ولو كان ناقصاً بحسب الواقع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في مقتضى أدلّة أصالة الطهارة والحلّية الجاريتين في الشبهات الموضوعية ، فإنّهما أيضاً ممّا ينقّح الموضوع بلسان الحكومة ؛ فإنّ معنى البناء </w:t>
      </w:r>
    </w:p>
    <w:p>
      <w:pPr>
        <w:pStyle w:val="BookText"/>
        <w:rPr/>
      </w:pPr>
      <w:r>
        <w:rPr>
          <w:rFonts w:ascii="Amiri" w:hAnsi="Amiri" w:eastAsia="Amiri" w:cs="Amiri"/>
          <w:color w:val="111111"/>
          <w:sz w:val="28"/>
          <w:sz w:val="28"/>
          <w:szCs w:val="28"/>
          <w:rtl w:val="true"/>
          <w:lang w:bidi="ar-SA"/>
        </w:rPr>
        <w:t xml:space="preserve">على الطهارة في اللباس ، هو صحّة إتيان الصلاة به ، وكون هذا المأتيّ به هو الصلاة المأمور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الاُصول الجارية في الشبهات الحكمية ، فإنّها أيضاً كذلك ؛ فإنّ دليل رفع الجزئية والشرطية والمانعية ،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الصلاة الفاقدة للجزء أو الشرط أو الواجدة للمانع واقعاً لدى الشكّ ، صلاة حقيقةً ، وتكون الصلاة في حقّ الشاكّ هي هذا المأتيّ به ؛ فإنّ مقتضى التعبّد بالبناء على عدم جزئية مشكوك الجزئية وشرطية مشكوك الشرطية ومانعية مشكوك المانعية ، هو البناء العملي ؛ أي الإتيان بالفرد الناقص ، والبناء العملي على كونه صلاةً في حقّه ، وهذا يدلّ على توسعة المأمور به في زمان الشكّ ، وتنزيلِ هذا الفرد منزلة المأمور به التامّ ، وهو المقصود من الإجزاء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أدلّة الاُصول الجارية في الأجزاء والشرائط والموانع ، حاكمة على الأدلّة الأوّلية ، ويكون مفادها توسعة دائرة المأمور به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حقٌّ لو لم ينكشف الخلاف ، بخلاف ما إذا انكشف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 نّه قذرٌ</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أي ما دام الشكّ باقياً ، وأمّا إذا ارتفع الشكّ ، فلا بدّ من إتيان المأمور به على ما هو عليه في نفس الأمر ، وبحسب الأدلّ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الواقعية </w:t>
      </w:r>
      <w:r>
        <w:rPr>
          <w:rFonts w:eastAsia="Amiri" w:cs="Amiri" w:ascii="Amiri" w:hAnsi="Amiri"/>
          <w:color w:val="111111"/>
          <w:sz w:val="28"/>
          <w:szCs w:val="28"/>
          <w:rtl w:val="true"/>
          <w:lang w:bidi="ar-SA"/>
        </w:rPr>
        <w:t xml:space="preserve">. </w:t>
      </w:r>
      <w:bookmarkStart w:id="177" w:name="pg8033_80733"/>
    </w:p>
    <w:p>
      <w:pPr>
        <w:pStyle w:val="BookText"/>
        <w:rPr/>
      </w:pPr>
      <w:bookmarkEnd w:id="177"/>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الشكّ المأخوذ في هذه الأدلّة ، هو الشكّ الحادث ، سواء كان مستمرّاً أو لا ، لا الشكّ المستمرّ إلى آخر العمر ؛ فإنّ التعبّد بالعمل على طبق الأصل مع الشكّ المستمرّ غير ممكنٍ ؛ لأنّ وقت العمل على طبقه هو حين حدوثه ، فلا معنى لكون التعبّد بالعمل بالأصل متفرّعاً على الشكّ إلى آخر الوقت أو العمر ، فإذا كان كذلك ، فلا يضرّ انكشاف الخلاف بما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معنى لكشف الخلاف ؛ فإنّ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الفرد الناقص في زمن الشكّ، مصداقاً للمأمور به حقيقةً ، فإذا اتّسعت دائرة المأمور به ، فلا معنى لكشف الخلاف أصلاً ، فتدبّر جيّداً </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368307_1051229030"/>
      <w:bookmarkStart w:id="179" w:name="_Toc64"/>
      <w:bookmarkEnd w:id="178"/>
      <w:r>
        <w:rPr>
          <w:rtl w:val="true"/>
        </w:rPr>
        <w:t xml:space="preserve">المقام الثاني </w:t>
      </w:r>
      <w:r>
        <w:rPr>
          <w:rtl w:val="true"/>
        </w:rPr>
        <w:t xml:space="preserve">: </w:t>
      </w:r>
      <w:r>
        <w:rPr>
          <w:rtl w:val="true"/>
        </w:rPr>
        <w:t>في الإتيان بالمأمور به حسبما تقتضيه الأمارات الشرعية</w:t>
      </w:r>
      <w:bookmarkEnd w:id="179"/>
    </w:p>
    <w:p>
      <w:pPr>
        <w:pStyle w:val="BookText"/>
        <w:rPr/>
      </w:pPr>
      <w:r>
        <w:rPr>
          <w:rFonts w:ascii="Amiri" w:hAnsi="Amiri" w:eastAsia="Amiri" w:cs="Amiri"/>
          <w:color w:val="111111"/>
          <w:sz w:val="28"/>
          <w:sz w:val="28"/>
          <w:szCs w:val="28"/>
          <w:rtl w:val="true"/>
          <w:lang w:bidi="ar-SA"/>
        </w:rPr>
        <w:t xml:space="preserve">سواء كانت قائمة على تحقّق الموضوع في الشبهات الموضوعية ، كما لو قامت البيّنة على إتيان القراءة أو الركوع مثلاً مع الشكّ في الإتيان ، أو قامت على طهارة اللباس ، أو كونه من المأكول والمذكّى مع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كانت قائمة على نفي الجزئية والشرطية والمانعية مع الشكّ في الشبهة الحكمية ، كما لو قام خبر الثقة على عدم جزئية السورة ، أو على عدم شرطية طهارة اللباس ، أو عدم مانعية غير المذكّى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تدلّ على الإجزاء ؛ فإنّ الأمارات وإن كانت لها جهة الكشف والطريقية عن الواقع بأنفسها ، لكن أدلّة اعتبارها تكون بعينها من هذه الجهة مثل أدلّة الاُصول ؛ فإنّ معنى تصديق العادل هو البناء العملي على صدقه ، وكون </w:t>
      </w:r>
    </w:p>
    <w:p>
      <w:pPr>
        <w:pStyle w:val="BookText"/>
        <w:rPr/>
      </w:pPr>
      <w:r>
        <w:rPr>
          <w:rFonts w:ascii="Amiri" w:hAnsi="Amiri" w:eastAsia="Amiri" w:cs="Amiri"/>
          <w:color w:val="111111"/>
          <w:sz w:val="28"/>
          <w:sz w:val="28"/>
          <w:szCs w:val="28"/>
          <w:rtl w:val="true"/>
          <w:lang w:bidi="ar-SA"/>
        </w:rPr>
        <w:t xml:space="preserve">خبره مطابقاً للواقع ، والإتيان بالمأمور به على طبق إخباره ، فإذا أخبر العدلان بطهارة اللباس ، أو كونه مذكّى ، فمعنى تصديقهما في عالم التشريع والتعبّد ، هو البناء العملي على طبق قولهما ، وإتيان المأمور به مع اللباس المشكوك فيه ، وخروج المكلّف عن عهدة التكليف ؛ بإتيان الفرد المشكوك فيه على طبق قولهما ، وكذلك الحال في الشبهات الحكمية بلا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أدلّة اعتبار الأمارات من هذه الجهة عيناً ، لسان أدلّة الاُصول ؛ من البناء التعبّدي على تحقّق المأمور به ، وتنقيح الموضوع في عالم التشريع ، فهي بلسانها حاكمة على الأدلّة الواقعية، وموسّعة لنطاق أفرادها ، ودائرة ماهياتها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من كون مفاد أدلّة اعتبار الأمارات وأدلّة الاُصول هو البناء العملي ، وأنّ مفادها واحد لا تفاوت فيه ، فلا معنى لحكومة الأمارات على الاُصول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بعض الأدلّة على بعضها ، إنّما هو ببركة لسان الدليل وكيفية أداء مفاده ، فربّما يكون مفاد الدليلين من حيث النتيجة واحداً ، ولكن يكون لسان أحدهما وكيفية أداء المعنى ، بنحو يكون عند العرف حاكماً ومقدّماً على الآخر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والاُصول مشتركتان في النتيجة ؛ وهي كون مفادهما البناء العملي على وجود شيء أو عدمه ، فلا فرق بين أصل الطهارة وقيام البيّنة عليها من هذه الجهة ؛ فإنّ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هو البناء </w:t>
      </w:r>
    </w:p>
    <w:p>
      <w:pPr>
        <w:pStyle w:val="BookText"/>
        <w:rPr/>
      </w:pPr>
      <w:r>
        <w:rPr>
          <w:rFonts w:ascii="Amiri" w:hAnsi="Amiri" w:eastAsia="Amiri" w:cs="Amiri"/>
          <w:color w:val="111111"/>
          <w:sz w:val="28"/>
          <w:sz w:val="28"/>
          <w:szCs w:val="28"/>
          <w:rtl w:val="true"/>
          <w:lang w:bidi="ar-SA"/>
        </w:rPr>
        <w:t xml:space="preserve">على الطهارة عملاً ، وجواز لبس ما شكّ في طهارته في المشروط بها ، كما أنّ مفاد اعتبار دليل البيّنة أيضاً هو البناء العملي على الطهارة ، وجواز لبس ما قامت البيّنة على طهارته في المشروط بها ، من غير تفرقة بينهما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كيفية تأديتهما لهذا المعنى مختلفة ؛ فإنّ لسان الاُصول هو البناء على الطهارة لدى الشكّ فيها ، فالشكّ مأخوذ في موضوع الدليل ، وأمّا لسان الأمارات فهو البناء على تصديق العادل عملاً ، وكون خبره مطابقاً للواقع ، وهذا لسان إزالة الشكّ في عالم التشريع ، فيكون رافعاً لموضوع الأصل لدى العرف ، فيقدّم عليه ، وهذا لا ينافي كون مفادهما هو البناء العملي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ذكرت هو تنويع المكلّف ؛ وأنّ تكليف العالم غير تكليف الجاهل ، وأنّ الأجزاء والشرائط والموانع ، إنّما تختصّ بالعالم بها ، وهذا ممّا لا يمكن الالتزام به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الدور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أدلّة الأمارات والاُصول ؛ فإنّ الظاهر من تشريع التعبّد بشيءٍ والحكم بالبناء العملي على شيءٍ ؛ هو كونه بحسب الواقع ذا حكم حتّى في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البناء على طهارة اللباس في زمان الشكّ وجواز الصلاة معه ، فلو لم تكن الطهارة شرطاً للباس المصلّي حتّى في زمان الشكّ ، فلا معنى لهذا التعبّد ، فمن نفس هذا الحكم بالبناء على الطهارة ، يعلم كون الطهارة شرطاً حتّى في زمان الشكّ فيها ، حتّى يصحّ التعبّد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أنّ الحكم الموجود بحسب </w:t>
      </w:r>
    </w:p>
    <w:p>
      <w:pPr>
        <w:pStyle w:val="BookText"/>
        <w:rPr/>
      </w:pPr>
      <w:r>
        <w:rPr>
          <w:rFonts w:ascii="Amiri" w:hAnsi="Amiri" w:eastAsia="Amiri" w:cs="Amiri"/>
          <w:color w:val="111111"/>
          <w:sz w:val="28"/>
          <w:sz w:val="28"/>
          <w:szCs w:val="28"/>
          <w:rtl w:val="true"/>
          <w:lang w:bidi="ar-SA"/>
        </w:rPr>
        <w:t xml:space="preserve">الواقع ، والمجهول لدى المكلّف ، مرفوع تعبّداً وفي عالم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ذلك موارد الأمارات وسائر الاُصول ؛ فإنّ ظاهرها كون الحكم الواقعي مطلقاً لمورد الشكّ ، ولا يمكن تقييد الأدلّة الواقعية بالأدلّة الظاهرية ؛ فإنّ المقيّد والمطلق لا بدّ وأن يردا على موضوعٍ واحدٍ ، فإنّهما من أقسام التعارض وإن كان أحدهما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 لأنّ دليل المطلق ظاهر في كونه تمام الموضوع للحكم ، ودليلَ المقيّد ظاهر في دخالة القيد فيتعارضان ، لكن ظهور المقيّد في دخالة القيد أقوى من ظهور المطلق في تمامية الموضوعية ، فيقدّم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والمقيّد لا بدّ وأن يردا على موضوعٍ واحدٍ حتّى يتحقّق التعارض ، ولمّا كانت أدلّة الأحكام الظاهرية في طول الأحكام الواقعية ، ومتأخّرة عنها برتبتين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فيها مأخوذ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تقييدها بها ؛ لعدم ورودهما على موضوعٍ واحدٍ ، ولا يمكن تجافي أحدهما عن موطنه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عمّا ذكرت ؛ فإنّه حقٌّ لا مرية فيه ، إلاّ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ذلك يكون بين الأدلّة الواقعية والظاهرية تنافٍ وتعارض لا بدّ من رفعه ؛ فإنّ الزجر الفعلي عن شرب الخمر مثلاً حتّى في زمان الشكّ مع الترخيص الفعلي بشربه ، متنافيان ، وكذلك الأمر الفعلي بإتيان الجزء والشرط مع الترخيص الفعلي لدى الشكّ متنافيان ، ولا مناص إلاّ بالالتزام بكون الأحكام الواقعية إنشائية ؛ بمعنى أنّ الحكم المنشأ يكون مطلقاً شاملاً لحال العلم والجهل ، لئلاّ يلزم الدور المستحيل </w:t>
      </w:r>
      <w:r>
        <w:rPr>
          <w:rFonts w:eastAsia="Amiri" w:cs="Amiri" w:ascii="Amiri" w:hAnsi="Amiri"/>
          <w:color w:val="111111"/>
          <w:sz w:val="28"/>
          <w:szCs w:val="28"/>
          <w:rtl w:val="true"/>
          <w:lang w:bidi="ar-SA"/>
        </w:rPr>
        <w:t xml:space="preserve">. </w:t>
      </w:r>
      <w:bookmarkStart w:id="180" w:name="pg8033_80741"/>
    </w:p>
    <w:p>
      <w:pPr>
        <w:pStyle w:val="BookText"/>
        <w:rPr/>
      </w:pPr>
      <w:bookmarkEnd w:id="180"/>
      <w:r>
        <w:rPr>
          <w:rFonts w:ascii="Amiri" w:hAnsi="Amiri" w:eastAsia="Amiri" w:cs="Amiri"/>
          <w:color w:val="111111"/>
          <w:sz w:val="28"/>
          <w:sz w:val="28"/>
          <w:szCs w:val="28"/>
          <w:rtl w:val="true"/>
          <w:lang w:bidi="ar-SA"/>
        </w:rPr>
        <w:t xml:space="preserve">ولكن فعلية الحكم تكون مختصّةً بحال العلم ؛ جمعاً بين الأدلّة الواقعية والظاهرية ، ولا يمكن الالتزام بفعلية الأحكام الواقعية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كلّ من تصدّى للجمع بين الأحكام الواقعية والظاهرية ، لا مناص له من ذلك ، والمحقّق الخراساني رحمه الله علیه القائل بجعل العذر لدى التخلّف أيضاً</w:t>
      </w:r>
      <w:r>
        <w:rPr>
          <w:rStyle w:val="FootnoteAnchor"/>
          <w:rtl w:val="true"/>
        </w:rPr>
        <w:footnoteReference w:id="131"/>
      </w:r>
      <w:r>
        <w:rPr>
          <w:rFonts w:ascii="Amiri" w:hAnsi="Amiri" w:eastAsia="Amiri" w:cs="Amiri"/>
          <w:color w:val="111111"/>
          <w:sz w:val="28"/>
          <w:sz w:val="28"/>
          <w:szCs w:val="28"/>
          <w:rtl w:val="true"/>
          <w:lang w:bidi="ar-SA"/>
        </w:rPr>
        <w:t>لا مناص له من القول بشأنية الأحكام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فعلية الحكم لا معنى لجعل العذر أصلاً كما لا يخفى </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368309_1051229030"/>
      <w:bookmarkStart w:id="182" w:name="_Toc65"/>
      <w:bookmarkEnd w:id="181"/>
      <w:r>
        <w:rPr>
          <w:rtl w:val="true"/>
        </w:rPr>
        <w:t xml:space="preserve">تذييل استطرادي </w:t>
      </w:r>
      <w:r>
        <w:rPr>
          <w:rtl w:val="true"/>
        </w:rPr>
        <w:t xml:space="preserve">: </w:t>
      </w:r>
      <w:r>
        <w:rPr>
          <w:rtl w:val="true"/>
        </w:rPr>
        <w:t>الجمع بين الأحكام الواقعية والظاهرية</w:t>
      </w:r>
      <w:bookmarkEnd w:id="182"/>
    </w:p>
    <w:p>
      <w:pPr>
        <w:pStyle w:val="BookText"/>
        <w:rPr/>
      </w:pPr>
      <w:r>
        <w:rPr>
          <w:rFonts w:ascii="Amiri" w:hAnsi="Amiri" w:eastAsia="Amiri" w:cs="Amiri"/>
          <w:color w:val="111111"/>
          <w:sz w:val="28"/>
          <w:sz w:val="28"/>
          <w:szCs w:val="28"/>
          <w:rtl w:val="true"/>
          <w:lang w:bidi="ar-SA"/>
        </w:rPr>
        <w:t xml:space="preserve">وحيث انجرّ الكلام إلى كيفية الجمع بين الأحكام الواقعية والظاهرية ، لا بأس بصرف عنان الكلام إليها على سبيل 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الكلام فيها ، أ نّه لا إشكال في عدم إمكان تعلّق الحكم بالعالم به ؛ فإنّ العلم بالشيء يتوقّف على تحصّل الشيء وتحقّقه بالضرورة ، فما لا وجود له أصلاً لا يمكن تعلّق العلم به ، فالحكم لا بدّ وأن يكون متحقّقاً حتّى يتعلّق به العلم ، فالعلم بالحكم يتوقّف على الحكم ، وتعلّق الحكم بالعالم به لا بدّ وأن يتوقّف على العلم به ؛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إلاّ بتحقّق العلم به ، فالعلم يتوقّف على الحكم ، والحكم على العلم ، وهذا دور واضح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وأن يتعلّق الحكم بعنوانٍ آخر ذاتي أو عرضي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متعلّق الحكم نفس العنوان بلا تقيّدٍ بحال العلم والجهل ، وهذا لا إشكال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لا إشكال في أنّ الأوامر والنواهي الصادرة من كلّ متكلّم آمر ، إنّما تصدر لغرض انبعاث المكلّف نحو العمل ، والانبعاث بها نحوه لا يمكن إلاّ بعد العلم بالأوامر والنواهي ؛ لأنّ العلم بها في سلسلة علل الانبعاث ، فإذا علم المكلّف أوامر المولى ؛ وأنّ موافقتها موجبة لآثار وخواصّ مطلوبة ، ومخالفتها مورثة لنكال وعقوبة ، يشتاق إلى موافقتها ، ويشتدّ الشوق إليها ، ويتحقّق الجزم والعزم والإرادة ، فينبعث نحو العمل ، وأمّا الجاهل بها فلا يمكن أن ينبعث ويتحرّك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الانبعاث في محتمل الوجوب والحرمة احتياطاً ، فلا يكون بباعثية الأمر الواقعي ونهيه إذا كانا موجودين واقعاً ، بل بواسطة احتمال الأمر والنهي ، سواء كان أمر ونهي في الواقع أو لا ، فوجودهما وعدمهما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 ونسبتهما إلى الإتيان واللا إتيان سواء ، وما كان كذلك لا يمكن أن يكون باعثاً ، فباعثية الأوامر والنواهي لا تمكن إلاّ بعد العلم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كذلك ، فلا بدّ وأن تكون إرادة المولى في الأوامر والنواهي ، مقصورةً على العالمين بها قهراً ومن باب الاضطرار ، وإن كان غرضه متعلّقاً بالأعمّ ، وخطابه متعلّقاً بعنوانٍ شامل للعالم والجاهل ، لكنّ الخطاب لمّا كان لغرض الانبعاث ، وهو لا يحصل إلاّ من العالم به ، ولا يمكن الانبعاث بالنسبة إلى الجاهل به ، فلا محالة تكون إرادته قاصرة عن شمول الجاهل ، ومقصورة على العالم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تعلّق غرضه بعدم مخالفة أمره الواقعي مطلقاً ، فلا بدّ له من إيجاب الاحتياط بخطابٍ آخر طريقي؛ لغرض حفظ المأمور به بالأمر الأوّلي عن </w:t>
      </w:r>
    </w:p>
    <w:p>
      <w:pPr>
        <w:pStyle w:val="BookText"/>
        <w:rPr/>
      </w:pPr>
      <w:r>
        <w:rPr>
          <w:rFonts w:ascii="Amiri" w:hAnsi="Amiri" w:eastAsia="Amiri" w:cs="Amiri"/>
          <w:color w:val="111111"/>
          <w:sz w:val="28"/>
          <w:sz w:val="28"/>
          <w:szCs w:val="28"/>
          <w:rtl w:val="true"/>
          <w:lang w:bidi="ar-SA"/>
        </w:rPr>
        <w:t xml:space="preserve">المخالفة ، حتّى يعلم المكلّف هذا الخطاب الاحتياطي ، فينبعث نحو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الاحتياط في الشبهات التحريمية والوجوبية ، موجب للعسر الشديد زائداً عمّا تقتضيه ذات التكليف ، ولهذا ما أوجب الشارع الاحتياط ؛ لمصلحة التسهيل ، والأوامر الواقعية الأوّلية لا تصلح للباعثية إلاّ للعالم ونحو المعلوم ، لا الشاكّ ونحو المجهول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طريق الجمع بين الأحكام الواقعية والظاهرية ، فتدبّر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هو التصويب المُجمع على بطلانه ؛ فإنّ الإجماع قائم على اشتراك التكليف بين العالم والجاهل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حجّية الإجماع عندنا هو الكشف عن رأي الحجّة ؛ فإنّ اتّفاق الفقهاء والمحدّثين خلفاً بعد سلفٍ على المسائل التي لا سبيل للعقل إليها ، يكشف كشفاً قطعياً عن رأي الحجّة ، وهذا المناط ليس بمتحقّق في هذه المسألة ؛ لأنّ أوّل من تعرّض للمسائل الاُصولية وجمع شتاتها من أصحابنا ، هو شيخ الطائفة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وإن كانت متقدّمة عليها ، لكنّها غير متعرّضة إلاّ لعدّة مسائل محصورة بنحو الاختصار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مشتملة على نوع المسائل الاُصولية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والشيخ رحمه الله علیه لمّا تعرّض لهذه المسألة ، نقل إجماع المتكلّمين خلفاً عن سلفٍ على اشتراك التكليف</w:t>
      </w:r>
      <w:r>
        <w:rPr>
          <w:rStyle w:val="FootnoteAnchor"/>
          <w:rtl w:val="true"/>
        </w:rPr>
        <w:footnoteReference w:id="132"/>
      </w:r>
      <w:r>
        <w:rPr>
          <w:rFonts w:ascii="Amiri" w:hAnsi="Amiri" w:eastAsia="Amiri" w:cs="Amiri"/>
          <w:color w:val="111111"/>
          <w:sz w:val="28"/>
          <w:sz w:val="28"/>
          <w:szCs w:val="28"/>
          <w:rtl w:val="true"/>
          <w:lang w:bidi="ar-SA"/>
        </w:rPr>
        <w:t>وإجماعهم لا يكشف عن وجود النصّ المعتبر ، أو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الحجّة ، فالمسألة إذن عقلية صرفة ، لا تكون إجماعية بالمعنى المصطلح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قام الدليل العقلي عليه ، هو اختصاص العالم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الأحكام في صورة الجهل إنشائية غير فعلية ، فلا مناص منه ، ولا دليل عقلاً ولا نقلاً على خلافه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فقد 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الاُصول والأمارات ، في مشكوك الجزئية والشرطية والمانعية ، وفيما هو مشكوك التحقّق وقام الدليل على تحقّقه ؛ هو الإجزاء وتوسعة دائرة المأمور به في حال الشكّ كما عرفت</w:t>
      </w:r>
      <w:r>
        <w:rPr>
          <w:rStyle w:val="FootnoteAnchor"/>
          <w:rtl w:val="true"/>
        </w:rPr>
        <w:footnoteReference w:id="133"/>
      </w:r>
      <w:r>
        <w:rPr>
          <w:rFonts w:ascii="Amiri" w:hAnsi="Amiri" w:eastAsia="Amiri" w:cs="Amiri"/>
          <w:color w:val="111111"/>
          <w:sz w:val="28"/>
          <w:sz w:val="28"/>
          <w:szCs w:val="28"/>
          <w:rtl w:val="true"/>
          <w:lang w:bidi="ar-SA"/>
        </w:rPr>
        <w:t xml:space="preserve">، ولا دليل عقلاً أو نقلاً على خلاف ذلك الظاهر ، فلا بدّ من الأخذ به حتّى يقوم دليل على خلافه في المسائل الفرعية ، التي محلّها الكتب الفقهية </w:t>
      </w:r>
      <w:r>
        <w:rPr>
          <w:rFonts w:eastAsia="Amiri" w:cs="Amiri" w:ascii="Amiri" w:hAnsi="Amiri"/>
          <w:color w:val="111111"/>
          <w:sz w:val="28"/>
          <w:szCs w:val="28"/>
          <w:rtl w:val="true"/>
          <w:lang w:bidi="ar-SA"/>
        </w:rPr>
        <w:t xml:space="preserve">. </w:t>
      </w:r>
      <w:bookmarkStart w:id="183" w:name="pg8033_80749"/>
    </w:p>
    <w:p>
      <w:pPr>
        <w:pStyle w:val="Heading3"/>
        <w:numPr>
          <w:ilvl w:val="2"/>
          <w:numId w:val="1"/>
        </w:numPr>
        <w:rPr/>
      </w:pPr>
      <w:bookmarkStart w:id="184" w:name="__RefHeading___Toc7368311_1051229030"/>
      <w:bookmarkStart w:id="185" w:name="_Toc66"/>
      <w:bookmarkEnd w:id="183"/>
      <w:bookmarkEnd w:id="184"/>
      <w:r>
        <w:rPr>
          <w:rtl w:val="true"/>
        </w:rPr>
        <w:t>المطلب الرابع</w:t>
      </w:r>
      <w:r>
        <w:rPr>
          <w:rtl w:val="true"/>
        </w:rPr>
        <w:t xml:space="preserve">: </w:t>
      </w:r>
      <w:r>
        <w:rPr>
          <w:rtl w:val="true"/>
        </w:rPr>
        <w:t>في مقدّمة الواجب</w:t>
      </w:r>
      <w:bookmarkEnd w:id="185"/>
    </w:p>
    <w:p>
      <w:pPr>
        <w:pStyle w:val="Heading4"/>
        <w:numPr>
          <w:ilvl w:val="3"/>
          <w:numId w:val="1"/>
        </w:numPr>
        <w:rPr/>
      </w:pPr>
      <w:bookmarkStart w:id="186" w:name="__RefHeading___Toc7368313_1051229030"/>
      <w:bookmarkStart w:id="187" w:name="_Toc67"/>
      <w:bookmarkEnd w:id="186"/>
      <w:r>
        <w:rPr>
          <w:rtl w:val="true"/>
        </w:rPr>
        <w:t>في مقدّمة الواجب</w:t>
      </w:r>
      <w:bookmarkEnd w:id="187"/>
    </w:p>
    <w:p>
      <w:pPr>
        <w:pStyle w:val="BookText"/>
        <w:rPr/>
      </w:pPr>
      <w:r>
        <w:rPr>
          <w:rFonts w:ascii="Amiri" w:hAnsi="Amiri" w:eastAsia="Amiri" w:cs="Amiri"/>
          <w:color w:val="111111"/>
          <w:sz w:val="28"/>
          <w:sz w:val="28"/>
          <w:szCs w:val="28"/>
          <w:rtl w:val="true"/>
          <w:lang w:bidi="ar-SA"/>
        </w:rPr>
        <w:t xml:space="preserve">وهي كلّ ما يتوقّف عليه الواجب في تحقّقه ، ويحتاج إليه في وجوده ، وقبل الخوض في المقصود نقدّم اُموراً تبعاً للقوم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368315_1051229030"/>
      <w:bookmarkStart w:id="189" w:name="_Toc68"/>
      <w:bookmarkEnd w:id="188"/>
      <w:r>
        <w:rPr>
          <w:rtl w:val="true"/>
        </w:rPr>
        <w:t xml:space="preserve">الأمر الأوّل </w:t>
      </w:r>
      <w:r>
        <w:rPr>
          <w:rtl w:val="true"/>
        </w:rPr>
        <w:t xml:space="preserve">: </w:t>
      </w:r>
      <w:r>
        <w:rPr>
          <w:rtl w:val="true"/>
        </w:rPr>
        <w:t>في عدم كون المسألة اُصولية</w:t>
      </w:r>
      <w:bookmarkEnd w:id="1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المبحوث عنه في هذه المسألة وإن كان هو الملازمة بين وجوب الشيء ووجوب ما يتوقّف عليه ، لكن مع ذلك لا تكون المسألة اُصولية ، بل هي من المبادئ الأحكامية ، وقد حقّقنا في محلّه الفرق بين المسائل الاُصولية وغيرها ، ووجه امتياز مسائل العلوم بعضها عن بعض</w:t>
      </w:r>
      <w:r>
        <w:rPr>
          <w:rStyle w:val="FootnoteAnchor"/>
          <w:rtl w:val="true"/>
        </w:rPr>
        <w:footnoteReference w:id="134"/>
      </w:r>
      <w:r>
        <w:rPr>
          <w:rFonts w:ascii="Amiri" w:hAnsi="Amiri" w:eastAsia="Amiri" w:cs="Amiri"/>
          <w:color w:val="111111"/>
          <w:sz w:val="28"/>
          <w:sz w:val="28"/>
          <w:szCs w:val="28"/>
          <w:rtl w:val="true"/>
          <w:lang w:bidi="ar-SA"/>
        </w:rPr>
        <w:t xml:space="preserve">فالمسألة ليست اُصولية على ما حقّقنا </w:t>
      </w:r>
      <w:r>
        <w:rPr>
          <w:rFonts w:eastAsia="Amiri" w:cs="Amiri" w:ascii="Amiri" w:hAnsi="Amiri"/>
          <w:color w:val="111111"/>
          <w:sz w:val="28"/>
          <w:szCs w:val="28"/>
          <w:rtl w:val="true"/>
          <w:lang w:bidi="ar-SA"/>
        </w:rPr>
        <w:t xml:space="preserve">. </w:t>
      </w:r>
      <w:bookmarkStart w:id="190" w:name="pg8033_80751"/>
    </w:p>
    <w:p>
      <w:pPr>
        <w:pStyle w:val="Heading4"/>
        <w:numPr>
          <w:ilvl w:val="3"/>
          <w:numId w:val="1"/>
        </w:numPr>
        <w:rPr/>
      </w:pPr>
      <w:bookmarkStart w:id="191" w:name="__RefHeading___Toc7368317_1051229030"/>
      <w:bookmarkStart w:id="192" w:name="_Toc69"/>
      <w:bookmarkEnd w:id="190"/>
      <w:bookmarkEnd w:id="191"/>
      <w:r>
        <w:rPr>
          <w:rtl w:val="true"/>
        </w:rPr>
        <w:t>الأمر الثاني في تقسيمات المقدّمة</w:t>
      </w:r>
      <w:bookmarkEnd w:id="192"/>
    </w:p>
    <w:p>
      <w:pPr>
        <w:pStyle w:val="Heading5"/>
        <w:numPr>
          <w:ilvl w:val="4"/>
          <w:numId w:val="1"/>
        </w:numPr>
        <w:rPr/>
      </w:pPr>
      <w:bookmarkStart w:id="193" w:name="__RefHeading___Toc7368319_1051229030"/>
      <w:bookmarkStart w:id="194" w:name="_Toc70"/>
      <w:bookmarkEnd w:id="193"/>
      <w:r>
        <w:rPr>
          <w:rtl w:val="true"/>
        </w:rPr>
        <w:t>في تقسيمات المقدّمة</w:t>
      </w:r>
      <w:bookmarkEnd w:id="194"/>
    </w:p>
    <w:p>
      <w:pPr>
        <w:pStyle w:val="BookText"/>
        <w:rPr/>
      </w:pPr>
      <w:r>
        <w:rPr>
          <w:rFonts w:ascii="Amiri" w:hAnsi="Amiri" w:eastAsia="Amiri" w:cs="Amiri"/>
          <w:color w:val="111111"/>
          <w:sz w:val="28"/>
          <w:sz w:val="28"/>
          <w:szCs w:val="28"/>
          <w:rtl w:val="true"/>
          <w:lang w:bidi="ar-SA"/>
        </w:rPr>
        <w:t xml:space="preserve">لمّا كان عنوان البحث في مقدّمة الواجب ؛ هو أنّ مقدّمة الواجب هل هي واجبة أم لا ؟ جرت عادة الاُصوليين على البحث عن المقدّمة وتقسيماتها ، والواجب وتقسيماته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للمقدّمة تقسيمات </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7368321_1051229030"/>
      <w:bookmarkStart w:id="196" w:name="_Toc71"/>
      <w:bookmarkEnd w:id="195"/>
      <w:r>
        <w:rPr>
          <w:rtl w:val="true"/>
        </w:rPr>
        <w:t xml:space="preserve">منها </w:t>
      </w:r>
      <w:r>
        <w:rPr>
          <w:rtl w:val="true"/>
        </w:rPr>
        <w:t xml:space="preserve">: </w:t>
      </w:r>
      <w:r>
        <w:rPr>
          <w:rtl w:val="true"/>
        </w:rPr>
        <w:t>تقسيمها إلى الداخلية والخارجية</w:t>
      </w:r>
      <w:bookmarkEnd w:id="196"/>
    </w:p>
    <w:p>
      <w:pPr>
        <w:pStyle w:val="BookText"/>
        <w:rPr/>
      </w:pPr>
      <w:r>
        <w:rPr>
          <w:rFonts w:ascii="Amiri" w:hAnsi="Amiri" w:eastAsia="Amiri" w:cs="Amiri"/>
          <w:color w:val="111111"/>
          <w:sz w:val="28"/>
          <w:sz w:val="28"/>
          <w:szCs w:val="28"/>
          <w:rtl w:val="true"/>
          <w:lang w:bidi="ar-SA"/>
        </w:rPr>
        <w:t xml:space="preserve">والداخلية ؛ هي الأجزاء المأخوذة في ماهية المأمور به ، والخارجية ؛ هي الاُمور الخارجة عنها ، ممّا يتوقّف وجودها عليها ، ولا توجد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الأجزاء بالأسر عين المركّب في المقدّمات الداخلية ، فيستشكل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 المقدّمة يحتاج إلى المقدّمات ، والاحتياج نحو إضافة بين الشيئين ، ولا يعقل أن يكون المحتاج عين المحتاج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المتوقّف عليه لا بدّ وأن يكون مقدّماً على ما يتوقّف عليه ، والشيء الواحد لا يعقل أن يكون متوقِّفاً ومتوقّفاً عليه ؛ للزوم الدور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الإشكال مأخوذ من الإشكال المعروف في فنّ المعقول ؛ وهو أنّ العلّة التامّة بجميع أجزائها ، لا بدّ وأن تكون متقدّمة على معلولها ، مع أنّ المادّة </w:t>
      </w:r>
    </w:p>
    <w:p>
      <w:pPr>
        <w:pStyle w:val="BookText"/>
        <w:rPr/>
      </w:pPr>
      <w:r>
        <w:rPr>
          <w:rFonts w:ascii="Amiri" w:hAnsi="Amiri" w:eastAsia="Amiri" w:cs="Amiri"/>
          <w:color w:val="111111"/>
          <w:sz w:val="28"/>
          <w:sz w:val="28"/>
          <w:szCs w:val="28"/>
          <w:rtl w:val="true"/>
          <w:lang w:bidi="ar-SA"/>
        </w:rPr>
        <w:t>والصورة من أجزائها ، وهما عين الماهية المركّبة منهما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المركّبات الاعتبارية عبارة عن عدّة اُمور متكثّرة حقيقةً ، اعتبرت بنعت الوحدة في جهة من الجهات ، كاشتراكها في تحصيل الغرض مثلاً ، فالكثرة في المركّبات الاعتبارية حقيقية ، والوحدة 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بعكس ذلك في المركّبات الحقيقية التي لها وحدة حقيقية ؛ فإنّه قد تكون الكثرة اعتبارية ، والوحدة حقيقية ، كاعتبار الكثرة في الماهية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تعتبر في الاُمور المتكثّرة المتحقّقة بوجودات متعدّدة وحدة ، لا يصير المجموع مركّباً ، ولا الكثرات أجزاءه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 في المركّب الاعتباري ، عبارة عن الأجزاء بالأسر مع اعتبار الوحدة فيها ، وهذا هو ذو المقدّمة ، والمقدّمة عبارة عن كلّ واحدٍ واحدٍ من الأجزاء ، فالعسكر مثلاً عبارة عن عدّة أفراد تعتبر فيها الوحدة ، وكلّ واحدٍ واحدٍ من الأفراد مقدّمة له ، فذو المقدّمة الأجزاء بالأسر مع اعتبار الوحدة ، والمقدّمة هي كلّ واحدٍ واحدٍ من الأجزاء والأفراد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كلّ واحدٍ من الأجزاء مقدّمة ، فالمجموع يصير مقدّمة ، مع أ نّه عين المركّب ، فلا محالة يكون الاختلاف بينهما اعتبارياً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المجموع مقدّمات متكثّرة ، لا مقدّمة واحدة حتّى يرد الإشكال ، كما أنّ كون كلّ واحد من زيد وعمرو وبكر إنساناً لا يلزم أن يكون المجموع منهم إنساناً واحداً ، بل أناسيّ كثيرة ، فإنّ الكثير ليس </w:t>
      </w:r>
    </w:p>
    <w:p>
      <w:pPr>
        <w:pStyle w:val="BookText"/>
        <w:rPr/>
      </w:pPr>
      <w:r>
        <w:rPr>
          <w:rFonts w:ascii="Amiri" w:hAnsi="Amiri" w:eastAsia="Amiri" w:cs="Amiri"/>
          <w:color w:val="111111"/>
          <w:sz w:val="28"/>
          <w:sz w:val="28"/>
          <w:szCs w:val="28"/>
          <w:rtl w:val="true"/>
          <w:lang w:bidi="ar-SA"/>
        </w:rPr>
        <w:t xml:space="preserve">موجوداً على حِدة غير وجود المتكثّرات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يصدق على كلّ واحد من أجزاء المركّب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بعض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على جميعها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بعض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أبعاض بنحو الكثرة ونعت العموم الأفرادي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 غير الأجزاء حقيقة ؛ فإنّ المركّب أمر وحداني بالوحدة الاعتبارية ، والأجزاء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متكثّرة ، موجودة بالوجودات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ظهر الخلل فيما أفاده المحقّق الخراساني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الاختلاف بين المقدّمات وذيها بالاعتبار ؛ وأنّ الأجزاء بالأسر هي المقدّمة ، وبشرط الاجتماع هي ذوها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المتعلّق بالمركّب هو وجوب وحداني منبسط على الأجزاء ، وباعتبار انبساطه عليها يعتبر فيه الأبعاض ، فالوجوب واحد حقيقي ، والأبعاض كثيرة اعتباراً ، وكلّ بعض متعلّق بجزء من الأجزاء ، والأجزاء واجبة بعين وجوب المركّب ، لكن بالمعنى الذي ذكرنا ؛ أي يعتبر فيه أبعاض كثيرة حسب كثرة الأجزاء ، فكلّ جزء تمام المتعلّق لبعض الوجوب ، وبعض المتعلّق لنفس الوجوب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فساد احتمالات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الأجزاء واجبةً بالوجوب الغيري فقط ، أو النفسي فقط إن اُريد منه كون كلّ جزء متعلّقاً لتمام الوجوب ، أو هما معاً </w:t>
      </w:r>
      <w:r>
        <w:rPr>
          <w:rFonts w:eastAsia="Amiri" w:cs="Amiri" w:ascii="Amiri" w:hAnsi="Amiri"/>
          <w:color w:val="111111"/>
          <w:sz w:val="28"/>
          <w:szCs w:val="28"/>
          <w:rtl w:val="true"/>
          <w:lang w:bidi="ar-SA"/>
        </w:rPr>
        <w:t xml:space="preserve">. </w:t>
      </w:r>
      <w:bookmarkStart w:id="197" w:name="pg8033_80757"/>
    </w:p>
    <w:p>
      <w:pPr>
        <w:pStyle w:val="BookText"/>
        <w:rPr/>
      </w:pPr>
      <w:bookmarkEnd w:id="197"/>
      <w:r>
        <w:rPr>
          <w:rFonts w:ascii="Amiri" w:hAnsi="Amiri" w:eastAsia="Amiri" w:cs="Amiri"/>
          <w:color w:val="111111"/>
          <w:sz w:val="28"/>
          <w:sz w:val="28"/>
          <w:szCs w:val="28"/>
          <w:rtl w:val="true"/>
          <w:lang w:bidi="ar-SA"/>
        </w:rPr>
        <w:t>وأسخف الأقوال هو الأوّل ؛ فإنّ وجوب المقدّمة يترشّح من وجوب ذيها ، فإذا لم يكن للأجزاء وجوب نفسي ، فمن أين يترشّح الوجوب الغيري ؟</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368323_1051229030"/>
      <w:bookmarkStart w:id="199" w:name="_Toc72"/>
      <w:bookmarkEnd w:id="198"/>
      <w:r>
        <w:rPr>
          <w:rtl w:val="true"/>
        </w:rPr>
        <w:t xml:space="preserve">منها </w:t>
      </w:r>
      <w:r>
        <w:rPr>
          <w:rtl w:val="true"/>
        </w:rPr>
        <w:t xml:space="preserve">: </w:t>
      </w:r>
      <w:r>
        <w:rPr>
          <w:rtl w:val="true"/>
        </w:rPr>
        <w:t>تقسيمها إلى مقدّمة الوجوب ، والواجب ، والصحّة ، والعلم</w:t>
      </w:r>
      <w:bookmarkEnd w:id="199"/>
    </w:p>
    <w:p>
      <w:pPr>
        <w:pStyle w:val="BookText"/>
        <w:rPr/>
      </w:pPr>
      <w:r>
        <w:rPr>
          <w:rFonts w:ascii="Amiri" w:hAnsi="Amiri" w:eastAsia="Amiri" w:cs="Amiri"/>
          <w:color w:val="111111"/>
          <w:sz w:val="28"/>
          <w:sz w:val="28"/>
          <w:szCs w:val="28"/>
          <w:rtl w:val="true"/>
          <w:lang w:bidi="ar-SA"/>
        </w:rPr>
        <w:t xml:space="preserve">لا إشكال في خروج مقدّمة الوجوب عن حريم النزاع ؛ لتوقّف وجوب ذي المقدّمة على وجودها ، فلا يعقل وجوبها من قِبَل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ومقدّمة الصحّة ترجع إلى مقدّمة الوجود ولو على القول بالأعمّ ؛ لتعلّق الوجوب بالصحيح لا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والمقدّمات العلمية أيضاً خارجة عن حريم النزاع ؛ لعدم ترشّح الوجوب عليها من الواجب في البين </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368325_1051229030"/>
      <w:bookmarkStart w:id="201" w:name="_Toc73"/>
      <w:bookmarkEnd w:id="200"/>
      <w:r>
        <w:rPr>
          <w:rtl w:val="true"/>
        </w:rPr>
        <w:t xml:space="preserve">منها </w:t>
      </w:r>
      <w:r>
        <w:rPr>
          <w:rtl w:val="true"/>
        </w:rPr>
        <w:t xml:space="preserve">: </w:t>
      </w:r>
      <w:r>
        <w:rPr>
          <w:rtl w:val="true"/>
        </w:rPr>
        <w:t>تقسيمها إلى السبب ، والشرط ، وعدم المانع ، والمُعدّ</w:t>
      </w:r>
      <w:bookmarkEnd w:id="201"/>
    </w:p>
    <w:p>
      <w:pPr>
        <w:pStyle w:val="BookText"/>
        <w:rPr/>
      </w:pPr>
      <w:r>
        <w:rPr>
          <w:rFonts w:ascii="Amiri" w:hAnsi="Amiri" w:eastAsia="Amiri" w:cs="Amiri"/>
          <w:color w:val="111111"/>
          <w:sz w:val="28"/>
          <w:sz w:val="28"/>
          <w:szCs w:val="28"/>
          <w:rtl w:val="true"/>
          <w:lang w:bidi="ar-SA"/>
        </w:rPr>
        <w:t xml:space="preserve">وعُرّف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يلزم من وجوده الوجود ، ومن عدمه العدم</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ينطبق على العلّة التامّة ، وأخصّ من المقتضي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يتوقّف عليه الشيء إمّا أن يكون ما منه الوجود ، وهو الذي يكون المعلول أثره ومقتضاه ، وهو السبب والمقتضي ؛ أو لا يكون منه الوجود ، بل يكون به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يكون بوجوده دخيلاً في تحقّق المعلول ، أو بعدمه ، أو بوجوده وعدمه ، فالأوّل الشرط ، والثاني المانع ، والثالث المُعدّ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كون العدم دخيلاً ، هو مضادّة وجود المانع وممانعته للوجود ، ولمّا كان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عدمه دخيل ، وإلاّ فليس العدم دخيلاً حقيقة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كون العدم والوجود دخيلين في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الأقدام لتحقّق الكون على السطح ؛ فإنّها بوجودها وعدمها تكون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الحركة بوجودها الاستمراري مُعِدّة ، لا أنّ العدم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إن كان من قبيل الحركة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غير السبب إلى الشرط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وقع بينهم نزاع في السبب والمسبّب في الأفعال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حركة اليد والمفتاح وفتح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نزاع وجوب المقدّمة ، وهو أنّ الأمر المتعلّق بالمسبّب بحسب ظاهر الدليل هل هو أمر بسببه لُبّاً وحقيقةً ، أم لا ، أو يفصّل بين الأسباب التي تكون آلة لإيصال قوّة الفاعل إلى المسبّب ، كحركة اليد والمفتاح ، وبين غيرها ، كالإحراق والإلقاء في المسبعة ؟</w:t>
      </w:r>
    </w:p>
    <w:p>
      <w:pPr>
        <w:pStyle w:val="BookText"/>
        <w:rPr/>
      </w:pPr>
      <w:r>
        <w:rPr>
          <w:rFonts w:ascii="Amiri" w:hAnsi="Amiri" w:eastAsia="Amiri" w:cs="Amiri"/>
          <w:color w:val="111111"/>
          <w:sz w:val="28"/>
          <w:sz w:val="28"/>
          <w:szCs w:val="28"/>
          <w:rtl w:val="true"/>
          <w:lang w:bidi="ar-SA"/>
        </w:rPr>
        <w:t xml:space="preserve">وتحقيق الحال يحتاج إلى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 نّه لا إشكال في أنّ الإرادة سبب لوجود المسبّب التوليدي ، لكنّ السبب الذي هو محلّ الكلام هو الفعل الصادر من الإرادة لا نفسها ، فإذا صدرت حركة اليد من إرادة الفاعل ، وترتّبت عليها حركة المفتاح ، وترتّب عليها فتح الباب ، تحقّقت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القائمة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القائمة بالمفتاح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تتعلّق إرادة الفاعل استقلالاً وأوّلاً وبالذات بفتح الباب ، وقد تتعلّق </w:t>
      </w:r>
    </w:p>
    <w:p>
      <w:pPr>
        <w:pStyle w:val="BookText"/>
        <w:rPr/>
      </w:pPr>
      <w:r>
        <w:rPr>
          <w:rFonts w:ascii="Amiri" w:hAnsi="Amiri" w:eastAsia="Amiri" w:cs="Amiri"/>
          <w:color w:val="111111"/>
          <w:sz w:val="28"/>
          <w:sz w:val="28"/>
          <w:szCs w:val="28"/>
          <w:rtl w:val="true"/>
          <w:lang w:bidi="ar-SA"/>
        </w:rPr>
        <w:t xml:space="preserve">بحركة المفتاح مثل أن يتعلّق غرضه بامتحان المفتاح ، وقد تتعلّق بحركة اليد مثل أن يتعلّق غرضه بامتحان قوّة يده ، فيحرّكها فيترتّب على حركتها حركة المفتاح ، وعليها فتح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وجودات ثلاثة ، وإيجادات ثلاثة ؛ لأنّ الإيجاد والوجود واحد حقيقة ، متكثّر اعتباراً ؛ لأنّ الوجود إذا اعتبر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 وإذا اعتبر انتسابه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إيجاد ، فلا يمكن أن يكون الوجود متعدِّداً ، وا لإيجاد واحداً ، بل هما في الوحدة والتعدّد متكافئان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كونها وجودات وإيجادات ، يكون انتسابها إلى الفاعل بواسطة الإرادة الواحدة ، المتعلّقة بأقدم الأسباب ؛ أي الفعل المباشري ، فحركة اليد متعلّقة للإرادة بلا واسطة ، وحركة المفتاح وفتح الباب منتسبان إليها مع الواسطة ، لا أنّ هاهنا إرادات ثلاثة مستقلّة ، بل إرادة واحدة متعلِّقة بالفعل المباشري ، وبالفعل التوليدي بواسطته ، وبالمولَّد عن التوليدي بواسطة التوليدي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الأسباب والمسبّبات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استدلّ القائلون بلزوم صَرف التكاليف المتعلِّقة بالمسبّبات إلى أسبابها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مقدورية المسبّبات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المقدور مع الواسطة مقدور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لا بدّ وأن يتعلّ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بالفعل الصادر من المكلّف ، وما </w:t>
      </w:r>
    </w:p>
    <w:p>
      <w:pPr>
        <w:pStyle w:val="BookText"/>
        <w:rPr/>
      </w:pPr>
      <w:r>
        <w:rPr>
          <w:rFonts w:ascii="Amiri" w:hAnsi="Amiri" w:eastAsia="Amiri" w:cs="Amiri"/>
          <w:color w:val="111111"/>
          <w:sz w:val="28"/>
          <w:sz w:val="28"/>
          <w:szCs w:val="28"/>
          <w:rtl w:val="true"/>
          <w:lang w:bidi="ar-SA"/>
        </w:rPr>
        <w:t>هو صادر منه هو السبب المباشري ، دون غيره من الأسباب والمسبّبات المتأخّرة عنه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من الفعل الصادر منه ما هو صادر بلا واسطة ، فالكبرى ممنوعة ؛ لعدم الدليل عليها ، بل الضرورة قاضية بأنّ التكليف يحسن تعلّقه بما هو فعل اختياري له ولو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منه ما هو صادر مطلقاً ، فالصغرى ممنوعة ؛ لقضاء الضرورة بصدور كلٍّ من الأسباب والمسبّبات منه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الخلل في المؤيّد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الفاعل بعد إصدار الفعل المباشري قد يموت قبل تحقّق الفعل التوليدي ، كما لو فرض موت الرامي قبل إصابة السهم الغرض ، فانتساب الفعل إلى الرامي انتساب إلى الميّت ، وهو باطل بالضرورة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الانتساب إليه إنّما هو بصدور الرمي منه وهو في حال حياته ، وأمّا المسبّب فلا يكون بإرادة مستقلّة ، ولا بقوّة فاعلة اُخرى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وجه لصرف ظاهر الأدلّة الدالّة على تعلّق التكليف بالمسبّبات ؛ ضرورة صحّة التكليف بها ، كما يصحّ بالأسباب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مقارنة الأسباب والمسبّبات زماناً غير لازم ، بل يمكن انفكاكهما ، كما أنّ التأخّر الزماني أيضاً غير لازم ، نعم التأخّر الرتبي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لحقّ 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 xml:space="preserve">. </w:t>
      </w:r>
      <w:bookmarkStart w:id="202" w:name="pg8033_80766"/>
    </w:p>
    <w:p>
      <w:pPr>
        <w:pStyle w:val="BookText"/>
        <w:rPr/>
      </w:pPr>
      <w:bookmarkEnd w:id="202"/>
      <w:r>
        <w:rPr>
          <w:rFonts w:ascii="Amiri" w:hAnsi="Amiri" w:eastAsia="Amiri" w:cs="Amiri"/>
          <w:color w:val="111111"/>
          <w:sz w:val="28"/>
          <w:sz w:val="28"/>
          <w:szCs w:val="28"/>
          <w:rtl w:val="true"/>
          <w:lang w:bidi="ar-SA"/>
        </w:rPr>
        <w:t xml:space="preserve">هذا حال الأسباب والمسبّبات التوليدية من الفواعل الطبيعية الواقعة في عمود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الأسباب والمسبّبات في الفواعل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يتقوّم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 ، ويكون المسبّب عين التعلّق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انفكاكهما زماناً ، كما لا يمكن الانفكاك بين العلّة التامّة ومعلولها مطلقاً </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368327_1051229030"/>
      <w:bookmarkStart w:id="204" w:name="_Toc74"/>
      <w:bookmarkEnd w:id="203"/>
      <w:r>
        <w:rPr>
          <w:rtl w:val="true"/>
        </w:rPr>
        <w:t xml:space="preserve">منها </w:t>
      </w:r>
      <w:r>
        <w:rPr>
          <w:rtl w:val="true"/>
        </w:rPr>
        <w:t xml:space="preserve">: </w:t>
      </w:r>
      <w:r>
        <w:rPr>
          <w:rtl w:val="true"/>
        </w:rPr>
        <w:t>تقسيمها إلى المقارن والمتقدّم والمتأخّر</w:t>
      </w:r>
      <w:bookmarkEnd w:id="204"/>
    </w:p>
    <w:p>
      <w:pPr>
        <w:pStyle w:val="BookText"/>
        <w:rPr/>
      </w:pPr>
      <w:r>
        <w:rPr>
          <w:rFonts w:ascii="Amiri" w:hAnsi="Amiri" w:eastAsia="Amiri" w:cs="Amiri"/>
          <w:color w:val="111111"/>
          <w:sz w:val="28"/>
          <w:sz w:val="28"/>
          <w:szCs w:val="28"/>
          <w:rtl w:val="true"/>
          <w:lang w:bidi="ar-SA"/>
        </w:rPr>
        <w:t xml:space="preserve">وقد استشكل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المقارنة بين أجزاء العلّة ومعلولها لازمة ؛ لاستحالة تأخّر العلّة عن المعلول ، وكذلك تقدّمها عليه ، فأشكل الأمر في المقدّمة المتأخّرة كالأغسال الليلية المعتبرة في صحّة صوم المستحاضة عند بعضٍ</w:t>
      </w:r>
      <w:r>
        <w:rPr>
          <w:rStyle w:val="FootnoteAnchor"/>
          <w:rtl w:val="true"/>
        </w:rPr>
        <w:footnoteReference w:id="142"/>
      </w:r>
      <w:r>
        <w:rPr>
          <w:rFonts w:ascii="Amiri" w:hAnsi="Amiri" w:eastAsia="Amiri" w:cs="Amiri"/>
          <w:color w:val="111111"/>
          <w:sz w:val="28"/>
          <w:sz w:val="28"/>
          <w:szCs w:val="28"/>
          <w:rtl w:val="true"/>
          <w:lang w:bidi="ar-SA"/>
        </w:rPr>
        <w:t>وكالإجازة في صحّة العقد على الكشف ، وفي المقدّمة المتقدّمة أيضاً كالشرائط والمقتضيات والمتصرّمات زماناً ، والمتقضّية أجزاؤها ؛ لعدم بقائها حين العقد بجميع أجزائها المؤثّرة في العقد ، فيعمّ إشكال انخرام القاعدة العقلية غير الشروط والمقتضيات المقارنة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التي تُوهم ورود الإشكال ، إمّا أن يكون المتقدّم أو المتأخّر شرطاً للتكليف ، وإمّا شرطاً للمكلّف به ، وإمّا لأمر وضعي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شيء شرطاً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الشرائط العامّة ، كالقدرة ، </w:t>
      </w:r>
    </w:p>
    <w:p>
      <w:pPr>
        <w:pStyle w:val="BookText"/>
        <w:rPr/>
      </w:pPr>
      <w:r>
        <w:rPr>
          <w:rFonts w:ascii="Amiri" w:hAnsi="Amiri" w:eastAsia="Amiri" w:cs="Amiri"/>
          <w:color w:val="111111"/>
          <w:sz w:val="28"/>
          <w:sz w:val="28"/>
          <w:szCs w:val="28"/>
          <w:rtl w:val="true"/>
          <w:lang w:bidi="ar-SA"/>
        </w:rPr>
        <w:t xml:space="preserve">والتمييز بين الحسن والقبيح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دخالة الشرط في إمكان تعلّق التكليف بالمكلّف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توجّه التكليف إلى المكلّف ، وتعلّقه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 إلاّ مع شرائط وقيود في المكلّف ؛ من كونه قادراً مميّزاً بين الحسن والقبح ، وفي المكلّف به ؛ من كونه مقدوراً ممكن التحقّق ، ولا تكون تلك الشروط مؤثّرة في وجود التكليف حتّى يرد الإشكال ؛ لاستحالة دخالة ما هو من شرائط إمكان تعلّق التكليف بالمكلّف به أو توجّهه إلى المكلّف في المؤثّرية في وجوده ، فعلل وجود التكليف اُمور اُخرى كلّها مقدّمة عليه ، وأمّا تلك الشروط الدخيلة في إمكان التكليف ، فلا محذور في تقدّمها أو تأخّرها عنه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شيء شرطاً للمكلّف به ليس بمعنى كونه مؤثّراً في وجوده ، بل بمعنى أ نّه من حدوده وقيوده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به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يقارنها الستر ، أو يتقدّم عليها الوضوء مثلاً ، أو يتأخّر عنها شيء ، ومن هذا القبيل صوم المستحاضة ؛ فإنّ المأمور به هو الصوم المتقيّد بكونه متعقّباً بالأغسال الليلية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التكليف بعنوان بسيط ، غير منطبق بحسب الواقع إلاّ على شيء ، يكون مقارناً أو مسبوقاً أو ملحوقاً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ممّا لا إشكال فيه أصلاً ، وليس في البين تأثير وتأثّر وعلّية ومعلولية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حال الوضع أيضاً ؛ فإنّ ما هو موضوع انتزاع النقل والانتقال منه </w:t>
      </w:r>
    </w:p>
    <w:p>
      <w:pPr>
        <w:pStyle w:val="BookText"/>
        <w:rPr/>
      </w:pPr>
      <w:r>
        <w:rPr>
          <w:rFonts w:ascii="Amiri" w:hAnsi="Amiri" w:eastAsia="Amiri" w:cs="Amiri"/>
          <w:color w:val="111111"/>
          <w:sz w:val="28"/>
          <w:sz w:val="28"/>
          <w:szCs w:val="28"/>
          <w:rtl w:val="true"/>
          <w:lang w:bidi="ar-SA"/>
        </w:rPr>
        <w:t xml:space="preserve">هو العقد المتعقّب بالإجازة ، وليس العقد من قبيل العلّة المؤثّرة ؛ بمعنى ما منه الوجود ، بل هو موضوع لأمر اعتباري عند العقلاء بلا تأثير وتأثّر في البين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تكون الشروط من أجزاء العلّة التي منها الوجود ، وحينئذٍ فتقدّمها الطبعي على المعلول ممّا يحكم به العقل ، أمّا مقارنتها الزمانية في غير الزمانيات فممّا لا معنى لها ، وأمّا فيما هو واقع في سلسلة الأزمان ، فلزوم المقارنة بينه وبين المعلول محلّ تأمّل وإشكال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تلوناه عليك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واقع في أنّ شروط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واجبة بالوجوب الترشّحي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المقدّمات الوجودية الخارجية على القول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واجبة بعين وجوب ذي المقدّمة كالمقدّمات الداخلية على ما عرفت حالها</w:t>
      </w:r>
      <w:r>
        <w:rPr>
          <w:rStyle w:val="FootnoteAnchor"/>
          <w:rtl w:val="true"/>
        </w:rPr>
        <w:footnoteReference w:id="144"/>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هو الثاني ؛ لأنّ التقيّدات المأخوذة في المأمور به موجودة بعين وجود القيود ، لا بوجود آخر ، ويكون الوجوب المنبسط عليها منبسطاً على القيود أيضاً ، ولا يكون لها وجوب على حِدة ، فحالها حال المقدّمات الداخلية التي عرفت أ نّها واجبة بعين وجوب ذيها </w:t>
      </w:r>
      <w:r>
        <w:rPr>
          <w:rFonts w:eastAsia="Amiri" w:cs="Amiri" w:ascii="Amiri" w:hAnsi="Amiri"/>
          <w:color w:val="111111"/>
          <w:sz w:val="28"/>
          <w:szCs w:val="28"/>
          <w:rtl w:val="true"/>
          <w:lang w:bidi="ar-SA"/>
        </w:rPr>
        <w:t xml:space="preserve">. </w:t>
      </w:r>
      <w:bookmarkStart w:id="205" w:name="pg8033_80773"/>
    </w:p>
    <w:p>
      <w:pPr>
        <w:pStyle w:val="Heading4"/>
        <w:numPr>
          <w:ilvl w:val="3"/>
          <w:numId w:val="1"/>
        </w:numPr>
        <w:rPr/>
      </w:pPr>
      <w:bookmarkStart w:id="206" w:name="__RefHeading___Toc7368329_1051229030"/>
      <w:bookmarkStart w:id="207" w:name="_Toc75"/>
      <w:bookmarkEnd w:id="205"/>
      <w:bookmarkEnd w:id="206"/>
      <w:r>
        <w:rPr>
          <w:rtl w:val="true"/>
        </w:rPr>
        <w:t>الأمر الثالث في تقسيمات الواجب</w:t>
      </w:r>
      <w:bookmarkEnd w:id="207"/>
    </w:p>
    <w:p>
      <w:pPr>
        <w:pStyle w:val="Heading5"/>
        <w:numPr>
          <w:ilvl w:val="4"/>
          <w:numId w:val="1"/>
        </w:numPr>
        <w:rPr/>
      </w:pPr>
      <w:bookmarkStart w:id="208" w:name="__RefHeading___Toc7368331_1051229030"/>
      <w:bookmarkStart w:id="209" w:name="_Toc76"/>
      <w:bookmarkEnd w:id="208"/>
      <w:r>
        <w:rPr>
          <w:rtl w:val="true"/>
        </w:rPr>
        <w:t>في تقسيمات الواجب</w:t>
      </w:r>
      <w:bookmarkEnd w:id="209"/>
    </w:p>
    <w:p>
      <w:pPr>
        <w:pStyle w:val="BookText"/>
        <w:rPr/>
      </w:pPr>
      <w:r>
        <w:rPr>
          <w:rFonts w:ascii="Amiri" w:hAnsi="Amiri" w:eastAsia="Amiri" w:cs="Amiri"/>
          <w:color w:val="111111"/>
          <w:sz w:val="28"/>
          <w:sz w:val="28"/>
          <w:szCs w:val="28"/>
          <w:rtl w:val="true"/>
          <w:lang w:bidi="ar-SA"/>
        </w:rPr>
        <w:t xml:space="preserve">قد عرّف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 على فعله الثواب ، وعلى تركه العقاب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لازم المعنى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ما تتعلّق به الإرادة المؤكّدة ، وقد ذكرنا سابقاً حال الإرادة في الواجب والمستحبّ</w:t>
      </w:r>
      <w:r>
        <w:rPr>
          <w:rStyle w:val="FootnoteAnchor"/>
          <w:rtl w:val="true"/>
        </w:rPr>
        <w:footnoteReference w:id="146"/>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فقد قسّم الواجب بتقسيمات </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7368333_1051229030"/>
      <w:bookmarkStart w:id="211" w:name="_Toc77"/>
      <w:bookmarkEnd w:id="210"/>
      <w:r>
        <w:rPr>
          <w:rtl w:val="true"/>
        </w:rPr>
        <w:t xml:space="preserve">منها </w:t>
      </w:r>
      <w:r>
        <w:rPr>
          <w:rtl w:val="true"/>
        </w:rPr>
        <w:t xml:space="preserve">: </w:t>
      </w:r>
      <w:r>
        <w:rPr>
          <w:rtl w:val="true"/>
        </w:rPr>
        <w:t>تقسيمه إلى المطلق والمشروط</w:t>
      </w:r>
      <w:bookmarkEnd w:id="211"/>
    </w:p>
    <w:p>
      <w:pPr>
        <w:pStyle w:val="BookText"/>
        <w:rPr/>
      </w:pPr>
      <w:r>
        <w:rPr>
          <w:rFonts w:ascii="Amiri" w:hAnsi="Amiri" w:eastAsia="Amiri" w:cs="Amiri"/>
          <w:color w:val="111111"/>
          <w:sz w:val="28"/>
          <w:sz w:val="28"/>
          <w:szCs w:val="28"/>
          <w:rtl w:val="true"/>
          <w:lang w:bidi="ar-SA"/>
        </w:rPr>
        <w:t xml:space="preserve">وقد عرّفهما القوم بتعريفات شتّى ، وأطالوا النقض والإبرام في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ما لا يتوقّف وجوبه على شيء</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يتوقّف وجوبه على شيء سوى الشرائط العامّة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وجوبه على ما يتوقّف عليه وجوده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والمشروط في كلٍّ من التعاريف مقابل المطلق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المحقّق الخراساني رحمه الله علیه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والاشتراط وصفان إضافيان ، ومن قبيل المتضايفين ، وهما لا يجتمعان في موضع واحد بجهة واحدة ، كالاُبوّة والبُنوّة اللتين لا تجتمعان في موضع واحد باعتبار واحد ، وأمّا بجهتين فلا مانع من اجتماعهما ، فيمكن أن يكون شخص واحد أباً وابناً من جهتين ، والمطلق والمشروط من هذا القبيل ؛ فإنّ كلّ شيء يلاحظ مع الواجب ، فإمّا أن يكون وجوبه بالنسبة إليه مشروطاً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مطلق بالإضافة إليه ، وإن أمكن أن يكون مشروطاً بالإضافة إلى غيره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تخصيص التفتازاني وبعض آخر الكلامَ بالمقدّمات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يتوقّف وجوبه على ما يتوقّف عليه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أنّ في المطلق والمشروط اصطلاحاً خاصّاً ؛ بل لأنّ كلامهم لمّا كان في وجوب المقدّمة ، وكانت المقدّمة الوجودية التي هي مقدّمة للوجوب أيضاً من مستثنيات وجوب المقدّمة ، خصّصوا الكلام بذلك ، وإلاّ فليس في البين اصطلاح خاصّ ، ولا ينبغي النقض والإبرام فيما لا تترتّب عليه ثمرة مهمّة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الفقهاء والاُصوليين والمتكلّمين وكلّ من تصدّى لبيان الواجب المشروط ، هو رجوع الشرط إلى الهيئة إلى زمن الشيخ قدّس سرّه وهو أيضاً اعترف بأنّ مقتضى القواعد العربية رجوعه إليها</w:t>
      </w:r>
      <w:r>
        <w:rPr>
          <w:rStyle w:val="FootnoteAnchor"/>
          <w:rtl w:val="true"/>
        </w:rPr>
        <w:footnoteReference w:id="151"/>
      </w:r>
      <w:r>
        <w:rPr>
          <w:rFonts w:ascii="Amiri" w:hAnsi="Amiri" w:eastAsia="Amiri" w:cs="Amiri"/>
          <w:color w:val="111111"/>
          <w:sz w:val="28"/>
          <w:sz w:val="28"/>
          <w:szCs w:val="28"/>
          <w:rtl w:val="true"/>
          <w:lang w:bidi="ar-SA"/>
        </w:rPr>
        <w:t xml:space="preserve">، كما أنّ المتفاهم العرفي ذلك إلاّ أ نّه </w:t>
      </w:r>
    </w:p>
    <w:p>
      <w:pPr>
        <w:pStyle w:val="BookText"/>
        <w:rPr/>
      </w:pPr>
      <w:r>
        <w:rPr>
          <w:rFonts w:ascii="Amiri" w:hAnsi="Amiri" w:eastAsia="Amiri" w:cs="Amiri"/>
          <w:color w:val="111111"/>
          <w:sz w:val="28"/>
          <w:sz w:val="28"/>
          <w:szCs w:val="28"/>
          <w:rtl w:val="true"/>
          <w:lang w:bidi="ar-SA"/>
        </w:rPr>
        <w:t xml:space="preserve">أشكل فيه على ما في تقريرات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إشكاله وما يمكن أن يكون وجه الإشكال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عقلاً لا بدّ وأن يتعلّق بالمادّة لُبّاً ؛ لأنّ العاقل إذا توجّه إلى شيء ، فإمّا أن يكون ممّا فيه المصلحة مطلقاً ، فيصير متعلّقاً لشوقه وإرادته وطلبه كذلك ، وإمّا أن تكون فيه مصلحة على تقدير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من الاُمور الاختيارية ، واُخرى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مأخوذاً على نحوٍ يكون مورداً للتكليف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الشوق والإرادة والطلب به على نحو ما يكون فيه المصلحة ، ولا معنى لعدم تعلّق الإرادة والطلب به ، وتوقّفه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إنّما تتعلّق بالمتعلّقات لأجل المصالح الكامنة فيها ، وفي الواجبات المشروطة لا بدّ وأن تتعلّق بالمقيّد ؛ لكون المصلحة فيه دون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أشكل الأمر في القيود الاختيارية من أنّ تعلّق الأمر بالمقيّد بها مستلزم لوجوب تحصيل القيد أيضاً ؛ لأنّ الطلب المطلق إذا تعلّق بالمطلوب المقيّد يجب تحصيل قيده بلا إشكال ، مع أنّ في الواجبات المشروطة لم يكن تحصيل الشرط واجباً بالضرورة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المصلحة كما أ نّها قد تكون في المقيّد بنحو يكون القيد مورداً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المقيّدة بالوضوء والغسل ، فإنّهما دخيلان في المصلحة ، فتعلّق التكليف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تكون في المقيّد بنحو يكون القيد غير مكلّف به ، عكس الصورة المتقدّمة ، كما في الحجّ المقيّد بالاستطاعة ، </w:t>
      </w:r>
    </w:p>
    <w:p>
      <w:pPr>
        <w:pStyle w:val="BookText"/>
        <w:rPr/>
      </w:pPr>
      <w:r>
        <w:rPr>
          <w:rFonts w:ascii="IRNazanin" w:hAnsi="IRNazanin" w:eastAsia="IRNazanin"/>
          <w:color w:val="111111"/>
          <w:sz w:val="28"/>
          <w:sz w:val="28"/>
          <w:szCs w:val="28"/>
          <w:rtl w:val="true"/>
          <w:lang w:bidi="fa-IR"/>
        </w:rPr>
        <w:t xml:space="preserve">فالاستطاعة وإن كان تحصيلها من الاُمور الاختيارية القابلة لتعلّق التكليف بها ، لكنّ المصلحة إنّما هي في الحجّ المقيّد بالاستطاعة ، التي اُخذت على نحوٍ لم يتعلّق التكليف بها ؛ أي حصولها من باب الاتّفاق مثلاً ، فالطلب المتعلّق بالحجّ المقيّد لا يسري إلى القيد ؛ لقيام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النحو ، هذا ملخّص ما أفاده المقرّر رحمه الله علیه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عدم كون شيء مورداً للتكليف ليس من الاُمور الدخيلة في المصلحة ؛ فإنّ الأعدام لا معنى لدخالتها في شيء ، بل هذا في الحقيقة يرجع إلى أنّ في نفس ذات المقيّد مصلحة ؛ بلا دخالة شيء آخر فيها ، فقياس ذلك على موردٍ يكون الأمر العبادي دخيلاً في المأمور به كالوضوء والغسل ،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لرجوع القيود إلى الواجب أو إلى الوجوب ملاكات بحسب مقام الثبوت والواقع ، لا يمكن التخلّف عنها ، فلا بدّ أوّلاً من بيان تلك الملاكات الواقعية ؛ حتّى يتّضح الأمر ، ويرتفع الخلط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قد تتعلّق بالمتعلّقات لغرض جلب المنافع الكامنة فيها ، وقد تتعلّق لغرض دفع المفاسد والمضارّ ، فكلّ قيد يكون دخيلاً بحسب الثبوت في جلب المنافع أو دفع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المتعلّق بلا تقيّده به لا يجلب المصلحة ، أو لا يدفع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يرجع إلى الواجب لا الوجوب ؛ فإنّ الوجوب والإيجاب آلة لتحصيل تلك المصلحة أو دفع المفسدة ، ووسيلة لإيصالها إلى العباد محضاً ، وأمّا المصلحة فقائمة بنفس المقيّد بما أ نّه مقيّد ، ففي </w:t>
      </w:r>
    </w:p>
    <w:p>
      <w:pPr>
        <w:pStyle w:val="BookText"/>
        <w:rPr/>
      </w:pPr>
      <w:r>
        <w:rPr>
          <w:rFonts w:ascii="Amiri" w:hAnsi="Amiri" w:eastAsia="Amiri" w:cs="Amiri"/>
          <w:color w:val="111111"/>
          <w:sz w:val="28"/>
          <w:sz w:val="28"/>
          <w:szCs w:val="28"/>
          <w:rtl w:val="true"/>
          <w:lang w:bidi="ar-SA"/>
        </w:rPr>
        <w:t xml:space="preserve">مثل تلك الموارد يرجع القيد إلى الواجب والمادّة ، لا الوجوب والهيئة ، فلو فرض أنّ الصلاة لا تكون بنفس ذاتها بلا تقيّدها بالطهارة ذات مصلحة ، لا يعقل تعلّق الطلب بها بنحو الإطلاق ، كما لا يعقل أن يكون الطلب المتعلّق بها مشروطاً ، بل الطلب المطلق يتعلّق بالصلاة المقيّدة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ملاك القيود التي لا بدّ من إرجاعها إلى المادّة 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ملاك القيود التي لا يعقل رجوعها إليها ، بل لا بدّ من رجوعها إلى الهيئة بحسب الثبوت ، فإنّما يكون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المصلحة في فعل مطلقاً وبلا شرطٍ ، ولكن يكون في بعث المولى نحوه بنحو الإطلاق مانع ، كموارد عجز المكلّف وجنونه ، أو كونه غير مميّز ، أو كونه غافلاً أو نائماً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موارد قصوره ، فإذا كان الفعل على نحو الإطلاق ذا مصلحة ، فلا يمكن أن يرجع القيد إلى المادّة عقلاً ؛ ضرورة عدم دخالة تلك القيود في المصلحة ، فلا معنى لتقيّدها بها ، ولمّا لم يمكن أن يتعلّق البعث بالقاصر على نحو الإطلاق ، فلا بدّ وأن ترجع القيود إلى الوجوب لا الواجب ، وهذا واضح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المصلحة في ذات الفعل مطلقاً بلا قيدٍ وشرطٍ ، ويمكن أن يتعلّق الأمر به على نحو الإطلاق ، لكن لطف المولى بالعبد يقتضي أن يتعلّق الطلب به على نحو خاصٍّ ، ويجعل للوجوب شرطاً أو شرائط ؛ لأجل التسهيل على العباد والتوسعة عليهم ، أو لأنّ المولى يرى أنّ الأمر إذا تعلّق بالفعل بنحو الإطلاق يقع نوع المكلّفين في المعصية ، فلأجل لطفه عليهم يشترط وجوبه بشرائط تسهّل الأمر عليهم ، فلو فرض أنّ في الحجّ مصلحة مطلقاً ، كان المكلّف </w:t>
      </w:r>
    </w:p>
    <w:p>
      <w:pPr>
        <w:pStyle w:val="BookText"/>
        <w:rPr/>
      </w:pPr>
      <w:r>
        <w:rPr>
          <w:rFonts w:ascii="Amiri" w:hAnsi="Amiri" w:eastAsia="Amiri" w:cs="Amiri"/>
          <w:color w:val="111111"/>
          <w:sz w:val="28"/>
          <w:sz w:val="28"/>
          <w:szCs w:val="28"/>
          <w:rtl w:val="true"/>
          <w:lang w:bidi="ar-SA"/>
        </w:rPr>
        <w:t xml:space="preserve">مستطيعاً شرعاً أو لا ، وفي الزكاة مصلحة ، بلغ المال الزكوي حدّ النصاب أو لم يبلغ ، لكن مصلحة التسهيل واللطف الإلهي اقتضت أن يشترط الوجوب بالاستطاعة وبلوغ النصاب ، ففي مثل تلك الموارد لا يمكن أن يتوجّه القيد إلى الواجب والمادّة ؛ فإنّ القيد لا دخالة له في المصلحة بالفرض ، فلا معنى لتقيّدها به ، بل المانع في الإيجاب والأمر على نحو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أوضح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الغرض من الأمر جلب المنافع ، بل الغرض منه دفع منقصة متوجّهة إلى العبد ، أو رفع مفسدة ابتلى بها ، كما في باب الكفّارات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الظهار ، أو الإفطار متعمّداً في شهر رمضان ، وحَنث النذر والعهد ، والصيدَ حال الإحرام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وأمثال ذلك ، توجب منقصة للعبد لا تنجبر إلاّ بالكفّارات ، فلا بدّ من تعلّق الطلب بالكفّارات بعد تحقّق تلك المنقصة ؛ لأجل 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يعقل أن ترجع الشروط والقيود الكذائية إلى المادّة ، ولا يعقل أن يتقيّد المكلّف به بتلك القيود ؛ فإنّها موجبة للمنقصة ، ولا يعقل دخالتها في رفعها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قائمة بالكفّارة المقيّدة بإفطار شهر رمضان ، 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متعمّداً وجبت الكفّارة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لا بدّ وأن يرجع الشرط إلى الهيئة ، ولا يعقل رجوعه إلى المادّة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فانظر إلى الأمثلة العرفية ، مثل قول الطبيب للمريض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مرضت فاشرب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تعلّق بشرب الدواء المتعقّب بالمرض ، وإنّ المرض له دخالة في المصلحة أو دفع المفسدة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ولا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القيود في عالم اللبّ والثبوت ، وأنّ بعضها يرجع إلى المادّة ، وبعضها إلى الهيئة ، ومعلوم أنّ مقتضى القواعد العربية والمتفاهم العرفي رجوع القيود إلى الهيئات ، فلا بدّ مع عدم إحراز الرجوع إلى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إرجاعها إلى الهيئة لا المادّة في مقام الإثبات ؛ ضرورة أنّ إفهام مثل هذا المعنى ؛ أي الوجوب المشروط ، من ضروريات أهل اللسان ، فحكمة الوضع تقتضي أن يكون بإزاء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الاحتياج كثيراً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دالّ عليه ، فالشبهات الواردة في المورد من قبيل الشبهة في مقابل البديهة ، مع أ نّها كلّها قابلة للدفع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لمّا كانت آلة إيجاد الطلب وتحقّقه ، لا يمكن أن تكون معلّقة ومشروطة بشيء ؛ فإنّ الإيجاد هو المساوق للوجود والتحقّق ، والتعليق هو اعتبار اللا تحقّق ، وهما لا يجتمعان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الإيجاد الاعتباري أمره سهل ، والمغالطة إنّما وقعت من اشتباه الأمر المحصّل بالأمر الاعتباري ، وإلاّ فالإيجاد الاعتباري قابل للإطلاق والاشتراط والتعليق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من المعاني الحرفية ، فلا يعقل أن تكون مستقلّة باللحاظ ، </w:t>
      </w:r>
    </w:p>
    <w:p>
      <w:pPr>
        <w:pStyle w:val="BookText"/>
        <w:rPr/>
      </w:pPr>
      <w:r>
        <w:rPr>
          <w:rFonts w:ascii="Amiri" w:hAnsi="Amiri" w:eastAsia="Amiri" w:cs="Amiri"/>
          <w:color w:val="111111"/>
          <w:sz w:val="28"/>
          <w:sz w:val="28"/>
          <w:szCs w:val="28"/>
          <w:rtl w:val="true"/>
          <w:lang w:bidi="ar-SA"/>
        </w:rPr>
        <w:t>مع أنّه لا بدّ في الاشتراط والتعليق من اللحاظ الاستقلالي في المشروط والمعلّق</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قابلة للّحاظ ولو بنظرة ثانية ، مع أنّ لنا أن نقول بمقالة المحقّق القمّي رحمه الله علیه ؛ من أنّ حقيقة الاشتراط هي رجوع الشرط إلى المكلّف ، وتنويع المكلّفين إلى نوعين</w:t>
      </w:r>
      <w:r>
        <w:rPr>
          <w:rStyle w:val="FootnoteAnchor"/>
          <w:rtl w:val="true"/>
        </w:rPr>
        <w:footnoteReference w:id="156"/>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أنّ المستطيع يجب عليه الحجّ ، كما أنّ الظاهر من الآية الشريفة ذلك أيضاً ؛ فإنّ الموصول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بدل الجزء من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التي ترجع القيود فيها إلى الهيئة ، يمكن التخلّص عن كافّة الإشكالات بإرجاع القيود إلى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جزئية حقيقية ؛ فإنّ الوضع فيها عامّ ، والموضوع له خاصّ ، ولا يمكن تقييد الجزئيات الحقيقية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الشرط إلى المكلّف ، كما عرفت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رجوع القيد إلى الوجوب ، ولا بدّ من ردّ الشبهات الواردة في مقابل الحقيقة الرائجة ، تدبّر ولا تغفل </w:t>
      </w:r>
      <w:r>
        <w:rPr>
          <w:rFonts w:eastAsia="Amiri" w:cs="Amiri" w:ascii="Amiri" w:hAnsi="Amiri"/>
          <w:color w:val="111111"/>
          <w:sz w:val="28"/>
          <w:szCs w:val="28"/>
          <w:rtl w:val="true"/>
          <w:lang w:bidi="ar-SA"/>
        </w:rPr>
        <w:t xml:space="preserve">. </w:t>
      </w:r>
      <w:bookmarkStart w:id="212" w:name="pg8033_80791"/>
    </w:p>
    <w:p>
      <w:pPr>
        <w:pStyle w:val="Heading5"/>
        <w:numPr>
          <w:ilvl w:val="4"/>
          <w:numId w:val="1"/>
        </w:numPr>
        <w:rPr/>
      </w:pPr>
      <w:bookmarkStart w:id="213" w:name="__RefHeading___Toc7368335_1051229030"/>
      <w:bookmarkStart w:id="214" w:name="_Toc78"/>
      <w:bookmarkEnd w:id="212"/>
      <w:bookmarkEnd w:id="213"/>
      <w:r>
        <w:rPr>
          <w:rtl w:val="true"/>
        </w:rPr>
        <w:t xml:space="preserve">ومنها </w:t>
      </w:r>
      <w:r>
        <w:rPr>
          <w:rtl w:val="true"/>
        </w:rPr>
        <w:t xml:space="preserve">: </w:t>
      </w:r>
      <w:r>
        <w:rPr>
          <w:rtl w:val="true"/>
        </w:rPr>
        <w:t>تقسيمه إلى المعلّق والمنجّز</w:t>
      </w:r>
      <w:bookmarkEnd w:id="214"/>
    </w:p>
    <w:p>
      <w:pPr>
        <w:pStyle w:val="Heading6"/>
        <w:numPr>
          <w:ilvl w:val="5"/>
          <w:numId w:val="1"/>
        </w:numPr>
        <w:rPr/>
      </w:pPr>
      <w:bookmarkStart w:id="215" w:name="__RefHeading___Toc7368337_1051229030"/>
      <w:bookmarkStart w:id="216" w:name="_Toc79"/>
      <w:bookmarkEnd w:id="215"/>
      <w:r>
        <w:rPr>
          <w:rtl w:val="true"/>
        </w:rPr>
        <w:t>تقسيمه إلى المعلّق والمنجّز</w:t>
      </w:r>
      <w:bookmarkEnd w:id="216"/>
    </w:p>
    <w:p>
      <w:pPr>
        <w:pStyle w:val="BookText"/>
        <w:rPr/>
      </w:pPr>
      <w:r>
        <w:rPr>
          <w:rFonts w:ascii="IRNazanin" w:hAnsi="IRNazanin" w:eastAsia="IRNazanin"/>
          <w:color w:val="111111"/>
          <w:sz w:val="28"/>
          <w:sz w:val="28"/>
          <w:szCs w:val="28"/>
          <w:rtl w:val="true"/>
          <w:lang w:bidi="fa-IR"/>
        </w:rPr>
        <w:t xml:space="preserve">وهذا تقسيم واصطلاح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ملخّصه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وينقسم باعتبار آخر إلى ما يتعلّق وجوبه بالمكلّف ، ولا يتوقّف حصوله على أمرٍ غير مقدورٍ له كالمعرفة ، وليسمّ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يتعلّق وجوبه به ، ويتوقّف حصوله على أمرٍ غير مقدورٍ له ، وليسمّ معلّقاً كالحجّ ؛ فإنّ وجوبه في أوّل زمن الاستطاعة ، ويتوقّف فعله على مجيء وقته ، وهو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النوع وبين الواجب المشروط هو أنّ التوقّف هناك للوجوب ، وهنا للفعل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سدّ ثغوره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 الواجب المعلّق حالي ، والواجب استقبالي ، والوجوب الحالي إنّما هو مشروط بأمر انتزاعي متحقّق في الحال ، وإن انتزع من أمر متأخّر ، فوجوب الحجّ قبل مجيء ذي الحجّة معلّق على أمر انتزاعي ؛ هو كون المكلّف بحيث يدرك ذا الحجّة قادراً على الحجّ ، وهذا الأمر الانتزاعي صادق على المكلّف في الحال ، وإن كان انكشافه في الاستقبال ، فلا يكون الزمان المقدّم ظرفاً للوجوب والواجب ؛ حتّى يلزم التكليف بالمحال ، ولا يكون نفس بلوغ المكلّف إلى الوقت شرطاً للوجوب ؛ حتّى يتعلّق الوجوب به بعد حضور الوقت ، بل الشرط هو هذا الأمر الانتزاعي المتحقّق في الحال والمنطبق على المكلّف ، ويكون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حصول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 والواجب استقبالياً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الواجب المعلّق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مشروط بأمر انتزاعي ، والثاني مشروط بنفس الأمر الخارجي ، ففرق إذاً بين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w:t>
      </w:r>
    </w:p>
    <w:p>
      <w:pPr>
        <w:pStyle w:val="BookText"/>
        <w:rPr/>
      </w:pPr>
      <w:r>
        <w:rPr>
          <w:rFonts w:ascii="Amiri" w:hAnsi="Amiri" w:eastAsia="Amiri" w:cs="Amiri"/>
          <w:color w:val="111111"/>
          <w:sz w:val="28"/>
          <w:sz w:val="28"/>
          <w:szCs w:val="28"/>
          <w:rtl w:val="true"/>
          <w:lang w:bidi="ar-SA"/>
        </w:rPr>
        <w:t>وقت كذا فافعل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جملة شرطية ، مفادها تعلّق الأمر والوجوب بالمكلّف عند دخول الوقت ، والثاني جملة طلبية مفادها إلزام المكلّف بالفعل في الوقت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النوع كلّ واجب مطلق توقّف وجوده على مقدّمات مقدورة غير حاصلة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يجب قبل وجود المقدّمات إيجاد الفعل بعد زمن يمكن إيجادها فيه ، وإلاّ لزم خروج الواجب المطلق عن كونه واجباً مطلقاً ، أو التكليف بما لا يطاق ، وكلاهما ضروري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كما أنّ الحجّ قبل دخول ذي الحجّة يكون واجباً على من يدركه قادراً عليه ، وظرف الإتيان هو ذو الحجّة ، فكذلك الصلاة في أوّل الوقت واجبة على من يأتي بالمقدّمات قادراً على إتيانها بعدها ، فلا فرق بين كون المكلّف به غير ممكن الوجود لأجل تقيّده بزمان استقبالي أو أمر آخر استقبالي لم يكن تحت قدرة العبد ، وبين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تحقّقه عقلاً قبل حصول المقدّمات ، ففي كليهما يكون الوجوب حالياً والواجب استقبالياً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في بيان أمر آخر سيأتي في باب الترتّب إن شاء اللّه تعالى</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لخّصنا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يقسِّم الواجب إلى المطلق والمشروط ، والمطلق إلى المعلّق والمنجّز ، كما قيل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لم يجعل المعلّق قسماً ثالثاً في مقابل المطلق والمشروط ، بل هو قسّم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المطلق والمشروط ، وباعتبارٍ آخر إلى المعلّق والمنجّز ، وباعتبارٍ آخر إلى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تصوير الواجب التعليقي ، وأنّ ظرف الواجب في الاستقبال ، ولكنّ الوجوب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الإشكال المعروف في وجوب بعض المقدّمات في الواجبات الموقّتة قبل وقتها ، كغسل الجنابة الذي هو شرط لصحّة الصوم ، فإنّه واجب قبل الفجر ، مع أنّ وجوب الصوم من أوّل الفجر ، فيلزم وجوب المقدّمة قبل وجوب ذيها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عن الإشكال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الواجب في مثله تعليقي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أخوه المحقّق رحمه الله علیه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الغسل واجب نفسي تهيّئي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الشيخ العلاّمة رحمه الله علیه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الإشكال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 الفرق لبّاً بين المثالين المتقدّمين ؛ أي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الوقت </w:t>
      </w:r>
      <w:r>
        <w:rPr>
          <w:rFonts w:eastAsia="IRNazanin" w:cs="IRNazanin"/>
          <w:color w:val="111111"/>
          <w:sz w:val="28"/>
          <w:szCs w:val="28"/>
          <w:rtl w:val="true"/>
          <w:lang w:bidi="fa-IR"/>
        </w:rPr>
        <w:t>. . .»</w:t>
      </w:r>
      <w:r>
        <w:rPr>
          <w:rStyle w:val="FootnoteAnchor"/>
          <w:rtl w:val="true"/>
        </w:rPr>
        <w:footnoteReference w:id="16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في مثل تلك المقدّمات لا يكون بملاك الوجوب الترشّحي المقدّمي ، بل بملاك تفويت الواجب ، فكما أنّ العقل يحكم بقبح مخالفة الواجب ، كذلك يحكم بقبح ترك أمرٍ يفوت به الواجب ، وإن لم يكن الوجوب في الحال ، فترك الغسل قبل وجوب الصوم موجب لتفويته ، والعقل يحكم </w:t>
      </w:r>
    </w:p>
    <w:p>
      <w:pPr>
        <w:pStyle w:val="BookText"/>
        <w:rPr/>
      </w:pPr>
      <w:r>
        <w:rPr>
          <w:rFonts w:ascii="Amiri" w:hAnsi="Amiri" w:eastAsia="Amiri" w:cs="Amiri"/>
          <w:color w:val="111111"/>
          <w:sz w:val="28"/>
          <w:sz w:val="28"/>
          <w:szCs w:val="28"/>
          <w:rtl w:val="true"/>
          <w:lang w:bidi="ar-SA"/>
        </w:rPr>
        <w:t>بوجوب إتيانه حتّى يتمكّن من صوم اليوم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 ولا يخلو كلام الشيخ رحمه الله علیه في المقام من تهافتٍ مع ما اختاره في الواجب المشروط</w:t>
      </w:r>
      <w:r>
        <w:rPr>
          <w:rStyle w:val="FootnoteAnchor"/>
          <w:rtl w:val="true"/>
        </w:rPr>
        <w:footnoteReference w:id="166"/>
      </w:r>
      <w:r>
        <w:rPr>
          <w:rFonts w:ascii="Amiri" w:hAnsi="Amiri" w:eastAsia="Amiri" w:cs="Amiri"/>
          <w:color w:val="111111"/>
          <w:sz w:val="28"/>
          <w:sz w:val="28"/>
          <w:szCs w:val="28"/>
          <w:rtl w:val="true"/>
          <w:lang w:bidi="ar-SA"/>
        </w:rPr>
        <w:t xml:space="preserve">؛ فإنّ الوجوب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كالوجوب المعلّق على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ما ذكره من حكم العقل بلزوم إتيان أمثال ذلك لا بملاك المقدّمية ، بل بملاكٍ آخر ، في محلّ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إشكالاً على الواجب المعلّق</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وزان الإرادة التشريعية كوزان الإرادة التكوينية ، طابق النعل بالنعل ، وحذو القذّة بالقذّة ، وهي في الإمكان والامتناع تابعة للتكوينية ، فكما أنّ الإرادة التكوينية ممتنعة التعلّق بأمر يكون متقيّداً بشيء غير مقدور كالزمان المتأخّر ، أو أمر آخر لا يكون تحت قدرة العبد ، فكذلك الإرادة التشريعية التي هي بإزاء التكوينية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الفعل المقيّد بأمرٍ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في ذي الحجّة قبل حضور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الفعل الذي يكون مقدوراً ، لكن يتوقّف على مقدّمات مقدورة تدريجية الحصول ، ربّما يطول إتيانها عدّة ساعات أو أيّام ، ففي الأوّل يمتنع تعلُّق الإرادة التكوينية الفعلية على إيجاد الفعل ، وإنّما تكون الإرادة تعليقية مشروطة ؛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 ذا الحجّة مثلاً قادراً على الحجّ لحججتُ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 فإنّ الإرادة الفعلية لا مانع من تعلّقها به ؛ فإنّ المقدور بالواسطة مقدور ، فقبل الزوال لا يمكن تعلّق الإرادة الفعلية بإتيان الصلاة ، خصوصاً إذا </w:t>
      </w:r>
      <w:bookmarkStart w:id="217" w:name="pg8033_80795"/>
    </w:p>
    <w:p>
      <w:pPr>
        <w:pStyle w:val="BookText"/>
        <w:rPr/>
      </w:pPr>
      <w:bookmarkEnd w:id="217"/>
      <w:r>
        <w:rPr>
          <w:rFonts w:ascii="Amiri" w:hAnsi="Amiri" w:eastAsia="Amiri" w:cs="Amiri"/>
          <w:color w:val="111111"/>
          <w:sz w:val="28"/>
          <w:sz w:val="28"/>
          <w:szCs w:val="28"/>
          <w:rtl w:val="true"/>
          <w:lang w:bidi="ar-SA"/>
        </w:rPr>
        <w:t xml:space="preserve">لم يكن لها مقدّمات ، أو كانت حاصلة ، ويكون المكلّف منتظراً لدخول الوقت ، فلا يمكن فعلية الإرادة ضرورة ، وأمّا بعد تحقّق الزوال فتتعلّق الإرادة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وجودها على عدّة مقدّمات غير حاصلة تكون تحت قدرة العبد ، كتحصيل الساتر والماء وغيرهما من المقدّمات ؛ فإنّ الصلاة مقدورة مع القدرة على مقدّماتها ، فتتعلّق الإرادة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الإرادة التكوينية ، والإرادة التشريعية مثلها طابق النعل بالنعل ، فلا يمكن تعلّقها بأمرٍ متأخّر يتوقّف حصوله على أمرٍ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سبيل الاشتراط ، ويمكن تعلّقها بأمرٍ متوقّف على مقدّمات مقدورة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فرق بين تأخّر الفعل لأجل عدم حضور وقته ، وتأخّره لأجل التوقّف على مقدّمات تدريجية مقدورة ، تأمّل</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368339_1051229030"/>
      <w:bookmarkStart w:id="219" w:name="_Toc80"/>
      <w:bookmarkEnd w:id="218"/>
      <w:r>
        <w:rPr>
          <w:rtl w:val="true"/>
        </w:rPr>
        <w:t>فذلكة</w:t>
      </w:r>
      <w:bookmarkEnd w:id="219"/>
    </w:p>
    <w:p>
      <w:pPr>
        <w:pStyle w:val="BookText"/>
        <w:rPr/>
      </w:pPr>
      <w:r>
        <w:rPr>
          <w:rFonts w:ascii="Amiri" w:hAnsi="Amiri" w:eastAsia="Amiri" w:cs="Amiri"/>
          <w:color w:val="111111"/>
          <w:sz w:val="28"/>
          <w:sz w:val="28"/>
          <w:szCs w:val="28"/>
          <w:rtl w:val="true"/>
          <w:lang w:bidi="ar-SA"/>
        </w:rPr>
        <w:t xml:space="preserve">وفذلكة مرام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اعتبار انقسام الواجب إلى المشروط والمطلق غير اعتبار انقسامه إلى المنجّز والمعلّق ، وإن كان المعلّق قسماً من المشروط بحسب الواقع ، لكنّ الاعتبارين مختلفان ؛ فإنّ التعليق باعتبار كون الواجب كأ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مراعى إلى حصول وقته ، وإن كان الوجوب فعلياً باعتبار اشتراطه بأمر انتزاعي متحقّق بالفعل ، وإنّما الباعث على هذا التقسيم عدم تصويره الشرط المتأخّر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نحن ففي فُسحة من ذلك ، فإنّ الشرط المتأخّر ممّا لا مجال لإنكاره ؛ </w:t>
      </w:r>
      <w:bookmarkStart w:id="220" w:name="pg8033_80796"/>
    </w:p>
    <w:p>
      <w:pPr>
        <w:pStyle w:val="BookText"/>
        <w:rPr/>
      </w:pPr>
      <w:bookmarkEnd w:id="220"/>
      <w:r>
        <w:rPr>
          <w:rFonts w:ascii="Amiri" w:hAnsi="Amiri" w:eastAsia="Amiri" w:cs="Amiri"/>
          <w:color w:val="111111"/>
          <w:sz w:val="28"/>
          <w:sz w:val="28"/>
          <w:szCs w:val="28"/>
          <w:rtl w:val="true"/>
          <w:lang w:bidi="ar-SA"/>
        </w:rPr>
        <w:t xml:space="preserve">ألا ترى أنّ القدرة على العمل شرط التكليف عقلاً ، مع عدم لزوم كونها مقارنة للتكليف ، بل اللازم عقلاً كون المكلّف قادراً حين الإتيان ، بل كلّ الأعمال التدريجية مشروطة بالشرط المتأخّر ، وهو القدرة على العمل إلى 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والإيرادات التي أوردوا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واردة عليه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الداعي إلى هذا التقسيم بعد تصوّر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الشرط المتأخّر وارد على الواجب التعليقي أيضاً ؛ فإنّ الاُمور الانتزاعية التي جعلها شروطاً للواجب لا تكون شروطاً بمفاهيمها ، بل بوجوداتها ، ومعلوم أنّ الاُمور الانتزاعية موجوديتها بعين مناشئ انتزاعها ، والفرض أنّ المناشئ متأخّرة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المقدّمة في بعض الواجبات قبل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 إمّا بتصوير الواجب التعليقي ، أو بالالتزام بالشرط المتأخّر ، أو بالالتزام بالوجوب النفسي لأجل الغير لو دلّ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تتمّات لعلّنا نتعرّض لها من ذي قبل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368341_1051229030"/>
      <w:bookmarkStart w:id="222" w:name="_Toc81"/>
      <w:bookmarkEnd w:id="221"/>
      <w:r>
        <w:rPr>
          <w:rtl w:val="true"/>
        </w:rPr>
        <w:t xml:space="preserve">ومنها </w:t>
      </w:r>
      <w:r>
        <w:rPr>
          <w:rtl w:val="true"/>
        </w:rPr>
        <w:t xml:space="preserve">: </w:t>
      </w:r>
      <w:r>
        <w:rPr>
          <w:rtl w:val="true"/>
        </w:rPr>
        <w:t>تقسيمه إلى الأصلي والتبعي</w:t>
      </w:r>
      <w:bookmarkEnd w:id="222"/>
    </w:p>
    <w:p>
      <w:pPr>
        <w:pStyle w:val="BookText"/>
        <w:rPr/>
      </w:pPr>
      <w:r>
        <w:rPr>
          <w:rFonts w:ascii="Amiri" w:hAnsi="Amiri" w:eastAsia="Amiri" w:cs="Amiri"/>
          <w:color w:val="111111"/>
          <w:sz w:val="28"/>
          <w:sz w:val="28"/>
          <w:szCs w:val="28"/>
          <w:rtl w:val="true"/>
          <w:lang w:bidi="ar-SA"/>
        </w:rPr>
        <w:t xml:space="preserve">وهذا تقسيم بحسب مقام الإثبات والدلالة ، كما أنّ التقسيم إلى النفسي والغيري بحسب مقام الثبوت والواقع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عرّفه المحقّق القمّي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فهم وجوبه من خطاب مستقلّ غير لازم لخطاب آخر ، وبعبارة اُخرى ما يكون المتكلّم قاصداً لإفهامه من الكلام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والتبعي بخلافه ، مثل دلالة الإشارة ، كأقلّ الحمل المفهوم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فإنّ دلالتها على أقلّ الحمل تكون بدلالة الإشارة ، ولا تكون مقصودة ، والواجب التبعي أيضاً كذلك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الإشارة إنّما تتأتّى فيما إذا كان للمدلول واقع ونفس أمرية ، مع قطع النظر عن الدلالة واللفظ ، وأمّا فيما لا يكون كذلك ، كالإنشائيات التي لا تحصُّل لها إلاّ بنفس الإنشاء ، ويكون استعمال ألفاظها في معانيها استعمالاً إيجادياً ، فلا يتأتّى فيها ذلك ؛ فإنّ ما يكون تحصّله متقوّماً بالإنشاء لا يمكن فيه عدم إرادة الإفهام حتّى يكون الإفهام بدلالة الإشارة ؛ لأنّ تحقّق المعاني الإنشائية إنّما يكون بالإنشاء والإيجاد المتقوِّمين بالقصد ، فكيف يمكن مع عدم قصد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إلى عدم قصد الإنشاء ، وإلى عدم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 هو متقوِّم ومتحقِّق به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المحقّق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هذا التقسيم إلى الثبوت واللبّ ، لا الدلالة والإثبات</w:t>
      </w:r>
      <w:r>
        <w:rPr>
          <w:rStyle w:val="FootnoteAnchor"/>
          <w:rtl w:val="true"/>
        </w:rPr>
        <w:footnoteReference w:id="171"/>
      </w:r>
      <w:r>
        <w:rPr>
          <w:rFonts w:ascii="Amiri" w:hAnsi="Amiri" w:eastAsia="Amiri" w:cs="Amiri"/>
          <w:color w:val="111111"/>
          <w:sz w:val="28"/>
          <w:sz w:val="28"/>
          <w:szCs w:val="28"/>
          <w:rtl w:val="true"/>
          <w:lang w:bidi="ar-SA"/>
        </w:rPr>
        <w:t>، فحينئذٍ يرتفع الفرق بينه وبين التقسيم إلى النفسي والغيري ، فراجع</w:t>
      </w:r>
      <w:r>
        <w:rPr>
          <w:rFonts w:eastAsia="Amiri" w:cs="Amiri" w:ascii="Amiri" w:hAnsi="Amiri"/>
          <w:color w:val="111111"/>
          <w:sz w:val="28"/>
          <w:szCs w:val="28"/>
          <w:rtl w:val="true"/>
          <w:lang w:bidi="ar-SA"/>
        </w:rPr>
        <w:t xml:space="preserve">. </w:t>
      </w:r>
      <w:bookmarkStart w:id="223" w:name="pg8033_80798"/>
    </w:p>
    <w:p>
      <w:pPr>
        <w:pStyle w:val="Heading5"/>
        <w:numPr>
          <w:ilvl w:val="4"/>
          <w:numId w:val="1"/>
        </w:numPr>
        <w:rPr/>
      </w:pPr>
      <w:bookmarkStart w:id="224" w:name="__RefHeading___Toc7368343_1051229030"/>
      <w:bookmarkStart w:id="225" w:name="_Toc82"/>
      <w:bookmarkEnd w:id="223"/>
      <w:bookmarkEnd w:id="224"/>
      <w:r>
        <w:rPr>
          <w:rtl w:val="true"/>
        </w:rPr>
        <w:t xml:space="preserve">ومنها </w:t>
      </w:r>
      <w:r>
        <w:rPr>
          <w:rtl w:val="true"/>
        </w:rPr>
        <w:t xml:space="preserve">: </w:t>
      </w:r>
      <w:r>
        <w:rPr>
          <w:rtl w:val="true"/>
        </w:rPr>
        <w:t>تقسيمه إلى النفسي والغيري</w:t>
      </w:r>
      <w:bookmarkEnd w:id="225"/>
    </w:p>
    <w:p>
      <w:pPr>
        <w:pStyle w:val="Heading6"/>
        <w:numPr>
          <w:ilvl w:val="5"/>
          <w:numId w:val="1"/>
        </w:numPr>
        <w:rPr/>
      </w:pPr>
      <w:bookmarkStart w:id="226" w:name="__RefHeading___Toc7368345_1051229030"/>
      <w:bookmarkStart w:id="227" w:name="_Toc83"/>
      <w:bookmarkEnd w:id="226"/>
      <w:r>
        <w:rPr>
          <w:rtl w:val="true"/>
        </w:rPr>
        <w:t>تقسيمه إلى النفسي والغيري</w:t>
      </w:r>
      <w:bookmarkEnd w:id="227"/>
    </w:p>
    <w:p>
      <w:pPr>
        <w:pStyle w:val="BookText"/>
        <w:rPr/>
      </w:pPr>
      <w:r>
        <w:rPr>
          <w:rFonts w:ascii="Amiri" w:hAnsi="Amiri" w:eastAsia="Amiri" w:cs="Amiri"/>
          <w:color w:val="111111"/>
          <w:sz w:val="28"/>
          <w:sz w:val="28"/>
          <w:szCs w:val="28"/>
          <w:rtl w:val="true"/>
          <w:lang w:bidi="ar-SA"/>
        </w:rPr>
        <w:t xml:space="preserve">وقد عرّف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اُمر به لأجل نفسه ،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 به لأجل غيره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مطلوبات لأجل الغايات الخارجية ، فيلزم أن تكون واجبات غيرية ، وهو كما ترى</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الغايات لا يتعلّق بها الطلب ؛ لكونها غير اختيارية</w:t>
      </w:r>
      <w:r>
        <w:rPr>
          <w:rStyle w:val="FootnoteAnchor"/>
          <w:rtl w:val="true"/>
        </w:rPr>
        <w:footnoteReference w:id="174"/>
      </w:r>
      <w:r>
        <w:rPr>
          <w:rFonts w:ascii="Amiri" w:hAnsi="Amiri" w:eastAsia="Amiri" w:cs="Amiri"/>
          <w:color w:val="111111"/>
          <w:sz w:val="28"/>
          <w:sz w:val="28"/>
          <w:szCs w:val="28"/>
          <w:rtl w:val="true"/>
          <w:lang w:bidi="ar-SA"/>
        </w:rPr>
        <w:t xml:space="preserve">، مدفوع ؛ ضرورة كونها تحت الاختيار ولو مع الواسطة ، فإنّ القدرة على السبب قدرة على المسبّب ، وإلاّ لما صحّ وقوع مثل التطهير والتزويج والتمليك وأمثالها مورداً للأحكام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يلزم أن يكون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لأجله هذا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أيضاً ؛ حتّى يرد الإشكال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تتعلّق به الإرادة لأجل غيره ، لا بدّ وأن ينتهي إلى ما تتعلّق به الإرادة لأجل ذاته ؛ فإنّ كلّ ما بالعرض لا بدّ وأن ينتهي إلى ما بالذات ، وإلاّ 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بالذات هو أوّل سلسلة المرادات ، وتتعلّق به الإرادة أوّلاً ، ثمّ تنشأ منها إرادة إلى مقدّمته ، ومن مقدّمته إلى مقدّمة مقدّمته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حتّى ينتهي إلى ما لا مقدّمة له ، فتنقطع السلسلة ، فما تتعلّق به الإرادة آخراً يتعلّق به الإيجاد أوّلاً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الواجبات النفسية هي ما تكون واجبة </w:t>
      </w:r>
    </w:p>
    <w:p>
      <w:pPr>
        <w:pStyle w:val="BookText"/>
        <w:rPr/>
      </w:pPr>
      <w:r>
        <w:rPr>
          <w:rFonts w:ascii="Amiri" w:hAnsi="Amiri" w:eastAsia="Amiri" w:cs="Amiri"/>
          <w:color w:val="111111"/>
          <w:sz w:val="28"/>
          <w:sz w:val="28"/>
          <w:szCs w:val="28"/>
          <w:rtl w:val="true"/>
          <w:lang w:bidi="ar-SA"/>
        </w:rPr>
        <w:t xml:space="preserve">لأجل ذاتها ، لا لأجل بعث آخر ، ويكون بعث المولى متعلِّقاً بها أوّلاً ، ويكون لها استقلال في عالم البعث والطلب وإن كان تترتّب عليها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الواجبات الغيرية ، فإنّ الطلب الغيري طلب فانٍ في الغير مترشِّح عنه مستظلّ به غير مستقلّ في عالم البعث ، فالبعث في الواجبات الغيرية يكون ظلّ بعثٍ آخر وفيئه ؛ بحيث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بطلب وبعث باعتبارٍ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مندكّ في بعث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بعث إلاّ إلى ذي المقدّمة ، ويكون البعث إلى المقدّمات بعين البعث إلى ذيها ، لا أنّ لها بعثاً مستقلاًّ منظوراً إليه ، بخلاف البعث إلى ذي المقدّمة ، فإنّه مستقلّ منظور إليه ولو لأجل ترتّب فوائد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وقال المحقّق الخراساني رحمه الله علیه في رفع الإشكال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الواجبات التي لها آثار وخواصّ مطلوبة ، يتعلّق الطلب بها لأجل تلك الآثار والخواصّ ، وإن كانت واجبات غيرية بهذا اللحاظ ، لكن لا ينافي ذلك أن تكون لها عناوين حسنة منطبقة عليها ، تكون بواسطتها واجبات 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بين الواجب النفسي والغيري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الغيري ما يكون وجوبه لأجل التوصّل إلى الغير بما أ نّه متوصّل به إليه ، وهذا لا ينافي أن تكون له جهة نفسية أيضاً ، يكون بها واجباً نفسياً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الواجبات التي يدّعى أنّ لها جهة نفسية وغيرية ، إمّا أن تكون بالنسبة إلى الغير من قبيل الأسباب بالنسبة إلى المسبّبات ، كحركة اليد والمفتاح </w:t>
      </w:r>
      <w:bookmarkStart w:id="228" w:name="pg8033_80800"/>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يكون صدور المسبّبات بنفس إرادة أسبابها ، لا بإرادة اُخرى مستقلّة، فلا يكون الثابت إلاّ وجوباً واحداً ، لا 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جزء المؤثّر في وجود الغير ، ويكون الجزء الآخر للعلّة خارجاً عن قدرة المكلّف ، فحينئذٍ لا يكون الغير مقدوراً للمكلّف ، فكيف يتعلّق به وجوب نفسي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29" w:name="__RefHeading___Toc7368347_1051229030"/>
      <w:bookmarkStart w:id="230" w:name="_Toc84"/>
      <w:bookmarkEnd w:id="229"/>
      <w:r>
        <w:rPr>
          <w:rtl w:val="true"/>
        </w:rPr>
        <w:t>حكم الشكّ في النفسية والغيرية</w:t>
      </w:r>
      <w:bookmarkEnd w:id="230"/>
    </w:p>
    <w:p>
      <w:pPr>
        <w:pStyle w:val="BookText"/>
        <w:rPr/>
      </w:pPr>
      <w:r>
        <w:rPr>
          <w:rFonts w:ascii="IRNazanin" w:hAnsi="IRNazanin" w:eastAsia="IRNazanin"/>
          <w:color w:val="111111"/>
          <w:sz w:val="28"/>
          <w:sz w:val="28"/>
          <w:szCs w:val="28"/>
          <w:rtl w:val="true"/>
          <w:lang w:bidi="fa-IR"/>
        </w:rPr>
        <w:t xml:space="preserve">ثمّ إنّه لا إشكال فيما إذا علم أحد القسمين ، وأمّا مع الشكّ في واجب بأنّه نفسي أو غيري ، فقد قال المحقّق الخراساني رحمه الله علیه في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الإطلاق هو الحمل على النفسية ؛ سواء كان ذلك الغير واجباً في بعض الأحيان وغير واجب في بعضها ، أو كان واجباً على كلّ 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الأوّل فواضح ؛ أنّ إطلاق الهيئة يقتضي أن يكون هذا واجباً ، وجب غيره أو لم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الفرض الثاني ؛ فلأنّ مطلق اشتراط شيء بشيءٍ آخر تقييد لإطلاقه ، وأصالة الإطلاق ترفع الشكّ في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الوجوب منصرف إلى النفسي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في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 لأنّ الوجوب الغيري ناشٍ من النفسي ومعلول له ، ولا يمكن أن يتقيّد المعلول بعلّته ؛ للزوم تجافي العلّة عن محلّها ، فالبعث الغيري المتأخّر عن البعث النفسي </w:t>
      </w:r>
      <w:bookmarkStart w:id="231" w:name="pg8033_80801"/>
    </w:p>
    <w:p>
      <w:pPr>
        <w:pStyle w:val="BookText"/>
        <w:rPr/>
      </w:pPr>
      <w:bookmarkEnd w:id="231"/>
      <w:r>
        <w:rPr>
          <w:rFonts w:ascii="Amiri" w:hAnsi="Amiri" w:eastAsia="Amiri" w:cs="Amiri"/>
          <w:color w:val="111111"/>
          <w:sz w:val="28"/>
          <w:sz w:val="28"/>
          <w:szCs w:val="28"/>
          <w:rtl w:val="true"/>
          <w:lang w:bidi="ar-SA"/>
        </w:rPr>
        <w:t xml:space="preserve">لا يمكن تقيّده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للزوم تأخّر الشيء عن نفسه ومحلّه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الانصراف الذي ادّعاه فهو في محلّه ، لكن على ما قرّرنا من الفرق بين النفسي والغيري ؛ فإنّ الواجب الغيري هو الواجب الفاني في الغير ، ولا نفسية له أصلاً ، والواجب منصرف عنه ، كما لا يخفى </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368349_1051229030"/>
      <w:bookmarkStart w:id="233" w:name="_Toc85"/>
      <w:bookmarkEnd w:id="232"/>
      <w:r>
        <w:rPr>
          <w:rtl w:val="true"/>
        </w:rPr>
        <w:t xml:space="preserve">تذنيبان </w:t>
      </w:r>
      <w:r>
        <w:rPr>
          <w:rtl w:val="true"/>
        </w:rPr>
        <w:t>:</w:t>
      </w:r>
      <w:bookmarkEnd w:id="233"/>
    </w:p>
    <w:p>
      <w:pPr>
        <w:pStyle w:val="Heading6"/>
        <w:numPr>
          <w:ilvl w:val="5"/>
          <w:numId w:val="1"/>
        </w:numPr>
        <w:rPr/>
      </w:pPr>
      <w:bookmarkStart w:id="234" w:name="__RefHeading___Toc7368351_1051229030"/>
      <w:bookmarkStart w:id="235" w:name="_Toc86"/>
      <w:bookmarkEnd w:id="234"/>
      <w:r>
        <w:rPr>
          <w:rtl w:val="true"/>
        </w:rPr>
        <w:t xml:space="preserve">الأوّل </w:t>
      </w:r>
      <w:r>
        <w:rPr>
          <w:rtl w:val="true"/>
        </w:rPr>
        <w:t xml:space="preserve">: </w:t>
      </w:r>
      <w:r>
        <w:rPr>
          <w:rtl w:val="true"/>
        </w:rPr>
        <w:t>في استحقاق المثوبات</w:t>
      </w:r>
      <w:bookmarkEnd w:id="235"/>
    </w:p>
    <w:p>
      <w:pPr>
        <w:pStyle w:val="BookText"/>
        <w:rPr/>
      </w:pPr>
      <w:r>
        <w:rPr>
          <w:rFonts w:ascii="Amiri" w:hAnsi="Amiri" w:eastAsia="Amiri" w:cs="Amiri"/>
          <w:color w:val="111111"/>
          <w:sz w:val="28"/>
          <w:sz w:val="28"/>
          <w:szCs w:val="28"/>
          <w:rtl w:val="true"/>
          <w:lang w:bidi="ar-SA"/>
        </w:rPr>
        <w:t xml:space="preserve">قد اختلف كلمة أصحاب الكلام في أنّ هذه المثوبات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فعل الواجبات والمستحبّات ، وترك المحرّمات والمكروهات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بصِرف التفضّل منه تعالى شأنه</w:t>
      </w:r>
      <w:r>
        <w:rPr>
          <w:rStyle w:val="FootnoteAnchor"/>
          <w:rtl w:val="true"/>
        </w:rPr>
        <w:footnoteReference w:id="177"/>
      </w:r>
      <w:r>
        <w:rPr>
          <w:rFonts w:ascii="Amiri" w:hAnsi="Amiri" w:eastAsia="Amiri" w:cs="Amiri"/>
          <w:color w:val="111111"/>
          <w:sz w:val="28"/>
          <w:sz w:val="28"/>
          <w:szCs w:val="28"/>
          <w:rtl w:val="true"/>
          <w:lang w:bidi="ar-SA"/>
        </w:rPr>
        <w:t>أم العقل يحكم باستحقاق العبد ؛ بحيث يعدّ عدم إعطائها قبيحاً عليه تعالى</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والقائلون بالاستحقاق 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حمل المشاقّ على الغير بلا أجر قبيح عقلاً ، ولا شكّ أ نّه في إطاعة المولى مشقّات ورياضات للعبد ، فلا بدّ من جبرانها بالأجر والثواب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الوهن والخطأ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العبد وجوده وقواه وحركاته وسكناته مملوكة للّه تعالى بالملكية الحقيقية القيّومية ، وفي مثلها لا معنى للاستحقاق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اللّه ونواهيه ألطاف عقلية ؛ لإصلاح حال العباد وتزكيتهم وتطهيرهم ، وإيصالهم إلى مدارج الكمالات النفسانية والفضائل </w:t>
      </w:r>
    </w:p>
    <w:p>
      <w:pPr>
        <w:pStyle w:val="BookText"/>
        <w:rPr/>
      </w:pPr>
      <w:r>
        <w:rPr>
          <w:rFonts w:ascii="Amiri" w:hAnsi="Amiri" w:eastAsia="Amiri" w:cs="Amiri"/>
          <w:color w:val="111111"/>
          <w:sz w:val="28"/>
          <w:sz w:val="28"/>
          <w:szCs w:val="28"/>
          <w:rtl w:val="true"/>
          <w:lang w:bidi="ar-SA"/>
        </w:rPr>
        <w:t xml:space="preserve">الروحانية ، أو حفظ النظام الذي يرجع نفعه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أوامره ونواهيه تعالى نفع له ؛ فإنّه غنيّ عن العالمين ، بل المنافع ترجع إليهم ، وإنّما أوامره ونواهيه كأوامر الطبيب ونواهيه ؛ لإصلاح حال المريض ، فهل يجوز عند العقل أن يرجع المريض إلى الطبيب ، ويطالبه بالأجر على إطاعة أوامره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الأدوية البشعة ، وترك المشتهيات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المشقّة على الغير بلا أجر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لدى التفكّر في حال العبد مع اللّه ، ونسبة العبودية إلى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القول بالاستحقاق لا يخلو عن جسارة على ساحته المقدّسة ، وعُجبٍ بالأعمال ، وجهل بحقيقة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استحقاق العقاب في مخالفة المولى ، فهو ممّا حكم به العقل ؛ فإنّ الخروج عن إطاعة المولى هتك لمقام الربوبية ، وفي مثله يحكم العقل بالاستحقاق ، ومعناه أ نّه لو عذّبه المولى يكون في محلّه ، لا أ نّه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باب الرحمة والعفو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التزمنا بالاستحقاق في امتثال الواجبات النفسية ، فهل امتثال الأوامر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الاستحقاق ، أم لا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عرفت من أنّ الواجبات الغيرية لا نفسية لها ، بل باعتبار يمكن سلب الوجوب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الاستحقاق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هاهنا أمر آخر ، وهو أنّ إتيان المقدّمات مع عدم تعلّق الوجوب الغيري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لأجل الإتيان بذي المقدّمة ، يوجب استحقاق المثوبة ؛ فإنّ العقل لا يفرّق بين الإتيان بالواجب النفسي ، وبين الإتيان بالواجب </w:t>
      </w:r>
    </w:p>
    <w:p>
      <w:pPr>
        <w:pStyle w:val="BookText"/>
        <w:rPr/>
      </w:pPr>
      <w:r>
        <w:rPr>
          <w:rFonts w:ascii="Amiri" w:hAnsi="Amiri" w:eastAsia="Amiri" w:cs="Amiri"/>
          <w:color w:val="111111"/>
          <w:sz w:val="28"/>
          <w:sz w:val="28"/>
          <w:szCs w:val="28"/>
          <w:rtl w:val="true"/>
          <w:lang w:bidi="ar-SA"/>
        </w:rPr>
        <w:t>الغيري ؛ لأجل إطاعة المولى ، لا للشهوات ، فإذا كان الباعث للعبد نحو المقدّمة إطاعة أمر ذي المقدّمة ، ولا داعي له إلاّ الامتثال فيستحقّ المثوبة على القول بالاستحقاق ؛ فإنّه تحمّل المشقّة له تعالى ، والعقل يجد الفرق بين من يتحمّل 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بإتيان مقدّمات كثيرة للواجب النفسي ، ومات قبل إتيانه ، وبين من لم يتحمّلها ، فالاستحقاق إنّما هو لأجل إطاعة الواجب النفسي وإن كان على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ودفع</w:t>
      </w:r>
    </w:p>
    <w:p>
      <w:pPr>
        <w:pStyle w:val="BookText"/>
        <w:rPr/>
      </w:pPr>
      <w:r>
        <w:rPr>
          <w:rFonts w:ascii="Amiri" w:hAnsi="Amiri" w:eastAsia="Amiri" w:cs="Amiri"/>
          <w:color w:val="111111"/>
          <w:sz w:val="28"/>
          <w:sz w:val="28"/>
          <w:szCs w:val="28"/>
          <w:rtl w:val="true"/>
          <w:lang w:bidi="ar-SA"/>
        </w:rPr>
        <w:t xml:space="preserve">ربّما يشكل في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ترتّب الثواب عليها ، مع أنّ الأمر الغيري لا مثوبة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يعتبر فيها قصد التقرّب والامتثال ، فلا بدّ من تعلّق الأمر الغيري بالطهارات بداعي أمرها ، فيأتي الإشكال المعروف في الواجبات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الأمر داعياً إلى داعوية نفسه</w:t>
      </w:r>
      <w:r>
        <w:rPr>
          <w:rStyle w:val="FootnoteAnchor"/>
          <w:rtl w:val="true"/>
        </w:rPr>
        <w:footnoteReference w:id="180"/>
      </w:r>
      <w:r>
        <w:rPr>
          <w:rFonts w:ascii="IRNazanin" w:hAnsi="IRNazanin" w:eastAsia="IRNazanin"/>
          <w:color w:val="111111"/>
          <w:sz w:val="28"/>
          <w:sz w:val="28"/>
          <w:szCs w:val="28"/>
          <w:rtl w:val="true"/>
          <w:lang w:bidi="fa-IR"/>
        </w:rPr>
        <w:t xml:space="preserve">ولا يأتي الجواب الذي قال به المحقّق الخراساني رحمه الله علیه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الأمر بالأوسع من الغرض</w:t>
      </w:r>
      <w:r>
        <w:rPr>
          <w:rStyle w:val="FootnoteAnchor"/>
          <w:rtl w:val="true"/>
        </w:rPr>
        <w:footnoteReference w:id="181"/>
      </w:r>
      <w:r>
        <w:rPr>
          <w:rFonts w:ascii="Amiri" w:hAnsi="Amiri" w:eastAsia="Amiri" w:cs="Amiri"/>
          <w:color w:val="111111"/>
          <w:sz w:val="28"/>
          <w:sz w:val="28"/>
          <w:szCs w:val="28"/>
          <w:rtl w:val="true"/>
          <w:lang w:bidi="ar-SA"/>
        </w:rPr>
        <w:t xml:space="preserve">؛ لأنّ الأمر الغيري إنّما يتعلّق بالمقدّمة بملاك المقدّمية ، ولم يكن الملاك إلاّ في الطهارة المقيّدة بالتقرّب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والتحقيق في الجواب عن الأوّل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الثواب لم يكن لأجل </w:t>
      </w:r>
      <w:bookmarkStart w:id="236" w:name="pg8033_80804"/>
    </w:p>
    <w:p>
      <w:pPr>
        <w:pStyle w:val="BookText"/>
        <w:rPr/>
      </w:pPr>
      <w:bookmarkEnd w:id="236"/>
      <w:r>
        <w:rPr>
          <w:rFonts w:ascii="Amiri" w:hAnsi="Amiri" w:eastAsia="Amiri" w:cs="Amiri"/>
          <w:color w:val="111111"/>
          <w:sz w:val="28"/>
          <w:sz w:val="28"/>
          <w:szCs w:val="28"/>
          <w:rtl w:val="true"/>
          <w:lang w:bidi="ar-SA"/>
        </w:rPr>
        <w:t xml:space="preserve">وجوبها الغيري ، بل لأجل الوجوب النفسي المتعلّق بذي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الوضوء والغسل من المستحبّات النفسية ، فإن أتى المكلّف بهما بداعي استحبابهما النفسي ، فلا إشكال في ترتّب الثواب عليهما ، وإن لم يكن له داعٍ إلاّ الإتيان بذي المقدّمة ، فيأتي بهما لأجله ، فيكون مُثاباً لأجل داعوية الأمر النفسي لإتيانهما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عن الإشكال هاهنا أهون ؛ فإنّ الطهارة مع داعي الامتثال إذا كانت مقدّمة للصلاة ، تكون نفس الطهارة أيضاً مقدّمة ؛ فإنّها مقدّمة المقدّمة ، فيتعلّق الأمر بذات الطهارة لأجل المقدّمية ، وقد مرّ منّا</w:t>
      </w:r>
      <w:r>
        <w:rPr>
          <w:rStyle w:val="FootnoteAnchor"/>
          <w:rtl w:val="true"/>
        </w:rPr>
        <w:footnoteReference w:id="182"/>
      </w:r>
      <w:r>
        <w:rPr>
          <w:rFonts w:ascii="Amiri" w:hAnsi="Amiri" w:eastAsia="Amiri" w:cs="Amiri"/>
          <w:color w:val="111111"/>
          <w:sz w:val="28"/>
          <w:sz w:val="28"/>
          <w:szCs w:val="28"/>
          <w:rtl w:val="true"/>
          <w:lang w:bidi="ar-SA"/>
        </w:rPr>
        <w:t xml:space="preserve">التحقيق في مثل المقام ، فتذكّر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368353_1051229030"/>
      <w:bookmarkStart w:id="238" w:name="_Toc87"/>
      <w:bookmarkEnd w:id="237"/>
      <w:r>
        <w:rPr>
          <w:rtl w:val="true"/>
        </w:rPr>
        <w:t xml:space="preserve">الثاني </w:t>
      </w:r>
      <w:r>
        <w:rPr>
          <w:rtl w:val="true"/>
        </w:rPr>
        <w:t xml:space="preserve">: </w:t>
      </w:r>
      <w:r>
        <w:rPr>
          <w:rtl w:val="true"/>
        </w:rPr>
        <w:t>في الوضوء التهيّئي</w:t>
      </w:r>
      <w:bookmarkEnd w:id="2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انقدح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داعوية الوجوب النفسي المتعلِّق بذي المقدّمة إلى إتيان المقدّمات بلا احتياجٍ إلى تعلّق الوجوب الغيري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تطبيق الوضوء التهيّئي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المفتى به بين الأصحاب</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وإن لم نلتزم بالوجوب التعليقي بالنسبة إلى ذي المقدّمة ؛ فإنّ علم المكلّف بأمر المولى في موطنه يدعوه إلى إتيان مقدّمته قبل الوقت ، فإنّ التوقيت لذي المقدّمة لا لمقدّمته ، فالوضوء مقدّمة للصلاة مطلقاً ؛ أتى به قبل دخول وقتها أو بعده ، فالإتيان به بداعي حصول مقدّمتها عند حضور وقتها ممّا لا إشكال فيه ، فتدبّر </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انقدح بما حقّقنا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الوضوء متعلّقاً لأوامر كثيرة حسب تكثّر الغايات ، بل له أمر نفسي استحبابي فقط ، نعم الأمر بالغايات يدعو إلى إتيانه لأجل المقدّمية بلا تعلّق أمر غيري به ، فالأمر الغيري لا أساس له أصلاً ، فالإشكال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 المثلين أو الأمثال في الوضوء لا أساس له</w:t>
      </w:r>
      <w:r>
        <w:rPr>
          <w:rFonts w:eastAsia="Amiri" w:cs="Amiri" w:ascii="Amiri" w:hAnsi="Amiri"/>
          <w:color w:val="111111"/>
          <w:sz w:val="28"/>
          <w:szCs w:val="28"/>
          <w:rtl w:val="true"/>
          <w:lang w:bidi="ar-SA"/>
        </w:rPr>
        <w:t xml:space="preserve">. </w:t>
      </w:r>
      <w:bookmarkStart w:id="239" w:name="pg8033_80806"/>
    </w:p>
    <w:p>
      <w:pPr>
        <w:pStyle w:val="Heading4"/>
        <w:numPr>
          <w:ilvl w:val="3"/>
          <w:numId w:val="1"/>
        </w:numPr>
        <w:rPr/>
      </w:pPr>
      <w:bookmarkStart w:id="240" w:name="__RefHeading___Toc7368355_1051229030"/>
      <w:bookmarkStart w:id="241" w:name="_Toc88"/>
      <w:bookmarkEnd w:id="239"/>
      <w:bookmarkEnd w:id="240"/>
      <w:r>
        <w:rPr>
          <w:rtl w:val="true"/>
        </w:rPr>
        <w:t>الأمر الرابع في بيان ما هو الواجب في باب المقدّمة</w:t>
      </w:r>
      <w:bookmarkEnd w:id="241"/>
    </w:p>
    <w:p>
      <w:pPr>
        <w:pStyle w:val="Heading5"/>
        <w:numPr>
          <w:ilvl w:val="4"/>
          <w:numId w:val="1"/>
        </w:numPr>
        <w:rPr/>
      </w:pPr>
      <w:bookmarkStart w:id="242" w:name="__RefHeading___Toc7368357_1051229030"/>
      <w:bookmarkStart w:id="243" w:name="_Toc89"/>
      <w:bookmarkEnd w:id="242"/>
      <w:r>
        <w:rPr>
          <w:rtl w:val="true"/>
        </w:rPr>
        <w:t>في بيان ما هو الواجب في باب المقدّمة</w:t>
      </w:r>
      <w:bookmarkEnd w:id="243"/>
    </w:p>
    <w:p>
      <w:pPr>
        <w:pStyle w:val="BookText"/>
        <w:rPr/>
      </w:pPr>
      <w:r>
        <w:rPr>
          <w:rFonts w:ascii="IRNazanin" w:hAnsi="IRNazanin" w:eastAsia="IRNazanin"/>
          <w:color w:val="111111"/>
          <w:sz w:val="28"/>
          <w:sz w:val="28"/>
          <w:szCs w:val="28"/>
          <w:rtl w:val="true"/>
          <w:lang w:bidi="fa-IR"/>
        </w:rPr>
        <w:t xml:space="preserve">لا إشكال في أنّ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في الإطلاق والاشتراط وجوب ذي المقدّمة ، 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وجوبها مشروط بإرادة المكلّف إتيان ذي المقدّمة</w:t>
      </w:r>
      <w:r>
        <w:rPr>
          <w:rStyle w:val="FootnoteAnchor"/>
          <w:rtl w:val="true"/>
        </w:rPr>
        <w:footnoteReference w:id="184"/>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تعلّق الأمر بشيء إنّما هو لأجل الداعوية والتحريك نحوه ، فإذا كان المكلّف مريداً لإتيان ذي المقدّمة ، فمن الضروري تعلّق إرادته بإتيان مقدّمته ، فبعد تعلّقها به يصير تعلّق الأمر به لغواً باطلاً غير صالح للداعوية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وقوعها على صفة الوجوب أن يكون الإتيان بها بداعي التوصّل بها إلى ذي المقدّمة كما يتراءى من ظاهر كلام بعض محقّقي مقرّري بحث الشيخ العلاّمة أعلى اللّه مقامه</w:t>
      </w:r>
      <w:r>
        <w:rPr>
          <w:rStyle w:val="FootnoteAnchor"/>
          <w:rtl w:val="true"/>
        </w:rPr>
        <w:footnoteReference w:id="185"/>
      </w:r>
      <w:r>
        <w:rPr>
          <w:rFonts w:ascii="IRNazanin" w:hAnsi="IRNazanin" w:eastAsia="IRNazanin"/>
          <w:color w:val="111111"/>
          <w:sz w:val="28"/>
          <w:sz w:val="28"/>
          <w:szCs w:val="28"/>
          <w:rtl w:val="true"/>
          <w:lang w:bidi="fa-IR"/>
        </w:rPr>
        <w:t xml:space="preserve">، أو يعتبر فيه أن يترتّب ذو المقدّمة عليها بحيث لو لم يترتّب يكشف عن عدم وقوعها على صفة الوجوب كما ذهب إليه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Style w:val="FootnoteAnchor"/>
          <w:rtl w:val="true"/>
        </w:rPr>
        <w:footnoteReference w:id="186"/>
      </w:r>
      <w:r>
        <w:rPr>
          <w:rFonts w:ascii="Amiri" w:hAnsi="Amiri" w:eastAsia="Amiri" w:cs="Amiri"/>
          <w:color w:val="111111"/>
          <w:sz w:val="28"/>
          <w:sz w:val="28"/>
          <w:szCs w:val="28"/>
          <w:rtl w:val="true"/>
          <w:lang w:bidi="ar-SA"/>
        </w:rPr>
        <w:t xml:space="preserve">، أو يعتبر فيه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التوصّل والموصلية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يعتبر شيء منهما ؟ </w:t>
      </w:r>
    </w:p>
    <w:p>
      <w:pPr>
        <w:pStyle w:val="BookText"/>
        <w:rPr/>
      </w:pPr>
      <w:r>
        <w:rPr>
          <w:rFonts w:ascii="Amiri" w:hAnsi="Amiri" w:eastAsia="Amiri" w:cs="Amiri"/>
          <w:color w:val="111111"/>
          <w:sz w:val="28"/>
          <w:sz w:val="28"/>
          <w:szCs w:val="28"/>
          <w:rtl w:val="true"/>
          <w:lang w:bidi="ar-SA"/>
        </w:rPr>
        <w:t xml:space="preserve">والتحقيق عدم اعتبارهما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اعتبار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تمام الملاك في تعلّق الوجوب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مقدّمة ؛ وممّا يتوقّف عليها ذوها ، ومعلوم أنّ قصد التوصّل لا يكون ممّا يتوقّف عليه الواجب ، فلا معنى لترشّح الوجوب عليه منه ؛ لفقدان ما هو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المتراءى من صدر كلام المحقّق المقرّر وإن كان ما ذكر ، لكن بعد التأمّل في تمام كلامه واحتجاجاته يعلم أنّ قصد التوصّل إنّما اعتبره في التقرّب بالمقدّمة ، لا في وقوعها على صفة الوجوب ، وهذا موافق للتحقيق ؛ فإنّ التقرّب بها لا يحصل إلاّ مع قصد الامتثال ، وهو لا يحصل إلاّ مع قصد الإيصال إلى ذي المقدّمة ، ولعلّ هذا موافق 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استحقاق الثواب على المقدّمة إنّما يكون لأجل الأمر النفسي المتعلّق بذي المقدّمة الذي يدعو إلى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قصد التوصّل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المقدّمة الموصلة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 ما أفاد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الموصوف بالوجوب هو المقدّمة مع قيد الإيصال ، وإلاّ يلزم الالتزام بجواز إتيان المقدّمة المحرّمة بلا توصّل إلى ذي المقدّمة ، فيجوز دخول الملك الغصبي الذي يكون مقدّمة لإنقاذ الغريق مع عدم إنقاذه ، وهو كما ترى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قصد التوصّل ولم يتوصّل أتى بالمحرّم الواقعي ، لكنّه معذور فيه ، كما أ نّه لو أتى بالمقدّمة المحرّمة بلا قصد الإيصال ، ولكن بدا له التوصّل إلى ذي المقدّمة فتوصّل ، أتى بالواجب الواقعي ، لكنّه متجرٍّ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الواجب هو المقدّمة مع قيد الإيصال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إن أراد بوجوب المقدّمة الموصلة التفصيل بين المقدّمة التي هي موصلة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يلزم من عدمه العدم ومن وجوده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غيرها ؛ أي ما يلزم من عدمه العدم ، كما هو شأن المقدّمية ، لكن لا يلزم من وجوده الوجود ، فهذا تفصيل بين المقدّمة السببية وغيرها ؛ أي بين الأفعال التوليدية التي لم تكن إرادة الفاعل متوسِّطة بينها وبين أسبابها ، وبين غيرها ، وليس هذا خلافاً جديداً ، بل هو ما نسب إلى عَلَم الهدى السيّد المرتضى رحمه الله علیه </w:t>
      </w:r>
      <w:r>
        <w:rPr>
          <w:rStyle w:val="FootnoteAnchor"/>
          <w:rtl w:val="true"/>
        </w:rPr>
        <w:footnoteReference w:id="188"/>
      </w:r>
      <w:r>
        <w:rPr>
          <w:rFonts w:ascii="Amiri" w:hAnsi="Amiri" w:eastAsia="Amiri" w:cs="Amiri"/>
          <w:color w:val="111111"/>
          <w:sz w:val="28"/>
          <w:sz w:val="28"/>
          <w:szCs w:val="28"/>
          <w:rtl w:val="true"/>
          <w:lang w:bidi="ar-SA"/>
        </w:rPr>
        <w:t xml:space="preserve">، وأنكره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حينئذٍ النزاع المعروف في التسبيبيات</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الأوامر هل هي متعلّقة بالأسباب أو بمسبّباتها ؟</w:t>
      </w:r>
    </w:p>
    <w:p>
      <w:pPr>
        <w:pStyle w:val="BookText"/>
        <w:rPr/>
      </w:pPr>
      <w:r>
        <w:rPr>
          <w:rFonts w:ascii="Amiri" w:hAnsi="Amiri" w:eastAsia="Amiri" w:cs="Amiri"/>
          <w:color w:val="111111"/>
          <w:sz w:val="28"/>
          <w:sz w:val="28"/>
          <w:szCs w:val="28"/>
          <w:rtl w:val="true"/>
          <w:lang w:bidi="ar-SA"/>
        </w:rPr>
        <w:t xml:space="preserve">وإن أراد بوجوبها وجوب جميع المقدّمات ، لكنّه ذهب إلى أنّ اتّصافها بالوجوب لا يكون إلاّ مع الإيصال ، فتجب على المكلّف المقدّمة وتحصيل قيد الإيصال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هذا القيد لا يكون إلاّ بإتيان ذي المقدّمة ، فبناء على الملازمة يترشّح الوجوب الغيري من نفس ذي المقدّمة على نفسه بعدد المقدّمات ، فيكون متعلّقاً لوجوب واحد نفسي ووجوبات كثيرة غيرية مترشّحة من ذاته إلى ذاته </w:t>
      </w:r>
      <w:r>
        <w:rPr>
          <w:rFonts w:eastAsia="Amiri" w:cs="Amiri" w:ascii="Amiri" w:hAnsi="Amiri"/>
          <w:color w:val="111111"/>
          <w:sz w:val="28"/>
          <w:szCs w:val="28"/>
          <w:rtl w:val="true"/>
          <w:lang w:bidi="ar-SA"/>
        </w:rPr>
        <w:t xml:space="preserve">. </w:t>
      </w:r>
      <w:bookmarkStart w:id="244" w:name="pg8033_80809"/>
    </w:p>
    <w:p>
      <w:pPr>
        <w:pStyle w:val="BookText"/>
        <w:rPr/>
      </w:pPr>
      <w:bookmarkEnd w:id="244"/>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ذو المقدّمة مقدّمة لنفسه ، وهو ضروري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الأنصاري رحمهم اللّه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التزموا في باب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العبادة التي يتوقّف على تركها فعل الواجب ؛ بناءً على كون ترك الضدّ مقدّمة لفعل ضدّه ، فإنّ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مطلقاً واجباً ، بل الواجب هو الترك في حال إرادة فعل الواجب ، ومعلوم أنّ الآتي بالضدّ لا يريد فعل ضدّه ، فلا يكون تركه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باب الضدّ زيادة توضيحٍ لذلك</w:t>
      </w:r>
      <w:r>
        <w:rPr>
          <w:rStyle w:val="FootnoteAnchor"/>
          <w:rtl w:val="true"/>
        </w:rPr>
        <w:footnoteReference w:id="191"/>
      </w:r>
      <w:r>
        <w:rPr>
          <w:rFonts w:ascii="Amiri" w:hAnsi="Amiri" w:eastAsia="Amiri" w:cs="Amiri"/>
          <w:color w:val="111111"/>
          <w:sz w:val="28"/>
          <w:sz w:val="28"/>
          <w:szCs w:val="28"/>
          <w:rtl w:val="true"/>
          <w:lang w:bidi="ar-SA"/>
        </w:rPr>
        <w:t xml:space="preserve">، وكذا توضيح ما أراد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العلاّمة الأنصاري رحمهما اللّه ، فانتظر </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368359_1051229030"/>
      <w:bookmarkStart w:id="246" w:name="_Toc90"/>
      <w:bookmarkEnd w:id="245"/>
      <w:r>
        <w:rPr>
          <w:rtl w:val="true"/>
        </w:rPr>
        <w:t xml:space="preserve">تذنيب </w:t>
      </w:r>
      <w:r>
        <w:rPr>
          <w:rtl w:val="true"/>
        </w:rPr>
        <w:t xml:space="preserve">: </w:t>
      </w:r>
      <w:r>
        <w:rPr>
          <w:rtl w:val="true"/>
        </w:rPr>
        <w:t>في ثمرة النزاع في هذه المسألة</w:t>
      </w:r>
      <w:bookmarkEnd w:id="246"/>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ثمرة مهمّة في هذه المسألة ؛ ضرورة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وجوباً يترتّب عليه أثر ؛ فإنّ هذا الوجوب الترشّحي لا يكون له إطاعة ومعصية ، ولا في إتيانه وتركه استحقاق مثوبة وعقوبة ، ولا بدّ بحكم العقل من إتيان المقدّمة ، تعلّق بها الوجوب الشرعي أو لا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به من سائر الثمرات مثل البرّ بالنذر وغيره</w:t>
      </w:r>
      <w:r>
        <w:rPr>
          <w:rStyle w:val="FootnoteAnchor"/>
          <w:rtl w:val="true"/>
        </w:rPr>
        <w:footnoteReference w:id="192"/>
      </w:r>
      <w:r>
        <w:rPr>
          <w:rFonts w:ascii="Amiri" w:hAnsi="Amiri" w:eastAsia="Amiri" w:cs="Amiri"/>
          <w:color w:val="111111"/>
          <w:sz w:val="28"/>
          <w:sz w:val="28"/>
          <w:szCs w:val="28"/>
          <w:rtl w:val="true"/>
          <w:lang w:bidi="ar-SA"/>
        </w:rPr>
        <w:t>، كلّها مخدوش ، ومنها الثمرة التي سيأتي ذكرها في باب الضدّ مفصّلاً</w:t>
      </w:r>
      <w:r>
        <w:rPr>
          <w:rStyle w:val="FootnoteAnchor"/>
          <w:rtl w:val="true"/>
        </w:rPr>
        <w:footnoteReference w:id="193"/>
      </w:r>
      <w:r>
        <w:rPr>
          <w:rFonts w:ascii="Amiri" w:hAnsi="Amiri" w:eastAsia="Amiri" w:cs="Amiri"/>
          <w:color w:val="111111"/>
          <w:sz w:val="28"/>
          <w:sz w:val="28"/>
          <w:szCs w:val="28"/>
          <w:rtl w:val="true"/>
          <w:lang w:bidi="ar-SA"/>
        </w:rPr>
        <w:t xml:space="preserve">، فلا داعي للتعرّض لها هاهنا </w:t>
      </w:r>
      <w:r>
        <w:rPr>
          <w:rFonts w:eastAsia="Amiri" w:cs="Amiri" w:ascii="Amiri" w:hAnsi="Amiri"/>
          <w:color w:val="111111"/>
          <w:sz w:val="28"/>
          <w:szCs w:val="28"/>
          <w:rtl w:val="true"/>
          <w:lang w:bidi="ar-SA"/>
        </w:rPr>
        <w:t xml:space="preserve">. </w:t>
      </w:r>
      <w:bookmarkStart w:id="247" w:name="pg8033_80810"/>
    </w:p>
    <w:p>
      <w:pPr>
        <w:pStyle w:val="Heading5"/>
        <w:numPr>
          <w:ilvl w:val="4"/>
          <w:numId w:val="1"/>
        </w:numPr>
        <w:rPr/>
      </w:pPr>
      <w:bookmarkStart w:id="248" w:name="__RefHeading___Toc7368361_1051229030"/>
      <w:bookmarkStart w:id="249" w:name="_Toc91"/>
      <w:bookmarkEnd w:id="247"/>
      <w:bookmarkEnd w:id="248"/>
      <w:r>
        <w:rPr>
          <w:rtl w:val="true"/>
        </w:rPr>
        <w:t xml:space="preserve">تتمّة </w:t>
      </w:r>
      <w:r>
        <w:rPr>
          <w:rtl w:val="true"/>
        </w:rPr>
        <w:t xml:space="preserve">: </w:t>
      </w:r>
      <w:r>
        <w:rPr>
          <w:rtl w:val="true"/>
        </w:rPr>
        <w:t>حول الأصل عند الشكّ في الملازمة</w:t>
      </w:r>
      <w:bookmarkEnd w:id="249"/>
    </w:p>
    <w:p>
      <w:pPr>
        <w:pStyle w:val="BookText"/>
        <w:rPr/>
      </w:pPr>
      <w:r>
        <w:rPr>
          <w:rFonts w:ascii="Amiri" w:hAnsi="Amiri" w:eastAsia="Amiri" w:cs="Amiri"/>
          <w:color w:val="111111"/>
          <w:sz w:val="28"/>
          <w:sz w:val="28"/>
          <w:szCs w:val="28"/>
          <w:rtl w:val="true"/>
          <w:lang w:bidi="ar-SA"/>
        </w:rPr>
        <w:t xml:space="preserve">لا أصل في المسألة يعوّل عليه عند الشكّ ؛ فإنّ الملازمة لا حالة سابقة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المقدّمة وإن كان مسبوقاً بالعدم ، لكن جريان الأصل فيه مشكل ، فإنّ أصالة عدم تنجّز التكليف ؛ بمعنى عدم استحقاق العقوبة على تركها ، غير جارية ؛ فإنّ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أمراً عقلياً ليس بيد الشارع جعله ورفعه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في باب المقدّمة ، فإنّه في تركها ليس استحقاق العقوبة ، ولا في فعلها استحقاق المثوبة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بأصالة عدم الوجوب رفع فعليته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رفع فعلية وجوب المقدّمة مع فعلية وجوب ذيها ؛ فإنّ وجوب المقدّمة تابع لذيها في الوجود ومرتبته ، فلا يعقل انفكاكهما في الفعلية ، والفرض أنّ الشكّ في وجوب المقدّمة ناشٍ عن الشكّ في الملازمة وعدمها ، وليس الشكّ في وجوب مستقلّ يمكن رفعه ووضعه </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368363_1051229030"/>
      <w:bookmarkStart w:id="251" w:name="_Toc92"/>
      <w:bookmarkEnd w:id="250"/>
      <w:r>
        <w:rPr>
          <w:rtl w:val="true"/>
        </w:rPr>
        <w:t>حول</w:t>
      </w:r>
      <w:bookmarkEnd w:id="251"/>
    </w:p>
    <w:p>
      <w:pPr>
        <w:pStyle w:val="BookText"/>
        <w:rPr/>
      </w:pPr>
      <w:r>
        <w:rPr>
          <w:rFonts w:ascii="Amiri" w:hAnsi="Amiri" w:eastAsia="Amiri" w:cs="Amiri"/>
          <w:color w:val="111111"/>
          <w:sz w:val="28"/>
          <w:sz w:val="28"/>
          <w:szCs w:val="28"/>
          <w:rtl w:val="true"/>
          <w:lang w:bidi="ar-SA"/>
        </w:rPr>
        <w:t>استدلال القائلين بوجوب المقدّمة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الاُصوليين وجوب المقدّمة</w:t>
      </w:r>
      <w:r>
        <w:rPr>
          <w:rStyle w:val="FootnoteAnchor"/>
          <w:rtl w:val="true"/>
        </w:rPr>
        <w:footnoteReference w:id="194"/>
      </w:r>
      <w:r>
        <w:rPr>
          <w:rFonts w:ascii="Amiri" w:hAnsi="Amiri" w:eastAsia="Amiri" w:cs="Amiri"/>
          <w:color w:val="111111"/>
          <w:sz w:val="28"/>
          <w:sz w:val="28"/>
          <w:szCs w:val="28"/>
          <w:rtl w:val="true"/>
          <w:lang w:bidi="ar-SA"/>
        </w:rPr>
        <w:t xml:space="preserve">ومقصودهم منه هو الوجوب الشرعي ، لا اللابدّية العقلية ؛ فإنّها غير قابلة للنزاع والنقض والإبرام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في المسائل الأصلية الفقهية وإن لم تبعد حجّيتها ، بل تترجّح عندنا ، لكن ليست مسألتنا هذه منها ؛ فإنّ الاشتهار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بملاك إدراك الملازمة العقلية، لا الأمر التعبّدي الواصل إليهم دوننا ، ففي مثلها لا حجّية لاتّفاق الآراء فضلاً عن الشهرة ؛ فإنّ الحاكم في مثلها العقل ، فإن أدرك الملازمة فهو ، وإلاّ فلا موجب لحكمه بالوجوب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تفصيل بعضهم بين السبب وغيره</w:t>
      </w:r>
      <w:r>
        <w:rPr>
          <w:rStyle w:val="FootnoteAnchor"/>
          <w:rtl w:val="true"/>
        </w:rPr>
        <w:footnoteReference w:id="195"/>
      </w:r>
      <w:r>
        <w:rPr>
          <w:rFonts w:ascii="Amiri" w:hAnsi="Amiri" w:eastAsia="Amiri" w:cs="Amiri"/>
          <w:color w:val="111111"/>
          <w:sz w:val="28"/>
          <w:sz w:val="28"/>
          <w:szCs w:val="28"/>
          <w:rtl w:val="true"/>
          <w:lang w:bidi="ar-SA"/>
        </w:rPr>
        <w:t>وبعضهم بين الشرط الشرعي وغيره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الملاك العقلي مطّرد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كون الوجوب شرعياً ، لا عقلياً محضاً ، وإلاّ فلا معنى للتفصيل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التفصيلين 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اشتباه وخطأ لا بدّ من رفعهما ؛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يرفع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التفصيل بين السبب وغيره ، فمبنى الاشتباه فيه أنّ المسبّبات التوليدية لا يعقل تعلّق الأمر بها ، بل لا بدّ من صرف الأوامر المتعلّقة بها ظاهراً إلى أسبابها ؛ فإنّ القدرة إنّما تتعلّق بأسبابها ، وإيجاد الأسباب عين إيجادها ، وليس بينها وبين أسبابها تخلّل إرادة وقدرة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تفصيلاً في مقدّمة الواجب ، بل هو أجنبيّ عنها تماماً، مع أنّها في حدّ نفسها أيضاً باطلة ؛ فإنّ المقدور مع الواسطة مقدور كما مرّ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التفصيل بين الشرط الشرعي وغيره ، فغاية ما يتوهّم فيه أنّ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يكون عند العقل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تنتزع من تقييد المكلّف به به ، كما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تعلّق الطلب المتعلّق بالمركّب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خروجه عن مورد النزاع في باب مقدّمة الواجب ، فإنّ النزاع إنّما يكون في المقدّمات الخارجية ، لا القيود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الشرائط الشرعية ترجع إلى العقلية ، فما يرى أ نّه يمكن وجوده بغير المقدّمة الشرعية ، كالصلاة التي يتوهّم إمكان وجودها بلا طهارة عقلاً ، لا يكون كذلك واقعاً؛ فإنّها حقيقة واقعية لا يمكن تحقّقها إلاّ بالطهور ، فالشرائط الشرعية مقدّمات عقلية كشف عنها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وجوب المقدّمة أبو الحسين البصري</w:t>
      </w:r>
      <w:r>
        <w:rPr>
          <w:rStyle w:val="FootnoteAnchor"/>
          <w:rtl w:val="true"/>
        </w:rPr>
        <w:footnoteReference w:id="198"/>
      </w:r>
      <w:r>
        <w:rPr>
          <w:rFonts w:ascii="Amiri" w:hAnsi="Amiri" w:eastAsia="Amiri" w:cs="Amiri"/>
          <w:color w:val="111111"/>
          <w:sz w:val="28"/>
          <w:sz w:val="28"/>
          <w:szCs w:val="28"/>
          <w:rtl w:val="true"/>
          <w:lang w:bidi="ar-SA"/>
        </w:rPr>
        <w:t>، وتبعه غيره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لو لم تجب المقدّمة لجاز تركها ، وحينئذٍ إن بقي الواجب على وجوبه يلزم التكليف بما لا يطاق ، وإلاّ خرج الواجب المطلق عن كونه واجباً مطلقاً ؛ لصيرورته مشروطاً بإتيان مقدّمته ، لكنّ اللازمين باطلان ، فالملزوم مثلهما ، فإذا بطل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المقدّمة ، وهذا هو المطلوب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يضاف إليه الظرف إمّا أن يكون الجواز ، وإمّا أن يكون الترك ، فعلى الأوّل لا تصدق الشرطية الثانية ؛ فإنّه بمجرّد جواز الترك لا يلزم التكليف بما لا يطاق ، وعلى الثاني لا ينتج القياس ؛ لعدم تكرار الوسط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الأوامر الشرعية والعرفية بها ، كما هو واضح</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بالمقدّمة إنّما هو تحريك إلى المطلوب النفسي ، لا تحريك إلى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وزان الإرادة التشريعية كوزان الإرادة التكوينية في جميع الخصوصيات ، فكما أنّ الإرادة التكوينية إذا تعلّقت بشيء تتولّد منها إرادة اُخرى تتعلّق بمقدّماته ، كذلك الإرادة التشريعية طابق النعل بالنعل ، فلا بدّ من طلب غيري مقدّمي متولِّد من الطلب النفسي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ممنوع ؛ فإنّ الإرادة التشريعية ليست إلاّ البعث والتحريك نحو الفعل ، ليحصل في نفس المكلّف حبّه واشتياقه وإرادته ، ليتحرّك نحو إيجاده ، وهذا ليس إلاّ إنشاء البعث النفسي نحو ذي المقدّمة ، بدون أن يكون هناك إنشاءات بعثية اُخرى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سُئل الآمر عن ذلك ، لا يعترف بأزيد من بعث واحد متعلّق 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بافتراض الوجوب الذي ليس له ثواب ولا عقاب ولا بعث ولا تحريك نحو المقدّمة ؛ فإنّ البعث إليها هو البعث إلى ذيها حقيقة ، لا إليها ، تدبّر </w:t>
      </w:r>
      <w:r>
        <w:rPr>
          <w:rFonts w:eastAsia="Amiri" w:cs="Amiri" w:ascii="Amiri" w:hAnsi="Amiri"/>
          <w:color w:val="111111"/>
          <w:sz w:val="28"/>
          <w:szCs w:val="28"/>
          <w:rtl w:val="true"/>
          <w:lang w:bidi="ar-SA"/>
        </w:rPr>
        <w:t xml:space="preserve">. </w:t>
      </w:r>
      <w:bookmarkStart w:id="252" w:name="pg8033_80814"/>
    </w:p>
    <w:p>
      <w:pPr>
        <w:pStyle w:val="Heading3"/>
        <w:numPr>
          <w:ilvl w:val="2"/>
          <w:numId w:val="1"/>
        </w:numPr>
        <w:rPr/>
      </w:pPr>
      <w:bookmarkStart w:id="253" w:name="__RefHeading___Toc7368365_1051229030"/>
      <w:bookmarkStart w:id="254" w:name="_Toc93"/>
      <w:bookmarkEnd w:id="252"/>
      <w:bookmarkEnd w:id="253"/>
      <w:r>
        <w:rPr>
          <w:rtl w:val="true"/>
        </w:rPr>
        <w:t>المطلب الخامس</w:t>
      </w:r>
      <w:r>
        <w:rPr>
          <w:rtl w:val="true"/>
        </w:rPr>
        <w:t xml:space="preserve">: </w:t>
      </w:r>
      <w:r>
        <w:rPr>
          <w:rtl w:val="true"/>
        </w:rPr>
        <w:t>في مسألة الضدّ</w:t>
      </w:r>
      <w:bookmarkEnd w:id="254"/>
    </w:p>
    <w:p>
      <w:pPr>
        <w:pStyle w:val="Heading4"/>
        <w:numPr>
          <w:ilvl w:val="3"/>
          <w:numId w:val="1"/>
        </w:numPr>
        <w:rPr/>
      </w:pPr>
      <w:bookmarkStart w:id="255" w:name="__RefHeading___Toc7368367_1051229030"/>
      <w:bookmarkStart w:id="256" w:name="_Toc94"/>
      <w:bookmarkEnd w:id="255"/>
      <w:r>
        <w:rPr>
          <w:rtl w:val="true"/>
        </w:rPr>
        <w:t>في مسألة الضدّ</w:t>
      </w:r>
      <w:bookmarkEnd w:id="256"/>
    </w:p>
    <w:p>
      <w:pPr>
        <w:pStyle w:val="BookText"/>
        <w:rPr/>
      </w:pPr>
      <w:r>
        <w:rPr>
          <w:rFonts w:ascii="Amiri" w:hAnsi="Amiri" w:eastAsia="Amiri" w:cs="Amiri"/>
          <w:color w:val="111111"/>
          <w:sz w:val="28"/>
          <w:sz w:val="28"/>
          <w:szCs w:val="28"/>
          <w:rtl w:val="true"/>
          <w:lang w:bidi="ar-SA"/>
        </w:rPr>
        <w:t xml:space="preserve">الأمر بالشيء هل يقتضي النهي عن ضدّه أم لا ؟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يستدعي رسم اُمور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368369_1051229030"/>
      <w:bookmarkStart w:id="258" w:name="_Toc95"/>
      <w:bookmarkEnd w:id="257"/>
      <w:r>
        <w:rPr>
          <w:rtl w:val="true"/>
        </w:rPr>
        <w:t>[</w:t>
      </w:r>
      <w:r>
        <w:rPr>
          <w:rtl w:val="true"/>
        </w:rPr>
        <w:t xml:space="preserve">الأوّل </w:t>
      </w:r>
      <w:r>
        <w:rPr>
          <w:rtl w:val="true"/>
        </w:rPr>
        <w:t xml:space="preserve">: </w:t>
      </w:r>
      <w:r>
        <w:rPr>
          <w:rtl w:val="true"/>
        </w:rPr>
        <w:t>في كون المسألة من المبادئ الأحكامية</w:t>
      </w:r>
      <w:bookmarkEnd w:id="258"/>
    </w:p>
    <w:p>
      <w:pPr>
        <w:pStyle w:val="BookText"/>
        <w:rPr/>
      </w:pPr>
      <w:r>
        <w:rPr>
          <w:rFonts w:ascii="Amiri" w:hAnsi="Amiri" w:eastAsia="Amiri" w:cs="Amiri"/>
          <w:color w:val="111111"/>
          <w:sz w:val="28"/>
          <w:sz w:val="28"/>
          <w:szCs w:val="28"/>
          <w:rtl w:val="true"/>
          <w:lang w:bidi="ar-SA"/>
        </w:rPr>
        <w:t xml:space="preserve">إنّ المراد بالمبادئ الأحكامية هي لوازم الأحكام الشرعية ومعانداتها ، وحيث إنّ موضوع علم الاُصول هو الحجّة على الحكم الشرعي ، لذا ناسب الاُصولي أن يبحث عن حال الأحكام من حيث استلزامها للمقدّمية ، وللنهي عن الضدّ وهكذا ، فتكون مسألتنا من المبادئ الأحكامية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368371_1051229030"/>
      <w:bookmarkStart w:id="260" w:name="_Toc96"/>
      <w:bookmarkEnd w:id="259"/>
      <w:r>
        <w:rPr>
          <w:rtl w:val="true"/>
        </w:rPr>
        <w:t xml:space="preserve">الثاني </w:t>
      </w:r>
      <w:r>
        <w:rPr>
          <w:rtl w:val="true"/>
        </w:rPr>
        <w:t xml:space="preserve">: </w:t>
      </w:r>
      <w:r>
        <w:rPr>
          <w:rtl w:val="true"/>
        </w:rPr>
        <w:t>في الضدّ العامّ</w:t>
      </w:r>
      <w:bookmarkEnd w:id="2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الضدّ العامّ ؛ أي الترك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بالشيء عين النهي عن ضدّه العامّ ، بدعوى أنّ الأمر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النهي عن تركها وجوداً ؛ </w:t>
      </w:r>
      <w:bookmarkStart w:id="261" w:name="pg8033_80815"/>
    </w:p>
    <w:p>
      <w:pPr>
        <w:pStyle w:val="BookText"/>
        <w:rPr/>
      </w:pPr>
      <w:bookmarkEnd w:id="261"/>
      <w:r>
        <w:rPr>
          <w:rFonts w:ascii="Amiri" w:hAnsi="Amiri" w:eastAsia="Amiri" w:cs="Amiri"/>
          <w:color w:val="111111"/>
          <w:sz w:val="28"/>
          <w:sz w:val="28"/>
          <w:szCs w:val="28"/>
          <w:rtl w:val="true"/>
          <w:lang w:bidi="ar-SA"/>
        </w:rPr>
        <w:t xml:space="preserve">لأنّ حقيقة النهي عبارة عن طلب الترك ، فإذا صار متعلّق الترك تركاً ، يصير معنى النهي طلب ترك الترك ، وهو عين طلب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النهي عبارة عن الزجر عن الفعل ، لا طلب الترك ، فلا تصحّ دعوى 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عين النهي عن ضدّه العامّ ؛ فإنّه يصحّ أن ينسب إلى الآمر بفعل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زاجر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من المسامحة ، كما ينسب إلى الناهي عن 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طالب لتركه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لا بمعنى ثبوت تكليفين ، حتّى يلزم تعدّد العقاب في صورة العصيان ، بل بمعنى اتّحاد البعث نحو الفعل مع الزجر عن تركه في الواقع ونفس الأمر ، وإن اختلفا مفهوماً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7368373_1051229030"/>
      <w:bookmarkStart w:id="263" w:name="_Toc97"/>
      <w:bookmarkEnd w:id="262"/>
      <w:r>
        <w:rPr>
          <w:rtl w:val="true"/>
        </w:rPr>
        <w:t xml:space="preserve">الثالث </w:t>
      </w:r>
      <w:r>
        <w:rPr>
          <w:rtl w:val="true"/>
        </w:rPr>
        <w:t xml:space="preserve">: </w:t>
      </w:r>
      <w:r>
        <w:rPr>
          <w:rtl w:val="true"/>
        </w:rPr>
        <w:t>في الضدّ الخاصّ</w:t>
      </w:r>
      <w:bookmarkEnd w:id="263"/>
    </w:p>
    <w:p>
      <w:pPr>
        <w:pStyle w:val="BookText"/>
        <w:rPr/>
      </w:pPr>
      <w:r>
        <w:rPr>
          <w:rFonts w:ascii="Amiri" w:hAnsi="Amiri" w:eastAsia="Amiri" w:cs="Amiri"/>
          <w:color w:val="111111"/>
          <w:sz w:val="28"/>
          <w:sz w:val="28"/>
          <w:szCs w:val="28"/>
          <w:rtl w:val="true"/>
          <w:lang w:bidi="ar-SA"/>
        </w:rPr>
        <w:t>قد استدلّ على اقتضاء الأمر بالشيء للنهي عن ضدّه الخاصّ بوجهين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الضدّ مستلزم لترك ضدّه ، وترك الضدّ حرام ؛ لكونه ضدّاً عامّاً للواجب ، فإتيان الضدّ مستلزم للترك الحرام ، والمستلزم للترك الحرام حرام ، فضدّ الواجب حرام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الضدّ مقدّمة لفعل ضدّه الواجب ، ومقدّمة الواجب واجبة ، فترك الضدّ واجب ، فإذا وجب ترك الضدّ يكون فعله حراماً ؛ لكونه ضدّاً عامّاً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الدليلين مأخوذان من نفس عنوان البحث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إتيان الضدّ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مجموع الدليلين هو الدور الواضح ؛ فإنّ مقتضى الأوّل أنّ فعل كلٍّ من الضدّين علّة لترك ضدّه ، فإنّ الضدّية من الإضافات المتشابهة الأطراف ، فإذا كان وجود أحد الضدّين مستلزماً لترك ضدّه وعلّة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 الآخر أيضاً كذلك ، ومقتضى الثاني أنّ ترك كلٍّ من الضدّين مقدّم على ضدّه ؛ لعين ما ذكرنا ، فوجود كلٍّ من الضدّين مقدّم على ترك ضدّه ، وترك كلّ منهما مقدّم على وجود ضدّه ، وهذا دور مستلزم لاجتماع النقيضين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مقدّمية عدم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يظهر منه أنّ فعل كلٍّ منهما مقدّمة لترك الآخر ، وتركه مقدّمة لفعله ، فالتوقّف من الجانبين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القائل وإن لم يصرّح بذلك ،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لازم قوله في البابين ، فإنّه فيما نحن فيه ردّ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الضدّ مقدّمة ، ومقدّمة الواجب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المقدّمة ممنوع</w:t>
      </w:r>
      <w:r>
        <w:rPr>
          <w:rStyle w:val="FootnoteAnchor"/>
          <w:rtl w:val="true"/>
        </w:rPr>
        <w:footnoteReference w:id="204"/>
      </w:r>
      <w:r>
        <w:rPr>
          <w:rFonts w:ascii="Amiri" w:hAnsi="Amiri" w:eastAsia="Amiri" w:cs="Amiri"/>
          <w:color w:val="111111"/>
          <w:sz w:val="28"/>
          <w:sz w:val="28"/>
          <w:szCs w:val="28"/>
          <w:rtl w:val="true"/>
          <w:lang w:bidi="ar-SA"/>
        </w:rPr>
        <w:t xml:space="preserve">، فيظهر منه قبول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ردّ قول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الإباحة المستدلّ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فعل وجودي مقدّمة لتركٍ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ليست بواجبة</w:t>
      </w:r>
      <w:r>
        <w:rPr>
          <w:rStyle w:val="FootnoteAnchor"/>
          <w:rtl w:val="true"/>
        </w:rPr>
        <w:footnoteReference w:id="205"/>
      </w:r>
      <w:r>
        <w:rPr>
          <w:rFonts w:ascii="Amiri" w:hAnsi="Amiri" w:eastAsia="Amiri" w:cs="Amiri"/>
          <w:color w:val="111111"/>
          <w:sz w:val="28"/>
          <w:sz w:val="28"/>
          <w:szCs w:val="28"/>
          <w:rtl w:val="true"/>
          <w:lang w:bidi="ar-SA"/>
        </w:rPr>
        <w:t xml:space="preserve">فيظهر منه قبول مقدّمية الوجود للعدم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وجود الضدّ على ترك ضدّه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بين الضدّ الموجود وغيره ، فقال بالتوقّف في الأوّل دون الآخر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من الجانبين مطلقاً ، وفاقاً للمحقّقين</w:t>
      </w:r>
      <w:r>
        <w:rPr>
          <w:rStyle w:val="FootnoteAnchor"/>
          <w:rtl w:val="true"/>
        </w:rPr>
        <w:footnoteReference w:id="208"/>
      </w:r>
      <w:r>
        <w:rPr>
          <w:rFonts w:ascii="Amiri" w:hAnsi="Amiri" w:eastAsia="Amiri" w:cs="Amiri"/>
          <w:color w:val="111111"/>
          <w:sz w:val="28"/>
          <w:sz w:val="28"/>
          <w:szCs w:val="28"/>
          <w:rtl w:val="true"/>
          <w:lang w:bidi="ar-SA"/>
        </w:rPr>
        <w:t xml:space="preserve">لأنّ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التعاند والضدّية ، لا من جهات اُخرى ؛ فإنّها خارجة عن حريم البحث ، فإذا كان المدّعى التوقّف من جهة الضدّية ، فلا إشكال في أ نّها لا تقتضي إلاّ عدم اجتماع الضدّين في محلّ واحد في زمان واحد ، ورفع هذا الاجتماع والاستحالة إنّما هو بقيام عدم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وجوده ، وهذا لا يقتضي تقدّم العدم على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يرفع الاجتماع المستحيل هو رفع أحد الضدّين مع وجود ضدّه ، وهذا لا يقتضي إلاّ كون الرفع مع وجود ضدّه لا مقدّماً عليه ، والفرض أ نّه لا مقتضي آخر للتقدّم غير التعاند والضدّية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يكون التزاحم بين علّتي وجود الضدّين في مرتبة متقدّمة ، فإذا اقتضى كلّ من علّتي الضدّين وجود معلوله يقع التزاحم لأجل التعاند بين المعلولين ، فيقدّم الغالب ، فيوجد معلوله ، أو يتمانعان إذا لم يغلب أحدهما الآخر </w:t>
      </w:r>
      <w:r>
        <w:rPr>
          <w:rFonts w:eastAsia="Amiri" w:cs="Amiri" w:ascii="Amiri" w:hAnsi="Amiri"/>
          <w:color w:val="111111"/>
          <w:sz w:val="28"/>
          <w:szCs w:val="28"/>
          <w:rtl w:val="true"/>
          <w:lang w:bidi="ar-SA"/>
        </w:rPr>
        <w:t xml:space="preserve">. </w:t>
      </w:r>
      <w:bookmarkStart w:id="264" w:name="pg8033_80818"/>
    </w:p>
    <w:p>
      <w:pPr>
        <w:pStyle w:val="Heading4"/>
        <w:numPr>
          <w:ilvl w:val="3"/>
          <w:numId w:val="1"/>
        </w:numPr>
        <w:rPr/>
      </w:pPr>
      <w:bookmarkStart w:id="265" w:name="__RefHeading___Toc7368375_1051229030"/>
      <w:bookmarkStart w:id="266" w:name="_Toc98"/>
      <w:bookmarkEnd w:id="264"/>
      <w:bookmarkEnd w:id="265"/>
      <w:r>
        <w:rPr>
          <w:rtl w:val="true"/>
        </w:rPr>
        <w:t xml:space="preserve">الرابع </w:t>
      </w:r>
      <w:r>
        <w:rPr>
          <w:rtl w:val="true"/>
        </w:rPr>
        <w:t xml:space="preserve">: </w:t>
      </w:r>
      <w:r>
        <w:rPr>
          <w:rtl w:val="true"/>
        </w:rPr>
        <w:t>في ثمرة المسألة</w:t>
      </w:r>
      <w:bookmarkEnd w:id="266"/>
    </w:p>
    <w:p>
      <w:pPr>
        <w:pStyle w:val="BookText"/>
        <w:rPr/>
      </w:pPr>
      <w:r>
        <w:rPr>
          <w:rFonts w:ascii="Amiri" w:hAnsi="Amiri" w:eastAsia="Amiri" w:cs="Amiri"/>
          <w:color w:val="111111"/>
          <w:sz w:val="28"/>
          <w:sz w:val="28"/>
          <w:szCs w:val="28"/>
          <w:rtl w:val="true"/>
          <w:lang w:bidi="ar-SA"/>
        </w:rPr>
        <w:t xml:space="preserve">تظهر الثمرة في بطلان العبادة إذا كانت ضدّاً للمنهيّ عنه ، بناءً على الاقتضاء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البهائي رحمه الله علیه إنكارها ؛ بدعوى أنّ الأمر بالضدّ وإن لم يقتضِ النهي عن ضدّه ، لكن يقتضي عدم الأمر به ؛ ضرورة امتناع تعلّق الأمر بالضدّين ، مع أنّ صحّة العبادة تتقوّم بقصد التقرّب ، وهو لا يحصل إلاّ بقصد امتثال الأمر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بالضدّين قبيح لا يصدر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بل الحقّ أنّ الأمر بالضدّين ؛ بإرادة البعث مع الالتفات إلى الضدّية واستحالة تحقّقهما في الخارج ، محال لا يمكن صدوره من مريد مطلقاً ، فإنّ البعث إلى المحال مع الالتفات ممّا لا يمكن صدوره من العاقل ، لا لأجل القبح ، بل لأجل امتناع البعث إلى المحال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القوم تشبّثوا لردّ إيراد البهائي رحمه الله علیه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الرجحان والمحبوبية يكفي لصحّة التقرّب ، ولا تحتاج العبادة إلى الأمر ، ولا يجد العقل فرقاً بين الفرد المبتلى بالمزاحم وغيره في وجدان تمام الملاك ، من غير منقصة في المبتلى لأجل التزاحم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احتياج صحّة العبادة للأمر ، لا نسلّم امتناع تعلّق الأمر بشيئين ؛ يكون أحدهما موسّعاً ، والآخر مضيّقاً ، بل المسلّم امتناع تعلّقه بالمضيّقين ، فيجوز تعلّق الأمر بالصلاة من دلوك الشمس إلى غَسَق الليل ، </w:t>
      </w:r>
    </w:p>
    <w:p>
      <w:pPr>
        <w:pStyle w:val="BookText"/>
        <w:rPr/>
      </w:pPr>
      <w:r>
        <w:rPr>
          <w:rFonts w:ascii="Amiri" w:hAnsi="Amiri" w:eastAsia="Amiri" w:cs="Amiri"/>
          <w:color w:val="111111"/>
          <w:sz w:val="28"/>
          <w:sz w:val="28"/>
          <w:szCs w:val="28"/>
          <w:rtl w:val="true"/>
          <w:lang w:bidi="ar-SA"/>
        </w:rPr>
        <w:t>وبإزالة النجاسة عن المسجد في أوّل الوقت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الأوامر الموسّعة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التزمنا بالتخيير الشرعي بين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 الاستحالة ؛ ضرورة امتناع تعلّق الأمر بشيء معيّناً وتعلّق الأمر بضدّه على نحو التخيير ؛ لاستلزامه الأمر بالضدّين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هو الحقّ والظاهر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الأوامر إنّما تتعلّق بالطبائع ، ويكون الزمان مع كونه كلاًّ ذا أجزاء وهمية ، لا كلّياً ذا أفراد ، ظرفاً لوقوع الطبيعة فيه ، وتكون الطبيعة متكثّرة الأفراد باعتبار وقوعها في الزمان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الاستحالة ؛ ضرورة عدم تعلّق الأمر بالأفراد ، بل ما يتعلّق الأمر به هو الكلّي الطبيعي ، والأفراد بخصوصياتها غير مأمور بها ، ولا يكون تحقّق الامتثال بها لأجل تعلّق الأمر بالخصوصية ، بل لأجل تعلّقه بالكلّي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ضدّية بين الأمر المتعلّق بالطبيعة في ظرف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 مثل إيقاع الصلاة من دلوك الشمس إلى غَسَق الليل ، وكالمكان الموسّع ، مثل الوقوف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 المتعلِّق بفرد مضادّ مع فرد منها ؛ لعدم سراية الأمر المتعلِّق بالطبيعة إلى الأفراد ، وعدم كون الفرد بخصوصياته متعلّقاً للأمر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سراية الأمر المتعلّق بالطبيعة إلى الخصوصيات المميّزة الفردية ،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بالموسّع على سبيل الإطلاق يضادّ الأمر بالفرد المعيّن ، فلا يمكن إرادة كليهما ولا إيجابهما ، فإنّ الممتنع الشرعي </w:t>
      </w:r>
    </w:p>
    <w:p>
      <w:pPr>
        <w:pStyle w:val="BookText"/>
        <w:rPr/>
      </w:pPr>
      <w:r>
        <w:rPr>
          <w:rFonts w:ascii="Amiri" w:hAnsi="Amiri" w:eastAsia="Amiri" w:cs="Amiri"/>
          <w:color w:val="111111"/>
          <w:sz w:val="28"/>
          <w:sz w:val="28"/>
          <w:szCs w:val="28"/>
          <w:rtl w:val="true"/>
          <w:lang w:bidi="ar-SA"/>
        </w:rPr>
        <w:t xml:space="preserve">كالعقلي ، فإذا صار إطلاق الأمر بالطبيعة منشأً لتفويت الواجب المضيّق ، فلا بدّ من تقييده أو تخصيصه بغير الفرد المعيّن ؛ فإنّ المنافاة بينهما إنّما تكون لو سرى الأمر بالطبيعة إلى الخصوصيات المشخّصة المميِّزة الفردية ، مع أنّ الأمر ليس كذلك ؛ لأنّ متعلّقه في الموسّع هو الطبيعة المجرّدة عن الخصوصيات ، وهي متعلّق واحد لأمر واحد ، فلا معنى للتقييد والتخصيص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الاشتباه من توهّم سراية الأمر بالطبيعة إلى أفرادها ، مع أ نّها ممنوعة ؛ ضرورة أنّ المولى لا بدّ وأن يأخذ في متعلّق تكليفه كلّ ما هو دخيل في تحصيل المصلحة ، وتكون حدود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 متعلّق أمره لا يشذّ منها شيء ، ولا يجوز أخذ ما ليس دخيلاً في المصلحة فيه ؛ للزوم اللغو والجُزاف ، فكما أنّ عدم أخذ ما هو دخيل في المصلحة ممتنع ؛ للزوم التفويت ، كذلك أخذ ما ليس دخيلاً فيها في المتعلّق ممتنع ؛ للزوم اللغو والجُزاف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قامت المصلحة بالطبيعة الكلّية في الظرف الموسّع الزماني أو المكاني ، فلا يمكن أخذ خصوصية من الظرفين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خصوصية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التكليف ، فلو تعلّق التكليف بالصلاة من دلوك الشمس إلى الغروب ، لا يكون شيء من أجزاء الزمان متعلّقاً للتكليف ، ومأخوذاً في المتعلّق على نعت الخصوصية المميّزة ، ولو مضى من أوّل الوقت مقدار أربع ركعات لا تصير الطبيعة مخصّصة ؛ فإنّ القدرة على الطبيعة بحالها وإن سلبت عن الفرد ، فالفرد الخارج عن تحت القدرة بواسطة مضيّ الوقت لم يكن متعلّق الأمر ، والطبيعة المأمور بها مقدورة ما دام الوقت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مضى الوقت ، ولم يبقَ منه إلاّ مقدار </w:t>
      </w:r>
    </w:p>
    <w:p>
      <w:pPr>
        <w:pStyle w:val="BookText"/>
        <w:rPr/>
      </w:pPr>
      <w:r>
        <w:rPr>
          <w:rFonts w:ascii="Amiri" w:hAnsi="Amiri" w:eastAsia="Amiri" w:cs="Amiri"/>
          <w:color w:val="111111"/>
          <w:sz w:val="28"/>
          <w:sz w:val="28"/>
          <w:szCs w:val="28"/>
          <w:rtl w:val="true"/>
          <w:lang w:bidi="ar-SA"/>
        </w:rPr>
        <w:t xml:space="preserve">أربع ركعات ، لا يصير الفرد بخصوصيته متعلّقاً للأمر ؛ لأنّ الخصوصية غير دخيلة في تحصيل المصلحة ، فأخذها في المتعلّق 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ضيق الوقت يصير تحريك الأمر نحو الطبيعة تحريكاً لإتيان الفرد بالتبع ؛ بمعنى أنّ العقل يحكم بلزوم إتيان الفرد ، لخروج الطبيعة مع مضيّ هذا الزمان أيضاً عن تحت القدرة ، ويكون في تركه تفويت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بخصوصيته لا يكون متعلّقاً للأمر ، ولا يكون الأمر بالطبيعة مضادّاً مع الأمر بالفرد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الفرد إذا كان مبتلىً بالضدّ في الأفراد الطولية كالزمان ، فلا بدّ وأن تصير الطبيعة مخصّصة بالنسبة إليه ؛ لأنّ الطبيعة غير مقدورة ؛ لعدم تصوّر فرد لها مقدور في الزمان المبتلى بالضدّ ، وهذا بخلاف الأفراد العرضية ؛ فإنّ القدرة عليها محفوظة مع فردٍ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الطولية والعرضية لا دخالة لهما فيما ذكرنا من أنّ الطبيعة الكلّية تحت الأمر ، وهي مقدورة ما دام فردٍ ما منها مقدوراً ، ففي الزمان الذي يكون الفرد مبتلىً بالضدّ ، تكون الطبيعة مقدورة لأجل الأفراد الاُخر ، ولا تكون الطبيعة مقيّدة بزمان خاصّ حتّى تصير غير مقدورة فيه إذا ابتلي بالضدّ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هذا الاشتباه ناشٍ من اشتباه الكلّي بالفرد ؛ فإنّ الغير المقدور هو الطبيعة المقيّدة بالزمان ، لا الطبيعة الكلّية الغير المقيّدة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الموسّع والمضيّق ، وقد عرفت صحّة تعلّق الأمرين بالطبيعة والفرد بلا لزوم محالٍ </w:t>
      </w:r>
      <w:r>
        <w:rPr>
          <w:rFonts w:eastAsia="Amiri" w:cs="Amiri" w:ascii="Amiri" w:hAnsi="Amiri"/>
          <w:color w:val="111111"/>
          <w:sz w:val="28"/>
          <w:szCs w:val="28"/>
          <w:rtl w:val="true"/>
          <w:lang w:bidi="ar-SA"/>
        </w:rPr>
        <w:t xml:space="preserve">. </w:t>
      </w:r>
      <w:bookmarkStart w:id="267" w:name="pg8033_80822"/>
    </w:p>
    <w:p>
      <w:pPr>
        <w:pStyle w:val="Heading4"/>
        <w:numPr>
          <w:ilvl w:val="3"/>
          <w:numId w:val="1"/>
        </w:numPr>
        <w:rPr/>
      </w:pPr>
      <w:bookmarkStart w:id="268" w:name="__RefHeading___Toc7368377_1051229030"/>
      <w:bookmarkStart w:id="269" w:name="_Toc99"/>
      <w:bookmarkEnd w:id="267"/>
      <w:bookmarkEnd w:id="268"/>
      <w:r>
        <w:rPr>
          <w:rtl w:val="true"/>
        </w:rPr>
        <w:t>التحقيق في مسألة الترتّب</w:t>
      </w:r>
      <w:bookmarkEnd w:id="269"/>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تعلّق الأمرين بشيئين مضيّقين على نحو الترتّب ، وبيانه يتوقّف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العمدة في هذا الباب وإن غفل عنها القائلون بالترتّب ، أو لم يعتنوا بها كما هو حقّها ، واعتنوا بمقدّمات اُخر ليست كثيرة الدخالة في 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بطلان الأمر بالضدّين واستحالته ليس هو الأمر بالمحال ؛ فإنّ الأمر المتعلّق بكلٍّ من الضدّين أمر بالمقدور الممكن لا المحال ، ومجموع الأمرين ليس موجوداً على حِدة ، فالأمر بالصلاة في أوّل الزوال أمر بمقدور ممكن ، والأمر بأداء الدين فيه أمر أيضاً بممكن مقدور ، وليس هاهنا أمر آخر يكون أمراً بممكن أو محال ، فليس ملاك استحالة الأمرين بضدّين هو الأمر بالمحال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الملاك هو أنّ البعث إلى أحد الضدّين في رتبة البعث إلى الضدّ الآخر ، يكون مشتركاً في الاستحالة مع الأمر بجمع الضدّين ؛ ضرورة عدم إمكان العبد من الجمع بين الضدّين ، فالمولى إذا توجّه إلى ذلك لا يمكن أن يأمره بأحد الضدّين في رتبة الأمر بالضدّ الآخر ؛ فإنّ البعث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البعث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الأمر بالجمع بين الضدّين في الملاك ، لا هو نفس الأمر بالضدّين ، فإذا أمر بالصلاة في أوّل الزوال ، لا يمكن أن يأمر بإزالة النجاسة من المسجد في رتبة هذا الأمر ، لا للأمر بالجمع بين الضدّين ، بل لوجدان ملاكه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رتبة عصيان كلّ أمر متأخّرة عن نفس الأمر ، كما أنّ رتبة إطاعته كذلك ، فما لم يكن هنا أمر ، لم يكن ولم يمكن عصيان ولا إطاعة ، فهما متأخّران عن الأمر والنهي المتعلّقين بالموضوع ، وهذه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شرائط التكاليف متقدّمة عليها نحو تقدّم الموضوعات على الأحكام ، فالاستطاعة متقدّمة رتبة على الأمر المتعلّق بالحجّ بشرط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الشرائط كلّها ترجع إلى تقيّد الموضوع بها ، فتقدّمها على الأمر تقدّم الموضوع على الحكم ، فكما أنّ الأمر إذا تعلّق بالمستطيع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تكون الاستطاعة متقدّمة عليه ، كذلك الأمر المشروط ، بل تقدّم الشرط عليه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يتّضح لك تصوير الترتّب ، ولا تحتاج إلى طول مقدّمات غير دخيلة في المقصود ؛ فإنّ الأمر بالمهمّ أمر بمقدور ، وكذا الأمر بالأهمّ ، فلا يكون ملاك الاستحالة هو الأمر بالمحال ، كما عرفت في اُولى المقدّمات ، فلا بدّ للقول بالاستحالة من التشبّث بالكبرى الاُخرى ، وهي وحدة الملاك بين الأمر بهما وبين الأمر بالجمع بين الضدّين في الاستحالة ، ووحدة الملاك إنّما هي مسلّمة إذا كان البعثان في رتبة واحدة ، فيتعلّق البعث بالمهمّ في رتبة تعلّقه بالأهمّ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الأمر فيما نحن فيه ليس كذلك ؛ فإنّ البعث بالمهمّ متأخّر رتبة عن البعث بالأهمّ بمرتبتين ، فإنّ البعث بالمهمّ مشروط بعصيان الأهمّ ، فالعصيان متقدّم عليه تقدّم الموضوع على حكمه ، وعصيان الأهمّ متأخّر رتبة عن الأمر بالأهمّ فالأمر بالأهمّ متقدّم على عصيانه ، وهو متقدّم على الأمر بالمهمّ ، فالأمر بالأهمّ متقدّم على الأمر بالمهمّ برتبتين ، فملاك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البعثين </w:t>
      </w:r>
    </w:p>
    <w:p>
      <w:pPr>
        <w:pStyle w:val="BookText"/>
        <w:rPr/>
      </w:pPr>
      <w:r>
        <w:rPr>
          <w:rFonts w:ascii="Amiri" w:hAnsi="Amiri" w:eastAsia="Amiri" w:cs="Amiri"/>
          <w:color w:val="111111"/>
          <w:sz w:val="28"/>
          <w:sz w:val="28"/>
          <w:szCs w:val="28"/>
          <w:rtl w:val="true"/>
          <w:lang w:bidi="ar-SA"/>
        </w:rPr>
        <w:t xml:space="preserve">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 فالترتّب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الاستحالة في الأمر بالضدّين ليس موجوداً فيما نحن فيه ؛ فإنّ أحد الأمرين مشروط بعصيان الآخر ، ومتأخّر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بالأهمّ لا يكون في رتبة عصيانه ، لا بدّ أن يشترط الأمر به بعدم عصيانه ، كما أنّ الأمر بالمهمّ مشروط بعصيانه ، فالأمران كلاهما مشروطان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عصيان نفسه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بعصيان ضدّه ، مع أنّ اشتراط الشيء بعصيانه ولا عصيانه غير معقول ؛ للزوم التناقض وتحصيل الحاصل ، كما أنّ إطلاقه أيضاً غير معقول ؛ لأنّ الإطلاق والاشتراط توأمان في الجواز واللاجواز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بالأهمّ لا يكون مشروطاً بشيء أصلاً ، بل هو متعلّق بذات العاصي والمطيع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يعبّر عنه بالإطلاق الذاتي ، ولا محذور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بالأهمّ طارد للأمر بالمهمّ ؛ لمكان المضادّة وإطلاقه الذاتي وإن كان الأمر بالمهمّ غير طارد للأمر بالأهمّ ؛ لمكان الاشتراط</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رتبة العصيان رتبة غيبة الأمر وعدم تأثيره في تحريك العبد ، والأمر وإن كان موجوداً ، لكنّه في موضوعه المتقدّم على العصيان ، وهو أمر غير ذي أثر في رتبة العصيان ، والأمر بالأهمّ متقدّم على الأمر بالمهمّ برتبتين ، ولا يمكن التجافي لا من ناحية الأمر بالأهمّ المتقدّم ، ولا من ناحية الأمر بالمهمّ </w:t>
      </w:r>
    </w:p>
    <w:p>
      <w:pPr>
        <w:pStyle w:val="BookText"/>
        <w:rPr/>
      </w:pPr>
      <w:r>
        <w:rPr>
          <w:rFonts w:ascii="Amiri" w:hAnsi="Amiri" w:eastAsia="Amiri" w:cs="Amiri"/>
          <w:color w:val="111111"/>
          <w:sz w:val="28"/>
          <w:sz w:val="28"/>
          <w:szCs w:val="28"/>
          <w:rtl w:val="true"/>
          <w:lang w:bidi="ar-SA"/>
        </w:rPr>
        <w:t xml:space="preserve">المتأخّر ، فلا يعقل أن يكون واحد منهما طارداً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الاستحالة هو المطاردة ، وملاكها هو كون الأمرين في 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اختلاف الرتبة مصحِّحاً للأمر بالضدّين وموجباً لرفع المطاردة ، فليجُز الأمر بالضدّين مع اشتراط أحدهما بإطاعة الآخر ؛ فإنّ ملاك رفع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التقدّم والتأخّر الرتبيان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الفرق بينهما كالنار على المنار ؛ فإنّ الأمر بإيجاد شيء مع اشتراطه بإيجاد ضدّه في هذا الزمان بعث نحو الضدّين وتحريك نحو المتنافيين ، وفيه ملاك الأمر بالضدّين ، بل يكون أسوأ حالاً من الأمر بشيئين في مرتبة واحدة يكون كلّ واحد منهما مقدوراً في ذاته ، وغير مقدور في رتبة البعث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لو ترك المكلّف الضدّين فلا بدّ من الالتزام بعقابين ، مع أ نّه عقاب بأمر غير مقدور ؛ لعدم القدرة على إيجادهما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عقلي من الالتزام بعقابين بعد فرض توجّه أمرين على نحو الترتّب ؛ لأنّ القدرة متحقّقة ، لكن على سبيل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قادر على إتيان الأهمّ ، وحينئذٍ لا عقاب له أصلاً ، وقادر على إتيان المهمّ فحينئذٍ عليه عقاب واحد على ترك الأهمّ ، وقادر على ترك المهمّ أيضاً ، فله عقابان وليس العقابان على أمر غير مقدور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المصحِّح لتعلّق الأمرين هو المصحِّح لصحّة العقوبتين </w:t>
      </w:r>
      <w:r>
        <w:rPr>
          <w:rFonts w:eastAsia="Amiri" w:cs="Amiri" w:ascii="Amiri" w:hAnsi="Amiri"/>
          <w:color w:val="111111"/>
          <w:sz w:val="28"/>
          <w:szCs w:val="28"/>
          <w:rtl w:val="true"/>
          <w:lang w:bidi="ar-SA"/>
        </w:rPr>
        <w:t xml:space="preserve">. </w:t>
      </w:r>
      <w:bookmarkStart w:id="270" w:name="pg8033_80826"/>
    </w:p>
    <w:p>
      <w:pPr>
        <w:pStyle w:val="BookText"/>
        <w:rPr/>
      </w:pPr>
      <w:bookmarkEnd w:id="270"/>
      <w:r>
        <w:rPr>
          <w:rFonts w:ascii="Amiri" w:hAnsi="Amiri" w:eastAsia="Amiri" w:cs="Amiri"/>
          <w:color w:val="111111"/>
          <w:sz w:val="28"/>
          <w:sz w:val="28"/>
          <w:szCs w:val="28"/>
          <w:rtl w:val="true"/>
          <w:lang w:bidi="ar-SA"/>
        </w:rPr>
        <w:t xml:space="preserve">ثمّ إنّه قد يشتبه الأمر بسبب اختلاط العصيان الرتبي بالخارجي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الأمر بالمهمّ لمّا كان هو عصيان الأمر بالأهمّ ، وهو لا يتحقّق إلاّ بمضيّ زمان الأهمّ ، فيكون الأمر بالمهمّ بعد مضيّ زمان إتيانه ؛ لأنّ المفروض اتّحاد زمان الأهمّ والمهمّ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هو العصيان الرتبي ، وهو يحصل قبل انقضاء الزمان ، لا العصيان الزماني المتوقّف على مضيّ زمانه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368379_1051229030"/>
      <w:bookmarkStart w:id="272" w:name="_Toc100"/>
      <w:bookmarkEnd w:id="271"/>
      <w:r>
        <w:rPr>
          <w:rtl w:val="true"/>
        </w:rPr>
        <w:t>نقل كلام لتحقيق مرام</w:t>
      </w:r>
      <w:bookmarkEnd w:id="272"/>
    </w:p>
    <w:p>
      <w:pPr>
        <w:pStyle w:val="BookText"/>
        <w:rPr/>
      </w:pPr>
      <w:r>
        <w:rPr>
          <w:rFonts w:ascii="IRNazanin" w:hAnsi="IRNazanin" w:eastAsia="IRNazanin"/>
          <w:color w:val="111111"/>
          <w:sz w:val="28"/>
          <w:sz w:val="28"/>
          <w:szCs w:val="28"/>
          <w:rtl w:val="true"/>
          <w:lang w:bidi="fa-IR"/>
        </w:rPr>
        <w:t xml:space="preserve">إنّ للشيخ العلاّمة الأنصاري رحمه الله علیه كلاماً ،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بناءً على الالتزام بالسببية في باب حجّية خبر الواحد إذا تعارض الخبران يكونان لا محالة من قبيل المتزاحمين ؛ لقيام المصلحة فيهما على هذا المبنى ، فيتقيّد إطلاق كلٍّ منهما بعدم الآخر ، ولا يسقط الخطابان ؛ لأنّ التزاحم يرتفع بواسطة هذا التقييد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بعض المعاصرين 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التزام بترتّبين ، فضلاً عن ترتّب واحد ؛ فإنّ الالتزام بخطابين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منهما مترتّباً على عدم امتثال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بما ذكرنا ، مع أنّ الشيخ قدّس سرّه أنكر إمكان الترتّب ، والتزم بسقوط خطاب المهمّ رأساً ، لا بسقوط إطلاقه فقط</w:t>
      </w:r>
      <w:r>
        <w:rPr>
          <w:rStyle w:val="FootnoteAnchor"/>
          <w:rtl w:val="true"/>
        </w:rPr>
        <w:footnoteReference w:id="21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بعد إعطاء التأمّل في كلام الشيخ رحمه الله علیه ، يعرف أنّ ما أورده عليه أجنبيّ </w:t>
      </w:r>
    </w:p>
    <w:p>
      <w:pPr>
        <w:pStyle w:val="BookText"/>
        <w:rPr/>
      </w:pPr>
      <w:r>
        <w:rPr>
          <w:rFonts w:ascii="Amiri" w:hAnsi="Amiri" w:eastAsia="Amiri" w:cs="Amiri"/>
          <w:color w:val="111111"/>
          <w:sz w:val="28"/>
          <w:sz w:val="28"/>
          <w:szCs w:val="28"/>
          <w:rtl w:val="true"/>
          <w:lang w:bidi="ar-SA"/>
        </w:rPr>
        <w:t xml:space="preserve">عمّا هو مراده ، فإنّ مراده أ نّه بعد الالتزام بالسببية يكون التعارض بينهما من قبيل التزاحم ، ويكون نتيجة تزاحمهما تقييداً لإطلاق كلٍّ منهما بعدم إتيان الآخر ، وهو عبارة اُخرى عن التخيير العقلي ، وبهذا يرتفع محذور التزاحم ، ولا يحتاج إلى سقوط الخطابين ، وهذا غير التقييد بالعصيان الذي هو مناط صحّة الترتّب ؛ كي يكون كلّ منهما مترتّباً على الآخر ، بل المراد تعيّن كلٍّ منهما في ظرف عدم الآخر بما أ نّه عدمه ، لا بما أ نّه عصيانه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عدم الآخر بمعنى التمرّد والعصيان ، وكان وجوب كلٍّ منهما مشروطاً بعصيان صاحبه ، لكان الإشكال وارداً ، ولكن تفسير كلامه بذلك ضروري البطلان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مسألة الترتّب ، والزائد عليه من قبيل إلزام ما لا يلزم ، أو من قبيل التوضيح والتشريف لها </w:t>
      </w:r>
      <w:r>
        <w:rPr>
          <w:rFonts w:eastAsia="Amiri" w:cs="Amiri" w:ascii="Amiri" w:hAnsi="Amiri"/>
          <w:color w:val="111111"/>
          <w:sz w:val="28"/>
          <w:szCs w:val="28"/>
          <w:rtl w:val="true"/>
          <w:lang w:bidi="ar-SA"/>
        </w:rPr>
        <w:t xml:space="preserve">. </w:t>
      </w:r>
      <w:bookmarkStart w:id="273" w:name="pg8033_80829"/>
    </w:p>
    <w:p>
      <w:pPr>
        <w:pStyle w:val="Heading3"/>
        <w:numPr>
          <w:ilvl w:val="2"/>
          <w:numId w:val="1"/>
        </w:numPr>
        <w:rPr/>
      </w:pPr>
      <w:bookmarkStart w:id="274" w:name="__RefHeading___Toc7368381_1051229030"/>
      <w:bookmarkStart w:id="275" w:name="_Toc101"/>
      <w:bookmarkEnd w:id="273"/>
      <w:bookmarkEnd w:id="274"/>
      <w:r>
        <w:rPr>
          <w:rtl w:val="true"/>
        </w:rPr>
        <w:t>المطلب السادس</w:t>
      </w:r>
      <w:r>
        <w:rPr>
          <w:rtl w:val="true"/>
        </w:rPr>
        <w:t xml:space="preserve">: </w:t>
      </w:r>
      <w:r>
        <w:rPr>
          <w:rtl w:val="true"/>
        </w:rPr>
        <w:t>في أمر الآمر مع علمه بانتفاء شرطه</w:t>
      </w:r>
      <w:bookmarkEnd w:id="275"/>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قد وقع تحريف من المتأخّرين في هذا المبحث ، وما هو عند القدماء منه غير ذلك ؛ ضرورة أ نّه لا محصّل لهذا العنوان ، فإنّه مع انتفاء الشرط ينتفي المشروط ، فبانتفاء شرط الأمر ينتفي الأمر بالضرورة ، فيصير ملخّص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مع عدم الأمر هل يجوز الأمر أم لا ؟ وهل هذا إلاّ التناقض ؟ والذي يكون معقولاً في هذا المبحث ، ويكون معنوناً عند القدماء هو أ نّه هل يجوز أمر الآمر مع وجدانه لشرائطه حين الأمر ، لكنّه يعلم فقدان شرطه حين حضور العمل ، أم لا ؟ كما في أمره مع علمه بالنسخ قبل حضور وقت العمل ، كما في أمره تعالى بذبح إسماعيل علیه السلام مع علمه بالفداء وفقدان شرطه حين حضور العمل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فالأشاعرة لمّا التزموا بالكلام النفسي غير الإرادة وسائر الصفات النفسانية ، فقد التزموا بإمكانه ، فإنّ الطلب الذي هو الكلام النفسي عندهم ، قد يتعلّق بأمر </w:t>
      </w:r>
    </w:p>
    <w:p>
      <w:pPr>
        <w:pStyle w:val="BookText"/>
        <w:rPr/>
      </w:pPr>
      <w:r>
        <w:rPr>
          <w:rFonts w:ascii="Amiri" w:hAnsi="Amiri" w:eastAsia="Amiri" w:cs="Amiri"/>
          <w:color w:val="111111"/>
          <w:sz w:val="28"/>
          <w:sz w:val="28"/>
          <w:szCs w:val="28"/>
          <w:rtl w:val="true"/>
          <w:lang w:bidi="ar-SA"/>
        </w:rPr>
        <w:t>مع علم الآمر بفقدان شرطه حين العمل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والمعتزلة لمّا أبطلوا ذلك ، وذهبوا إلى أ نّه ليس وراء العلم والإرادة وسائر الصفات النفسانية الوجدانية شيء في النفس يكون هو الكلام النفسي أو الطلب</w:t>
      </w:r>
      <w:r>
        <w:rPr>
          <w:rStyle w:val="FootnoteAnchor"/>
          <w:rtl w:val="true"/>
        </w:rPr>
        <w:footnoteReference w:id="217"/>
      </w:r>
      <w:r>
        <w:rPr>
          <w:rFonts w:ascii="Amiri" w:hAnsi="Amiri" w:eastAsia="Amiri" w:cs="Amiri"/>
          <w:color w:val="111111"/>
          <w:sz w:val="28"/>
          <w:sz w:val="28"/>
          <w:szCs w:val="28"/>
          <w:rtl w:val="true"/>
          <w:lang w:bidi="ar-SA"/>
        </w:rPr>
        <w:t xml:space="preserve">، فقد التزموا بمحالية تعلّق الإرادة بشيء يكون الآمر عالماً بفقدان شرط أمره وقت حضور العمل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قضيّة إسماعيل علیه السلام وأمثالها فقد فرغنا من تحقيقها في محلّها ، فراجع</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76" w:name="pg8033_80833"/>
    </w:p>
    <w:p>
      <w:pPr>
        <w:pStyle w:val="Heading3"/>
        <w:numPr>
          <w:ilvl w:val="2"/>
          <w:numId w:val="1"/>
        </w:numPr>
        <w:rPr/>
      </w:pPr>
      <w:bookmarkStart w:id="277" w:name="__RefHeading___Toc7368383_1051229030"/>
      <w:bookmarkStart w:id="278" w:name="_Toc102"/>
      <w:bookmarkEnd w:id="276"/>
      <w:bookmarkEnd w:id="277"/>
      <w:r>
        <w:rPr>
          <w:rtl w:val="true"/>
        </w:rPr>
        <w:t>المطلب السابع</w:t>
      </w:r>
      <w:r>
        <w:rPr>
          <w:rtl w:val="true"/>
        </w:rPr>
        <w:t xml:space="preserve">: </w:t>
      </w:r>
      <w:r>
        <w:rPr>
          <w:rtl w:val="true"/>
        </w:rPr>
        <w:t>في الواجب التخييري</w:t>
      </w:r>
      <w:bookmarkEnd w:id="278"/>
    </w:p>
    <w:p>
      <w:pPr>
        <w:pStyle w:val="Heading4"/>
        <w:numPr>
          <w:ilvl w:val="3"/>
          <w:numId w:val="1"/>
        </w:numPr>
        <w:rPr/>
      </w:pPr>
      <w:bookmarkStart w:id="279" w:name="__RefHeading___Toc7368385_1051229030"/>
      <w:bookmarkStart w:id="280" w:name="_Toc103"/>
      <w:bookmarkEnd w:id="279"/>
      <w:r>
        <w:rPr>
          <w:rtl w:val="true"/>
        </w:rPr>
        <w:t>في الواجب التخييري</w:t>
      </w:r>
      <w:bookmarkEnd w:id="280"/>
    </w:p>
    <w:p>
      <w:pPr>
        <w:pStyle w:val="BookText"/>
        <w:rPr/>
      </w:pPr>
      <w:r>
        <w:rPr>
          <w:rFonts w:ascii="Amiri" w:hAnsi="Amiri" w:eastAsia="Amiri" w:cs="Amiri"/>
          <w:color w:val="111111"/>
          <w:sz w:val="28"/>
          <w:sz w:val="28"/>
          <w:szCs w:val="28"/>
          <w:rtl w:val="true"/>
          <w:lang w:bidi="ar-SA"/>
        </w:rPr>
        <w:t xml:space="preserve">قد عرّف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سالف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ببعض لوازمه وتوابعه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ما يستحقّ فاعله الثواب وتاركه العقاب</w:t>
      </w:r>
      <w:r>
        <w:rPr>
          <w:rStyle w:val="FootnoteAnchor"/>
          <w:rtl w:val="true"/>
        </w:rPr>
        <w:footnoteReference w:id="219"/>
      </w:r>
      <w:r>
        <w:rPr>
          <w:rFonts w:ascii="Amiri" w:hAnsi="Amiri" w:eastAsia="Amiri" w:cs="Amiri"/>
          <w:color w:val="111111"/>
          <w:sz w:val="28"/>
          <w:sz w:val="28"/>
          <w:szCs w:val="28"/>
          <w:rtl w:val="true"/>
          <w:lang w:bidi="ar-SA"/>
        </w:rPr>
        <w:t xml:space="preserve">، ولمّا وصلوا إلى البحث عن الواجب التخييري أرادوا تطبيقه على التعريف المتقدّم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الواحد لا بعينه</w:t>
      </w:r>
      <w:r>
        <w:rPr>
          <w:rStyle w:val="FootnoteAnchor"/>
          <w:rtl w:val="true"/>
        </w:rPr>
        <w:footnoteReference w:id="220"/>
      </w:r>
      <w:r>
        <w:rPr>
          <w:rFonts w:ascii="Amiri" w:hAnsi="Amiri" w:eastAsia="Amiri" w:cs="Amiri"/>
          <w:color w:val="111111"/>
          <w:sz w:val="28"/>
          <w:sz w:val="28"/>
          <w:szCs w:val="28"/>
          <w:rtl w:val="true"/>
          <w:lang w:bidi="ar-SA"/>
        </w:rPr>
        <w:t xml:space="preserve">،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الواحد بعينه معلوماً عند اللّه ، غير معلوم عندنا</w:t>
      </w:r>
      <w:r>
        <w:rPr>
          <w:rStyle w:val="FootnoteAnchor"/>
          <w:rtl w:val="true"/>
        </w:rPr>
        <w:footnoteReference w:id="221"/>
      </w:r>
      <w:r>
        <w:rPr>
          <w:rFonts w:ascii="Amiri" w:hAnsi="Amiri" w:eastAsia="Amiri" w:cs="Amiri"/>
          <w:color w:val="111111"/>
          <w:sz w:val="28"/>
          <w:sz w:val="28"/>
          <w:szCs w:val="28"/>
          <w:rtl w:val="true"/>
          <w:lang w:bidi="ar-SA"/>
        </w:rPr>
        <w:t xml:space="preserve">، ولازمه أن يكون الواجب مختلفاً باختلاف اختيار المكلّفين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الوقوع في الشرع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وجوبٍ في مقابل التعييني ، ويكون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البعث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بكلٍّ من الأطراف ، لكن على سبيل الترديد النفس الأمري ، لا الترديد النفساني ، </w:t>
      </w:r>
      <w:bookmarkStart w:id="281" w:name="pg8033_80836"/>
    </w:p>
    <w:p>
      <w:pPr>
        <w:pStyle w:val="BookText"/>
        <w:rPr/>
      </w:pPr>
      <w:bookmarkEnd w:id="281"/>
      <w:r>
        <w:rPr>
          <w:rFonts w:ascii="Amiri" w:hAnsi="Amiri" w:eastAsia="Amiri" w:cs="Amiri"/>
          <w:color w:val="111111"/>
          <w:sz w:val="28"/>
          <w:sz w:val="28"/>
          <w:szCs w:val="28"/>
          <w:rtl w:val="true"/>
          <w:lang w:bidi="ar-SA"/>
        </w:rPr>
        <w:t>وهو نحو من التعلّق ، كتعلّق العلم الإجمالي بأطراف المعلوم بالإجمال ، فإنّه أيضاً نحو من التعلّق ، فبعد إمكان تعلّق الوجوب بكلٍّ من الأطراف بنحو ما ذكرنا ، لا داعي إلى صرف الوجوب التخييري إلى التعييني ، كما أ نّه لا داعي إلى تطبيق التعريف المتقدّم عليه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تعريف للواجب التعييني ببعض لوازمه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التعييني والتخييري مفترقان بذاتهما ولوازمهما ، ولا يمكن إرجاع أحدهما إلى الآخر ، لا في الذات ، ولا في جميع اللوازم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في تعريف الواجب إذا اُريد تعريفه بهذا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ما يستحقّ فاعله الثواب وتاركه لا إلى بدلٍ العقاب ، كما عرّفه أصحابنا الإمامية ، لكن ليس مقصودهم من البدل ما هو المتفاهم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أحدهما أصلاً والآخر بديله كما هو واضح ، فيكون هذا التعبير من باب ضيق العبارة بعد وضوح المقصود </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7368387_1051229030"/>
      <w:bookmarkStart w:id="283" w:name="_Toc104"/>
      <w:bookmarkEnd w:id="282"/>
      <w:r>
        <w:rPr>
          <w:rtl w:val="true"/>
        </w:rPr>
        <w:t>في التخيير بين الأقلّ والأكثر</w:t>
      </w:r>
      <w:bookmarkEnd w:id="283"/>
    </w:p>
    <w:p>
      <w:pPr>
        <w:pStyle w:val="BookText"/>
        <w:rPr/>
      </w:pPr>
      <w:r>
        <w:rPr>
          <w:rFonts w:ascii="Amiri" w:hAnsi="Amiri" w:eastAsia="Amiri" w:cs="Amiri"/>
          <w:color w:val="111111"/>
          <w:sz w:val="28"/>
          <w:sz w:val="28"/>
          <w:szCs w:val="28"/>
          <w:rtl w:val="true"/>
          <w:lang w:bidi="ar-SA"/>
        </w:rPr>
        <w:t xml:space="preserve">ثمّ إنّه قد وقع الكلام في إمكان التخيير بين الأقلّ والأكثر وعدمه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بدّ من فرض الكلام في مورد يكون الأقلّ لا بشرط شيء وداخلاً في الأكثر؛ بحيث يكون الأكثر مشتملاً عليه مع الزيادة ، ويكون الأقلّ فاقداً لبعض ما للأكثر فقداناً بالحمل الشائع، لا مقيّداً بالفقدان ، وإلاّ لو فرضنا أنّ الأقلّ يكون بشرط لا ومقيّداً بالفقدان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يكونان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محلّ الكلام ومورد النقض والإبرام ، ومعلوم أنّ التخيير بين المتباينين </w:t>
      </w:r>
    </w:p>
    <w:p>
      <w:pPr>
        <w:pStyle w:val="BookText"/>
        <w:rPr/>
      </w:pPr>
      <w:r>
        <w:rPr>
          <w:rFonts w:ascii="Amiri" w:hAnsi="Amiri" w:eastAsia="Amiri" w:cs="Amiri"/>
          <w:color w:val="111111"/>
          <w:sz w:val="28"/>
          <w:sz w:val="28"/>
          <w:szCs w:val="28"/>
          <w:rtl w:val="true"/>
          <w:lang w:bidi="ar-SA"/>
        </w:rPr>
        <w:t xml:space="preserve">ولو بهذا المعنى ممكن ، لا معنى للنزاع فيه ، فمحلّ الكلام هو الأقلّ والأكثر بنحو 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معقولية التخيير بينهما ؛ فإنّ الأقلّ إذا كان وافياً بتمام المقصود والغرض ، يكون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عليه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ما هو الوافي بتمام الغرض مع الزيادة ، فما هو الوافي بالغرض والمحصّل له يكون واجباً تعيينياً ، لا يرضى الآمر بتركه ، ولا دخالة للزيادة في تحصيل ذلك الغرض ، وإنّما القائم بها مصلحة اُخرى ندبية لا إلزامية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منه صورة التخيير بين الأقلّ والأكثر ، ينحلّ إلى وجوب تعييني متعلّق بالأقلّ ، وإلى أمر ندبي متعلّق بالزيادة ، وإنّما التخيير بين الوجود والعدم بالنسبة إليها ، فلو أتى بها تكون على صفة الندبية ؛ لتعلّق الأمر بها مع الرضا بالترك ، وهذا واضح بعد التأمّل في موضوع البحث وتشخيص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التخيير بينهما في موردين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الأقلّ والأكثر تحت طبيعة واحدة ، تكون بحسب الوجود مشكّكة ، ويكون ما به الاشتراك بين الأفراد عين ما به الامتياز ، كالخطّ القصير والطويل ، فإنّ التخيير بين الفردين منها ممكن ؛ لأنّ تعيّن الخطّ لفردية الطبيعة إنّما يكون إذا صار محدوداً ، وأمّا ما دام مستمرّاً متدرّجاً في الوجود ، فلا يتعيّن للفردية ، فكأنّه مبهم قابل لكلّ تعيّنٍ ، فمحصّل الغرض إذا كان فرداً 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يصير الفرد القصير فرداً لها إلاّ مع محدوديته ، كما لا يصير الطويل فرداً إلاّ معها ، فالفردان وإن كان التفاوت بينهما بالأقلّية والأكثرية ، لكن صيرورتهما </w:t>
      </w:r>
    </w:p>
    <w:p>
      <w:pPr>
        <w:pStyle w:val="BookText"/>
        <w:rPr/>
      </w:pPr>
      <w:r>
        <w:rPr>
          <w:rFonts w:ascii="Amiri" w:hAnsi="Amiri" w:eastAsia="Amiri" w:cs="Amiri"/>
          <w:color w:val="111111"/>
          <w:sz w:val="28"/>
          <w:sz w:val="28"/>
          <w:szCs w:val="28"/>
          <w:rtl w:val="true"/>
          <w:lang w:bidi="ar-SA"/>
        </w:rPr>
        <w:t xml:space="preserve">فردين للطبيعة ومحصّلين للغرض غير ممكنة إلاّ بتحقّق الفردية ، وهي متقوّمة بالمحدودية بالحمل الشائع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الأقلّ والأكثر محصِّلين لعنوان آخر ، يكون ذلك العنوان محصِّلاً للغرض ، كما قلنا سابقاً في الصحيح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صلاة الحاضر والمسافر تكونان محصّلتين لعنوان ، يكون ذلك العنوان محصِّلاً للغرض ، ففي مثل هذا المورد أيضاً يمكن التخيير بينهما ؛ فإنّ صلاة الحاضر والمسافر مع كونهما مختلفتين بالأقلّية والأكثرية ، لكن كلّ واحدة منهما محصِّلة لعنوانٍ يكون محصّلاً للغرض ، فصلاة القصر للمسافر والتمام للحاضر محصّلتان لذلك العنوان ، تدبّر </w:t>
      </w:r>
      <w:r>
        <w:rPr>
          <w:rFonts w:eastAsia="Amiri" w:cs="Amiri" w:ascii="Amiri" w:hAnsi="Amiri"/>
          <w:color w:val="111111"/>
          <w:sz w:val="28"/>
          <w:szCs w:val="28"/>
          <w:rtl w:val="true"/>
          <w:lang w:bidi="ar-SA"/>
        </w:rPr>
        <w:t xml:space="preserve">. </w:t>
      </w:r>
      <w:bookmarkStart w:id="284" w:name="pg8033_80841"/>
    </w:p>
    <w:p>
      <w:pPr>
        <w:pStyle w:val="Heading3"/>
        <w:numPr>
          <w:ilvl w:val="2"/>
          <w:numId w:val="1"/>
        </w:numPr>
        <w:rPr/>
      </w:pPr>
      <w:bookmarkStart w:id="285" w:name="__RefHeading___Toc7368389_1051229030"/>
      <w:bookmarkStart w:id="286" w:name="_Toc105"/>
      <w:bookmarkEnd w:id="284"/>
      <w:bookmarkEnd w:id="285"/>
      <w:r>
        <w:rPr>
          <w:rtl w:val="true"/>
        </w:rPr>
        <w:t>المطلب الثامن</w:t>
      </w:r>
      <w:r>
        <w:rPr>
          <w:rtl w:val="true"/>
        </w:rPr>
        <w:t xml:space="preserve">: </w:t>
      </w:r>
      <w:r>
        <w:rPr>
          <w:rtl w:val="true"/>
        </w:rPr>
        <w:t>في الواجب الكفائي</w:t>
      </w:r>
      <w:bookmarkEnd w:id="286"/>
    </w:p>
    <w:p>
      <w:pPr>
        <w:pStyle w:val="Heading4"/>
        <w:numPr>
          <w:ilvl w:val="3"/>
          <w:numId w:val="1"/>
        </w:numPr>
        <w:rPr/>
      </w:pPr>
      <w:bookmarkStart w:id="287" w:name="__RefHeading___Toc7368391_1051229030"/>
      <w:bookmarkStart w:id="288" w:name="_Toc106"/>
      <w:bookmarkEnd w:id="287"/>
      <w:r>
        <w:rPr>
          <w:rtl w:val="true"/>
        </w:rPr>
        <w:t>في الواجب الكفائي</w:t>
      </w:r>
      <w:bookmarkEnd w:id="288"/>
    </w:p>
    <w:p>
      <w:pPr>
        <w:pStyle w:val="BookText"/>
        <w:rPr/>
      </w:pPr>
      <w:r>
        <w:rPr>
          <w:rFonts w:ascii="Amiri" w:hAnsi="Amiri" w:eastAsia="Amiri" w:cs="Amiri"/>
          <w:color w:val="111111"/>
          <w:sz w:val="28"/>
          <w:sz w:val="28"/>
          <w:szCs w:val="28"/>
          <w:rtl w:val="true"/>
          <w:lang w:bidi="ar-SA"/>
        </w:rPr>
        <w:t xml:space="preserve">وهو نحو وجوبٍ يقتضي عند العقلاء المثوبة والسقوط بفعل واحدٍ من المكلّفين إذا أتى به ، والعقوبةَ لجميعهم إذا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الوجوب واقع في الشرعيات والعرفيات كثيراً ، ولا إشكال في أ نّه بفعل واحدٍ من المكلّفين يسقط الأمر ، ويحصل غرض المولى ، ولا إشكال أيضاً في استحقاق جميعهم للعقوبة عند الترك ، إنّما الكلام في حقيقة هذا النحو من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له نحو إضافة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إضافة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إضافة إلى المكلّف به ، وعند التأمّل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به الافتراق بين الواجبات العينية والكفائية ليس في الإضافتين الأوّلتين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إضافة صدورية في كليهما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المأمور بإتيان المكلّف به في كليهما جميع المكلّفين ، لا مجموعهم ؛ لعدم وجود المجموع بما هو مجموع وجوداً قابلاً لتعلّق البعث به ، وإنّما هو أمر انتزاعي ، ولا واحد منهم لا بعينه أو على نحو الترديد ؛ لعدم تعقّل </w:t>
      </w:r>
    </w:p>
    <w:p>
      <w:pPr>
        <w:pStyle w:val="BookText"/>
        <w:rPr/>
      </w:pPr>
      <w:r>
        <w:rPr>
          <w:rFonts w:ascii="Amiri" w:hAnsi="Amiri" w:eastAsia="Amiri" w:cs="Amiri"/>
          <w:color w:val="111111"/>
          <w:sz w:val="28"/>
          <w:sz w:val="28"/>
          <w:szCs w:val="28"/>
          <w:rtl w:val="true"/>
          <w:lang w:bidi="ar-SA"/>
        </w:rPr>
        <w:t xml:space="preserve">تعلّق البعث بالواحد لا بعينه ، ولا بنحو الترديد الواقعي بين المكلّفين ، وعدم باعثية الأمر بنحو ما ذكر ، مع أنّ الغرض من الأمر هو البعث والإغراء ، بل المأمور والمكلّف هو جميعهم على نحو الاستغراق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من هذه الجهة بينه وبين الواجب العيني ، وإنّما الافتراق بينهما في الإضافة الثالثة ؛ فإنّ المكلّف به في الواجب الكفائي هو أصل الطبيعة بلا تقيّدها بشيء ، فكلّ واحدٍ من المكلّفين مأمور بإتيان أصل الطبيعة الغير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الواجب العيني فكلّ واحدٍ منهم مأمور بإتيان الطبيعة المقيّدة بكون تحقّقها بمباشرته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فغرض المولى في الواجب الكفائي إنّما تعلّق بحصول الطبيعة من كلّ واحدٍ منهم ، ولازمه أن يحصل الغرض بإتيان واحدٍ منهم ؛ لأنّ الطبيعة الغير المقيّدة لا تكرار فيها ، والفرض أنّ تمام الغرض قائم بها ، فسقوط الأمر عن سائر المكلّفين لا يكون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زافاً ، ولا سقوطاً بالعصيان ، بل سقوط بالإطاعة ، لكن المطيع هو الآتي بالمأمور به ، ومع عدم الإتيان رأساً يكون المستحقّ للعقوبة جميعهم ؛ لأنّ الجميع مأمورون بالإتيان ، ومع الترك يكون جميعهم عصاة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الواجب العيني ؛ فإنّ الغرض منه إنّما تعلّق بإتيان كلّ واحد منهم بالطبيعة لا على نحو الإطلاق ، بل تكون الطبيعة مضافة إلى كلّ واحد منهم إضافة صدورية مباشرية ، فلا يسقط فعل واحدٍ منهم ما هو المأمور به للآخرين ؛ لأنّ سقوطه عنهم يكون جُزافاً بلا وجهٍ ، وهذا واضح </w:t>
      </w:r>
      <w:r>
        <w:rPr>
          <w:rFonts w:eastAsia="Amiri" w:cs="Amiri" w:ascii="Amiri" w:hAnsi="Amiri"/>
          <w:color w:val="111111"/>
          <w:sz w:val="28"/>
          <w:szCs w:val="28"/>
          <w:rtl w:val="true"/>
          <w:lang w:bidi="ar-SA"/>
        </w:rPr>
        <w:t xml:space="preserve">. </w:t>
      </w:r>
      <w:bookmarkStart w:id="289" w:name="pg8033_80845"/>
    </w:p>
    <w:p>
      <w:pPr>
        <w:pStyle w:val="BookText"/>
        <w:rPr/>
      </w:pPr>
      <w:bookmarkEnd w:id="289"/>
      <w:r>
        <w:rPr>
          <w:rFonts w:ascii="Amiri" w:hAnsi="Amiri" w:eastAsia="Amiri" w:cs="Amiri"/>
          <w:color w:val="111111"/>
          <w:sz w:val="28"/>
          <w:sz w:val="28"/>
          <w:szCs w:val="28"/>
          <w:rtl w:val="true"/>
          <w:lang w:bidi="ar-SA"/>
        </w:rPr>
        <w:t xml:space="preserve">بقي تنبيهان </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368393_1051229030"/>
      <w:bookmarkStart w:id="291" w:name="_Toc107"/>
      <w:bookmarkEnd w:id="290"/>
      <w:r>
        <w:rPr>
          <w:rtl w:val="true"/>
        </w:rPr>
        <w:t xml:space="preserve">الأوّل </w:t>
      </w:r>
      <w:r>
        <w:rPr>
          <w:rtl w:val="true"/>
        </w:rPr>
        <w:t xml:space="preserve">: </w:t>
      </w:r>
      <w:r>
        <w:rPr>
          <w:rtl w:val="true"/>
        </w:rPr>
        <w:t xml:space="preserve">أنّ المحقّق الخراساني رحمه الله علیه </w:t>
      </w:r>
      <w:r>
        <w:rPr>
          <w:rtl w:val="true"/>
        </w:rPr>
        <w:t xml:space="preserve">- </w:t>
      </w:r>
      <w:r>
        <w:rPr>
          <w:rtl w:val="true"/>
        </w:rPr>
        <w:t xml:space="preserve">في أوائل مبحث الأوامر </w:t>
      </w:r>
      <w:r>
        <w:rPr>
          <w:rtl w:val="true"/>
        </w:rPr>
        <w:t xml:space="preserve">- </w:t>
      </w:r>
      <w:r>
        <w:rPr>
          <w:rtl w:val="true"/>
        </w:rPr>
        <w:t xml:space="preserve">ذهب إلى جواز التمسّك بإطلاق المأمور به لكون الأمر عينياً فيما إذا شكّ في العينية والكفائية </w:t>
      </w:r>
      <w:r>
        <w:rPr>
          <w:rtl w:val="true"/>
        </w:rPr>
        <w:t>.</w:t>
      </w:r>
      <w:bookmarkEnd w:id="291"/>
    </w:p>
    <w:p>
      <w:pPr>
        <w:pStyle w:val="BookText"/>
        <w:rPr/>
      </w:pPr>
      <w:r>
        <w:rPr>
          <w:rFonts w:ascii="Amiri" w:hAnsi="Amiri" w:eastAsia="Amiri" w:cs="Amiri"/>
          <w:color w:val="111111"/>
          <w:sz w:val="28"/>
          <w:sz w:val="28"/>
          <w:szCs w:val="28"/>
          <w:rtl w:val="true"/>
          <w:lang w:bidi="ar-SA"/>
        </w:rPr>
        <w:t xml:space="preserve">وأفاد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الكفائي مقيّد بعدم إتيان الآخر ، وأمّا الواجب العيني فلا قيد له من هذه الجهة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ممّا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الكفائي ليس من قبيل الواجب المشروط والمقيّد بعدم إتيان الآخر ، بل هو متعلّق بجميع المكلّفين على نحو الإطلاق ، وسقوطه عن المكلّفين بإتيان واحد منهم لا يدلّ على الاشتراط ، بل إنّما هو بحصول تمام المقصود وتمام متعلّق الأمر ، ولا يعقل أن يكون الأمر مشروطاً بحصول متعلّقه ، مع أ نّه يلزم منه أن يكون الواجب العيني أيضاً مشروطاً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التمسّك بالإطلاق هو كون الوجوب كفائياً ، فإنّ 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عن العيني إلاّ في الإضافة إلى المتعلّق ؛ لأنّ متعلّق الكفائي هو نفس الطبيعة ، ومتعلّق العيني هو الطبيعة المقيّدة بصدوره عن كلّ واحدٍ من المكلّفين ، وهو قيد زائد يرفع بالأصل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ظاهر الأوامر هو العينية لا الكفائية ، لكن التمسّك بالظهور غير التمسّك بالإطلاق ، كما لا يخفى </w:t>
      </w:r>
      <w:r>
        <w:rPr>
          <w:rFonts w:eastAsia="Amiri" w:cs="Amiri" w:ascii="Amiri" w:hAnsi="Amiri"/>
          <w:color w:val="111111"/>
          <w:sz w:val="28"/>
          <w:szCs w:val="28"/>
          <w:rtl w:val="true"/>
          <w:lang w:bidi="ar-SA"/>
        </w:rPr>
        <w:t xml:space="preserve">. </w:t>
      </w:r>
      <w:bookmarkStart w:id="292" w:name="pg8033_80847"/>
    </w:p>
    <w:p>
      <w:pPr>
        <w:pStyle w:val="Heading4"/>
        <w:numPr>
          <w:ilvl w:val="3"/>
          <w:numId w:val="1"/>
        </w:numPr>
        <w:rPr/>
      </w:pPr>
      <w:bookmarkStart w:id="293" w:name="__RefHeading___Toc7368395_1051229030"/>
      <w:bookmarkStart w:id="294" w:name="_Toc108"/>
      <w:bookmarkEnd w:id="292"/>
      <w:bookmarkEnd w:id="293"/>
      <w:r>
        <w:rPr>
          <w:rtl w:val="true"/>
        </w:rPr>
        <w:t xml:space="preserve">الثاني </w:t>
      </w:r>
      <w:r>
        <w:rPr>
          <w:rtl w:val="true"/>
        </w:rPr>
        <w:t xml:space="preserve">: </w:t>
      </w:r>
      <w:r>
        <w:rPr>
          <w:rtl w:val="true"/>
        </w:rPr>
        <w:t>أنّه لو أتى عدّة من المكلّفين بالمأمور به في عَرض واحد ، هل يكون المجموع مطيعاً ، أو واحد منهم ، أو كلّ واحد منهم ؟</w:t>
      </w:r>
      <w:bookmarkEnd w:id="294"/>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 لأنّ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حتّى يطيع أو يعصي ، بل الموجود هو كلّ واحد ، ولا معنى لمطيعية واحد بعينه أو لا بعينه ، بل المطيع هو الجميع ؛ فإنّ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تعلّق بهم على نحو الاستغراق ، والفرض أنّ كلّ واحدٍ منهم آتٍ بالطبيعة المأمور بها ، فيكون مطيعاً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نحن فيه أوضح ممّا ذكرنا في مبحث المرّة والتكرار</w:t>
      </w:r>
      <w:r>
        <w:rPr>
          <w:rStyle w:val="FootnoteAnchor"/>
          <w:rtl w:val="true"/>
        </w:rPr>
        <w:footnoteReference w:id="223"/>
      </w:r>
      <w:r>
        <w:rPr>
          <w:rFonts w:ascii="Amiri" w:hAnsi="Amiri" w:eastAsia="Amiri" w:cs="Amiri"/>
          <w:color w:val="111111"/>
          <w:sz w:val="28"/>
          <w:sz w:val="28"/>
          <w:szCs w:val="28"/>
          <w:rtl w:val="true"/>
          <w:lang w:bidi="ar-SA"/>
        </w:rPr>
        <w:t xml:space="preserve">من أنّ المكلّف لو أتى بفردين أو أفراد من المأمور به ، يكون مثاباً بعدد الأفراد المأتيّ بها ؛ لأنّ الطبيعة المأمور بها حصلت بكلّ واحدٍ من الأفراد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في ذلك المبحث لمّا كان واحداً ، ونفس الطبيعة هي المأمور بها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المطلقة مع تكثّر الأفراد لا تخرج عن وحدتها ، والمأتيّ بها إنّما هي الطبيعة المشتركة ، وهي واحدة ، ولكن فيما نحن فيه لمّا كان المكلّف كلّ واحد من أفراد المكلّفين ، فإتيان كلّ واحد منهم بالطبيعة في عرض واحد ، إتيان بنفس الطبيعة المأمور بها ، والإطاعة لا تنتزع إلاّ من ذلك ، فكلّ واحد منهم مطيع مثاب </w:t>
      </w:r>
      <w:r>
        <w:rPr>
          <w:rFonts w:eastAsia="Amiri" w:cs="Amiri" w:ascii="Amiri" w:hAnsi="Amiri"/>
          <w:color w:val="111111"/>
          <w:sz w:val="28"/>
          <w:szCs w:val="28"/>
          <w:rtl w:val="true"/>
          <w:lang w:bidi="ar-SA"/>
        </w:rPr>
        <w:t xml:space="preserve">. </w:t>
      </w:r>
      <w:bookmarkStart w:id="295" w:name="pg8033_80849"/>
    </w:p>
    <w:p>
      <w:pPr>
        <w:pStyle w:val="Heading3"/>
        <w:numPr>
          <w:ilvl w:val="2"/>
          <w:numId w:val="1"/>
        </w:numPr>
        <w:rPr/>
      </w:pPr>
      <w:bookmarkStart w:id="296" w:name="__RefHeading___Toc7368397_1051229030"/>
      <w:bookmarkStart w:id="297" w:name="_Toc109"/>
      <w:bookmarkEnd w:id="295"/>
      <w:bookmarkEnd w:id="296"/>
      <w:r>
        <w:rPr>
          <w:rtl w:val="true"/>
        </w:rPr>
        <w:t>المطلب التاسع</w:t>
      </w:r>
      <w:r>
        <w:rPr>
          <w:rtl w:val="true"/>
        </w:rPr>
        <w:t xml:space="preserve">: </w:t>
      </w:r>
      <w:r>
        <w:rPr>
          <w:rtl w:val="true"/>
        </w:rPr>
        <w:t>ينقسم الواجب باعتبارٍ إلى المطلق والموقّت</w:t>
      </w:r>
      <w:bookmarkEnd w:id="297"/>
    </w:p>
    <w:p>
      <w:pPr>
        <w:pStyle w:val="Heading4"/>
        <w:numPr>
          <w:ilvl w:val="3"/>
          <w:numId w:val="1"/>
        </w:numPr>
        <w:rPr/>
      </w:pPr>
      <w:bookmarkStart w:id="298" w:name="__RefHeading___Toc7368399_1051229030"/>
      <w:bookmarkStart w:id="299" w:name="_Toc110"/>
      <w:bookmarkEnd w:id="298"/>
      <w:r>
        <w:rPr>
          <w:rtl w:val="true"/>
        </w:rPr>
        <w:t>ينقسم الواجب باعتبارٍ إلى المطلق والموقّت</w:t>
      </w:r>
      <w:bookmarkEnd w:id="299"/>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دخالة للزمان في متعلّقه ، ويكون تمام ملاك الأمر فيه هو نفس الطبيعة ؛ بحيث لو فرض إتيانها في خارج الزمان يكون تمام الملاك حاصلاً ، والمصلحة الداعية إلى الأمر متحقّقة ، فكون المكلّف والمكلّف به زمانيين غير دخالة الزمان في موضوع التكليف ، كما أنّ كونهما مكانيين ومحفوفين بالعوارض المادّية غير دخيل في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دخالة فيه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وهو ما كان الزمان ا لمأخوذ فيه بمقداره ، كصوم اليوم ، وموسّع وهو ما كان أوسع منه كالصلاة من دلوك الشمس إلى غَسَق الليل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والموسّع كلّي ذو أفراد عرضية وطولية ، والتخيير بين أفراده عقلي لا شرعي ، ومعنى عقليته أنّ العقل لمّا رأى أنّ الأمر قد تعلّق بالطبيعة في هذا الظرف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من الزوال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بأنّ الإتيان بها في أيّ قطعة من الزمان إتيان بمتعلّق الأمر ؛ لأنّ المتعلّق هو الطبيعة المتقيّدة بهذه القطعة </w:t>
      </w:r>
      <w:bookmarkStart w:id="300" w:name="pg8033_80851"/>
    </w:p>
    <w:p>
      <w:pPr>
        <w:pStyle w:val="BookText"/>
        <w:rPr/>
      </w:pPr>
      <w:bookmarkEnd w:id="300"/>
      <w:r>
        <w:rPr>
          <w:rFonts w:ascii="Amiri" w:hAnsi="Amiri" w:eastAsia="Amiri" w:cs="Amiri"/>
          <w:color w:val="111111"/>
          <w:sz w:val="28"/>
          <w:sz w:val="28"/>
          <w:szCs w:val="28"/>
          <w:rtl w:val="true"/>
          <w:lang w:bidi="ar-SA"/>
        </w:rPr>
        <w:t xml:space="preserve">الوسيعة ، والفرد عين الطبيعة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نكتة يجب التنبيه عليها ، وهي أنّ الواجب الموسّع لا يصير مضيّقاً لو بقي من آخر الوقت بمقداره ، كما هو المعروف في الألسنة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واضح ؛ لأنّ تمام متعلّق الأمر هو الطبيعة المقيّدة بكونها في القطعة الوسيعة ؛ من غير دخالة لخصوصيات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 الوقت أو وسطه أو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صيرورة الواجب مضيّقاً هو تعلّق الأمر بالطبيعة في القطعة الأخيرة من الزمان ، مع أنّ خصوصية القطعة الأخيرة لا دخالة لها في متعلّق الأمر ، وتكون دخالتها فيه جزافاً بلا ملاكٍ ، فكما أنّ الآتي بالمأمور به في أوّل الوقت ، يكون تمام الملاك في كونه مطيعاً هو إتيان الطبيعة المقيّدة بكونها في القطعة الوسيعة ، لا إتيانها في أوّل الوقت ؛ فإنّ أوّليته غير دخيلة في المصلحة ، كذلك الآتي بها في وسطه أو آخره ، وكون آخر الوقت آخر زمانٍ يمكن فيه الإطاعة ، لا يصيِّر الواجب مضيّقاً ، ولا يوجب كون الخصوصية التي لا دخالة لها في المتعلّق دخيلةً فيه ، كما لا يخفى على المتأمّل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368401_1051229030"/>
      <w:bookmarkStart w:id="302" w:name="_Toc111"/>
      <w:bookmarkEnd w:id="301"/>
      <w:r>
        <w:rPr>
          <w:rtl w:val="true"/>
        </w:rPr>
        <w:t>في كون القضاء بأمر جديد</w:t>
      </w:r>
      <w:bookmarkEnd w:id="3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أ نّه لا دلالة للأمر بالموقّت على الأمر به في خارج الوقت إذا فات فيه ؛ لأنّ التقيّد بالوقت يدلّ على دخالته في متعلّق التكليف ، وكون المتعلّق هو الطبيعة المقيّدة لا المطلقة ، ومع فوت القيد لا معنى لبقاء الأمر في المطلق ؛ لعدم كونه متعلّق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تحصُّل الأمر بالموقّت إنّما هو بتعلّقه بالموقّت بما أنّه موقّت ، وبعد فوت الوقت إن بقي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يدعو إلى الموقّت الذي فات وقته ، وهو غير معقولٍ ؛ لكونه تكليفاً بالمحال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يدعو إلى المطلق ، وهو أيضاً غير معقولٍ ؛ لعدم كونه متعلّقاً له ، والأمر لا يدعو إلاّ إلى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الوقت مثل حال سائر القيود ، فإذا تعلّق الأمر بالصلاة المقيّدة بالطهور ، وتعذّر الطهور ، فلا معنى لدعوته إلى الصلاة المطلقة ، وهذا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الكلام فيما أفاده المحقّق الخراساني رحمه الله علیه من أنّه لو كان التوقيت بدليل منفصل لم يكن له إطلاق في التقييد بالوقت ، وكان لدليل الواجب إطلاق ، لكان قضيّة إطلاقه ثبوتَ الوجوب بعد انقضاء الوقت ، وكونَ التقييد به بحسب تمام المطلوب لا أصله ، ويكون من قبيل تعدّد المطلوب</w:t>
      </w:r>
      <w:r>
        <w:rPr>
          <w:rStyle w:val="FootnoteAnchor"/>
          <w:rtl w:val="true"/>
        </w:rPr>
        <w:footnoteReference w:id="22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 فإنّ حمل المطلق على المقيّد إنّما هو فيما إذا اُحرزت وحدة المطلوب ؛ لأجل تقديم ظهور المقيّد في دخالة القيد على ظهور المطلق في كونه تمام المطلوب ، فإذا اُحرزت فصار الدليل مقيّداً ، فلا معنى لدلالته على مطلوبية المطلق خارج الوقت ؛ لما ذكرنا آنفاً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تحرز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احتمل أن يكون في البين مطلوبان مستقلاّن ، أو مطلوب ذو درجتين تكون درجته الضعيفة متعلّقة للمطلق ، ودرجته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الشديدة متعلّقة للمقيّد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لحمل المطلق على المقيّد ؛ لعدم المعارضة بينهما أصلاً ، كما كان الأمر كذلك في المستحبّات ؛ لعدم حمل المطلق على المقيّد فيها ؛ لعدم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يخرج الكلام عمّا نحن فيه ؛ لأنّ المطلق بإطلاقه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الوقت ، والمقيّد يدلّ على مطلوب آخر مستقلّ ، أو مرتبة اُخرى من المطلوب في الوقت ، وهو أجنبيّ عمّا نحن بصدده </w:t>
      </w:r>
      <w:r>
        <w:rPr>
          <w:rFonts w:eastAsia="Amiri" w:cs="Amiri" w:ascii="Amiri" w:hAnsi="Amiri"/>
          <w:color w:val="111111"/>
          <w:sz w:val="28"/>
          <w:szCs w:val="28"/>
          <w:rtl w:val="true"/>
          <w:lang w:bidi="ar-SA"/>
        </w:rPr>
        <w:t xml:space="preserve">. </w:t>
      </w:r>
      <w:bookmarkStart w:id="303" w:name="pg8033_80858"/>
    </w:p>
    <w:p>
      <w:pPr>
        <w:pStyle w:val="Heading3"/>
        <w:numPr>
          <w:ilvl w:val="2"/>
          <w:numId w:val="1"/>
        </w:numPr>
        <w:rPr/>
      </w:pPr>
      <w:bookmarkStart w:id="304" w:name="__RefHeading___Toc7368403_1051229030"/>
      <w:bookmarkStart w:id="305" w:name="_Toc112"/>
      <w:bookmarkEnd w:id="303"/>
      <w:bookmarkEnd w:id="304"/>
      <w:r>
        <w:rPr>
          <w:rtl w:val="true"/>
        </w:rPr>
        <w:t>المطلب العاشر</w:t>
      </w:r>
      <w:r>
        <w:rPr>
          <w:rtl w:val="true"/>
        </w:rPr>
        <w:t xml:space="preserve">: </w:t>
      </w:r>
      <w:r>
        <w:rPr>
          <w:rtl w:val="true"/>
        </w:rPr>
        <w:t>هل متعلّق الأوامر والنواهي الطبائع أو الأفراد ؟</w:t>
      </w:r>
      <w:bookmarkEnd w:id="305"/>
    </w:p>
    <w:p>
      <w:pPr>
        <w:pStyle w:val="BookText"/>
        <w:rPr/>
      </w:pPr>
      <w:r>
        <w:rPr>
          <w:rFonts w:ascii="Amiri" w:hAnsi="Amiri" w:eastAsia="Amiri" w:cs="Amiri"/>
          <w:color w:val="111111"/>
          <w:sz w:val="28"/>
          <w:sz w:val="28"/>
          <w:szCs w:val="28"/>
          <w:rtl w:val="true"/>
          <w:lang w:bidi="ar-SA"/>
        </w:rPr>
        <w:t xml:space="preserve">الحقّ أنّ الأوامر والنواهي متعلّقة بالطبائع دون الأفراد ، لا بمعنى تعلّقها بنفس الطبائع ؛ أي الماهيات من حيث هي ، فإنّها ليست إلاّ هي ، لا مطلوبة ولا لامطلوبة ، والنقائض كلّها منتفية عن مرتبة ذاتها ، ولا يمكن إثبات شيء لها من حيث ذاتها ، إلاّ ذاتها وذاتياتها ، بل بمعنى أنّ الإرادة والطلب بحسب مقام الثبوت والإثبات إنّما تتعلّق بإيجاد نفس الطبيعة ، من غير دخالة للخصوصيات المفرّدة الحافّة بها في تعلّق الإرادة والطلب والبعث ؛ بحيث لو فرض إمكان إيجادها مجرّدة عن كافّة الخصوصيات الزائدة عن أصل وجود الطبيعة ، تكون تمام متعلّق الإرادة والبعث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كافّة الخصوصيات اللاحقة بالفرد خارجة عن حريم تعلّق الإرادة والطلب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من الحقائق التي لها إضافة إلى الطالب إضافةً صدورية ، وإلى المطلوب منه ، وإلى المطلوب ، ولا يمكن تحقّقها مجرّدة عن تلك الإضافات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المطلوب منه فلا بدّ من وجوده في الخارج ، حتّى تتعلّق به إضافة الطلب ؛ لعدم تعقّل الطلب من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المطلوب فلا يمكن أن يكون طرفَ الإضافة بوجوده الخارجي ؛ للزوم تحصيل الحاصل ، ولزوم عدم تعلّق التكليف بالعصاة ، أو تعلّقه بالمعدوم إذا لم يتحقّق المطلوب ، وهو محال ، ولا يمكن أن لا يكون متحقّقاً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الخارج ولا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تعلّق الإضافة بالمعدومات ، فلا بدّ له من وجود ذهني ، لكن لا بما أ نّه وجود ذهني متقيّد به ؛ لاستحالة تحقّقه في الخارج مع ذاك التقيّد ، فلا محالة يكون المطلوب موجوداً في الذهن ، والطالب لا يرى إلاّ نفسه ، لا موجوديته في الذهن ، ويتعلّق الطلب بالموجود الذهني ، أي الطبيعة المتحقّقة في الذهن ؛ ليجعلها المكلّف موجودة في الخارج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قد تعلّق بالطبيعة المتحقّقة في الذهن بحسب الواقع ، وإن كان الطالب غير ناظر إلى تحقّقها الذهني ، فطلب من المكلّف إيجادها في الخارج ، فإذا كان كذلك فلا يمكن أن يتعلّق الطلب بالعوارض الخارجية الحافّة بالطبيعة في الخارج ؛ لأنّها بوجودها الخارجي غير موجودة في الذهن ، ولا يمكن أن تكون نفس الطبيعة الموجودة في الذهن مرآة للحاظها ؛ فإنّ ا لطبيعة إنّما تكون مرآة للحاظ ما به الاشتراك بين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الطبيعة المتحقّقة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مرآة لما به الامتياز بينها ؛ لأنّها مباينة مع الطبيعة ، ولا يمكن </w:t>
      </w:r>
    </w:p>
    <w:p>
      <w:pPr>
        <w:pStyle w:val="BookText"/>
        <w:rPr/>
      </w:pPr>
      <w:r>
        <w:rPr>
          <w:rFonts w:ascii="Amiri" w:hAnsi="Amiri" w:eastAsia="Amiri" w:cs="Amiri"/>
          <w:color w:val="111111"/>
          <w:sz w:val="28"/>
          <w:sz w:val="28"/>
          <w:szCs w:val="28"/>
          <w:rtl w:val="true"/>
          <w:lang w:bidi="ar-SA"/>
        </w:rPr>
        <w:t xml:space="preserve">أن يكون المباين مرآة للمباين ، فلا يمكن تعلّق الإرادة والأمر بغير وجود الطبيعة ؛ أي الوجود السعي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المحقّق الخراساني رحمه الله علیه فصّل بين متعلّق الطلب ومتعلّق الأمر ؛ بأنّ الأوّل هو وجود الطبيعة ، فالطلب يتعلّق بالوجود المتعلّق بالطبيعة ، لا الطبيعة من حيث هي ، فإنّها ليست إلاّ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فهو متعلِّق بالطبيعة ؛ لأنّه هو طلب الوجود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w:t>
      </w:r>
      <w:r>
        <w:rPr>
          <w:rStyle w:val="FootnoteAnchor"/>
          <w:rtl w:val="true"/>
        </w:rPr>
        <w:footnoteReference w:id="226"/>
      </w:r>
      <w:r>
        <w:rPr>
          <w:rFonts w:ascii="Amiri" w:hAnsi="Amiri" w:eastAsia="Amiri" w:cs="Amiri"/>
          <w:color w:val="111111"/>
          <w:sz w:val="28"/>
          <w:sz w:val="28"/>
          <w:szCs w:val="28"/>
          <w:rtl w:val="true"/>
          <w:lang w:bidi="ar-SA"/>
        </w:rPr>
        <w:t xml:space="preserve">من أنّ الأمر والطلب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متعلّق بنفس الطبيعة بحسب العرف والمتفاهم من الألفاظ ، فتكون نفس المادّة المتعلّقة لهيئة الأمر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للطلب حقيقة عند العرف ، ويكون البعث والإغراء متوجّهاً إليها ، ولا يلزم منه أن تكون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مَقسم للموجود والمعدوم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للطلب ، حتّى لا يدلّ الأمر على إيجادها خارجاً ؛ وذلك لأنّ الطبيعة لا تكون حقيقة مقسماً للموجود والمعدوم ؛ حتّى يكون المعدوم أيضاً هو الطبيعة المتّصفة بالمعدومية ، بل المعدوم ليس بشيء ، وهو باطل محض ، بل الطبيعة لا تكون طبيعة إلاّ في ظرف الوجود ، وكذلك كلّ الماهيات والطبائع لا تصدق نفسها على نفسها إلاّ في ظرف الوجود ، فلا يكون المعدوم بما أنّه معدوم مبعوثاً إليه ، فالطلب إنّما يتعلّق بالطبيعة نفسها عرفاً ، لكن تحصيل الطبيعة وإطاعة أمر المولى لا يمكن إلاّ بإيجادها خارجاً ، لا بأن يكون الطلب متعلّقاً بالوجود ، بل بأن يكون متعلّقاً </w:t>
      </w:r>
    </w:p>
    <w:p>
      <w:pPr>
        <w:pStyle w:val="BookText"/>
        <w:rPr/>
      </w:pPr>
      <w:r>
        <w:rPr>
          <w:rFonts w:ascii="Amiri" w:hAnsi="Amiri" w:eastAsia="Amiri" w:cs="Amiri"/>
          <w:color w:val="111111"/>
          <w:sz w:val="28"/>
          <w:sz w:val="28"/>
          <w:szCs w:val="28"/>
          <w:rtl w:val="true"/>
          <w:lang w:bidi="ar-SA"/>
        </w:rPr>
        <w:t xml:space="preserve">بنفس الطبيعة ، لكن كون الطبيعة طبيعة لا يمكن إلاّ بالوجود وفي ظرفه ، وما ليس بموجود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 لا يصدق عليه ذاته وذاتياته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أصالة الوجود والماهية فقضيّة عقلية فلسفية ، خارجة عن متفاهم العرف ومداليل الألفاظ ، وهي أمر دقيق غير مربوط بهذا الوادي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الماهية من حيث هي ليست إلاّ هي</w:t>
      </w:r>
      <w:r>
        <w:rPr>
          <w:rStyle w:val="FootnoteAnchor"/>
          <w:rtl w:val="true"/>
        </w:rPr>
        <w:footnoteReference w:id="227"/>
      </w:r>
      <w:r>
        <w:rPr>
          <w:rFonts w:ascii="Amiri" w:hAnsi="Amiri" w:eastAsia="Amiri" w:cs="Amiri"/>
          <w:color w:val="111111"/>
          <w:sz w:val="28"/>
          <w:sz w:val="28"/>
          <w:szCs w:val="28"/>
          <w:rtl w:val="true"/>
          <w:lang w:bidi="ar-SA"/>
        </w:rPr>
        <w:t xml:space="preserve">فهو مطلب صحيح ، لكن معناه أنّ الماهية من حيث ذاتها لا تكون مصداقاً لشيء ولا يحمل عليها شيء غير ذاتها وذاتياتها ، لا أ نّها لا يمكن أن تكون طرفاً لإضافة ؛ فإنّ طرفيتها للإضافة غير حمل شيء عليها ، فالماهية من حيث هي يمكن أن تكون متعلّقة للأمر ؛ أي طرفاً لإضافة الطلب ، فينتزع منها المطلوبية باعتبار تلك الإضافة التي هي خارجة عن ذاتها من حيث هي ، فذاتها من حيث هي ليست إلاّ هي ، لكنّها تصير طرفاً للإضافة ، وباعتبار طرفيتها لها يحمل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مطلوبة ، وهذا أمر خارج عن ذاتها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يتعلّق بالطبيعة لا بالوجود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8033_80868"/>
      <w:bookmarkStart w:id="307" w:name="pg8033_80868"/>
      <w:bookmarkEnd w:id="307"/>
    </w:p>
    <w:p>
      <w:pPr>
        <w:pStyle w:val="Heading2"/>
        <w:numPr>
          <w:ilvl w:val="1"/>
          <w:numId w:val="1"/>
        </w:numPr>
        <w:rPr/>
      </w:pPr>
      <w:bookmarkStart w:id="308" w:name="pg8033_80868"/>
      <w:bookmarkStart w:id="309" w:name="__RefHeading___Toc7368405_1051229030"/>
      <w:bookmarkStart w:id="310" w:name="_Toc113"/>
      <w:bookmarkEnd w:id="308"/>
      <w:bookmarkEnd w:id="309"/>
      <w:r>
        <w:rPr>
          <w:rtl w:val="true"/>
        </w:rPr>
        <w:t>المقصد الثاني</w:t>
      </w:r>
      <w:r>
        <w:rPr>
          <w:rtl w:val="true"/>
        </w:rPr>
        <w:t xml:space="preserve">: </w:t>
      </w:r>
      <w:r>
        <w:rPr>
          <w:rtl w:val="true"/>
        </w:rPr>
        <w:t>في النواهي</w:t>
      </w:r>
      <w:bookmarkEnd w:id="3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7368407_1051229030"/>
      <w:bookmarkStart w:id="312" w:name="_Toc114"/>
      <w:bookmarkEnd w:id="311"/>
      <w:r>
        <w:rPr>
          <w:rtl w:val="true"/>
        </w:rPr>
        <w:t>في النواهي</w:t>
      </w:r>
      <w:bookmarkEnd w:id="3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8033_80871"/>
      <w:bookmarkStart w:id="314" w:name="pg8033_80871"/>
      <w:bookmarkEnd w:id="314"/>
    </w:p>
    <w:p>
      <w:pPr>
        <w:pStyle w:val="Heading3"/>
        <w:numPr>
          <w:ilvl w:val="2"/>
          <w:numId w:val="1"/>
        </w:numPr>
        <w:rPr/>
      </w:pPr>
      <w:bookmarkStart w:id="315" w:name="pg8033_80871"/>
      <w:bookmarkStart w:id="316" w:name="__RefHeading___Toc7368409_1051229030"/>
      <w:bookmarkStart w:id="317" w:name="_Toc115"/>
      <w:bookmarkEnd w:id="315"/>
      <w:bookmarkEnd w:id="316"/>
      <w:r>
        <w:rPr>
          <w:rtl w:val="true"/>
        </w:rPr>
        <w:t>فصل</w:t>
      </w:r>
      <w:bookmarkEnd w:id="317"/>
    </w:p>
    <w:p>
      <w:pPr>
        <w:pStyle w:val="Heading4"/>
        <w:numPr>
          <w:ilvl w:val="3"/>
          <w:numId w:val="1"/>
        </w:numPr>
        <w:rPr/>
      </w:pPr>
      <w:bookmarkStart w:id="318" w:name="__RefHeading___Toc7368411_1051229030"/>
      <w:bookmarkStart w:id="319" w:name="_Toc116"/>
      <w:bookmarkEnd w:id="318"/>
      <w:r>
        <w:rPr>
          <w:rtl w:val="true"/>
        </w:rPr>
        <w:t>في مفاد النهي</w:t>
      </w:r>
      <w:bookmarkEnd w:id="319"/>
    </w:p>
    <w:p>
      <w:pPr>
        <w:pStyle w:val="Heading4"/>
        <w:numPr>
          <w:ilvl w:val="3"/>
          <w:numId w:val="1"/>
        </w:numPr>
        <w:rPr/>
      </w:pPr>
      <w:bookmarkStart w:id="320" w:name="__RefHeading___Toc7368413_1051229030"/>
      <w:bookmarkStart w:id="321" w:name="_Toc117"/>
      <w:bookmarkEnd w:id="320"/>
      <w:r>
        <w:rPr>
          <w:rtl w:val="true"/>
        </w:rPr>
        <w:t>اختلاف الأمر والنهي</w:t>
      </w:r>
      <w:bookmarkEnd w:id="321"/>
    </w:p>
    <w:p>
      <w:pPr>
        <w:pStyle w:val="BookText"/>
        <w:rPr/>
      </w:pPr>
      <w:r>
        <w:rPr>
          <w:rFonts w:ascii="Amiri" w:hAnsi="Amiri" w:eastAsia="Amiri" w:cs="Amiri"/>
          <w:color w:val="111111"/>
          <w:sz w:val="28"/>
          <w:sz w:val="28"/>
          <w:szCs w:val="28"/>
          <w:rtl w:val="true"/>
          <w:lang w:bidi="ar-SA"/>
        </w:rPr>
        <w:t xml:space="preserve">قال المحقّق الخراساني قدّس سرّه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والنهي مشتركان في الدلالة على الطلب ، إلاّ أنّ الأمر يدلّ على طلب الوجود ، والنهي على طلب العدم ، فمتعلّق أحدهما الوجود ، والآخر العدم ، ولا يدلاّن على الدوام والتكرار ، لكنّهما مختلفان عقلاً مع وحدة المتعلّق ، فإنّ الأمر إذا تعلّق بالطبيعة يكون امتثاله بتحقّق فردٍ ما ؛ ضرورة وجود الطبيعة بوجوده ، وعصيانه بترك جميع الأفراد ، وأمّا النهي إذا تعلّق بها من غير قيدٍ ، يكون امتثاله بترك الطبيعة ، وعصيانه بإتيان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والنهي متعاكسان عقلاً وإن كان متعلّقهما طلب وجود الطبيعة وعدمها</w:t>
      </w:r>
      <w:r>
        <w:rPr>
          <w:rStyle w:val="FootnoteAnchor"/>
          <w:rtl w:val="true"/>
        </w:rPr>
        <w:footnoteReference w:id="22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النهي هو طلب عدم الطبيعة ، للزم أن يكون الطلب ساقطاً </w:t>
      </w:r>
    </w:p>
    <w:p>
      <w:pPr>
        <w:pStyle w:val="BookText"/>
        <w:rPr/>
      </w:pPr>
      <w:r>
        <w:rPr>
          <w:rFonts w:ascii="Amiri" w:hAnsi="Amiri" w:eastAsia="Amiri" w:cs="Amiri"/>
          <w:color w:val="111111"/>
          <w:sz w:val="28"/>
          <w:sz w:val="28"/>
          <w:szCs w:val="28"/>
          <w:rtl w:val="true"/>
          <w:lang w:bidi="ar-SA"/>
        </w:rPr>
        <w:t xml:space="preserve">مع ترك إتيان فردٍ ما ، وأن لا يكون باقي الأفراد المتعاقبة عصياناً ؛ لسقوط الطلب ، كما أنّ الحال كذلك في جانب الأمر ، مع أنّ العقلاء يحكمون بخلاف ذلك ؛ فإنّ للنهي عندهم إطاعات وعصيانات ، فلو ترك العبد المنهيّ عنه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شهوته لارتكابه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 عدّ مطيعاً بحسب المرّات ، كما أ نّه لو أتى به مرّات عديدة عدّ عاصياً كذلك ، ولو أتى به مرّة ، وترك للّه تعالى مرّة اُخرى ، لعدّ عاصياً ومطيعاً ، وهذه الأحكام ثابتة بالضرورة عند العقلاء ، وهذا يكشف عن كون مفاد النهي غير ما ذكر قدّس سرّه وفاقاً للمشهور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حسبما يؤدّي إليه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والنهي متخالفان بحسب الذات والمبادئ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اختلافهما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هو البعث نحو وجود الطبيعة أو نحو الطبيعة حسبما عرفت ، فهو طلب وبعث وإغراء ، والنهي هو الزجر والإزعاج عن الوجود أو الطبيعة ، فمتعلّقهما واحد ، وإنّما اختلافهما بحسب الذات ، فالبعث الإنشائي في الأمر بمنزلة الإغراء الخارجي والإلقاء التكويني نحو العمل ، والزجر الإنشائي بمنزلة الدفع التكويني والمنع الخارجي عن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اختلافهما بحسب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بالفائدة والاشتياقُ ، ومبادئ النهي هو التصديق بالمفسدة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الأمر متعلّقاً بالطبيعة ، كان تمام المتعلّق له هو الطبيعة ، فبتحقّق فردٍ ما منها يتحقّق تمام المطلوب ، فبقاء الأمر مع تحقّق تمام المطلوب جُزاف باطل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فلمّا كانت حقيقته الزجر عن الوجود ، لا طلب العدم ، كان حكمه </w:t>
      </w:r>
    </w:p>
    <w:p>
      <w:pPr>
        <w:pStyle w:val="BookText"/>
        <w:rPr/>
      </w:pPr>
      <w:r>
        <w:rPr>
          <w:rFonts w:ascii="Amiri" w:hAnsi="Amiri" w:eastAsia="Amiri" w:cs="Amiri"/>
          <w:color w:val="111111"/>
          <w:sz w:val="28"/>
          <w:sz w:val="28"/>
          <w:szCs w:val="28"/>
          <w:rtl w:val="true"/>
          <w:lang w:bidi="ar-SA"/>
        </w:rPr>
        <w:t xml:space="preserve">العقلائي هو دفع الطبيعة والزجر عنها بتمام حقيقتها ، فلا يكون مع الانتهاء في زمان مطلوبُ المولى حاصلاً ، ولا مع الإتيان بفرد من المنهيّ عنه نهيُه ساقطاً ؛ فإنّ المعصية لا يعقل أن تكون مسقطة ، لا في جانب الأمر ولا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سقوط الأمر قد يكون بالطاعة ، وقد يكون بالمعصية</w:t>
      </w:r>
      <w:r>
        <w:rPr>
          <w:rStyle w:val="FootnoteAnchor"/>
          <w:rtl w:val="true"/>
        </w:rPr>
        <w:footnoteReference w:id="229"/>
      </w:r>
      <w:r>
        <w:rPr>
          <w:rFonts w:ascii="Amiri" w:hAnsi="Amiri" w:eastAsia="Amiri" w:cs="Amiri"/>
          <w:color w:val="111111"/>
          <w:sz w:val="28"/>
          <w:sz w:val="28"/>
          <w:szCs w:val="28"/>
          <w:rtl w:val="true"/>
          <w:lang w:bidi="ar-SA"/>
        </w:rPr>
        <w:t xml:space="preserve">، ممّا لا أساس له ، فإنّ الأمر إذا لم يكن موقّتاً لا يسقط إلاّ بموت المكلّف ، وسقوطه به لا يكون للمعصية ، بل لتعذّر توجّه الأمر إلى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موقّتاً فما دام وقته باقياً لا يسقط إلاّ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الوقت يسقط لا للمعصية بل لخروج وقته ، والموقّت لا يعقل بقاؤه بعد وقته كما أ نّه لا يعقل بعثه قبله ، فلا يكون السقوط مستنداً إلى المعصية في شيء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الأمر والنهي بعد وحدة المتعلّق ، أنّ الطبيعة في جانب الأمر لمّا كانت تمام المتعلّق وتمام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إطلاق الأمر في مقابل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الإتيان بفردٍ ما منها إتياناً لتمام المطلوب ، فلا يعقل بقاء الأمر بعده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جانب النهي لمّا كان إتيان الطبيعة المتعلّقة للنهي عصياناً له ، فلا يعقل أن يكون النهي ساقطاً لأجله ؛ لتقوّم السقوط بالإطاعة ، وعدم كون العصيان مسقطاً كما عرفت ، فسقوط النهي مع الإتيان بفرد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المحقّق للعصيان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ملاك ولا وجه </w:t>
      </w:r>
      <w:r>
        <w:rPr>
          <w:rFonts w:eastAsia="Amiri" w:cs="Amiri" w:ascii="Amiri" w:hAnsi="Amiri"/>
          <w:color w:val="111111"/>
          <w:sz w:val="28"/>
          <w:szCs w:val="28"/>
          <w:rtl w:val="true"/>
          <w:lang w:bidi="ar-SA"/>
        </w:rPr>
        <w:t xml:space="preserve">. </w:t>
      </w:r>
      <w:bookmarkStart w:id="322" w:name="pg8033_80877"/>
    </w:p>
    <w:p>
      <w:pPr>
        <w:pStyle w:val="BookText"/>
        <w:rPr/>
      </w:pPr>
      <w:bookmarkEnd w:id="322"/>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متعلّق الأمر هو الطبيعة المهملة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Style w:val="FootnoteAnchor"/>
          <w:rtl w:val="true"/>
        </w:rPr>
        <w:footnoteReference w:id="230"/>
      </w:r>
      <w:r>
        <w:rPr>
          <w:rFonts w:ascii="Amiri" w:hAnsi="Amiri" w:eastAsia="Amiri" w:cs="Amiri"/>
          <w:color w:val="111111"/>
          <w:sz w:val="28"/>
          <w:sz w:val="28"/>
          <w:szCs w:val="28"/>
          <w:rtl w:val="true"/>
          <w:lang w:bidi="ar-SA"/>
        </w:rPr>
        <w:t xml:space="preserve">، فلا ربط له بما نحن فيه ، فإنّ الإطلاق والإهمال المصطلحين في باب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المتعلّق تمام المطلوب في طرف الإطلاق ، وعدمه في طرف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مربوطٍ بالمقام ، وإرسال المتعلّق في جانب النهي دون الأمر وإن كان هو الفارق بينهما ، إلاّ أنّ السرّ ما أشرنا إليه ، فتدبّر جيّداً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368415_1051229030"/>
      <w:bookmarkStart w:id="324" w:name="_Toc118"/>
      <w:bookmarkEnd w:id="323"/>
      <w:r>
        <w:rPr>
          <w:rtl w:val="true"/>
        </w:rPr>
        <w:t xml:space="preserve">تنبيه </w:t>
      </w:r>
      <w:r>
        <w:rPr>
          <w:rtl w:val="true"/>
        </w:rPr>
        <w:t xml:space="preserve">: </w:t>
      </w:r>
      <w:r>
        <w:rPr>
          <w:rtl w:val="true"/>
        </w:rPr>
        <w:t>فيما يتفرّع على كون النهي هو الزجر</w:t>
      </w:r>
      <w:bookmarkEnd w:id="324"/>
    </w:p>
    <w:p>
      <w:pPr>
        <w:pStyle w:val="BookText"/>
        <w:rPr/>
      </w:pPr>
      <w:r>
        <w:rPr>
          <w:rFonts w:ascii="Amiri" w:hAnsi="Amiri" w:eastAsia="Amiri" w:cs="Amiri"/>
          <w:color w:val="111111"/>
          <w:sz w:val="28"/>
          <w:sz w:val="28"/>
          <w:szCs w:val="28"/>
          <w:rtl w:val="true"/>
          <w:lang w:bidi="ar-SA"/>
        </w:rPr>
        <w:t>قد ذكرنا سابقاً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متّحد مع النهي عن ضدّه العامّ ، لا بمعنى اتّحادهما مفهوماً ، بل بمعنى أنّ العقل يحكم بأنّ الأمر بشيء والبعث نحوه هو الزجر عن نقيضه ؛ لأنّ اجتماع النقيضين ممتنع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النقيض منتزع من الأمر بنقيضه ، لا بمعنى أنّ في ذهن الآمر أمراً ونهياً متوجّهين بنقيضين ، بل بمعنى أنّ العقل يحكم بذلك ، وينتزع من نفس الأمر بشيء النهيَ عن نقيضه ، ويكون المنتزع موجوداً بعين منشأ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منشأ ما اشتهر بينهم في الأمر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الطلب مع المنع من الترك</w:t>
      </w:r>
      <w:r>
        <w:rPr>
          <w:rStyle w:val="FootnoteAnchor"/>
          <w:rtl w:val="true"/>
        </w:rPr>
        <w:footnoteReference w:id="232"/>
      </w:r>
      <w:r>
        <w:rPr>
          <w:rFonts w:ascii="Amiri" w:hAnsi="Amiri" w:eastAsia="Amiri" w:cs="Amiri"/>
          <w:color w:val="111111"/>
          <w:sz w:val="28"/>
          <w:sz w:val="28"/>
          <w:szCs w:val="28"/>
          <w:rtl w:val="true"/>
          <w:lang w:bidi="ar-SA"/>
        </w:rPr>
        <w:t xml:space="preserve">، فإنّ المنع من الترك لم يكن منظوراً إليه ؛ بحيث يكون في ذهن الآمر طلب متعلِّق بالفعل ، ومنع متعلِّق بالترك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ينتزعه العقلاء من الأمر بالشيء ، هو النهي عن نقيضه الذي هو العدم بلا قيدٍ أصلاً ؛ فإنّ منشأ الانتزاع هو المناقضة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جارٍ في النهي طابق النعل بالنعل ؛ فإنّ النهي عن الشيء عين الأمر بنقيضه ، لا بمعنى أنّ هاهنا نهياً وأمراً ، ولا بمعنى اتّحادهما مفهوماً ، بل بمعنى اتّحادهما خارجاً ، وكون النهي منشأً لانتزاع الأمر بنقيضه ، ولمّا كانت حقيقة النهي عبارة عن الزجر عن الوجود ، ونقيض الوجود هو العدم ، كان الأمر بالعدم منتزعاً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انهدم أساس الخلاف الذي اختصّ بالنهي من أ نّه هل هو نفس الترك وأن لا يفعل ، أو الكفّ ؟ فإنّ هذا النزاع إنّما له وجه معقول لو كان النهي عبارة عن الطلب ، فينازع بأ نّه طلب الترك أو الكفّ ، وأمّا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النهي عبارة عن الزجر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نقيض الوجود هو العدم ونفس أن لا تفعل ، يكون النهي عن الشيء متّحداً خارجاً معه ، لا مع الكفّ ؛ فإنّ الكفّ هو العدم مع اعتبار زائد ، وفي الحقيقة الكفّ ضدّ النهي ، لا نقيضه ، ويجوز ارتفاعهما ، بخلاف النقيضين ، لكن كون الترك نقيضاً للزجر عن الوجود ، لا يقتضي أن يكون متعلّقاً للطلب حقيقة ؛ بمعنى أن يكون في ذهن المولى طلب ترك الفعل حقيقة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 نّه بما ذكرنا انهدم أساس تقسيم النهي إلى التعبّدي والتوصّلي</w:t>
      </w:r>
      <w:r>
        <w:rPr>
          <w:rStyle w:val="FootnoteAnchor"/>
          <w:rtl w:val="true"/>
        </w:rPr>
        <w:footnoteReference w:id="233"/>
      </w:r>
      <w:r>
        <w:rPr>
          <w:rFonts w:ascii="Amiri" w:hAnsi="Amiri" w:eastAsia="Amiri" w:cs="Amiri"/>
          <w:color w:val="111111"/>
          <w:sz w:val="28"/>
          <w:sz w:val="28"/>
          <w:szCs w:val="28"/>
          <w:rtl w:val="true"/>
          <w:lang w:bidi="ar-SA"/>
        </w:rPr>
        <w:t xml:space="preserve">؛ فإنّ منشأ هذا التقسيم أيضاً هو كون النهي عبارة عن طلب العدم ، وأمّا بعد كونه زجراً </w:t>
      </w:r>
    </w:p>
    <w:p>
      <w:pPr>
        <w:pStyle w:val="BookText"/>
        <w:rPr/>
      </w:pPr>
      <w:r>
        <w:rPr>
          <w:rFonts w:ascii="Amiri" w:hAnsi="Amiri" w:eastAsia="Amiri" w:cs="Amiri"/>
          <w:color w:val="111111"/>
          <w:sz w:val="28"/>
          <w:sz w:val="28"/>
          <w:szCs w:val="28"/>
          <w:rtl w:val="true"/>
          <w:lang w:bidi="ar-SA"/>
        </w:rPr>
        <w:t xml:space="preserve">عن الوجود فلا معنى لهذا التقسيم ؛ فإنّ قيد التقرّب إذا اُخذ في الوجود فلا بدّ وأن يكون العصيان تعبّدياً ، وهو كما ترى ، ولا معنى لأخذه في العدم الذي هو نقيضه ؛ لأنّ العدم لا يكون متعلّقاً للأمر حقيقة ، ولا يكون منظوراً إليه ، فلا مجال للتعبّدية فيه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ترك المكلّف المنهيّ عنه بعد تعلّق شهوته بإتيانه لأجل نهي المولى ، يكون مستحقّاً للمثوبة عقلاً </w:t>
      </w:r>
      <w:r>
        <w:rPr>
          <w:rFonts w:eastAsia="Amiri" w:cs="Amiri" w:ascii="Amiri" w:hAnsi="Amiri"/>
          <w:color w:val="111111"/>
          <w:sz w:val="28"/>
          <w:szCs w:val="28"/>
          <w:rtl w:val="true"/>
          <w:lang w:bidi="ar-SA"/>
        </w:rPr>
        <w:t xml:space="preserve">. </w:t>
      </w:r>
      <w:bookmarkStart w:id="325" w:name="pg8033_80883"/>
    </w:p>
    <w:p>
      <w:pPr>
        <w:pStyle w:val="Heading3"/>
        <w:numPr>
          <w:ilvl w:val="2"/>
          <w:numId w:val="1"/>
        </w:numPr>
        <w:rPr/>
      </w:pPr>
      <w:bookmarkStart w:id="326" w:name="__RefHeading___Toc7368417_1051229030"/>
      <w:bookmarkStart w:id="327" w:name="_Toc119"/>
      <w:bookmarkEnd w:id="325"/>
      <w:bookmarkEnd w:id="326"/>
      <w:r>
        <w:rPr>
          <w:rtl w:val="true"/>
        </w:rPr>
        <w:t>فصل</w:t>
      </w:r>
      <w:bookmarkEnd w:id="327"/>
    </w:p>
    <w:p>
      <w:pPr>
        <w:pStyle w:val="Heading4"/>
        <w:numPr>
          <w:ilvl w:val="3"/>
          <w:numId w:val="1"/>
        </w:numPr>
        <w:rPr/>
      </w:pPr>
      <w:bookmarkStart w:id="328" w:name="__RefHeading___Toc7368419_1051229030"/>
      <w:bookmarkStart w:id="329" w:name="_Toc120"/>
      <w:bookmarkEnd w:id="328"/>
      <w:r>
        <w:rPr>
          <w:rtl w:val="true"/>
        </w:rPr>
        <w:t>في اجتماع الأمر والنهي</w:t>
      </w:r>
      <w:bookmarkEnd w:id="329"/>
    </w:p>
    <w:p>
      <w:pPr>
        <w:pStyle w:val="BookText"/>
        <w:rPr/>
      </w:pPr>
      <w:r>
        <w:rPr>
          <w:rFonts w:ascii="Amiri" w:hAnsi="Amiri" w:eastAsia="Amiri" w:cs="Amiri"/>
          <w:color w:val="111111"/>
          <w:sz w:val="28"/>
          <w:sz w:val="28"/>
          <w:szCs w:val="28"/>
          <w:rtl w:val="true"/>
          <w:lang w:bidi="ar-SA"/>
        </w:rPr>
        <w:t xml:space="preserve">اختلفوا في جواز اجتماع الأمر والنهي في واحدٍ وامتناعه ، وقبل الخوض في المقصود لا بدّ من تمهيد مقدّمات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368421_1051229030"/>
      <w:bookmarkStart w:id="331" w:name="_Toc121"/>
      <w:bookmarkEnd w:id="330"/>
      <w:r>
        <w:rPr>
          <w:rtl w:val="true"/>
        </w:rPr>
        <w:t xml:space="preserve">المقدّمة الاُولى </w:t>
      </w:r>
      <w:r>
        <w:rPr>
          <w:rtl w:val="true"/>
        </w:rPr>
        <w:t xml:space="preserve">: </w:t>
      </w:r>
      <w:r>
        <w:rPr>
          <w:rtl w:val="true"/>
        </w:rPr>
        <w:t>في تحرير محلّ النزاع</w:t>
      </w:r>
      <w:bookmarkEnd w:id="331"/>
    </w:p>
    <w:p>
      <w:pPr>
        <w:pStyle w:val="BookText"/>
        <w:rPr/>
      </w:pPr>
      <w:r>
        <w:rPr>
          <w:rFonts w:ascii="Amiri" w:hAnsi="Amiri" w:eastAsia="Amiri" w:cs="Amiri"/>
          <w:color w:val="111111"/>
          <w:sz w:val="28"/>
          <w:sz w:val="28"/>
          <w:szCs w:val="28"/>
          <w:rtl w:val="true"/>
          <w:lang w:bidi="ar-SA"/>
        </w:rPr>
        <w:t xml:space="preserve">إنّه لا شبهة ولا إشكال عقلاً في امتناع توجّه الأمر والنهي من شخص واحد إلى مكلّفٍ واحد في زمانٍ واحد بجهة واحدة ؛ ضرورة استحالة اجتماع حالة بعثية وزجرية مع وحدة تلك الاُمور ، وهذه قضيّة ضرورية لا تعتريها الشبهة ، ولا يحوم حولها الإشكال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أنّ الأمر من مولى واحد ، إذا تعلّق بعنوانٍ متوجِّهاً إلى مكلّف في زمانٍ ، والنهي تعلّق بعنوانٍ آخر متوجِّهاً إليه في هذا الزمان ، وكان بين المأمور به والمنهيّ عنه تصادق في مصداق واحد في ظرف التحقّق والوجود ؛ بحيث يكون الموجود الخارجي مصداقاً لعنوانين يكون بينهما عموم من وجه </w:t>
      </w:r>
      <w:bookmarkStart w:id="332" w:name="pg8033_80885"/>
    </w:p>
    <w:p>
      <w:pPr>
        <w:pStyle w:val="BookText"/>
        <w:rPr/>
      </w:pPr>
      <w:bookmarkEnd w:id="332"/>
      <w:r>
        <w:rPr>
          <w:rFonts w:ascii="Amiri" w:hAnsi="Amiri" w:eastAsia="Amiri" w:cs="Amiri"/>
          <w:color w:val="111111"/>
          <w:sz w:val="28"/>
          <w:sz w:val="28"/>
          <w:szCs w:val="28"/>
          <w:rtl w:val="true"/>
          <w:lang w:bidi="ar-SA"/>
        </w:rPr>
        <w:t>مثلاً ، كعنواني التصرّف في مال الغير والصلاة ، فهل اختلاف العنوانين كذلك يرفع غائلة امتناع اجتماع الأمر والنهي ، وأنّ العقل يحكم بجواز توجّه الأمر والنهي الكذائيين من مولىً واحد إلى مكلّفٍ واحد في زمانٍ واحد ، أو يحكم بامتناعه بمجرّد تصادق العنوانين خارجاً وإن اختلفا عنواناً ، ويكون هذا الفرض والمورد في نظر العقل من صغريات تلك القضيّة الضرورية المتقدّمة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والنهي إذا تعلّقا بعنوانين من مولىً واحد ، متوجّهاً إلى مكلّفٍ واحد في زمانٍ واحد ، فهل يجب أن يكون بينهما تباين كلّي بحسب الصدق ، أو يمكن أن يكون بينهما تصادق ، وجمعُ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المأمور به والمنهيّ عنه في موجودٍ شخصي وفردٍ خارجي ، ممّا لا يوجب امتناع تعلّق الأمر والنهي بعنوانين مختلفين ؟</w:t>
      </w:r>
    </w:p>
    <w:p>
      <w:pPr>
        <w:pStyle w:val="Heading4"/>
        <w:numPr>
          <w:ilvl w:val="3"/>
          <w:numId w:val="1"/>
        </w:numPr>
        <w:rPr/>
      </w:pPr>
      <w:bookmarkStart w:id="333" w:name="__RefHeading___Toc7368423_1051229030"/>
      <w:bookmarkStart w:id="334" w:name="_Toc122"/>
      <w:bookmarkEnd w:id="333"/>
      <w:r>
        <w:rPr>
          <w:rtl w:val="true"/>
        </w:rPr>
        <w:t xml:space="preserve">المقدّمة الثانية </w:t>
      </w:r>
      <w:r>
        <w:rPr>
          <w:rtl w:val="true"/>
        </w:rPr>
        <w:t xml:space="preserve">: </w:t>
      </w:r>
      <w:r>
        <w:rPr>
          <w:rtl w:val="true"/>
        </w:rPr>
        <w:t xml:space="preserve">في المراد من </w:t>
      </w:r>
      <w:r>
        <w:rPr>
          <w:rtl w:val="true"/>
        </w:rPr>
        <w:t>«</w:t>
      </w:r>
      <w:r>
        <w:rPr>
          <w:rtl w:val="true"/>
        </w:rPr>
        <w:t>الواحد</w:t>
      </w:r>
      <w:r>
        <w:rPr>
          <w:rtl w:val="true"/>
        </w:rPr>
        <w:t xml:space="preserve">» </w:t>
      </w:r>
      <w:r>
        <w:rPr>
          <w:rtl w:val="true"/>
        </w:rPr>
        <w:t>في عنوان المسألة</w:t>
      </w:r>
      <w:bookmarkEnd w:id="334"/>
    </w:p>
    <w:p>
      <w:pPr>
        <w:pStyle w:val="BookText"/>
        <w:rPr/>
      </w:pP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 محلّ النزاع والجهة المبحوث عنها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الواحد في عنوانها هو الواحد الشخصي الذي يكون مصداقاً لمفهومين ومعنوناً بعنوانين ، لا الأعمّ منه ومن الواحد الجنسي أو النوعي ؛ فإنّ الوجود هو ناظم شتات المفاهيم ، وجامع متفرّقاتها ، والهوية الوجودية ممّا يمكن أن تتصادق عليها المفاهيم الكثيرة ، وتتصالح فيها العناوين المختلفة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مفهوم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واحداً بوجهٍ ، فإنّ مفهوم الصلاة شيء ، ومفهوم المغصوب شيء آخر ؛ لأنّ المفاهيم من </w:t>
      </w:r>
      <w:bookmarkStart w:id="335" w:name="pg8033_80887"/>
    </w:p>
    <w:p>
      <w:pPr>
        <w:pStyle w:val="BookText"/>
        <w:rPr/>
      </w:pPr>
      <w:bookmarkEnd w:id="335"/>
      <w:r>
        <w:rPr>
          <w:rFonts w:ascii="Amiri" w:hAnsi="Amiri" w:eastAsia="Amiri" w:cs="Amiri"/>
          <w:color w:val="111111"/>
          <w:sz w:val="28"/>
          <w:sz w:val="28"/>
          <w:szCs w:val="28"/>
          <w:rtl w:val="true"/>
          <w:lang w:bidi="ar-SA"/>
        </w:rPr>
        <w:t xml:space="preserve">ذاتيها الاختلاف والغيرية ، واجتماعهما مجرّد اجتماع لفظي أو اعتباري ؛ بحيث لا يرجع إلى الوحدة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في عنوان البحث هو الواحد الشخصي الذي يكون معنوناً بعنوانين ، يكون أحدهما مأموراً به ، والآخر منهيّاً عنه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368425_1051229030"/>
      <w:bookmarkStart w:id="337" w:name="_Toc123"/>
      <w:bookmarkEnd w:id="336"/>
      <w:r>
        <w:rPr>
          <w:rtl w:val="true"/>
        </w:rPr>
        <w:t xml:space="preserve">المقدّمة الثالثة </w:t>
      </w:r>
      <w:r>
        <w:rPr>
          <w:rtl w:val="true"/>
        </w:rPr>
        <w:t xml:space="preserve">: </w:t>
      </w:r>
      <w:r>
        <w:rPr>
          <w:rtl w:val="true"/>
        </w:rPr>
        <w:t>في كون هذه المسألة من المبادئ الأحكامية</w:t>
      </w:r>
      <w:bookmarkEnd w:id="337"/>
    </w:p>
    <w:p>
      <w:pPr>
        <w:pStyle w:val="BookText"/>
        <w:rPr/>
      </w:pPr>
      <w:r>
        <w:rPr>
          <w:rFonts w:ascii="Amiri" w:hAnsi="Amiri" w:eastAsia="Amiri" w:cs="Amiri"/>
          <w:color w:val="111111"/>
          <w:sz w:val="28"/>
          <w:sz w:val="28"/>
          <w:szCs w:val="28"/>
          <w:rtl w:val="true"/>
          <w:lang w:bidi="ar-SA"/>
        </w:rPr>
        <w:t xml:space="preserve">قد فرغنا سابقاً عن ميزان المسألة الاُصولية ، فلا نطيل بالإعادة ، وبحسب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موضوع علم الاُصول هو الحجّة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تندرج تلك المسألة في المسائل الاُصولية ، بل هي من المبادئ الأحكامية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368427_1051229030"/>
      <w:bookmarkStart w:id="339" w:name="_Toc124"/>
      <w:bookmarkEnd w:id="338"/>
      <w:r>
        <w:rPr>
          <w:rtl w:val="true"/>
        </w:rPr>
        <w:t>المقدّمة الرابعة</w:t>
      </w:r>
      <w:r>
        <w:rPr>
          <w:rtl w:val="true"/>
        </w:rPr>
        <w:t xml:space="preserve">: </w:t>
      </w:r>
      <w:r>
        <w:rPr>
          <w:rtl w:val="true"/>
        </w:rPr>
        <w:t>في ابتناء النزاع على تعلّق الأحكام بالطبائع</w:t>
      </w:r>
      <w:bookmarkEnd w:id="339"/>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تعلّق الأحكام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لا يجري إلاّ بناءً على تعلّق الأحكام بالطبائع ؛ فإنّ معنى تعلّقها بالأفراد هو أ نّها بجميع خصوصياتها الشخصية وحيثياتها الخارجية متعلّقة لها ، ومعه لا محيص إلاّ من القول بالامتناع ، وأمّا مع تعلّقها بالطبائع فيجري النزاع ، كما</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النزاع يجري حتّى بناءً على تعلّقها بالأفراد</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وما أفاده في وجهه مخدوش ؛ لأنّه يرجع إلى التعلّق بالطبائع لا الأفراد</w:t>
      </w:r>
      <w:r>
        <w:rPr>
          <w:rFonts w:eastAsia="Amiri" w:cs="Amiri" w:ascii="Amiri" w:hAnsi="Amiri"/>
          <w:color w:val="111111"/>
          <w:sz w:val="28"/>
          <w:szCs w:val="28"/>
          <w:rtl w:val="true"/>
          <w:lang w:bidi="ar-SA"/>
        </w:rPr>
        <w:t xml:space="preserve">. </w:t>
      </w:r>
      <w:bookmarkStart w:id="340" w:name="pg8033_80889"/>
    </w:p>
    <w:p>
      <w:pPr>
        <w:pStyle w:val="Heading4"/>
        <w:numPr>
          <w:ilvl w:val="3"/>
          <w:numId w:val="1"/>
        </w:numPr>
        <w:rPr/>
      </w:pPr>
      <w:bookmarkStart w:id="341" w:name="__RefHeading___Toc7368429_1051229030"/>
      <w:bookmarkStart w:id="342" w:name="_Toc125"/>
      <w:bookmarkEnd w:id="340"/>
      <w:bookmarkEnd w:id="341"/>
      <w:r>
        <w:rPr>
          <w:rtl w:val="true"/>
        </w:rPr>
        <w:t>المقدّمة الخامسة</w:t>
      </w:r>
      <w:r>
        <w:rPr>
          <w:rtl w:val="true"/>
        </w:rPr>
        <w:t xml:space="preserve">: </w:t>
      </w:r>
      <w:r>
        <w:rPr>
          <w:rtl w:val="true"/>
        </w:rPr>
        <w:t>في عدم الأساس لتقييد مورد النزاع بإحراز المناط</w:t>
      </w:r>
      <w:bookmarkEnd w:id="342"/>
    </w:p>
    <w:p>
      <w:pPr>
        <w:pStyle w:val="BookText"/>
        <w:rPr/>
      </w:pPr>
      <w:r>
        <w:rPr>
          <w:rFonts w:ascii="IRNazanin" w:hAnsi="IRNazanin" w:eastAsia="IRNazanin"/>
          <w:color w:val="111111"/>
          <w:sz w:val="28"/>
          <w:sz w:val="28"/>
          <w:szCs w:val="28"/>
          <w:rtl w:val="true"/>
          <w:lang w:bidi="fa-IR"/>
        </w:rPr>
        <w:t xml:space="preserve">محطّ النزاع في باب الاجتماع هو الإمكان والامتناع بنحو الكبرى الكلّية ، بلا نظر إلى الوقوع واللا وقوع ، فتقييد محلّ النزاع بما إذا كان في كلّ واحد من متعلّقي الإيجاب والتحريم مناط الحكم مطلقاً حتّى في مورد التصادق والاجتماع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صنعه المحقّق الخراساني رحمه الله علیه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 ، وفيه خلط بين الإمكان والامتناع كبروياً ، وبين ثمرة النزاع في الفقه ومحلّ الوقوع ، فالقائل</w:t>
      </w:r>
    </w:p>
    <w:p>
      <w:pPr>
        <w:pStyle w:val="BookText"/>
        <w:rPr/>
      </w:pPr>
      <w:r>
        <w:rPr>
          <w:rFonts w:ascii="Amiri" w:hAnsi="Amiri" w:eastAsia="Amiri" w:cs="Amiri"/>
          <w:color w:val="111111"/>
          <w:sz w:val="28"/>
          <w:sz w:val="28"/>
          <w:szCs w:val="28"/>
          <w:rtl w:val="true"/>
          <w:lang w:bidi="ar-SA"/>
        </w:rPr>
        <w:t xml:space="preserve">بالجواز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الأمر والنهي في واحد ذي جهتين ممكن ، وقع أو لم يقع ، والقائل بالامتناع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تظهر الثمرة في الشرعيات في مورد يكون ملاك الحكم متحقّقاً في صور الاجتماع ، وهو أمر آخر وراء محلّ النزاع ،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اُمور اُخر ذكرها المحقّق الخراساني رحمه الله علیه على سبيل المقدّمية</w:t>
      </w:r>
      <w:r>
        <w:rPr>
          <w:rStyle w:val="FootnoteAnchor"/>
          <w:rtl w:val="true"/>
        </w:rPr>
        <w:footnoteReference w:id="236"/>
      </w:r>
      <w:r>
        <w:rPr>
          <w:rFonts w:ascii="Amiri" w:hAnsi="Amiri" w:eastAsia="Amiri" w:cs="Amiri"/>
          <w:color w:val="111111"/>
          <w:sz w:val="28"/>
          <w:sz w:val="28"/>
          <w:szCs w:val="28"/>
          <w:rtl w:val="true"/>
          <w:lang w:bidi="ar-SA"/>
        </w:rPr>
        <w:t xml:space="preserve">، ونحن نذكر المهمّ منها في تنبيهات المسألة ؛ لمناسبتها معها وعدم دخالتها في المقدّمية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368431_1051229030"/>
      <w:bookmarkStart w:id="344" w:name="_Toc126"/>
      <w:bookmarkEnd w:id="343"/>
      <w:r>
        <w:rPr>
          <w:rtl w:val="true"/>
        </w:rPr>
        <w:t>فيما استدلّ به للقول بالامتناع</w:t>
      </w:r>
      <w:bookmarkEnd w:id="3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سالف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الامتناع بدليل</w:t>
      </w:r>
      <w:r>
        <w:rPr>
          <w:rStyle w:val="FootnoteAnchor"/>
          <w:rtl w:val="true"/>
        </w:rPr>
        <w:footnoteReference w:id="237"/>
      </w:r>
      <w:r>
        <w:rPr>
          <w:rFonts w:ascii="IRNazanin" w:hAnsi="IRNazanin" w:eastAsia="IRNazanin"/>
          <w:color w:val="111111"/>
          <w:sz w:val="28"/>
          <w:sz w:val="28"/>
          <w:szCs w:val="28"/>
          <w:rtl w:val="true"/>
          <w:lang w:bidi="fa-IR"/>
        </w:rPr>
        <w:t>قد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أركانه وأحكم بنيانه المحقّق الخراساني رحمه الله علیه </w:t>
      </w:r>
    </w:p>
    <w:p>
      <w:pPr>
        <w:pStyle w:val="BookText"/>
        <w:rPr/>
      </w:pPr>
      <w:r>
        <w:rPr>
          <w:rFonts w:ascii="Amiri" w:hAnsi="Amiri" w:eastAsia="Amiri" w:cs="Amiri"/>
          <w:color w:val="111111"/>
          <w:sz w:val="28"/>
          <w:sz w:val="28"/>
          <w:szCs w:val="28"/>
          <w:rtl w:val="true"/>
          <w:lang w:bidi="ar-SA"/>
        </w:rPr>
        <w:t xml:space="preserve">بذكر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بأسرها متضادّة في مقام فعليتها وبلوغها مرتبة البعث والزجر ، فاجتماع الأمر والنهي يكون من قبيل التكليف المحال ، لا بالمحال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متعلّق الأحكام هو فعل المكلّف وما هو صادر منه خارجاً وما هو جاعله ، لا ما هو اسمه ولفظه ، وهو واضح ، ولا ما هو عنوانه ومفهومه الذهني ؛ ضرورة أنّ البعث لا يكون نحوه ، والزجر لا يكون عنه ، وإنّما يؤخذ العنوان في متعلّق الأحكام آلة للحاظ متعلّقاتها ، لا بما هو وبنفسه استقلالاً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الوجه والعنوان لا يوجب تعدّد المعنون ، ولا تنثلم به وحدته ؛ لجواز انطباق المفاهيم الكثيرة على الواحد البسيط المحض ، كمفاهيم الأسماء الحسنى الصادقة على الواحد البسيط الحقّ جلّت آلاؤه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وجوداً واحدٌ ماهية وذاتاً ، فالمفهومان المتصادقان على شيء واحد لا يكون كلّ منهما ماهية وحقيقة ، فالمجمع وإن تصادق عليه متعلّقا الأمر والنهي، إلاّ أ نّه كما يكون واحداً وجوداً يكون واحداً ماهية وذاتاً، ويتصادق المفهومان على الفرد في الخارج تصادق الطبيعي على فرده ؛ من غير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كون الواحد وجوداً ، واحداً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أصالة الوجود أو الماهية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ظهر عدم ابتناء الجواز والامتناع على القولين ، كما ظهر عدم الابتناء على تعدّد وجود الجنس والفصل في الخارج وعدمه ؛ ضرورة عدم كون العنوانين من قبيلهما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المجمع حيث كان واحداً وجوداً وذاتاً ، كان تعلّق الأمر والنهي به محالاً ولو كان التعلّق بعنوانين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التعلّق حقيقة إنّما يكون بما هو فعل المكلّف خارجاً ، لا بالعناوين الطارئة والمفاهيم ، فالفعل الخارجي يكون مجمع الأمر والنهي ، ولمكان تضادّهما يجتمع الضدّان في واحد شخصي ، وهو ضروري البطلان</w:t>
      </w:r>
      <w:r>
        <w:rPr>
          <w:rStyle w:val="FootnoteAnchor"/>
          <w:rtl w:val="true"/>
        </w:rPr>
        <w:footnoteReference w:id="23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تصدّى القوم لجوابه بما يرجع كلّها أو جلّها إلى تكثير متعلّق الأمر والنهي ، مع اعترافهم بتضادّ الأحكام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وعندي فيه إشكال ، يبتني توضيحه على بيان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تضادّ الأحكام وإن كان ممّا تسالمت عليه كلمة الأصحاب قديماً وحديثاً ، واشتهر بينهم غاية الاشتهار</w:t>
      </w:r>
      <w:r>
        <w:rPr>
          <w:rStyle w:val="FootnoteAnchor"/>
          <w:rtl w:val="true"/>
        </w:rPr>
        <w:footnoteReference w:id="240"/>
      </w:r>
      <w:r>
        <w:rPr>
          <w:rFonts w:ascii="Amiri" w:hAnsi="Amiri" w:eastAsia="Amiri" w:cs="Amiri"/>
          <w:color w:val="111111"/>
          <w:sz w:val="28"/>
          <w:sz w:val="28"/>
          <w:szCs w:val="28"/>
          <w:rtl w:val="true"/>
          <w:lang w:bidi="ar-SA"/>
        </w:rPr>
        <w:t>، لكنّه ممّا لا أساس له ؛ فإنّ الضدّين أمران وجوديان يتواردان على محلٍّ واحد بينهما غاية الخلاف ، وليس الوجوب والحرمة وسائر الأحكام من الاُمور الوجودية الحالّة في متعلّقاتها ، وإن يصدق عليها أ نّها واجبة أو محرّمة مثلاً ، فإنّه لا يلزم في صدق</w:t>
      </w:r>
    </w:p>
    <w:p>
      <w:pPr>
        <w:pStyle w:val="BookText"/>
        <w:rPr/>
      </w:pPr>
      <w:r>
        <w:rPr>
          <w:rFonts w:ascii="Amiri" w:hAnsi="Amiri" w:eastAsia="Amiri" w:cs="Amiri"/>
          <w:color w:val="111111"/>
          <w:sz w:val="28"/>
          <w:sz w:val="28"/>
          <w:szCs w:val="28"/>
          <w:rtl w:val="true"/>
          <w:lang w:bidi="ar-SA"/>
        </w:rPr>
        <w:t xml:space="preserve">كلّ مفهومٍ على شيء أن يكون منشأ الانتزاع أمراً موجوداً أو عرضاً حالاًّ في موضوعه ومتعلّقه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توضيح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أو النهي إذا صدر من المولى متوجّهاً </w:t>
      </w:r>
    </w:p>
    <w:p>
      <w:pPr>
        <w:pStyle w:val="BookText"/>
        <w:rPr/>
      </w:pPr>
      <w:r>
        <w:rPr>
          <w:rFonts w:ascii="Amiri" w:hAnsi="Amiri" w:eastAsia="Amiri" w:cs="Amiri"/>
          <w:color w:val="111111"/>
          <w:sz w:val="28"/>
          <w:sz w:val="28"/>
          <w:szCs w:val="28"/>
          <w:rtl w:val="true"/>
          <w:lang w:bidi="ar-SA"/>
        </w:rPr>
        <w:t xml:space="preserve">إلى المكلّف ومتعلِّقاً بالمكلّف به ، يكون له إضافة إلى المولى إضافة صدورية ؛ لقيامه به صدوراً ، وإضافة إلى المكلّف وإلى المكلّف به ، ويكون تحقّق هاتين الإضافتين بنفس تحقّق منشأ انتزاعهما ، وهو الأمر والنهي القائمان بالمولى قياماً صدورياً ، ولا نفسية لهما ، وليس لهما قيام وعروض على المكلّف ، ولا على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ترى أنّ مفهوم المأمور به والواجب والمنهيّ عنه والمحرّم ، تصدق على متعلّقات الأحكام بعد بعث المولى وزجره ، وقبل إيجاد المكلّف إيّاها ، فالصلاة واجبة ومأمور بها قبل إتيانها ، والغِيبة حرام ومزجور عنها قبل ارتكابها ، بل الخارج ظرف سقوط التكليف ، فكيف يمكن أن يكون ظرف ثبوته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ثبوته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تحصيل الحاصل في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وزان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القائمين بنفس المولى ، المضافين إلى المتعلّق بلا عروض شيء خارجي 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العلم والإرادة والقدرة القائمات بنفس الإنسان ، المضافات إلى متعلّقاتها قبل تحقّقها ، فكما أنّ العلم قد يتعلّق بأمرٍ متأخّر قبل تحقّقه ، وينتزع منه مفهوم المعلوم بواسطة نفس إضافة العلم إليه ، وكذا الإرادة والقدرة ، فكذلك الأمر والنهي من هذه الحيثية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والحرمة وكذا سائر الأحكام ليست ممّا يتحقّق بينها تضادّ ؛ لعدم تحقّقها في الخارج ، وعدم عروضها للمتعلّقات ، وإنّما هي إضافات متحقّقة بنفس الأمر والنهي ، القائمين بنفس المولى قياماً صدورياً ، وهي تابعة لمناشئها ، فإن كانت مناشؤها ممكنة الاجتماع ، تكون هي ممكنة الاجتماع ، وإن كانت ممتنعة الاجتماع فكذلك ، بل هي في الوجود </w:t>
      </w:r>
    </w:p>
    <w:p>
      <w:pPr>
        <w:pStyle w:val="BookText"/>
        <w:rPr/>
      </w:pPr>
      <w:r>
        <w:rPr>
          <w:rFonts w:ascii="Amiri" w:hAnsi="Amiri" w:eastAsia="Amiri" w:cs="Amiri"/>
          <w:color w:val="111111"/>
          <w:sz w:val="28"/>
          <w:sz w:val="28"/>
          <w:szCs w:val="28"/>
          <w:rtl w:val="true"/>
          <w:lang w:bidi="ar-SA"/>
        </w:rPr>
        <w:t xml:space="preserve">والوحدة والكثرة وجواز الاجتماع وعدمه تابعة لها ، فلا بدّ من عطف النظر إلى المناشئ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مطلق اجتماع الأمر والنهي في نفس المولى ممتنعاً ؛ ضرورة اجتماعهما في نفسه بالنسبة إلى متعلّقات متشتّتة كثيرة ، بل ما يكون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قبيل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الأمر والنهي من مولىً واحد ، متوجّهاً إلى عبدٍ واحد بجهة واحدة في زمنٍ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 الأمر بحيثية ، وكذا تعلّق الإرادة بها ، وتعلّق النهي والكراهة بحيثية اُخرى ، فغير ممتنعٍ ، ولو أوجدهما المكلّف بسوء اختياره في مصداق واحد وموجودٍ فارد ؛ ضرورة أنّ معنى تعلّق البعث بحيثية أن تكون تلك الحيثية تمام المتعلّق للأمر والبعث ، وعدم دخالة حيثية اُخرى فيه ، كما أنّ معنى تعلّق الزجر والنهي بحيثية أيضاً كذلك ، فلا يعقل أن يتجاوز الأمر عمّا تعلّق به وقامت المصلحة الملزمة فيه إلى حيثية اُخرى أيّة حيثية كانت ؛ اتّحدت معه في الخارج أو لا ، فما هو متعلّق العلم بالصلاح هو متعلّق الاشتياق والإرادة والبعث ؛ لا يمكن أن يتخلّف أحدها عنه ويصير شيء آخر دخيلاً فيه بنحوٍ من الدخالة ، وكذا في جانب النهي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ووِزان الإرادة التشريعية وِزان الإرادة التكوينية في ذلك طابق النعل بالنعل والقِذّة بالقِذّة ، فكما أنّ ما تعلّق العلم بالمصلحة فيه ، يصير متعلّقاً للاشتياق وتَوَقان النفس والإرادة التكوينية للإيجاد ، ولا يمكن أن يتعلّق الشوق والإرادة بما يقارنه ويتّحد معه في الوجود ، فإكرام الصديق الذي هو متعلّق الشوق والإرادة هو تمام الموضوع والمتعلّق لهما ، ولا يكون شيء من مقارناته </w:t>
      </w:r>
    </w:p>
    <w:p>
      <w:pPr>
        <w:pStyle w:val="BookText"/>
        <w:rPr/>
      </w:pPr>
      <w:r>
        <w:rPr>
          <w:rFonts w:ascii="Amiri" w:hAnsi="Amiri" w:eastAsia="Amiri" w:cs="Amiri"/>
          <w:color w:val="111111"/>
          <w:sz w:val="28"/>
          <w:sz w:val="28"/>
          <w:szCs w:val="28"/>
          <w:rtl w:val="true"/>
          <w:lang w:bidi="ar-SA"/>
        </w:rPr>
        <w:t xml:space="preserve">والمتّحدات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في زمان كذا ، أو مكان كذا ، ومتعلّقاً لإضافات كذائية ، وأوضاع 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لهما ؛ فإنّها كلّها خارجة عن الموضوع الذي قامت المصلحة به ، ويكون تعلّق الشوق والإرادة بها بلا ملاكٍ يوجبه ، فكذلك الإرادة التشريعية ؛ لاشتراكهما في جميع المقدّمات ، وافتراقهما في أنّ إحداهما متعلِّقة بإيجاد الغير للمتعلّق ، والاُخرى بإيجاد نفسه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مثلاً متعلّقة للإرادة والبعث ، وهي بذاتها تمام الموضوع لهما ، ولا يمكن أن يتعلّقا بغيرها ؛ ممّا هو خارج عن عنوان الصلاة وإن اتّحد معها في الخارج ، والتصرّف في مال الغير بغير إذنه متعلّق للكراهة والزجر ، وهو أيضاً تمام الموضوع لهما من غير دخالة شيء فيه من مقارناته والمتّحدات معه ، ولا يعقل سراية الإرادة المتعلِّقة بالصلاة إلى التصرّف الكذائي ؛ لفقدان الملاك ومنافاته لتمام الموضوعية ، فالبعث إلى الصلاة بعث إليها فقط لا إلى غيرها ؛ اتّحد معها في الخارج أو لم يتّحد ، والزجر عن التصرّف في مال الغير زجر عنه فقط دون غيره ، وهما لا يجتمعان في ظرف من الظروف ووعاءٍ من الأوعية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النحو من التعلّق والاجتماع ممتنعاً ؛ لأدائه إلى اجتماع الضدّين ، لكان اجتماع العلم والجهل المتعلِّقين بجهتين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اجتماعهما في موجودٍ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 لعين ما ذكر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بمجيء زيد غداً ، وعلمنا أ نّه عالم ، وشككنا في عدالته ، اجتمع العلم والجهل في موجود واحد ؛ فإنّ المجيء الشخصي يصدق عليه أ نّه معلوم ومجهول ، معلوم كونه مجيء عالم ، ومجهول كونه مجيء 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من صلّى في دار مجهولة غصبيتها ، يصدق على الحركات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 نّها معلومة ومجهولة ؛ معلومة من حيثية صلاتيتها ، ومجهولة من حيثية غصبيتها ، ولو كان هذا النحو من التعلّق نحو عروض شيء موجود على شيء موجود ، للزم اجتماع الضدّين في واحدٍ شخصي ، أو الالتزام بعدم حصول هذا النحو من العلم والجهل في موجودٍ شخصي ، أو الالتزام بعدم التضادّ بين العلم والجهل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الضرورة ؛ بداهة امتناع تعلّق العلم والجهل بشيءٍ واحد من جهة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بطلت التوالي بأسرها بطل المقدّم وهو كون هذا التعلّق نحو عروض الأعراض الموجودة الحالّة في محالّها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النقض هو عين ما نحن فيه ، والحلّ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العلم والجهل إنّما يكون قيامهما بنفس العالم والجاهل ، ولهما نحو تعلّق بالمعلوم والمجهول ، ويكون تحقّق تلك الإضافة إلى المعلوم والمجهول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تحقّق العلم والشكّ ، وليس لهما وجود على حِدة يكون عارضاً على المعلوم والمشكوك فيه ، فهما في تحقّقهما وامتناع اجتماعهما وجوازه تابعان لمنشأ انتزاعهما ، وهما العلم والشكّ القائمان بنفس العالم والجاهل ، فإذا عطفنا النظر إلى المنشأ نرى أنّ الممتنع هو اجتماع العلم والشكّ في شيءٍ واحد من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تعلّق العلم بجهة والشكّ بجهة اُخرى ، فغير ممتنعٍ ، وإن اتّفق </w:t>
      </w:r>
      <w:bookmarkStart w:id="345" w:name="pg8033_80903"/>
    </w:p>
    <w:p>
      <w:pPr>
        <w:pStyle w:val="BookText"/>
        <w:rPr/>
      </w:pPr>
      <w:bookmarkEnd w:id="345"/>
      <w:r>
        <w:rPr>
          <w:rFonts w:ascii="Amiri" w:hAnsi="Amiri" w:eastAsia="Amiri" w:cs="Amiri"/>
          <w:color w:val="111111"/>
          <w:sz w:val="28"/>
          <w:sz w:val="28"/>
          <w:szCs w:val="28"/>
          <w:rtl w:val="true"/>
          <w:lang w:bidi="ar-SA"/>
        </w:rPr>
        <w:t xml:space="preserve">اجتماعهما في موجودٍ شخصي ، وانطباقهما على واحدٍ خارجي ، كالحركة الخارجية الشخصية المتّصفة بالمعلومية والمشكوكية بجهتين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368433_1051229030"/>
      <w:bookmarkStart w:id="347" w:name="_Toc127"/>
      <w:bookmarkEnd w:id="346"/>
      <w:r>
        <w:rPr>
          <w:rtl w:val="true"/>
        </w:rPr>
        <w:t>دليل جواز الاجتماع</w:t>
      </w:r>
      <w:bookmarkEnd w:id="347"/>
    </w:p>
    <w:p>
      <w:pPr>
        <w:pStyle w:val="BookText"/>
        <w:rPr/>
      </w:pPr>
      <w:r>
        <w:rPr>
          <w:rFonts w:ascii="Amiri" w:hAnsi="Amiri" w:eastAsia="Amiri" w:cs="Amiri"/>
          <w:color w:val="111111"/>
          <w:sz w:val="28"/>
          <w:sz w:val="28"/>
          <w:szCs w:val="28"/>
          <w:rtl w:val="true"/>
          <w:lang w:bidi="ar-SA"/>
        </w:rPr>
        <w:t xml:space="preserve">ثمّ إنّا لا نحتاج إلى إقامة البرهان على الجواز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الاجتماع يكون ممتنعاً بجهة اُخرى غير ما ذكر ولم نتنبّه عليها ، فلا بدّ لإثباته من إقامة البرهان ؛ وذلك لأنّ رفع اليد عن إطلاق الأدلّة وعمومها لا يجوز إلاّ بدليل شرعي أو عقلي مفقود في المقام ، ومجرّد احتمال جهة واقعية تكون موجبة للامتناع لا يصحّح رفع اليد عن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للمانع من إقامة الدليل ، لا للمجوِّز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المجوِّزين استدلّوا على الجواز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يعدّون من أتى بالمأمور به في ضمن الفرد المحرّم مطيعاً وعاصياً ، فإذا أمر المولى عبده بخياطة ثوبه ، ونهاه عن التصرّف في فضاءٍ خاصّ ، فأوجد المكلّف الخياطة بحركاته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المتّحدة مع الخياطة والتصرّف ، فنفس الحركات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مصداق لكلا العنوانين ، ومحقّق للمأمور به والمنهيّ عنه ، ويكون مطيعاً لإيجاد المأمور به ، وعاصياً للتخلّف عن النهي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368435_1051229030"/>
      <w:bookmarkStart w:id="349" w:name="_Toc128"/>
      <w:bookmarkEnd w:id="348"/>
      <w:r>
        <w:rPr>
          <w:rtl w:val="true"/>
        </w:rPr>
        <w:t xml:space="preserve">تنبيهات </w:t>
      </w:r>
      <w:r>
        <w:rPr>
          <w:rtl w:val="true"/>
        </w:rPr>
        <w:t>:</w:t>
      </w:r>
      <w:bookmarkEnd w:id="34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7368437_1051229030"/>
      <w:bookmarkStart w:id="351" w:name="_Toc129"/>
      <w:bookmarkEnd w:id="350"/>
      <w:r>
        <w:rPr>
          <w:rtl w:val="true"/>
        </w:rPr>
        <w:t xml:space="preserve">تنبيهات </w:t>
      </w:r>
      <w:r>
        <w:rPr>
          <w:rtl w:val="true"/>
        </w:rPr>
        <w:t>:</w:t>
      </w:r>
      <w:bookmarkStart w:id="352" w:name="pg8033_80905"/>
      <w:bookmarkEnd w:id="351"/>
    </w:p>
    <w:p>
      <w:pPr>
        <w:pStyle w:val="Heading4"/>
        <w:numPr>
          <w:ilvl w:val="3"/>
          <w:numId w:val="1"/>
        </w:numPr>
        <w:rPr/>
      </w:pPr>
      <w:bookmarkStart w:id="353" w:name="__RefHeading___Toc7368439_1051229030"/>
      <w:bookmarkStart w:id="354" w:name="_Toc130"/>
      <w:bookmarkEnd w:id="352"/>
      <w:bookmarkEnd w:id="353"/>
      <w:r>
        <w:rPr>
          <w:rtl w:val="true"/>
        </w:rPr>
        <w:t>التنبيه الأوّل</w:t>
      </w:r>
      <w:bookmarkEnd w:id="354"/>
    </w:p>
    <w:p>
      <w:pPr>
        <w:pStyle w:val="BookText"/>
        <w:rPr/>
      </w:pPr>
      <w:r>
        <w:rPr>
          <w:rFonts w:ascii="Amiri" w:hAnsi="Amiri" w:eastAsia="Amiri" w:cs="Amiri"/>
          <w:color w:val="111111"/>
          <w:sz w:val="28"/>
          <w:sz w:val="28"/>
          <w:szCs w:val="28"/>
          <w:rtl w:val="true"/>
          <w:lang w:bidi="ar-SA"/>
        </w:rPr>
        <w:t>في عدم الملازمة بين القول بجواز الاجتماع وصحّة العبادة</w:t>
      </w:r>
    </w:p>
    <w:p>
      <w:pPr>
        <w:pStyle w:val="BookText"/>
        <w:rPr/>
      </w:pP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العبد مطيعاً وعاصياً إذا أتى بمجمع العنوانين ومصداق الطبيعتين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التوصّليات ، وهل يجري في التعبّديات أيضاً أو لا ؟</w:t>
      </w:r>
    </w:p>
    <w:p>
      <w:pPr>
        <w:pStyle w:val="BookText"/>
        <w:rPr/>
      </w:pPr>
      <w:r>
        <w:rPr>
          <w:rFonts w:ascii="Amiri" w:hAnsi="Amiri" w:eastAsia="Amiri" w:cs="Amiri"/>
          <w:color w:val="111111"/>
          <w:sz w:val="28"/>
          <w:sz w:val="28"/>
          <w:szCs w:val="28"/>
          <w:rtl w:val="true"/>
          <w:lang w:bidi="ar-SA"/>
        </w:rPr>
        <w:t xml:space="preserve">والتحقيق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بجواز الاجتماع لا يلازم القول بصحّة العبادة المتّحدة</w:t>
      </w:r>
    </w:p>
    <w:p>
      <w:pPr>
        <w:pStyle w:val="BookText"/>
        <w:rPr/>
      </w:pPr>
      <w:r>
        <w:rPr>
          <w:rFonts w:ascii="Amiri" w:hAnsi="Amiri" w:eastAsia="Amiri" w:cs="Amiri"/>
          <w:color w:val="111111"/>
          <w:sz w:val="28"/>
          <w:sz w:val="28"/>
          <w:szCs w:val="28"/>
          <w:rtl w:val="true"/>
          <w:lang w:bidi="ar-SA"/>
        </w:rPr>
        <w:t xml:space="preserve">مع المنهيّ عنه في الخارج ؛ لإمكان التزام القائل بالجواز بالبطلان من جهة اُخرى وملاك آخر غير الامتناع ، وهو أنّ العبادة تتقوّم بقصد التقرّب ، وكون الموضوع ممّا يمكن فيه التقرّب وصالحاً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الموجود الخارجي هو مصداق عنوان المعصية ، ومتّحداً بتمام هويته مع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بجهة دون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المصداق الخارجي بتمام هويته مبعّداً للعبد ، ومعصيةً للمولى ، ومخرجاً له عن رسم العبودية ، وما يكون كذلك لا يمكن أن يصير مقرِّباً للعبد وطاعة للمولى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للموجود الخارجي جهتان متحقّقتان ، يكون بإحداهما معصية ، وبالاُخرى إطاعة ، بل عنوان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عليه تمام الانطباق ، ويكون بتمام هويّته وشراشر حيثياته الخارجية مصداقاً للعنوانين ، فالصلاة في الدار المغصوبة بتمام هويتها مصداق لعنوان الغصب ومعنونة بعنوان المنهيّ عنه ، وما يكون كذلك لا يمكن أن يكون مقرِّباً ولا إطاعة وعبادة للمولى ، وهذا أمر يصدّقه العقل والوجدان ، وبذلك ظهر وجه المختار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المشهور بين الإمامية عدم جواز اجتماع الأمر والنهي</w:t>
      </w:r>
      <w:r>
        <w:rPr>
          <w:rStyle w:val="FootnoteAnchor"/>
          <w:rtl w:val="true"/>
        </w:rPr>
        <w:footnoteReference w:id="242"/>
      </w:r>
      <w:r>
        <w:rPr>
          <w:rFonts w:ascii="Amiri" w:hAnsi="Amiri" w:eastAsia="Amiri" w:cs="Amiri"/>
          <w:color w:val="111111"/>
          <w:sz w:val="28"/>
          <w:sz w:val="28"/>
          <w:szCs w:val="28"/>
          <w:rtl w:val="true"/>
          <w:lang w:bidi="ar-SA"/>
        </w:rPr>
        <w:t xml:space="preserve">ليس له مأخذ صحيح ؛ فإنّه بعد التتبّع في كلمات قدماء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ما هو المشهور بينهم إنّما هو عدم صحّة الصلاة في الدار المغصوبة ، وكذا عدم صحّة كلّ عبادة متّحدة مع المنهيّ عنه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بطلانها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المبعّد لا يمكن أن يصير مقرّباً ويقع عبادة</w:t>
      </w:r>
      <w:r>
        <w:rPr>
          <w:rStyle w:val="FootnoteAnchor"/>
          <w:rtl w:val="true"/>
        </w:rPr>
        <w:footnoteReference w:id="243"/>
      </w:r>
      <w:r>
        <w:rPr>
          <w:rFonts w:ascii="Amiri" w:hAnsi="Amiri" w:eastAsia="Amiri" w:cs="Amiri"/>
          <w:color w:val="111111"/>
          <w:sz w:val="28"/>
          <w:sz w:val="28"/>
          <w:szCs w:val="28"/>
          <w:rtl w:val="true"/>
          <w:lang w:bidi="ar-SA"/>
        </w:rPr>
        <w:t xml:space="preserve">، وقد عرفت أنّ هذا أمر آخر غير مربوطٍ بمسألة جواز الاجتماع ، ولا ملازمة بين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المسألة هو عدم الجواز</w:t>
      </w:r>
      <w:r>
        <w:rPr>
          <w:rStyle w:val="FootnoteAnchor"/>
          <w:rtl w:val="true"/>
        </w:rPr>
        <w:footnoteReference w:id="244"/>
      </w:r>
      <w:r>
        <w:rPr>
          <w:rFonts w:ascii="Amiri" w:hAnsi="Amiri" w:eastAsia="Amiri" w:cs="Amiri"/>
          <w:color w:val="111111"/>
          <w:sz w:val="28"/>
          <w:sz w:val="28"/>
          <w:szCs w:val="28"/>
          <w:rtl w:val="true"/>
          <w:lang w:bidi="ar-SA"/>
        </w:rPr>
        <w:t xml:space="preserve">، وهو ليس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 في وجه مختار المشهور ، ظهر ما في كلام المحقّق الخراساني رحمه الله علیه في عاشر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لا إشكال في سقوط الأمر وحصول الامتثال بإتيان المجمع بداعي الأمر على الجواز مطلقاً ولو في العبادات وإن كان معصية للمنهيّ عنه أيضاً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من وجه الإشكال ، وأنّ ذهاب أصحابنا إلى بطلان العبادة في الدار المغصوبة هو لهذا الوجه ، لا للذهاب إلى الامتناع ؛ فإنّ بحث اجتماع </w:t>
      </w:r>
      <w:bookmarkStart w:id="355" w:name="pg8033_80909"/>
    </w:p>
    <w:p>
      <w:pPr>
        <w:pStyle w:val="BookText"/>
        <w:rPr/>
      </w:pPr>
      <w:bookmarkEnd w:id="355"/>
      <w:r>
        <w:rPr>
          <w:rFonts w:ascii="Amiri" w:hAnsi="Amiri" w:eastAsia="Amiri" w:cs="Amiri"/>
          <w:color w:val="111111"/>
          <w:sz w:val="28"/>
          <w:sz w:val="28"/>
          <w:szCs w:val="28"/>
          <w:rtl w:val="true"/>
          <w:lang w:bidi="ar-SA"/>
        </w:rPr>
        <w:t xml:space="preserve">الأمر والنهي بهذا العنوان المعروف بين المتأخّرين ، لم يكن إلى زمن العلاّمة قدّس سرّه ، وإنّما حدث في زمانه ، وتبعه المتأخّرون ، فالوجه في ذهاب المشهور إلى البطلان هو الوجه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على الامتناع مع ترجيح جانب الأمر ، إلاّ أ نّه لا معصية في إتيانه بناءً عليه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ترجيح جانب الأمر إنّما يؤثّر في تقييد النهي بغير مورد الاجتماع إذا لم تكن مندوحة في البين ، وأمّا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للتقييد ولو بلغ مناط الأمر ما بلغ من القوّة والترجيح ؛ فإنّ التقييد معها يكون بلا ملاكٍ وجهة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ما ذكر في وجه بطلان العبادة ، إنّما يجري فيما إذا كان النهي مؤثّراً فعلياً ؛ حتّى يكون صدور الفعل من الفاعل قبيحاً ، ويكون عصياناً وطغياناً على المولى ، وأمّا مع عدم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كالجاهل بالموضوع أو بالحكم مع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العبادة وصيرورتها مقرِّبة وإطاعة لأمر المولى ، ممّا لا مانع منه ، كما لا يخفى </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7368441_1051229030"/>
      <w:bookmarkStart w:id="357" w:name="_Toc131"/>
      <w:bookmarkEnd w:id="356"/>
      <w:r>
        <w:rPr>
          <w:rtl w:val="true"/>
        </w:rPr>
        <w:t xml:space="preserve">التنبيه الثاني </w:t>
      </w:r>
      <w:r>
        <w:rPr>
          <w:rtl w:val="true"/>
        </w:rPr>
        <w:t xml:space="preserve">: </w:t>
      </w:r>
      <w:r>
        <w:rPr>
          <w:rtl w:val="true"/>
        </w:rPr>
        <w:t>حول جريان النزاع في العامّين من وجه</w:t>
      </w:r>
      <w:bookmarkEnd w:id="3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جريان النزاع في العامّين من وجه ممّا لا إشكال فيه ، وكذا يجري فيما إذا كان المنهيّ عنه أخصّ مطلقاً بحسب المورد ، لا من قبيل المطلق والمقيّد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اُخذ مفهوم المطلق في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 مناط الجواز الذي ذكرنا في </w:t>
      </w:r>
    </w:p>
    <w:p>
      <w:pPr>
        <w:pStyle w:val="BookText"/>
        <w:rPr/>
      </w:pPr>
      <w:r>
        <w:rPr>
          <w:rFonts w:ascii="Amiri" w:hAnsi="Amiri" w:eastAsia="Amiri" w:cs="Amiri"/>
          <w:color w:val="111111"/>
          <w:sz w:val="28"/>
          <w:sz w:val="28"/>
          <w:szCs w:val="28"/>
          <w:rtl w:val="true"/>
          <w:lang w:bidi="ar-SA"/>
        </w:rPr>
        <w:t>العامّين من وجه</w:t>
      </w:r>
      <w:r>
        <w:rPr>
          <w:rStyle w:val="FootnoteAnchor"/>
          <w:rtl w:val="true"/>
        </w:rPr>
        <w:footnoteReference w:id="247"/>
      </w:r>
      <w:r>
        <w:rPr>
          <w:rFonts w:ascii="Amiri" w:hAnsi="Amiri" w:eastAsia="Amiri" w:cs="Amiri"/>
          <w:color w:val="111111"/>
          <w:sz w:val="28"/>
          <w:sz w:val="28"/>
          <w:szCs w:val="28"/>
          <w:rtl w:val="true"/>
          <w:lang w:bidi="ar-SA"/>
        </w:rPr>
        <w:t xml:space="preserve">فيه ، طابق النعل بالنعل ؛ لأنّ الأمر إنّما تعلّق بجهة ، وتكون تلك الجهة تمام الموضوع للأمر ، ولا يعقل تسريته من موضوعه إلى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الصُقع الشامخ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مورد تقدير موضوعات الأوامر والنواهي ، ومحطّ تعلّق الإرادة وتقدير المصالح والمفاسد الذي هو قبل تحقّق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موضوعات الأوامر والنواهي مختلطات بعضها مع البعض ، ولا متّحدات كذلك ، وإنّما الاتّحاد يتحقّق في صُقع متأخّر ووعاء نازل ، هو وعاء الوجود العيني التكويني ، لا وعاء الوجود العقلي التقديري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الخارجي لم يكن معروضاً للأمر ولا النهي ، ولا أنّ الوجوب والحرمة عرضان خارجيان حالاّن في الموضوعات الخارجية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إطلاق المتعلّق في الأمر والنهي هو كونه تمام الموضوع لهما من غير دخالة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عدم الإطلاق ، وهو كون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الموضوع لا تمامه ، واُفيدت قيوده ومتمّماته بدليل آخر مقيّد له ، وليس معنى الإطلاق هو سريان البعث والزجر إلى الأفراد الخارجية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لا بدّ له من تقييد متعلّق أمره أو نهيه بغير مورد الاجتماع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آثار الإطلاق في الأوامر والنواهي والأحكام الوضعية مختلفة ، </w:t>
      </w:r>
    </w:p>
    <w:p>
      <w:pPr>
        <w:pStyle w:val="BookText"/>
        <w:rPr/>
      </w:pPr>
      <w:r>
        <w:rPr>
          <w:rFonts w:ascii="Amiri" w:hAnsi="Amiri" w:eastAsia="Amiri" w:cs="Amiri"/>
          <w:color w:val="111111"/>
          <w:sz w:val="28"/>
          <w:sz w:val="28"/>
          <w:szCs w:val="28"/>
          <w:rtl w:val="true"/>
          <w:lang w:bidi="ar-SA"/>
        </w:rPr>
        <w:t>كما أشرنا إليه سابقاً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العامّين من وجه والأخصّ المطلق بحسب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النزاع في الأخصّ المطلق بحسب المفهوم ؛ بأن يكون الأمر متعلِّقاً بمفهوم ، والنهي متعلّقاً بنفس المفهوم مع قيدٍ زائد كالصلاة ، والصلاة في الدار المغصوبة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جريان النزاع فيه أيضاً ، والتزام المجوِّز بجوازه ، كالعامّين من وجه ، فلو فرض أنّ خياطة الثوب تكون ذات مصلحة تامّة ملزمة ، وكانت تمام الموضوع لتلك المصلحة بلا دخالة شيء وجودي أو عدمي فيها ، فلا بدّ أن يتعلّق الأمر بها بنفس ذاتها بنحو الإطلاق ؛ أي بلا دخالة قيدٍ فيها ، لا بمعنى السراية إلى الأفراد ، 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في خياطته في دار زيد مفسدة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الخياطة فيها تمام الموضوع للمفسدة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يتعلّق النهي بها ، فلو خاط المكلّف الثوب في دار زيد أتى بمورد الأمر بلا إشكالٍ وكلامٍ ؛ لتحقّق الخياطة التي هي تمام الموضوع بلا دخالة قيدٍ وجودي أو عدمي فيه ، وأتى بمورد النهي أيضاً الذي هو الخياطة في دار زيد ، وتكون تمام الموضوع للمفسدة والنهي ، فأصل الخياطة مأمور بها ، وهي مع التقيّد الكذائي منهيّ عنها ، فهما مفهومان قد تعلّق النهي بأحدهما ، والأمر بالآخر ، وأخذُ أحدهما في الآخر لا يوجب اجتماع الأمر والنهي في شيء واحد بجهة واحدة ، واجتماعهما في الوجود بسوء اختيار المكلّف لا يوجب امتناعاً في ناحية التكليف ، كما عرفت </w:t>
      </w:r>
      <w:r>
        <w:rPr>
          <w:rFonts w:eastAsia="Amiri" w:cs="Amiri" w:ascii="Amiri" w:hAnsi="Amiri"/>
          <w:color w:val="111111"/>
          <w:sz w:val="28"/>
          <w:szCs w:val="28"/>
          <w:rtl w:val="true"/>
          <w:lang w:bidi="ar-SA"/>
        </w:rPr>
        <w:t xml:space="preserve">. </w:t>
      </w:r>
      <w:bookmarkStart w:id="358" w:name="pg8033_80915"/>
    </w:p>
    <w:p>
      <w:pPr>
        <w:pStyle w:val="Heading4"/>
        <w:numPr>
          <w:ilvl w:val="3"/>
          <w:numId w:val="1"/>
        </w:numPr>
        <w:rPr/>
      </w:pPr>
      <w:bookmarkStart w:id="359" w:name="__RefHeading___Toc7368443_1051229030"/>
      <w:bookmarkStart w:id="360" w:name="_Toc132"/>
      <w:bookmarkEnd w:id="358"/>
      <w:bookmarkEnd w:id="359"/>
      <w:r>
        <w:rPr>
          <w:rtl w:val="true"/>
        </w:rPr>
        <w:t xml:space="preserve">التنبيه الثالث </w:t>
      </w:r>
      <w:r>
        <w:rPr>
          <w:rtl w:val="true"/>
        </w:rPr>
        <w:t xml:space="preserve">: </w:t>
      </w:r>
      <w:r>
        <w:rPr>
          <w:rtl w:val="true"/>
        </w:rPr>
        <w:t>جريان النزاع عند كون المنهيّ عنه أخصّ مطلقاً</w:t>
      </w:r>
      <w:bookmarkEnd w:id="360"/>
    </w:p>
    <w:p>
      <w:pPr>
        <w:pStyle w:val="BookText"/>
        <w:rPr/>
      </w:pPr>
      <w:r>
        <w:rPr>
          <w:rFonts w:ascii="Amiri" w:hAnsi="Amiri" w:eastAsia="Amiri" w:cs="Amiri"/>
          <w:color w:val="111111"/>
          <w:sz w:val="28"/>
          <w:sz w:val="28"/>
          <w:szCs w:val="28"/>
          <w:rtl w:val="true"/>
          <w:lang w:bidi="ar-SA"/>
        </w:rPr>
        <w:t xml:space="preserve">كما أنّ تعلّق الأمر والنهي بشيءٍ واحد بجهة واحدة من مولى واحد ، متوجّهين إلى مكلّف واحدٍ في زمانٍ واحد ، لا يمكن ولا يكون مورداً للنزاع ، كذلك لا يجري في مفهومين متساويين في الصدق ، ولا في مفهومين متلازمين بحسب الوجود ، ولا في مورد يكون الأمر أخصّ مطلقاً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الأخصّية بحسب المورد أو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جميع الصور يكون اجتماع الأمر والنهي محالاً ، ولا يجري النزاع فيها ، وقد عرفت جريانه في العامّين من وجه ، وهذا المورد متسالم عليه بينهم ، وفيما إذا كان المنهيّ عنه أخصّ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الأخصّية بحسب المورد أو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الموردان محلّ الإشكال في جريانه ، وقد عرفت أنّ التحقيق جريانه فيهما وتحقّق ملاكه فيهما ، بل كلّ موردٍ يكون فيه بين العنوانين عموم وخصوص يرجع إلى العموم المطلق ؛ فإنّ النهي ينحلّ إلى نواهٍ مستقلّة ، فكلّ تصرّفٍ في المغصوب يكون متعلّقاً لنهي مستقلّ ، ونسبة هذا النهي الانحلالي إلى الأمر تكون بالأخصّية المطلقة ، كما هو واضح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368445_1051229030"/>
      <w:bookmarkStart w:id="362" w:name="_Toc133"/>
      <w:bookmarkEnd w:id="361"/>
      <w:r>
        <w:rPr>
          <w:rtl w:val="true"/>
        </w:rPr>
        <w:t xml:space="preserve">التنبيه الرابع </w:t>
      </w:r>
      <w:r>
        <w:rPr>
          <w:rtl w:val="true"/>
        </w:rPr>
        <w:t xml:space="preserve">: </w:t>
      </w:r>
      <w:r>
        <w:rPr>
          <w:rtl w:val="true"/>
        </w:rPr>
        <w:t>لا فرق في جريان النزاع بين أقسام الأمر والنهي</w:t>
      </w:r>
      <w:bookmarkEnd w:id="36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جريان النزاع بين الأمر الوجوبي والندبي والنهي التحريمي والتنزيهي ، فعلى القول بالامتناع يمتنع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تمام الملاك للامتناع هو الضدّية ، ومعلوم أنّ الأحكام الخمسة بأسرها متضادّة ، فكما يمتنع اجتماع الأمر الوجوبي والنهي التحريمي بملاك الضدّية ، </w:t>
      </w:r>
      <w:bookmarkStart w:id="363" w:name="pg8033_80917"/>
    </w:p>
    <w:p>
      <w:pPr>
        <w:pStyle w:val="BookText"/>
        <w:rPr/>
      </w:pPr>
      <w:bookmarkEnd w:id="363"/>
      <w:r>
        <w:rPr>
          <w:rFonts w:ascii="Amiri" w:hAnsi="Amiri" w:eastAsia="Amiri" w:cs="Amiri"/>
          <w:color w:val="111111"/>
          <w:sz w:val="28"/>
          <w:sz w:val="28"/>
          <w:szCs w:val="28"/>
          <w:rtl w:val="true"/>
          <w:lang w:bidi="ar-SA"/>
        </w:rPr>
        <w:t xml:space="preserve">كذلك يمتنع اجتماع كلّ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مرتبة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واحد بجهة واحدة ؛ لتحقّق الملاك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بين النهي التحريمي والتنزيهي فرق من جهة اُخرى ، غير ما هو محلّ البحث ومحطّ النزاع ، وهو أنّ القائل بالاجتماع يمكن أن يذهب إلى بطلان العبادة في مورد الاجتماع في الموجود الخارجي ؛ لما عرفت من أنّ المبعِّد لا يمكن أن يصير مقرِّباً</w:t>
      </w:r>
      <w:r>
        <w:rPr>
          <w:rStyle w:val="FootnoteAnchor"/>
          <w:rtl w:val="true"/>
        </w:rPr>
        <w:footnoteReference w:id="251"/>
      </w:r>
      <w:r>
        <w:rPr>
          <w:rFonts w:ascii="Amiri" w:hAnsi="Amiri" w:eastAsia="Amiri" w:cs="Amiri"/>
          <w:color w:val="111111"/>
          <w:sz w:val="28"/>
          <w:sz w:val="28"/>
          <w:szCs w:val="28"/>
          <w:rtl w:val="true"/>
          <w:lang w:bidi="ar-SA"/>
        </w:rPr>
        <w:t xml:space="preserve">، وهذا الملاك إنّما يكون في النهي التحريمي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التنزيهي فلا يكون متعلّقه مبغوضاً للمولى ، ولا إتيانه عصياناً وطغياناً عليه ، ولا مبعِّداً للعبد ، فصحّة العبادة في مورد الأمر والنهي التنزيهي ممّا لا مانع منه عقلاً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7368447_1051229030"/>
      <w:bookmarkStart w:id="365" w:name="_Toc134"/>
      <w:bookmarkEnd w:id="364"/>
      <w:r>
        <w:rPr>
          <w:rtl w:val="true"/>
        </w:rPr>
        <w:t xml:space="preserve">التنبيه الخامس </w:t>
      </w:r>
      <w:r>
        <w:rPr>
          <w:rtl w:val="true"/>
        </w:rPr>
        <w:t xml:space="preserve">: </w:t>
      </w:r>
      <w:r>
        <w:rPr>
          <w:rtl w:val="true"/>
        </w:rPr>
        <w:t>استدلال المجوّزين بوقوع العبادات المكروهة</w:t>
      </w:r>
      <w:bookmarkEnd w:id="3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المجوِّز</w:t>
      </w:r>
      <w:r>
        <w:rPr>
          <w:rStyle w:val="FootnoteAnchor"/>
          <w:rtl w:val="true"/>
        </w:rPr>
        <w:footnoteReference w:id="252"/>
      </w:r>
      <w:r>
        <w:rPr>
          <w:rFonts w:ascii="IRNazanin" w:hAnsi="IRNazanin" w:eastAsia="IRNazanin"/>
          <w:color w:val="111111"/>
          <w:sz w:val="28"/>
          <w:sz w:val="28"/>
          <w:szCs w:val="28"/>
          <w:rtl w:val="true"/>
          <w:lang w:bidi="fa-IR"/>
        </w:rPr>
        <w:t xml:space="preserve">على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عرفت</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 الدليل على الإمكان هو الوقوع ، وقد وقع الاجتماع في الشريعة ، كالعبادات المكروهة ، مثل الصلاة في مواضع التهمة ، وفي الحمّام ، والصوم في السفر ، وبعض الأيّام مثل يوم عاشوراء</w:t>
      </w:r>
      <w:r>
        <w:rPr>
          <w:rStyle w:val="FootnoteAnchor"/>
          <w:rtl w:val="true"/>
        </w:rPr>
        <w:footnoteReference w:id="254"/>
      </w:r>
      <w:r>
        <w:rPr>
          <w:rFonts w:ascii="Amiri" w:hAnsi="Amiri" w:eastAsia="Amiri" w:cs="Amiri"/>
          <w:color w:val="111111"/>
          <w:sz w:val="28"/>
          <w:sz w:val="28"/>
          <w:szCs w:val="28"/>
          <w:rtl w:val="true"/>
          <w:lang w:bidi="ar-SA"/>
        </w:rPr>
        <w:t xml:space="preserve">، وقد عرفت أن ملاك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الأوامر </w:t>
      </w:r>
    </w:p>
    <w:p>
      <w:pPr>
        <w:pStyle w:val="BookText"/>
        <w:rPr/>
      </w:pPr>
      <w:r>
        <w:rPr>
          <w:rFonts w:ascii="Amiri" w:hAnsi="Amiri" w:eastAsia="Amiri" w:cs="Amiri"/>
          <w:color w:val="111111"/>
          <w:sz w:val="28"/>
          <w:sz w:val="28"/>
          <w:szCs w:val="28"/>
          <w:rtl w:val="true"/>
          <w:lang w:bidi="ar-SA"/>
        </w:rPr>
        <w:t xml:space="preserve">والنواهي قاطبة لتضادّ الأحكام بأسرها ، فإذا وقع في موردٍ الأمر الإيجابي والنهي التنزيهي ، أو الأمر الندبي والنهي التنزيهي ، فذلك يدلّ على الإمكان والجواز في مطلق الأوامر والنواهي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المحقّق الخراساني رحمه الله علیه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على نحو الإجمال ، وتارةً على نحو التفصيل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جوابه الإجمالي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الظواهر لا تصادم البرهان العقلي ، فإذا قام البرهان على الامتناع ، فلا وجه للتمسّك بالظهور في مقابله ، فلا بدّ من التصرّف والتأويل فيه ، مع أنّ في بعض تلك الموارد اجتمع الأمر والنهي بعنوانٍ واحد وجهة واحدة ، مثل صوم يوم عاشوراء والنوافل المبتدأة في الحمّام ممّا لا بدل لها ، فإنّه في كلّ حينٍ تستحبّ الصلاة ففي الحمّام أيضاً تستحبّ ، ولا بدل لها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ولنا جواب إجمالي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غاية ما يدلّ عليه الدليل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كراهة هذه العناوين ، مثل صوم يوم عاشوراء والصلاة في الحمّام وأمثالهما ، وصحّتها على فرض الإتيان بها ، ومجرّد هذا لا يدلّ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الصحّة تكون بواسطة الملاك لعدم احتياجها إلى الأمر ، فمجرّد الصحّة مع الكراهة لا يدلّ على وقوع الاجتماع ، وذلك واضح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العبادات المكروهة على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بعنوانه وذاته ولا بدل له ، كصوم يوم عاشوراء والنوافل المبتدأة في بعض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بعنوانٍ أخصّ من المأمور به ، كالنهي عن الصلاة في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به لا بذاته ، بل بما هو مجامع معه وجوداً ، أو ملازم له خارجاً ، كالصلاة في مواضع التهمة ؛ بناءً على أنّ المنهيّ عنه هو الكون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قدّس سرّه عن كلّ قسم تفصيلاً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فُسحة من القسمين الأخيرين ؛ لاختيارنا الجواز فيهما ، كما تقدّم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القسم الأوّل فلا بدّ لنا من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كالقائل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النقض على كلا الفريقين ، فلا بدّ من البحث عنه تفصيلاً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 المحقّق المتقدّم قدّس سرّه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مثله إمّا يرجع إلى الترك ؛ لأجل انطباق عنوان ذي مصلحة عليه ، فيكون فعل الصوم ذا مصلحة ، وتركه كذلك ؛ لأجل انطباق ذاك العنوان عليه ، لكن الترك أرجح ، فيكونان من قبيل المستحبّين المتزاحمين ، فيحكم بالتخيير بينهما لولا الأهمّية ، وإلاّ فيقدّم الأهمّ وإن كان المهمّ أيضاً يقع صحيحاً ؛ لرجحانه وموافقته للغرض ، وأرجحية الترك لا توجب منقصة في الفعل ، بل </w:t>
      </w:r>
    </w:p>
    <w:p>
      <w:pPr>
        <w:pStyle w:val="BookText"/>
        <w:rPr/>
      </w:pPr>
      <w:r>
        <w:rPr>
          <w:rFonts w:ascii="Amiri" w:hAnsi="Amiri" w:eastAsia="Amiri" w:cs="Amiri"/>
          <w:color w:val="111111"/>
          <w:sz w:val="28"/>
          <w:sz w:val="28"/>
          <w:szCs w:val="28"/>
          <w:rtl w:val="true"/>
          <w:lang w:bidi="ar-SA"/>
        </w:rPr>
        <w:t xml:space="preserve">الفعل يكون ذا مصلحة خالصة ، وإن كان الترك لأجل انطباق عنوانٍ مرجوح عليه ذا مفسدة 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لأجل ملازمة الترك لعنوانٍ كذائي من دون انطباق عليه ، فيكون حاله حال 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المتعلّق به حقيقي على الأوّل ، وعرضي على الثاني ، وإنّما يتعلّق حقيقة بما يلازمه من العنوان</w:t>
      </w:r>
      <w:r>
        <w:rPr>
          <w:rStyle w:val="FootnoteAnchor"/>
          <w:rtl w:val="true"/>
        </w:rPr>
        <w:footnoteReference w:id="25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النهي إلى طلب الترك خلاف التحقيق ، كما عرفت مفصّلاً من أنّ النهي عبارة عن الزجر عن الفعل ، لا طلب الترك</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النهي عبارة عن طلب الترك ، لكن إرجاعه إلى طلب ترك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عليه أو ملازم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ظواهر الأدلّة الناهية عن الصوم يوم عاشوراء</w:t>
      </w:r>
      <w:r>
        <w:rPr>
          <w:rStyle w:val="FootnoteAnchor"/>
          <w:rtl w:val="true"/>
        </w:rPr>
        <w:footnoteReference w:id="260"/>
      </w:r>
      <w:r>
        <w:rPr>
          <w:rFonts w:ascii="Amiri" w:hAnsi="Amiri" w:eastAsia="Amiri" w:cs="Amiri"/>
          <w:color w:val="111111"/>
          <w:sz w:val="28"/>
          <w:sz w:val="28"/>
          <w:szCs w:val="28"/>
          <w:rtl w:val="true"/>
          <w:lang w:bidi="ar-SA"/>
        </w:rPr>
        <w:t>، أو الصلاة في زمان كذا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إلى تصوير عنوانٍ أرجح منطبق أو لازم ؛ لجواز كون نفس الترك له رجحان ، كما أنّ للفعل رجحاناً ، ويكون الترك أرجح من الفعل ، ومعلوم أنّ رجحان الفعل والترك غير كون الفعل ذا مصلحة ومفسدة مع كون المفسدة أرجح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صحّة الفعل ؛ فإنّ الفعل إذا كان فيه مصلحة خالصة ، والترك كان فيه مفسدة خالصة ، فمع تساويهما يكون المكلّف مخيّراً </w:t>
      </w:r>
      <w:bookmarkStart w:id="366" w:name="pg8033_80926"/>
    </w:p>
    <w:p>
      <w:pPr>
        <w:pStyle w:val="BookText"/>
        <w:rPr/>
      </w:pPr>
      <w:bookmarkEnd w:id="366"/>
      <w:r>
        <w:rPr>
          <w:rFonts w:ascii="Amiri" w:hAnsi="Amiri" w:eastAsia="Amiri" w:cs="Amiri"/>
          <w:color w:val="111111"/>
          <w:sz w:val="28"/>
          <w:sz w:val="28"/>
          <w:szCs w:val="28"/>
          <w:rtl w:val="true"/>
          <w:lang w:bidi="ar-SA"/>
        </w:rPr>
        <w:t xml:space="preserve">بينهما ، ومع أرجحية الترك يصير الزجر مقدّماً ، ولكن لو أتى به يكون صحيحاً ؛ لكون الفعل ذا مصلحة خالصة ، فتصوير العنوان الآخر تبعيد للمسافة بلا داعٍ يدعو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أفاده أنّ التارك للصوم يكون آتياً بأمرٍ مستحبّ وعبادة قهراً ؛ من دون الالتفات إلى عنوان المأمور به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التفصّي عن هذا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فيه مصلحة خالصة ، ولكن ينطبق على ذلك الفعل عنوان آخر يكون فيه مفسدة راجحة ؛ فالنهي عن الفعل إنّما هو لأجل انطباق تلك العناوين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عاشوراء بما أ نّه صوم ، فيه مصلحة خالصة ولا مفسدة فيه ، لكن ينطبق عليه عنوان التشبّه ببني اُميّة وبني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التشبّه فيه مفسدة غالبة على الصوم المندوب ، وكذلك النوافل عند غروب الشمس وطلوعها تكون فيها مصلحة خالصة بما أ نّها صلاة ، ولكن ينطبق عليها عنوان التشبّه بعَبَدة الشمس ، وهذا فيه مفسدة راجحة على مصلحة النافلة ، ولأجل ذلك وقع النهي عنها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368449_1051229030"/>
      <w:bookmarkStart w:id="368" w:name="_Toc135"/>
      <w:bookmarkEnd w:id="367"/>
      <w:r>
        <w:rPr>
          <w:rtl w:val="true"/>
        </w:rPr>
        <w:t xml:space="preserve">التنبيه السادس </w:t>
      </w:r>
      <w:r>
        <w:rPr>
          <w:rtl w:val="true"/>
        </w:rPr>
        <w:t xml:space="preserve">: </w:t>
      </w:r>
      <w:r>
        <w:rPr>
          <w:rtl w:val="true"/>
        </w:rPr>
        <w:t>حكم توسّط الأرض المغصوبة</w:t>
      </w:r>
      <w:bookmarkEnd w:id="3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الخلاف بين الأعلام بأنّ المتوسّط في أرض مغصوبة إذا كان دخوله فيها غصباً ، وكان التخلّص عن الغصب منحصراً بالتصرّف فيها بغير إذن صاحبها ، هل يتّصف تصرّفه للتخلّص بالحرمة</w:t>
      </w:r>
      <w:r>
        <w:rPr>
          <w:rStyle w:val="FootnoteAnchor"/>
          <w:rtl w:val="true"/>
        </w:rPr>
        <w:footnoteReference w:id="262"/>
      </w:r>
      <w:r>
        <w:rPr>
          <w:rFonts w:ascii="Amiri" w:hAnsi="Amiri" w:eastAsia="Amiri" w:cs="Amiri"/>
          <w:color w:val="111111"/>
          <w:sz w:val="28"/>
          <w:sz w:val="28"/>
          <w:szCs w:val="28"/>
          <w:rtl w:val="true"/>
          <w:lang w:bidi="ar-SA"/>
        </w:rPr>
        <w:t xml:space="preserve">، أو الوجوب مع جريان حكم </w:t>
      </w:r>
    </w:p>
    <w:p>
      <w:pPr>
        <w:pStyle w:val="BookText"/>
        <w:rPr/>
      </w:pPr>
      <w:r>
        <w:rPr>
          <w:rFonts w:ascii="Amiri" w:hAnsi="Amiri" w:eastAsia="Amiri" w:cs="Amiri"/>
          <w:color w:val="111111"/>
          <w:sz w:val="28"/>
          <w:sz w:val="28"/>
          <w:szCs w:val="28"/>
          <w:rtl w:val="true"/>
          <w:lang w:bidi="ar-SA"/>
        </w:rPr>
        <w:t>المعصية عليه</w:t>
      </w:r>
      <w:r>
        <w:rPr>
          <w:rStyle w:val="FootnoteAnchor"/>
          <w:rtl w:val="true"/>
        </w:rPr>
        <w:footnoteReference w:id="263"/>
      </w:r>
      <w:r>
        <w:rPr>
          <w:rFonts w:ascii="IRNazanin" w:hAnsi="IRNazanin" w:eastAsia="IRNazanin"/>
          <w:color w:val="111111"/>
          <w:sz w:val="28"/>
          <w:sz w:val="28"/>
          <w:szCs w:val="28"/>
          <w:rtl w:val="true"/>
          <w:lang w:bidi="fa-IR"/>
        </w:rPr>
        <w:t>، أو بدونه</w:t>
      </w:r>
      <w:r>
        <w:rPr>
          <w:rStyle w:val="FootnoteAnchor"/>
          <w:rtl w:val="true"/>
        </w:rPr>
        <w:footnoteReference w:id="264"/>
      </w:r>
      <w:r>
        <w:rPr>
          <w:rFonts w:ascii="Amiri" w:hAnsi="Amiri" w:eastAsia="Amiri" w:cs="Amiri"/>
          <w:color w:val="111111"/>
          <w:sz w:val="28"/>
          <w:sz w:val="28"/>
          <w:szCs w:val="28"/>
          <w:rtl w:val="true"/>
          <w:lang w:bidi="ar-SA"/>
        </w:rPr>
        <w:t>، أو يتّصف بكليهما</w:t>
      </w:r>
      <w:r>
        <w:rPr>
          <w:rStyle w:val="FootnoteAnchor"/>
          <w:rtl w:val="true"/>
        </w:rPr>
        <w:footnoteReference w:id="265"/>
      </w:r>
      <w:r>
        <w:rPr>
          <w:rFonts w:ascii="IRNazanin" w:hAnsi="IRNazanin" w:eastAsia="IRNazanin"/>
          <w:color w:val="111111"/>
          <w:sz w:val="28"/>
          <w:sz w:val="28"/>
          <w:szCs w:val="28"/>
          <w:rtl w:val="true"/>
          <w:lang w:bidi="fa-IR"/>
        </w:rPr>
        <w:t xml:space="preserve">؟ على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مسألة معنونة بينهم ، واختار كلٌّ مسلكاً ، وقد قدّم المحقّق الخراساني رحمه الله علیه لتحقيقها مقدّمة ، لعلّها غير دخيلة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محصّله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إلى ارتكاب الحرام إمّا أن يكون بسوء اختيار المكلّف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فلا إشكال في أنّ الحرمة والعقوبة مرتفعان ، وحينئذٍ لو كان له ملاك الوجوب لأثَّر في إيجابه أيضاً ، فيصير واجباً ، كما لو لم يكن بحرامٍ ، وهذا ممّا لا 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يختار ما يؤدّي إلى الحرام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الخطاب بالزجر عنه وإن كان ساقطاً ، إلاّ أ نّه حيث يصدر عنه عصياناً لذلك الخطاب ، ومبغوضاً ومستحقّاً عليه العقاب ، لا يصلح لأن يتعلّق به الإيجاب بلا إشكالٍ ولا ارتيابٍ ، وإنّما الإشكال فيما إذا كان ما اضطرّ إليه بسوء اختياره ممّا ينحصر به التخلّص عن محذور الحرام ، كالخروج عن الدار المغصوبة فيما إذا توسّطها بالاختيار</w:t>
      </w:r>
      <w:r>
        <w:rPr>
          <w:rStyle w:val="FootnoteAnchor"/>
          <w:rtl w:val="true"/>
        </w:rPr>
        <w:footnoteReference w:id="26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 الوجوب يصير مؤثّراً في إيجابه بعد ارتفاع الحرمة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 فإنّ المفروض أنّ ملاك </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المفسدة الكامنة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أقوى من ملاك الوجوب ، ومعه كيف يمكن فعلية الوجوب ولو مع ارتفاع خطاب الحرمة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المزاحم للوجوب هو غلبة ملاك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مع كونه ذا مصلحة ومنفعة ، لكن لمّا كانت مفسدته راجحة ، وإثمه أكبر من نفعه ، صار حراماً ؛ لغلبة الملاك ، فلو فرضنا الاضطرار إلى شربه لمرض أو شبهه ، وارتفع الخطاب لأجله ، فلا يصير راجحاً أو واجباً بمجرّده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لو حدث في ظرف الاضطرار مصلحة اُخرى ملزمة وراجحة على المفسدة صار الفعل لا محالة واجباً ، لكن هذا غير ما أفاده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الفعل مبغوضاً وعصياناً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ممنوع ؛ فإنّ الفعل الاختياري الذي يؤدّي إلى المحرّم اضطراراً ، قد يكون مباحاً ، وقد يكون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المكلّف ملتفتاً إلى تأديته إلى المحرّم ، وتارةً لا يكون ملتفتاً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ملتفتاً إلى التأدية ، وكان الفعل مباحاً ، فلا إشكال في عدم وقوع الفعل المضطرّ إليه عصياناً ومبغوضاً ، ولا معاقباً عليه ، كما أ نّه لو كان الفعل محرّماً مع عدم الالتفات لم يقع الفعل المضطرّ إليه محرّماً ومبغوضاً ، وإن كان الفعل الاختياري المؤدّي إلى ذاك المحرّم حراماً ومبغوضاً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الاضطرار العقلي والعادي العرفي ، إلاّ أنّ العقلي منه مرفوع عقلاً ، والعرفي بدليل الرفع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ملتفتاً إلى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الفعل المؤدّي إلى الحرام مباحاً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فيه النزاع الآتي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المضطرّ إليه اختياراً قد يكون واحداً معيّناً ، كمن أوجد لنفسه مرضاً فاضطرّ إلى شرب الخمر ، وقد يكون أحد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الفعلان من سنخين من المحرّم ، وقد يكونان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أحدهما أهمّ من الآخر ، كمن اضطرّ إلى شرب أحد 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خمر ، والآخر متنجّس ، وقد يكونان متساويين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كانا من سنخ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يكون أحدهما أكثر عدداً ، أو زماناً من الآخر ، كمن اضطرّ إلى التصرّف في المغصوب ساعة أو ساعتين ، أو مرّة أو مرّتين ، وفي المتساويين من حيث الأهمّية يأتي احتمال الأكثرية من حيث العدد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كلّ واحدٍ من الصور معلوم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حرمة الدخول في أرض الغير بغير إذنه ، والبقاء فيها ، والتصرّفات الزائدة عن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التصرّف التخلّصي ؛ أي ما هو في طريق التخلّص ، سواء كان من قصده الخروج والتخلّص أو لا ، كمن يريد التفرّج والتفريح لكن في طريق التخلّص ، فهل يقع مأموراً به مع جريان حكم المعصية عليه أو بدونه ، أو منهيّاً عنه ، أو مأموراً به ومنهيّاً عنه كليهما ، أو منهيّاً عنه بالنهي السابق الساقط ، أو مأموراً به ومنهيّاً عنه على نحو الترتّب ؟ وجوه واحتمالات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شيخنا المرتضى قدّس سرّه عدم الحرمة ، بل كونه واجباً صرفاً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أفاده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الخروجي قبل الدخول لا يتّصف بالحرمة ولا بالوجوب على نحو الإطلاق ؛ لعدم كون المكلّف قادراً عليه ، ولو تعلّق به أمر أو نهي فإنّما يتعلّق به على نحو التقدير ، فيكون الأمر أو النهي </w:t>
      </w:r>
    </w:p>
    <w:p>
      <w:pPr>
        <w:pStyle w:val="BookText"/>
        <w:rPr/>
      </w:pPr>
      <w:r>
        <w:rPr>
          <w:rFonts w:ascii="Amiri" w:hAnsi="Amiri" w:eastAsia="Amiri" w:cs="Amiri"/>
          <w:color w:val="111111"/>
          <w:sz w:val="28"/>
          <w:sz w:val="28"/>
          <w:szCs w:val="28"/>
          <w:rtl w:val="true"/>
          <w:lang w:bidi="ar-SA"/>
        </w:rPr>
        <w:t xml:space="preserve">متوجّهاً إليه على فرض الدخول ، ولا إشكال في أنّ المولى إذا لاحظ تقدير الدخول لا يكون له إلاّ الأمر بالخروج ، لا النهي عنه ، نظير شرب الخمر المتوّقف عليه النجاة من الهلاك ، فهل ترى من نفسك أنّ من أوجد المرض لنفسه بسوء اختياره ، وتوقّفت نجاته على شرب الخمر ، بقي شربه للخمر على حرمته ، أو يكون الشرب واجباً على هذا التقدير ؟ فشرب الخمر العلاجي لا يكون حراماً في حالٍ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لا يكون الخروج منهيّاً عنه أو مأموراً به بنحو الإطلاق ، وبعد تحقّق التقدير لا يكون إلاّ الأمر بالخروج ، لا النهي عنه</w:t>
      </w:r>
      <w:r>
        <w:rPr>
          <w:rStyle w:val="FootnoteAnchor"/>
          <w:rtl w:val="true"/>
        </w:rPr>
        <w:footnoteReference w:id="26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وسيتّضح</w:t>
      </w:r>
      <w:r>
        <w:rPr>
          <w:rStyle w:val="FootnoteAnchor"/>
          <w:rtl w:val="true"/>
        </w:rPr>
        <w:footnoteReference w:id="268"/>
      </w:r>
      <w:r>
        <w:rPr>
          <w:rFonts w:ascii="Amiri" w:hAnsi="Amiri" w:eastAsia="Amiri" w:cs="Amiri"/>
          <w:color w:val="111111"/>
          <w:sz w:val="28"/>
          <w:sz w:val="28"/>
          <w:szCs w:val="28"/>
          <w:rtl w:val="true"/>
          <w:lang w:bidi="ar-SA"/>
        </w:rPr>
        <w:t xml:space="preserve">ما فيه عند تحقيق ما هو الحقّ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كون الخروج مأموراً به ومنهيّاً عنه جميعاً ، كما اختاره الفاضل القمّي رحمه الله علیه </w:t>
      </w:r>
      <w:r>
        <w:rPr>
          <w:rStyle w:val="FootnoteAnchor"/>
          <w:rtl w:val="true"/>
        </w:rPr>
        <w:footnoteReference w:id="269"/>
      </w:r>
      <w:r>
        <w:rPr>
          <w:rFonts w:ascii="Amiri" w:hAnsi="Amiri" w:eastAsia="Amiri" w:cs="Amiri"/>
          <w:color w:val="111111"/>
          <w:sz w:val="28"/>
          <w:sz w:val="28"/>
          <w:szCs w:val="28"/>
          <w:rtl w:val="true"/>
          <w:lang w:bidi="ar-SA"/>
        </w:rPr>
        <w:t>تبعاً لأبي هاشم من العامّة</w:t>
      </w:r>
      <w:r>
        <w:rPr>
          <w:rStyle w:val="FootnoteAnchor"/>
          <w:rtl w:val="true"/>
        </w:rPr>
        <w:footnoteReference w:id="270"/>
      </w:r>
      <w:r>
        <w:rPr>
          <w:rFonts w:ascii="Amiri" w:hAnsi="Amiri" w:eastAsia="Amiri" w:cs="Amiri"/>
          <w:color w:val="111111"/>
          <w:sz w:val="28"/>
          <w:sz w:val="28"/>
          <w:szCs w:val="28"/>
          <w:rtl w:val="true"/>
          <w:lang w:bidi="ar-SA"/>
        </w:rPr>
        <w:t xml:space="preserve">، ففيه ما لا يخفى ؛ للزوم اجتماع الأمر والنهي في واحدٍ شخصي مع عدم المندوحة ، فيلزم منه التكليف بالمحال والجمع بين الضدّين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كونه منهيّاً عنه بالنهي السابق الساقط ، كما اختاره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الخراساني رحمه الله علیه </w:t>
      </w:r>
      <w:r>
        <w:rPr>
          <w:rStyle w:val="FootnoteAnchor"/>
          <w:rtl w:val="true"/>
        </w:rPr>
        <w:footnoteReference w:id="271"/>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إذا سقط فلا معنى للعصيان والمخالفة ، </w:t>
      </w:r>
    </w:p>
    <w:p>
      <w:pPr>
        <w:pStyle w:val="BookText"/>
        <w:rPr/>
      </w:pPr>
      <w:r>
        <w:rPr>
          <w:rFonts w:ascii="Amiri" w:hAnsi="Amiri" w:eastAsia="Amiri" w:cs="Amiri"/>
          <w:color w:val="111111"/>
          <w:sz w:val="28"/>
          <w:sz w:val="28"/>
          <w:szCs w:val="28"/>
          <w:rtl w:val="true"/>
          <w:lang w:bidi="ar-SA"/>
        </w:rPr>
        <w:t xml:space="preserve">ومجرّد كون الاضطرار بسوء الاختيار ، لا يوجب المخالفة والعصيان مع عدم النهي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منهيّاً عنه ومأموراً به على نحو الترتّب ، فهو ممّا لا يحتمله أحد ، وإنّما هو احتمال أبديناه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يمكن أن يتعلّق الأمر بالأهمّ والمهمّ في صورة التزاحم بشيئين في وقتٍ واحد بنحو الترتّب ؛ بأن يأمر المولى بالأهمّ بنحو الإطلاق ، لكن لمّا احتمل أن يكون أمره بالأهمّ غير مؤثّر في نفس المكلّف فتركه وترك المهمّ أيضاً ؛ لعدم الأمر به فلا يصل إلى شيء من غرضيه ، يأمر بالمهمّ على فرض عدم تأثير الأمر بالأهمّ ؛ حتّى لا يكون زمان عصيان الأمر بالأهمّ خالياً عن إتيان المهمّ ، كما مرّ ذكره في الترتّب مستوفىً</w:t>
      </w:r>
      <w:r>
        <w:rPr>
          <w:rStyle w:val="FootnoteAnchor"/>
          <w:rtl w:val="true"/>
        </w:rPr>
        <w:footnoteReference w:id="272"/>
      </w:r>
      <w:r>
        <w:rPr>
          <w:rFonts w:ascii="Amiri" w:hAnsi="Amiri" w:eastAsia="Amiri" w:cs="Amiri"/>
          <w:color w:val="111111"/>
          <w:sz w:val="28"/>
          <w:sz w:val="28"/>
          <w:szCs w:val="28"/>
          <w:rtl w:val="true"/>
          <w:lang w:bidi="ar-SA"/>
        </w:rPr>
        <w:t xml:space="preserve">، فكذلك في المقام أنّ النهي إنّما تعلّق بالتصرّف في ملك الغير بغير إذنه بنحو الإطلاق ، وتعلّق أمر آخر بنحو الاشتراط بأ نّه لو لم يؤثّر النهي في نفس المكلّف فعصى ودخل في ملك الغير ، يجب عليه الخروج تخلّصاً من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المقام بالترتّب مع الفارق ؛ فإنّ في الترتّب يكون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بالأهمّ ، والآخر بالمهمّ ، ومع تركهما يكون المكلّف عاصياً ومعاقباً بالنسبة إليهما ؛ لتركه التكليفين ، وارتكابه المعصيتين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المقام فلا يكون إلاّ النهي عن التصرّف في ملك الغير بغير إذنه فقط ، ولا يكون أمر في البين ، وإنّما يحكم العقل بلزوم الخروج ؛ لأنّ أمره دائر بين </w:t>
      </w:r>
    </w:p>
    <w:p>
      <w:pPr>
        <w:pStyle w:val="BookText"/>
        <w:rPr/>
      </w:pPr>
      <w:r>
        <w:rPr>
          <w:rFonts w:ascii="Amiri" w:hAnsi="Amiri" w:eastAsia="Amiri" w:cs="Amiri"/>
          <w:color w:val="111111"/>
          <w:sz w:val="28"/>
          <w:sz w:val="28"/>
          <w:szCs w:val="28"/>
          <w:rtl w:val="true"/>
          <w:lang w:bidi="ar-SA"/>
        </w:rPr>
        <w:t xml:space="preserve">البقاء والخروج ، ويكون البقاء أكثر تصرّفاً وأشدّ محذوراً من الخروج ، فيحكم العقل بالخروج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ذكر في مبحث الضدّ</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نهي عن ضدّه العامّ ، لا بمعنى أنّ هنا أمراً ونهياً مستقلّين وإطاعة وعصياناً ؛ حتّى يكون الآتي بالمأمور به مطيعاً من جهتين ، إحداهما إطاعة الأمر ، والاُخرى إطاعة طلب ترك الترك ، بل لا يكون إلاّ أمر فقط ، والنهي عن ضدّه العامّ فانٍ فيه ، ويكون متحقّقاً بعين تحقّق الأمر ، فهما واحد باعتبار ، ومتعدّد باعتبار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للنهي استقلال ، ولا إطاعة ومعصية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مرّ</w:t>
      </w:r>
      <w:r>
        <w:rPr>
          <w:rStyle w:val="FootnoteAnchor"/>
          <w:rtl w:val="true"/>
        </w:rPr>
        <w:footnoteReference w:id="274"/>
      </w:r>
      <w:r>
        <w:rPr>
          <w:rFonts w:ascii="Amiri" w:hAnsi="Amiri" w:eastAsia="Amiri" w:cs="Amiri"/>
          <w:color w:val="111111"/>
          <w:sz w:val="28"/>
          <w:sz w:val="28"/>
          <w:szCs w:val="28"/>
          <w:rtl w:val="true"/>
          <w:lang w:bidi="ar-SA"/>
        </w:rPr>
        <w:t xml:space="preserve">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المقدّمات واجبات بعين وجوب ذيها ، وفانيات فيه ، ولا استقلال لها في الجعل ، فلا إطاعة ولا معصية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نحن فيه ، فإنّ النهي عن التصرّف في ملك الغير مقتضٍ للأمر بضدّه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يكون ترك التصرّف مأموراً به بالأمر الاستقلالي جعلاً وتحقّقاً ، ولا يكون له إطاعة ومعصية ؛ حتّى يكون هنا أمر ونهي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مطلق ، والأمر مشروط على نعت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التحقيق يظهر المختار في المقام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مال الغير بغير إذنه ، أو مع نهيه ، حرام مبغوض من </w:t>
      </w:r>
    </w:p>
    <w:p>
      <w:pPr>
        <w:pStyle w:val="BookText"/>
        <w:rPr/>
      </w:pPr>
      <w:r>
        <w:rPr>
          <w:rFonts w:ascii="Amiri" w:hAnsi="Amiri" w:eastAsia="Amiri" w:cs="Amiri"/>
          <w:color w:val="111111"/>
          <w:sz w:val="28"/>
          <w:sz w:val="28"/>
          <w:szCs w:val="28"/>
          <w:rtl w:val="true"/>
          <w:lang w:bidi="ar-SA"/>
        </w:rPr>
        <w:t xml:space="preserve">قِبَل المولى ، ويكون ذلك التصرّف خروجاً عن طاعته وعصياناً له ؛ من دون فرق بين التصرّف الدخولي والخروجي في نظر العقل ، فإنّه يرى جميع التصرّفات متساوية في كونها معصية وخروجاً عن رسم العبودية ، ولا يكون الخروج واجباً أو ترك الغصب واجباً ؛ حتّى تكون التصرّفات الخروجية مقدّمات له ، بل التصرّف حرام ، لكن العقل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دوران الأمر بين التصرّف الطويل 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القصير ، من غير أن يكون للمولى أمر وبعث ، بل ما يكون من قبله ليس إلاّ النهي عن التصرّف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 في ملك الغير عن 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تنبّه وتاب عن عمله صارت تصرّفاته السابقة بحكم أدلّة التوبة مغفورة ، خارجة عن حكم العصيان ، وتصير تصرّفاته اللاحقة الاضطرارية بعد التوبة ، تصرّفات غير مسبوقة بالمعصية المؤثّرة ، فيصير حاله بالنسبة إلى التصرّفات الخروجية لأجل التخلّص عن التصرّف ، كمن اضطرّ إلى الدخول واختار الخروج من أقصر الطرق للتخلّص ، فكما أنّ العقل يحكم بمعذورية الثاني ؛ حيث لا يكون ارتكابه للتصرّف الخروجي إلاّ باضطرارٍ محض غير مسبوق بالمعصية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التائب من ذنبه وتصرّفه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الخروج لأجل التخلّص من أقرب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تصرّفاته الخروجية غير مبغوضة للمولى ؛ للفرق بين من كان خروجه كدخوله بنفس الإرادة للظلم والعصيان ، وبين من كان تائباً عن ذنبه ، ويكون خروجه لأجل التخلّص من معصية المولى ، ويرى نفسه مضطرّاً في تلك التصرّفات الخروجية لأجل التخلّص من التصرّفات الزائدة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 وحقّقنا يتّضح ما فيما أفاده شيخنا المرتضى قدّس سرّه </w:t>
      </w:r>
      <w:r>
        <w:rPr>
          <w:rStyle w:val="FootnoteAnchor"/>
          <w:rtl w:val="true"/>
        </w:rPr>
        <w:footnoteReference w:id="275"/>
      </w:r>
      <w:r>
        <w:rPr>
          <w:rFonts w:ascii="Amiri" w:hAnsi="Amiri" w:eastAsia="Amiri" w:cs="Amiri"/>
          <w:color w:val="111111"/>
          <w:sz w:val="28"/>
          <w:sz w:val="28"/>
          <w:szCs w:val="28"/>
          <w:rtl w:val="true"/>
          <w:lang w:bidi="ar-SA"/>
        </w:rPr>
        <w:t xml:space="preserve">فإنّ كلامه مبنيّ على وجوب ترك التصرّف أو وجوب الخروج ، وقد عرفت عدم وجوبهما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الخروج لم يكن مقدوراً قبل الدخول ، فلم يكن حراماً مطلقاً ، وعلى تقدير الدخول لا يكون إلاّ واجباً ، وجعله نظير شرب الخمر العلاجي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تعلّق به النهي لم يكن عنوان الخروج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مقدورٍ ، بل ما تعلّق به النهي إنّما هو التصرّف في ملك الغير ، ولا إشكال في أنّ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بأنحائه مقدور للعبد ، فيمكن له التصرّف الطويل والقصير وبمقدار ساعة يكون نصفه الدخول ونصفه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تصرّفاته تكون مبغوضة للمولى وإن سقط الخطاب بعد اضطراره ، ولا ينافي سقوط الخطاب ، المبغوضية وكون التصرّف طغياناً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تنظير المقام بشرب الخمر العلاجي مع الفارق ؛ فإنّه بعد الاضطرار لا تحدث فيما نحن فيه مصلحة ملزمة خارجية ، يكون ارتكاب المحرّم مقدّمة لاستيفائها ؛ فإنّه ليس في البين إلاّ حرمة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الاضطرار إلى شرب الخمر للمرض ، يصير شربه مقدّمة لحفظ النفس الأهمّ منه ، فشربه مقدّمة لاستيفاء مصلحة ملزمة خارجية تكون أهمّ منه </w:t>
      </w:r>
      <w:r>
        <w:rPr>
          <w:rFonts w:eastAsia="Amiri" w:cs="Amiri" w:ascii="Amiri" w:hAnsi="Amiri"/>
          <w:color w:val="111111"/>
          <w:sz w:val="28"/>
          <w:szCs w:val="28"/>
          <w:rtl w:val="true"/>
          <w:lang w:bidi="ar-SA"/>
        </w:rPr>
        <w:t xml:space="preserve">. </w:t>
      </w:r>
      <w:bookmarkStart w:id="369" w:name="pg8033_80943"/>
    </w:p>
    <w:p>
      <w:pPr>
        <w:pStyle w:val="Heading4"/>
        <w:numPr>
          <w:ilvl w:val="3"/>
          <w:numId w:val="1"/>
        </w:numPr>
        <w:rPr/>
      </w:pPr>
      <w:bookmarkStart w:id="370" w:name="__RefHeading___Toc7368451_1051229030"/>
      <w:bookmarkStart w:id="371" w:name="_Toc136"/>
      <w:bookmarkEnd w:id="369"/>
      <w:bookmarkEnd w:id="370"/>
      <w:r>
        <w:rPr>
          <w:rtl w:val="true"/>
        </w:rPr>
        <w:t xml:space="preserve">تذنيب </w:t>
      </w:r>
      <w:r>
        <w:rPr>
          <w:rtl w:val="true"/>
        </w:rPr>
        <w:t xml:space="preserve">: </w:t>
      </w:r>
      <w:r>
        <w:rPr>
          <w:rtl w:val="true"/>
        </w:rPr>
        <w:t>التصرّفات الخروجية مقدّمة للكون في الخارج</w:t>
      </w:r>
      <w:bookmarkEnd w:id="371"/>
    </w:p>
    <w:p>
      <w:pPr>
        <w:pStyle w:val="BookText"/>
        <w:rPr/>
      </w:pPr>
      <w:r>
        <w:rPr>
          <w:rFonts w:ascii="Amiri" w:hAnsi="Amiri" w:eastAsia="Amiri" w:cs="Amiri"/>
          <w:color w:val="111111"/>
          <w:sz w:val="28"/>
          <w:sz w:val="28"/>
          <w:szCs w:val="28"/>
          <w:rtl w:val="true"/>
          <w:lang w:bidi="ar-SA"/>
        </w:rPr>
        <w:t xml:space="preserve">قد قاس بعضهم المقام بمسألة الضدّين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مقدّمية بين التصرّف الخروجي والكون في خارج الدار لأجل التضادّ بين الكونين ، كما لا مقدّمية بين الضدّين من ناحية العدم والوجود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لوضوح الفرق بين المقامين ، فإنّ زمان وجود الضدّين واحد في الخارج ، ويكون بينهما تمانع ، ويكون أحدهما مقارناً لعدم الآخر ، فيقع البحث في مقدّمية أحدهما للآخر وإن كان التحقيق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فلا يكون زمان الكون في خارج الدار ، عينَ زمان التصرّفات الخروجية ، بل التصرّفات مقدّمة للكون في خارج الدار ، وكذا لترك التصرّف ؛ فإنّ الكون في الخارج وترك التصرّف في ملك الغير ، إنّما يتحقّقان بالخطوة الأخيرة التي تقع خارج الدار ، وتكون الخطوات الواقعة في داخلها مقدّمة للخروج وترك التصرّف ، وأين ذاك من مسألة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المال المغصوب إلى مالكه واجب ، والتصرّفات الخروجية مقدّمة له ، فتقع واجبة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الاستيلاء على مال الغير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التصرّف في مال الغير بغير إذنه ؛ فإنّ التصرّف فيه لا يتوقّف على الاستيلاء ، فالداخل في ملك الغير بغير إذنه ، لا يلزم أن يكون غاصباً ومستولياً عليه ، بل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يكون الملك تحت استيلاء صاحبه ، ويتصرّف غيره فيه بغير إذنه ، ولا يخفى أنّ عدم التفريق بين العنوانين صار منشأً للاشتباه في كثيرٍ من الفروع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إلى أنّ وجوب ردّ المال المغصوب ممنوع ، وإنّما يكون الغصب حراماً ، ووجوب الردّ ليس أمراً مستقلاًّ بالجعل والاعتبار ، بل هو أمر منتزع من حرمة الغصب ، كما مرّت نظائره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72" w:name="pg8033_80947"/>
    </w:p>
    <w:p>
      <w:pPr>
        <w:pStyle w:val="Heading3"/>
        <w:numPr>
          <w:ilvl w:val="2"/>
          <w:numId w:val="1"/>
        </w:numPr>
        <w:rPr/>
      </w:pPr>
      <w:bookmarkStart w:id="373" w:name="__RefHeading___Toc7368453_1051229030"/>
      <w:bookmarkStart w:id="374" w:name="_Toc137"/>
      <w:bookmarkEnd w:id="372"/>
      <w:bookmarkEnd w:id="373"/>
      <w:r>
        <w:rPr>
          <w:rtl w:val="true"/>
        </w:rPr>
        <w:t>فصل</w:t>
      </w:r>
      <w:bookmarkEnd w:id="374"/>
    </w:p>
    <w:p>
      <w:pPr>
        <w:pStyle w:val="Heading4"/>
        <w:numPr>
          <w:ilvl w:val="3"/>
          <w:numId w:val="1"/>
        </w:numPr>
        <w:rPr/>
      </w:pPr>
      <w:bookmarkStart w:id="375" w:name="__RefHeading___Toc7368455_1051229030"/>
      <w:bookmarkStart w:id="376" w:name="_Toc138"/>
      <w:bookmarkEnd w:id="375"/>
      <w:r>
        <w:rPr>
          <w:rtl w:val="true"/>
        </w:rPr>
        <w:t>في اقتضاء النهي للفساد</w:t>
      </w:r>
      <w:bookmarkEnd w:id="376"/>
    </w:p>
    <w:p>
      <w:pPr>
        <w:pStyle w:val="BookText"/>
        <w:rPr/>
      </w:pPr>
      <w:r>
        <w:rPr>
          <w:rFonts w:ascii="Amiri" w:hAnsi="Amiri" w:eastAsia="Amiri" w:cs="Amiri"/>
          <w:color w:val="111111"/>
          <w:sz w:val="28"/>
          <w:sz w:val="28"/>
          <w:szCs w:val="28"/>
          <w:rtl w:val="true"/>
          <w:lang w:bidi="ar-SA"/>
        </w:rPr>
        <w:t xml:space="preserve">هل النهي المتعلّق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بالمعنى الأخصّ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المتعلّق بالمعاملة ، يقتضي الفساد ، أم لا ؟</w:t>
      </w:r>
    </w:p>
    <w:p>
      <w:pPr>
        <w:pStyle w:val="BookText"/>
        <w:rPr/>
      </w:pPr>
      <w:r>
        <w:rPr>
          <w:rFonts w:ascii="Amiri" w:hAnsi="Amiri" w:eastAsia="Amiri" w:cs="Amiri"/>
          <w:color w:val="111111"/>
          <w:sz w:val="28"/>
          <w:sz w:val="28"/>
          <w:szCs w:val="28"/>
          <w:rtl w:val="true"/>
          <w:lang w:bidi="ar-SA"/>
        </w:rPr>
        <w:t>وقبل تحقيق المقام لا بدّ من ذكر ما هو دخيل في ماهية الدعوى ، وإن أطال المتأخّرون الكلام في تمهيد مقدّمات غير دخيلة فيها</w:t>
      </w:r>
      <w:r>
        <w:rPr>
          <w:rStyle w:val="FootnoteAnchor"/>
          <w:rtl w:val="true"/>
        </w:rPr>
        <w:footnoteReference w:id="280"/>
      </w:r>
      <w:r>
        <w:rPr>
          <w:rFonts w:ascii="Amiri" w:hAnsi="Amiri" w:eastAsia="Amiri" w:cs="Amiri"/>
          <w:color w:val="111111"/>
          <w:sz w:val="28"/>
          <w:sz w:val="28"/>
          <w:szCs w:val="28"/>
          <w:rtl w:val="true"/>
          <w:lang w:bidi="ar-SA"/>
        </w:rPr>
        <w:t xml:space="preserve">، وليس في الخوض فيها ثمرة معتدّ بها ، كالبحث عن أنّ المسألة من أيِّ علم ؟ أو الفرق بينها وبين اجتماع الأمر والنهي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الدخيل في جوهر النزاع وماهية الدعوى هو تحصيل معنى الصحّة والفساد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368457_1051229030"/>
      <w:bookmarkStart w:id="378" w:name="_Toc139"/>
      <w:bookmarkEnd w:id="377"/>
      <w:r>
        <w:rPr>
          <w:rtl w:val="true"/>
        </w:rPr>
        <w:t>في بيان معنى الصحّة والفساد</w:t>
      </w:r>
      <w:bookmarkEnd w:id="3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مطلقاً ، وفي المعاملات ، بل في الاُمور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ومفهومٍ فارد ، وهما معنيان إضافيان ، يتّصف بهما </w:t>
      </w:r>
    </w:p>
    <w:p>
      <w:pPr>
        <w:pStyle w:val="BookText"/>
        <w:rPr/>
      </w:pPr>
      <w:r>
        <w:rPr>
          <w:rFonts w:ascii="Amiri" w:hAnsi="Amiri" w:eastAsia="Amiri" w:cs="Amiri"/>
          <w:color w:val="111111"/>
          <w:sz w:val="28"/>
          <w:sz w:val="28"/>
          <w:szCs w:val="28"/>
          <w:rtl w:val="true"/>
          <w:lang w:bidi="ar-SA"/>
        </w:rPr>
        <w:t xml:space="preserve">الوجود الخارجي باعتبار نسبته إلى المفهوم المتوقّع وجوده به ، وأمّا نفس المفهوم من حيث هو فلا يتّصف بهما ، كما أنّ الموجود من حيث هو لا يتّصف بهما ، وإنّما يتّصف الموجود لأجل انطباق المفهوم المتوقّع وجوده عليه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موجودٍ يتوقّع لدى تحقّقه انطباق المفهوم والعنوان الذي له آثار عليه ، يكون صحيحاً إذا تحقّق المفهوم به وانطبق عليه ، ولا محالة تترتّب عليه الآثار المتوقّعة من هذا العنوان ، وفاسداً إذا لم ينطبق عليه ؛ لأجل فقدان ما يعتبر فيه من جزءٍ أو شرطٍ أو عدم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من حيث مرتبة ذاتها وماهيتها لا تتّصف بالفساد ، بل هي ليست إلاّ هي ؛ فإنّ الماهية من حيث هي ليست إلاّ هي ، كما أنّ ما وجد في الخارج من التكبيرة والقراءة والركوع والسجود من حيث هي وجودات لا تتّصف به ، بل المتّصف بالصحّة والفساد هو هذا الموجود المركّب ؛ باعتبار ملاحظتها مع مفهوم الصلاة المتوقّع وجودها به ، فإذا انطبق عليه عنوان الصلاة يتّصف بالصحّة ويترتّب عليه آثارها ، وذلك لا يكون إلاّ بعد تحقّق الموجود الخارجي بجميع ما يعتبر في ماهية الصلاة وجوداً وعدماً ، وإذا لم ينطبق عليه لنقصانٍ فيه يتّصف بالفساد ، وإذا انطبق عليه الصلاة يكون لا محالة مسقطاً للقضاء والإعادة ، وموافقاً للأمر والشريعة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وقع في كلمات القوم من الاُصوليين والمتكلّمين</w:t>
      </w:r>
      <w:r>
        <w:rPr>
          <w:rStyle w:val="FootnoteAnchor"/>
          <w:rtl w:val="true"/>
        </w:rPr>
        <w:footnoteReference w:id="281"/>
      </w:r>
      <w:r>
        <w:rPr>
          <w:rFonts w:ascii="Amiri" w:hAnsi="Amiri" w:eastAsia="Amiri" w:cs="Amiri"/>
          <w:color w:val="111111"/>
          <w:sz w:val="28"/>
          <w:sz w:val="28"/>
          <w:szCs w:val="28"/>
          <w:rtl w:val="true"/>
          <w:lang w:bidi="ar-SA"/>
        </w:rPr>
        <w:t xml:space="preserve">تعريفات باللوازم ، لا تحصيل معنى الصحّة والفساد </w:t>
      </w:r>
      <w:r>
        <w:rPr>
          <w:rFonts w:eastAsia="Amiri" w:cs="Amiri" w:ascii="Amiri" w:hAnsi="Amiri"/>
          <w:color w:val="111111"/>
          <w:sz w:val="28"/>
          <w:szCs w:val="28"/>
          <w:rtl w:val="true"/>
          <w:lang w:bidi="ar-SA"/>
        </w:rPr>
        <w:t xml:space="preserve">. </w:t>
      </w:r>
      <w:bookmarkStart w:id="379" w:name="pg8033_80951"/>
    </w:p>
    <w:p>
      <w:pPr>
        <w:pStyle w:val="BookText"/>
        <w:rPr/>
      </w:pPr>
      <w:bookmarkEnd w:id="379"/>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تفسير الصحيح بالتامّ ، والفاسد بالناقص ؛ بالمعنى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هو ميزان الصحّة والفساد في العبادات والمعاملات، فالغسل الصحيح ما يكون مصداقاً لذلك العنوان ، فيترتّب عليه أثره ، وهو الطهارة ، والمعاملة الصحيحة ما ينطبق عليها العنوان الكذائي ، فيترتّب عليها أثرها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مفهومي الصحّة والفساد تقابلاً شبيهاً بتقابل العدم والملكة ؛ لأجل كون الموجود الفاسد غير صحيح متوقّعاً منه الصحّة ، ولأجل هذا التوقّع يشبه بتقابلهما لأنفسهما ؛ فإنّ الحقيقي منهما ما يكون في العدمي شأنية الوجود ، كالكوسجية والالتحاء ، والتوقّع شبيه الشأنية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7368459_1051229030"/>
      <w:bookmarkStart w:id="381" w:name="_Toc140"/>
      <w:bookmarkEnd w:id="380"/>
      <w:r>
        <w:rPr>
          <w:rtl w:val="true"/>
        </w:rPr>
        <w:t xml:space="preserve">تنبيه </w:t>
      </w:r>
      <w:r>
        <w:rPr>
          <w:rtl w:val="true"/>
        </w:rPr>
        <w:t xml:space="preserve">: </w:t>
      </w:r>
      <w:r>
        <w:rPr>
          <w:rtl w:val="true"/>
        </w:rPr>
        <w:t>الميزان في الاتّصاف بالصحّة والفساد</w:t>
      </w:r>
      <w:bookmarkEnd w:id="381"/>
    </w:p>
    <w:p>
      <w:pPr>
        <w:pStyle w:val="BookText"/>
        <w:rPr/>
      </w:pPr>
      <w:r>
        <w:rPr>
          <w:rFonts w:ascii="Amiri" w:hAnsi="Amiri" w:eastAsia="Amiri" w:cs="Amiri"/>
          <w:color w:val="111111"/>
          <w:sz w:val="28"/>
          <w:sz w:val="28"/>
          <w:szCs w:val="28"/>
          <w:rtl w:val="true"/>
          <w:lang w:bidi="ar-SA"/>
        </w:rPr>
        <w:t xml:space="preserve">ليس كلّ عنوان يوجد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يترتّب عليه أثر وقد 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بالصحّة والفساد ؛ كما أنّ الملاقي للنجس قد يترتّب عليه أثر وهو النجاسة ، وقد لا يترتّب كماء الاستنجاء ، لكن لا يقال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 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فاسد ، وأنّ القتل قد يترتّب عليه أثر وهو القِصاص ، وقد لا يترتّب كقتل الأب ابنه ، ولا يتّصف بالصحّة والفساد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الميزان في الاتّصاف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يوجده العقلاء بما هم عقلاء أو المتشرّعة بما هم كذلك ؛ بترقّب حصول أثر أو آثار منه ، ويترتّب عليه ذاك الأثر تارة ، ولا يترتّب عليه اُخرى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أو فاسد ، كالمعاملات ؛ فإنّ العقلاء إنّما يقدمون على إيجادها لأجل ترتّب الأثر عليها ، فإذا وجدت في </w:t>
      </w:r>
      <w:bookmarkStart w:id="382" w:name="pg8033_80953"/>
    </w:p>
    <w:p>
      <w:pPr>
        <w:pStyle w:val="BookText"/>
        <w:rPr/>
      </w:pPr>
      <w:bookmarkEnd w:id="382"/>
      <w:r>
        <w:rPr>
          <w:rFonts w:ascii="Amiri" w:hAnsi="Amiri" w:eastAsia="Amiri" w:cs="Amiri"/>
          <w:color w:val="111111"/>
          <w:sz w:val="28"/>
          <w:sz w:val="28"/>
          <w:szCs w:val="28"/>
          <w:rtl w:val="true"/>
          <w:lang w:bidi="ar-SA"/>
        </w:rPr>
        <w:t xml:space="preserve">الخارج بحيث تكون مناشئ لتلك الآثار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صحيحة ، وإلاّ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فاسدة ، وكالعبادات ، فإنّ المكلّفين يأتون بها لأجل ترقّب ترتّب الآثار عليها ، فإذا وجدت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صحيحة ، وإلاّ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فاسدة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368461_1051229030"/>
      <w:bookmarkStart w:id="384" w:name="_Toc141"/>
      <w:bookmarkEnd w:id="383"/>
      <w:r>
        <w:rPr>
          <w:rtl w:val="true"/>
        </w:rPr>
        <w:t>بيان مسلكين في إثبات دلالة النهي على الفساد</w:t>
      </w:r>
      <w:bookmarkEnd w:id="384"/>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للقوم مسلكين في إثبات دلالة النهي على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 النواهي المتعلّقة بالعبادات والمعاملات في الإرشاد إلى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مطلوبة لنفسها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مطلوبة لا لنفسها ، بل لآثار مترتّبة عليها ، وتكون نفس تلك العناوين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تلك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الموجِد لتلك العناوين يعلم كيفية إيجادها ؛ بحيث يترتّب عليها الآثار ، وقد لا يعلم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إن رجع إلى العالم بكيفية ترتّب الآثار عليها ، فأمر بإتيانها بكيفية خاصّة ، أو نهى عنه كذلك ، يكون أمره ظاهراً في أنّ الكيفية الكذائية دخيلة في حصول هذا العنوان وترتّب الأثر عليه ، ونهيه ظاهراً في أنّ الكيفية الكذائية مانعة عن حصول العنوان الكذائي بحيث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لأنّ الإتيان بتلك العناوين ممّا كان لترقّب الآثار ، لا لكونها اُموراً مطلوبة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العالم بالواقعيات بالصلاة مع الطهور أو إلى القبلة ، أو نهى عن لبس الحرير فيها ، يكون ذلك ظاهراً في الإرشاد إلى أنّ تلك الحقيقة المترقّبة منها </w:t>
      </w:r>
      <w:bookmarkStart w:id="385" w:name="pg8033_80955"/>
    </w:p>
    <w:p>
      <w:pPr>
        <w:pStyle w:val="BookText"/>
        <w:rPr/>
      </w:pPr>
      <w:bookmarkEnd w:id="385"/>
      <w:r>
        <w:rPr>
          <w:rFonts w:ascii="Amiri" w:hAnsi="Amiri" w:eastAsia="Amiri" w:cs="Amiri"/>
          <w:color w:val="111111"/>
          <w:sz w:val="28"/>
          <w:sz w:val="28"/>
          <w:szCs w:val="28"/>
          <w:rtl w:val="true"/>
          <w:lang w:bidi="ar-SA"/>
        </w:rPr>
        <w:t xml:space="preserve">الآثار ، لا تترتّب عليها الآثار إلاّ مع الطهور وإلى القبلة ، وذاك إلى عدم ترتّب الآثار المرغوبة عليها مع لبس الحرير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العبادات في ذلك ، المعاملات ؛ فإنّها آلات صِرفة لحصول مسبّباتها ، ولا تكون منظوراً إليها لنفسها أصلاً ، فالأوامر والنواهي المتعلّقة بها من العالم بكيفية ترتّب الآثار عليها ، تكون ظاهرة في الإرشاد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منافاة المبغوضية مع الصحّة ، وكون النهي لدلالته على التحريم منافٍ لها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المسلكين مختلفان ؛ من جهة أنّ الأوّل يثبت المطلوب بواسطة الدلالة اللفظية ، فلا بدّ وأن يكون في البين نهي لفظي 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يثبت من جهة الدلالة العقلية ؛ سواء ثبتت الحرمة بدليل لفظي أو 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يفترقان من حيث إنّ ظهور النهي في الإرشاد يعمّ العبادات والمعاملات مطلقاً ، بخلاف منافاة الحرمة مع الصحّة عقلاً ، فإنّها تختصّ بالعبادات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يشترط فيها 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غيرها فلا منافاة بينهما ، إلاّ على بعض التقريرات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المسلكان مختلفان من حيث الموضوع ، والدالّ ، وكيفية الدلالة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7368463_1051229030"/>
      <w:bookmarkStart w:id="387" w:name="_Toc142"/>
      <w:bookmarkEnd w:id="386"/>
      <w:r>
        <w:rPr>
          <w:rtl w:val="true"/>
        </w:rPr>
        <w:t xml:space="preserve">تتميم </w:t>
      </w:r>
      <w:r>
        <w:rPr>
          <w:rtl w:val="true"/>
        </w:rPr>
        <w:t xml:space="preserve">: </w:t>
      </w:r>
      <w:r>
        <w:rPr>
          <w:rtl w:val="true"/>
        </w:rPr>
        <w:t>أقسام النهي المتعلّق بالمعاملات</w:t>
      </w:r>
      <w:bookmarkEnd w:id="3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قسّم العلاّمة الأنصاري قدّس سرّه النهي المتعلّق بالمعاملات إلى أقسام ، وزاد المحقّق الخراساني رحمه الله علیه قسماً آخر، وأمّا في العبادات فلم يذكرا إلاّ قسماً واحداً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ومحصّل ما أفاد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النهي الدالّ على الحرمة المتعلّق بالمعاملات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بنفس المعاملة بما هي فعل 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صدور الإيجاب والقبول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وقت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بمضمونها بما هو فعل بالتسبيب ، كبيع المصحف من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النهي من جهة التسبّب بها إلى الأثر وإن لم يكن الأثر والمؤثّر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حرامين ، ويمكن أن يكون الظِّهار من هذا القبيل ؛ فإنّ نفس التلفّظ بصيغة الظِّهار ليس بحرامٍ ، وفراق الزوجة أيضاً ليس بمبغوضٍ ، بل التوصّل إلى الفراق بهذه الطريقة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النهي بالوجوه الثلاثة لا يدلّ على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الحرمة متعلّقة بما لا يكاد يحرم مع صحّة المعاملة ، مثل النهي عن أكل الثمن والمثمن في بيعٍ أو بيع شيء ، فإنّ حرمته تدلّ على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إرشاداً إلى الفساد ، كالأمر الإرشادي من دون الدلالة على الحرمة والوجوب ، ولا يبعد ظهور النواهي المتعلّقة بها فيه ، لكن في المعاملات بمعنى العقود والإيقاعات ، لا بالمعنى الأعمّ</w:t>
      </w:r>
      <w:r>
        <w:rPr>
          <w:rStyle w:val="FootnoteAnchor"/>
          <w:rtl w:val="true"/>
        </w:rPr>
        <w:footnoteReference w:id="2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نفس المعاملة بما هي فعل 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هي ألفاظ صادرة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 فإنّها بهذا المعنى ليست لها نفسية ، ولا تتعلّق بها المحبوبية والمبغوضية عند العقلاء ، ولا أظنّ أن يكون في </w:t>
      </w:r>
    </w:p>
    <w:p>
      <w:pPr>
        <w:pStyle w:val="BookText"/>
        <w:rPr/>
      </w:pPr>
      <w:r>
        <w:rPr>
          <w:rFonts w:ascii="Amiri" w:hAnsi="Amiri" w:eastAsia="Amiri" w:cs="Amiri"/>
          <w:color w:val="111111"/>
          <w:sz w:val="28"/>
          <w:sz w:val="28"/>
          <w:szCs w:val="28"/>
          <w:rtl w:val="true"/>
          <w:lang w:bidi="ar-SA"/>
        </w:rPr>
        <w:t xml:space="preserve">الشريعة المطهّرة نهي متعلّق بها من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عن البيع وقت النداء ليس عن التلفّظ به ، بل هو نهي عن الاشتغال بغير ذكر اللّه ؛ إرشاداً إلى حضور الجمعة ، ولمّا كان اشتغال الناس نوعاً بالمعاملات والنقل والانتقالات ، تعلّق النهي بما هو مانع نوعي عن حضورهم إلى الجمعة ، ومعلوم أنّ المعاملات المتعارفة بينهم إنّما هي حقائقها لا ألفاظها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النهي عن البيع وقت النداء لم يكن تحريمياً ، بل هو نهي غيري ، وإرشاد إلى الاشتغال بذكر اللّه ، وعدم الاشتغال بغيره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النهي على الفساد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لإمكان دعوى دلالته عليه فيه ؛ لأنّ التسبّب بمعاملة إلى حصول أثرها إذا كان مبغوضاً ، لا يمكن أن تكون المعاملة ممضاة من الشارع ، وعدم إمضائها يدلّ على عدم ترتّب الأثر عليها عنده ، وهذا معنى الفساد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من أنّ النهي يكون ظاهراً في الإرشاد إلى الفساد في خصوص العقود والإيقاعات ، لا المعاملات بالمعنى الأعمّ ، مخدوش ؛ لأنّ الإرشاد إلى الفساد ، يعمّ المعاملات بالمعنى الأعمّ بالتقريب الذي ذكرنا في المعاملات بالمعنى الأخصّ ؛ فإنّ النهي إذا تعلّق بغسل الثوب بنحو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كغسله بالماء المضاف من عالم بكيفية ترتّب الأثر المتوقّع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الإرشاد إلى عدم حصوله معه ، كما ذكرنا سابقاً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88" w:name="pg8033_80961"/>
    </w:p>
    <w:p>
      <w:pPr>
        <w:pStyle w:val="Heading4"/>
        <w:numPr>
          <w:ilvl w:val="3"/>
          <w:numId w:val="1"/>
        </w:numPr>
        <w:rPr/>
      </w:pPr>
      <w:bookmarkStart w:id="389" w:name="__RefHeading___Toc7368465_1051229030"/>
      <w:bookmarkStart w:id="390" w:name="_Toc143"/>
      <w:bookmarkEnd w:id="388"/>
      <w:bookmarkEnd w:id="389"/>
      <w:r>
        <w:rPr>
          <w:rtl w:val="true"/>
        </w:rPr>
        <w:t xml:space="preserve">تذنيب </w:t>
      </w:r>
      <w:r>
        <w:rPr>
          <w:rtl w:val="true"/>
        </w:rPr>
        <w:t xml:space="preserve">: </w:t>
      </w:r>
      <w:r>
        <w:rPr>
          <w:rtl w:val="true"/>
        </w:rPr>
        <w:t>الاستدلال على الفساد بفهم العلماء</w:t>
      </w:r>
      <w:bookmarkEnd w:id="390"/>
    </w:p>
    <w:p>
      <w:pPr>
        <w:pStyle w:val="BookText"/>
        <w:rPr/>
      </w:pPr>
      <w:r>
        <w:rPr>
          <w:rFonts w:ascii="Amiri" w:hAnsi="Amiri" w:eastAsia="Amiri" w:cs="Amiri"/>
          <w:color w:val="111111"/>
          <w:sz w:val="28"/>
          <w:sz w:val="28"/>
          <w:szCs w:val="28"/>
          <w:rtl w:val="true"/>
          <w:lang w:bidi="ar-SA"/>
        </w:rPr>
        <w:t>قد يستدلّ على دلالة النهي على الفساد بأنّ علماء الأعصار لا يزالون يتمسّكون بالنهي على الفساد ، وذلك يكشف عن كون النهي يدلّ عليه شرعاً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تمسّكهم بذلك عليه ، كما لا إشكال في أنّ المفهوم من النواهي أيضاً ذلك ، كما لا إشكال في عدم الوضع الشرعي فيها ، وأنّ تمسّك العلماء بها للفساد إنّما هو بما هم أهل اللسان لا بما هم أهل الشريعة ، كلّ ذلك واضح لا ينبغي الإشكال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سرّ استفادة الفساد منها ، ويمكن أن يكون السرّ فيها اُموراً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آنفاً</w:t>
      </w:r>
      <w:r>
        <w:rPr>
          <w:rStyle w:val="FootnoteAnchor"/>
          <w:rtl w:val="true"/>
        </w:rPr>
        <w:footnoteReference w:id="286"/>
      </w:r>
      <w:r>
        <w:rPr>
          <w:rFonts w:ascii="Amiri" w:hAnsi="Amiri" w:eastAsia="Amiri" w:cs="Amiri"/>
          <w:color w:val="111111"/>
          <w:sz w:val="28"/>
          <w:sz w:val="28"/>
          <w:szCs w:val="28"/>
          <w:rtl w:val="true"/>
          <w:lang w:bidi="ar-SA"/>
        </w:rPr>
        <w:t xml:space="preserve">من أنّ المعاملات لمّا كانت آلات إلى حصول آثار متوقّعة عند العقلاء ، فإذا تعلّق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بترتّب الآثار وعدم ترتّبها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بمعاملة أو معاملة شيء أو كيفية منها ، يفهم منه عرفاً أنّ النهي لم يكن عن الآلة بما هي أمر مستقلّ ؛ إذ لا استقلال لها في نظر العقلاء ، وليست منظوراً إليها ، بل إنّما تعلّق بها بما أ نّها منشأ للآثار ، ومتوقّع منها آثار مخصوصة ، فإذن يكون النهي إرشاداً إلى عدم حصول الأثر المتوقّع منها ، وهو مساوق للفساد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دالّ على مبغوضية حصول المسبّب أو التسبّب ، ومع مبغوضيتهما لا يمكن إمضاء المعاملة ، وعدم الإمضاء مساوق للفساد </w:t>
      </w:r>
      <w:r>
        <w:rPr>
          <w:rFonts w:eastAsia="Amiri" w:cs="Amiri" w:ascii="Amiri" w:hAnsi="Amiri"/>
          <w:color w:val="111111"/>
          <w:sz w:val="28"/>
          <w:szCs w:val="28"/>
          <w:rtl w:val="true"/>
          <w:lang w:bidi="ar-SA"/>
        </w:rPr>
        <w:t xml:space="preserve">. </w:t>
      </w:r>
      <w:bookmarkStart w:id="391" w:name="pg8033_80963"/>
    </w:p>
    <w:p>
      <w:pPr>
        <w:pStyle w:val="BookText"/>
        <w:rPr/>
      </w:pPr>
      <w:bookmarkEnd w:id="39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ألفاظ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منظوراً إليها عند العقلاء وليست لها شأنية إلاّ الآلية الصرفة لتحقّق مسبّباتها كما أنّ حصول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نّها اُمور اعتبارية عند العقلاء ، كالملكية والزوجية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ليست لها مطلوبية عندهم ، وإنّما غرضهم منها حصول الآثار وترتّبها عليها ؛ من أكل الثمن والمثمن ، والسلطنة عليهما ، والتصرّف فيهما بما هو موافق لأغراضهم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فالنواهي إذا تعلّقت بالمعاملات ، لا يكون تعلّقها بالآلة بما أ نّها لفظ معتمد على مخرج الفم ، ولا بالمعنى الاعتباري الصرف بما أ نّه أمر اعتباري عند العقلاء ؛ ضرورة عدم مفسدة ومصلحة في هذه الاُمور الاعتبارية ، وإنّما تنصرف النواهي إلى ترتيب الآثار التي تتوقّع منها ، فإذا نهى عن البيع الربوي ، لا يكون النهي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عن حصول الملكية الاعتبارية بما أ نّها أمر اعتباري عند العقلاء ، بل إنّما يكون النهي عن ترتيب الآثار المطلوبة من المعاملات ؛ من أكل الثمن والمثمن ، والتصرّف فيهما كتصرّف المُلاّك في أملاكهم ، فإذن تكون النواهي دائماً متعلّقة بالمعاملات على نحوٍ يترتّب عليها الآثار ، ولا إشكال في أنّ المعاملة إذا كانت صحيحة لا معنى لتعلّق النهي بآثارها ، فالنهي عنها ملازم للفساد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7368467_1051229030"/>
      <w:bookmarkStart w:id="393" w:name="_Toc144"/>
      <w:bookmarkEnd w:id="392"/>
      <w:r>
        <w:rPr>
          <w:rtl w:val="true"/>
        </w:rPr>
        <w:t xml:space="preserve">تتمّة </w:t>
      </w:r>
      <w:r>
        <w:rPr>
          <w:rtl w:val="true"/>
        </w:rPr>
        <w:t xml:space="preserve">: </w:t>
      </w:r>
      <w:r>
        <w:rPr>
          <w:rtl w:val="true"/>
        </w:rPr>
        <w:t>في الاستدلال بالروايات</w:t>
      </w:r>
      <w:bookmarkEnd w:id="393"/>
    </w:p>
    <w:p>
      <w:pPr>
        <w:pStyle w:val="BookText"/>
        <w:rPr/>
      </w:pPr>
      <w:r>
        <w:rPr>
          <w:rFonts w:ascii="Amiri" w:hAnsi="Amiri" w:eastAsia="Amiri" w:cs="Amiri"/>
          <w:color w:val="111111"/>
          <w:sz w:val="28"/>
          <w:sz w:val="28"/>
          <w:szCs w:val="28"/>
          <w:rtl w:val="true"/>
          <w:lang w:bidi="ar-SA"/>
        </w:rPr>
        <w:t xml:space="preserve">ربّما يستدلّ على الفساد بروايات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زرارة ؛ حيث دلّ على أنّ النكاح لو كان ممّا </w:t>
      </w:r>
      <w:bookmarkStart w:id="394" w:name="pg8033_80965"/>
    </w:p>
    <w:p>
      <w:pPr>
        <w:pStyle w:val="BookText"/>
        <w:rPr/>
      </w:pPr>
      <w:bookmarkEnd w:id="394"/>
      <w:r>
        <w:rPr>
          <w:rFonts w:ascii="Amiri" w:hAnsi="Amiri" w:eastAsia="Amiri" w:cs="Amiri"/>
          <w:color w:val="111111"/>
          <w:sz w:val="28"/>
          <w:sz w:val="28"/>
          <w:szCs w:val="28"/>
          <w:rtl w:val="true"/>
          <w:lang w:bidi="ar-SA"/>
        </w:rPr>
        <w:t>حرّمه اللّه ، وكان فيه عصيان اللّه ، كان فاسداً</w:t>
      </w:r>
      <w:r>
        <w:rPr>
          <w:rStyle w:val="FootnoteAnchor"/>
          <w:rtl w:val="true"/>
        </w:rPr>
        <w:footnoteReference w:id="287"/>
      </w:r>
      <w:r>
        <w:rPr>
          <w:rFonts w:ascii="Amiri" w:hAnsi="Amiri" w:eastAsia="Amiri" w:cs="Amiri"/>
          <w:color w:val="111111"/>
          <w:sz w:val="28"/>
          <w:sz w:val="28"/>
          <w:szCs w:val="28"/>
          <w:rtl w:val="true"/>
          <w:lang w:bidi="ar-SA"/>
        </w:rPr>
        <w:t>، فيدلّ على أنّ المعاملة المحرّمة فاسدة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لكن الظاهر أنّ المراد بالروايات أنّ العبد وإن كان عاصياً بالنسبة إلى السيّد ، ويكون عصيانه للسيّد عصياناً للّه تعالى ؛ من جهة أنّ اللّه أمره أن يطيع سيّده، ولا يخرج عن طاعته، لكنّه لم يأت بالنكاح الذي يكون بعنوانه من الأنكحة المحرّمة ، كنكاح المحارم المذكورة في الكتاب الإلهي</w:t>
      </w:r>
      <w:r>
        <w:rPr>
          <w:rStyle w:val="FootnoteAnchor"/>
          <w:rtl w:val="true"/>
        </w:rPr>
        <w:footnoteReference w:id="289"/>
      </w:r>
      <w:r>
        <w:rPr>
          <w:rFonts w:ascii="Amiri" w:hAnsi="Amiri" w:eastAsia="Amiri" w:cs="Amiri"/>
          <w:color w:val="111111"/>
          <w:sz w:val="28"/>
          <w:sz w:val="28"/>
          <w:szCs w:val="28"/>
          <w:rtl w:val="true"/>
          <w:lang w:bidi="ar-SA"/>
        </w:rPr>
        <w:t xml:space="preserve">كما تشير إلى ما ذكرنا رواية موسى بن بكير عن زرارة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 ، وليس بعاصٍ للّه ، إنّما عصى سيّده ، ولم يعصِ اللّه ؛ إنّ ذلك ليس كإتيان ما حرّم اللّه عليه ؛ من نكاحٍ في عدّة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التمثيل بالنكاح في العدّة ، يدلّ على أنّ علّة عدم الفساد إنّما هو عدم كونه من العناوين المحرّمة ذاتاً ، كنكاح الاُمّ ومثله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7368469_1051229030"/>
      <w:bookmarkStart w:id="396" w:name="_Toc145"/>
      <w:bookmarkEnd w:id="395"/>
      <w:r>
        <w:rPr>
          <w:rtl w:val="true"/>
        </w:rPr>
        <w:t xml:space="preserve">ختام </w:t>
      </w:r>
      <w:r>
        <w:rPr>
          <w:rtl w:val="true"/>
        </w:rPr>
        <w:t xml:space="preserve">: </w:t>
      </w:r>
      <w:r>
        <w:rPr>
          <w:rtl w:val="true"/>
        </w:rPr>
        <w:t>في دعوى دلالة النهي على الصحّة</w:t>
      </w:r>
      <w:bookmarkEnd w:id="396"/>
    </w:p>
    <w:p>
      <w:pPr>
        <w:pStyle w:val="BookText"/>
        <w:rPr/>
      </w:pPr>
      <w:r>
        <w:rPr>
          <w:rFonts w:ascii="Amiri" w:hAnsi="Amiri" w:eastAsia="Amiri" w:cs="Amiri"/>
          <w:color w:val="111111"/>
          <w:sz w:val="28"/>
          <w:sz w:val="28"/>
          <w:szCs w:val="28"/>
          <w:rtl w:val="true"/>
          <w:lang w:bidi="ar-SA"/>
        </w:rPr>
        <w:t>حكي عن أبي حنيفة أنّ النهي يدلّ على الصحّة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من كلّ عنوانٍ عبارة عن التامّ منه ؛ بحيث يكون ما وجد في الخارج ، ويكون متوقّعاً منه أن يكون مصداق ذلك </w:t>
      </w:r>
    </w:p>
    <w:p>
      <w:pPr>
        <w:pStyle w:val="BookText"/>
        <w:rPr/>
      </w:pPr>
      <w:r>
        <w:rPr>
          <w:rFonts w:ascii="Amiri" w:hAnsi="Amiri" w:eastAsia="Amiri" w:cs="Amiri"/>
          <w:color w:val="111111"/>
          <w:sz w:val="28"/>
          <w:sz w:val="28"/>
          <w:szCs w:val="28"/>
          <w:rtl w:val="true"/>
          <w:lang w:bidi="ar-SA"/>
        </w:rPr>
        <w:t xml:space="preserve">العنوان ، يكون جامعاً لجميع الخصوصيات المعتبرة في ذلك العنوان ؛ بحيث يصدق عليه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فالصحّة أو الفساد لا يمكن أن يكون وصفاً لذات العنوان ؛ لأنّ كلّ عنوانٍ لا يكون إلاّ نفسه ، فطبيعة الصلاة لا تنقسم إلى الصحيح والفاسد ؛ للزوم انقسام الشيء إلى نفسه وغيره ، بل ما يتّصف بهما إنّما هو الموجود الخارجي الذي يتوقّع منه كونه مصداقاً للعنوان ، فإن كان جامعاً للخصوصيات المعتبرة في العنوان يكون صحيحَ ذلك العنوان ، وإلاّ يكون فاسدَه ، فإذن إذا تعلّق نهي تحريمي بمعاملة أو عبادة ، دلّ النهي على أنّ تحقّق هذا العنوان في الخارج يكون مبغوضاً ، وأنّ المكلّف قادر على إيجاد مصداقه في الخارج بجميع الخصوصيات المعتبرة فيه ؛ لأنّ النهي لا يمكن أن يتعلّق بغير المقدور ، فإذا حرم على الحائض الصلاة أيّام حيضها ، يكون لا محالة إيجاد المصداق الجامع لجميع الخصوصيات مقدوراً لها ، والفرض أنّ الصحّة من كلّ عنوانٍ عبارة عن ذلك ، وهذا معنى دلالة النهي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مغالطة وخلط ؛ فإنّ المقصود من دلالة النهي على الصحّة في العبادات إن كان أنّ عنوان هذا المفهوم يمكن أن يوجد في الخارج ولو لم يتقيّد بقصد التقرّب ، فهذا أمر ممكن ، لكنّه ليس مورداً لبحث الأعلام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أنّ العبادة مع تعلّق النهي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بذاتها وعنوانها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تتحقّق في الخارج مع تعلّق النهي بها ، فهذا أمر غير معقولٍ ؛ لأنّ تعلّق النهي بما يتعلّق به الأمر فعلاً من جهة واحدة محال ، والتقرّب بما يكون منهيّاً عنه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مورداً للنقض والإبرام هو هذا الشقّ ، لا الأوّل </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8033_80971"/>
      <w:bookmarkStart w:id="398" w:name="pg8033_80971"/>
      <w:bookmarkEnd w:id="398"/>
    </w:p>
    <w:p>
      <w:pPr>
        <w:pStyle w:val="Heading2"/>
        <w:numPr>
          <w:ilvl w:val="1"/>
          <w:numId w:val="1"/>
        </w:numPr>
        <w:rPr/>
      </w:pPr>
      <w:bookmarkStart w:id="399" w:name="pg8033_80971"/>
      <w:bookmarkStart w:id="400" w:name="__RefHeading___Toc7368471_1051229030"/>
      <w:bookmarkStart w:id="401" w:name="_Toc146"/>
      <w:bookmarkEnd w:id="399"/>
      <w:bookmarkEnd w:id="400"/>
      <w:r>
        <w:rPr>
          <w:rtl w:val="true"/>
        </w:rPr>
        <w:t>المقصد الثالث</w:t>
      </w:r>
      <w:r>
        <w:rPr>
          <w:rtl w:val="true"/>
        </w:rPr>
        <w:t xml:space="preserve">: </w:t>
      </w:r>
      <w:r>
        <w:rPr>
          <w:rtl w:val="true"/>
        </w:rPr>
        <w:t>في المفاهيم</w:t>
      </w:r>
      <w:bookmarkEnd w:id="40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7368473_1051229030"/>
      <w:bookmarkStart w:id="403" w:name="_Toc147"/>
      <w:bookmarkEnd w:id="402"/>
      <w:r>
        <w:rPr>
          <w:rtl w:val="true"/>
        </w:rPr>
        <w:t>في المفاهيم</w:t>
      </w:r>
      <w:bookmarkEnd w:id="4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8033_80975"/>
      <w:bookmarkStart w:id="405" w:name="pg8033_80975"/>
      <w:bookmarkEnd w:id="405"/>
    </w:p>
    <w:p>
      <w:pPr>
        <w:pStyle w:val="Heading3"/>
        <w:numPr>
          <w:ilvl w:val="2"/>
          <w:numId w:val="1"/>
        </w:numPr>
        <w:rPr/>
      </w:pPr>
      <w:bookmarkStart w:id="406" w:name="pg8033_80975"/>
      <w:bookmarkStart w:id="407" w:name="__RefHeading___Toc7368475_1051229030"/>
      <w:bookmarkStart w:id="408" w:name="_Toc148"/>
      <w:bookmarkEnd w:id="406"/>
      <w:bookmarkEnd w:id="407"/>
      <w:r>
        <w:rPr>
          <w:rtl w:val="true"/>
        </w:rPr>
        <w:t>مقدّمة</w:t>
      </w:r>
      <w:bookmarkEnd w:id="408"/>
    </w:p>
    <w:p>
      <w:pPr>
        <w:pStyle w:val="Heading4"/>
        <w:numPr>
          <w:ilvl w:val="3"/>
          <w:numId w:val="1"/>
        </w:numPr>
        <w:rPr/>
      </w:pPr>
      <w:bookmarkStart w:id="409" w:name="__RefHeading___Toc7368477_1051229030"/>
      <w:bookmarkStart w:id="410" w:name="_Toc149"/>
      <w:bookmarkEnd w:id="409"/>
      <w:r>
        <w:rPr>
          <w:rtl w:val="true"/>
        </w:rPr>
        <w:t>مقدّمة</w:t>
      </w:r>
      <w:bookmarkEnd w:id="410"/>
    </w:p>
    <w:p>
      <w:pPr>
        <w:pStyle w:val="BookText"/>
        <w:rPr/>
      </w:pPr>
      <w:r>
        <w:rPr>
          <w:rFonts w:ascii="Amiri" w:hAnsi="Amiri" w:eastAsia="Amiri" w:cs="Amiri"/>
          <w:color w:val="111111"/>
          <w:sz w:val="28"/>
          <w:sz w:val="28"/>
          <w:szCs w:val="28"/>
          <w:rtl w:val="true"/>
          <w:lang w:bidi="ar-SA"/>
        </w:rPr>
        <w:t>في كيفية الدلالة على المفهوم</w:t>
      </w:r>
    </w:p>
    <w:p>
      <w:pPr>
        <w:pStyle w:val="Heading4"/>
        <w:numPr>
          <w:ilvl w:val="3"/>
          <w:numId w:val="1"/>
        </w:numPr>
        <w:rPr/>
      </w:pPr>
      <w:bookmarkStart w:id="411" w:name="__RefHeading___Toc7368479_1051229030"/>
      <w:bookmarkStart w:id="412" w:name="_Toc150"/>
      <w:bookmarkEnd w:id="411"/>
      <w:r>
        <w:rPr>
          <w:rtl w:val="true"/>
        </w:rPr>
        <w:t>في معنى المفهوم عند القدماء والمتأخّرين</w:t>
      </w:r>
      <w:bookmarkEnd w:id="412"/>
    </w:p>
    <w:p>
      <w:pPr>
        <w:pStyle w:val="BookText"/>
        <w:rPr/>
      </w:pPr>
      <w:r>
        <w:rPr>
          <w:rFonts w:ascii="Amiri" w:hAnsi="Amiri" w:eastAsia="Amiri" w:cs="Amiri"/>
          <w:color w:val="111111"/>
          <w:sz w:val="28"/>
          <w:sz w:val="28"/>
          <w:szCs w:val="28"/>
          <w:rtl w:val="true"/>
          <w:lang w:bidi="ar-SA"/>
        </w:rPr>
        <w:t xml:space="preserve">الظاهر أنّ المفهوم من صفات المدلول بما هو مدلول ؛ بمعنى أنّ دلالة اللفظ قد تكون بحيثية وخصوصية يكون المدلول بهذه الدلالة منطوقاً ، وقد تكون بحيثية وخصوصية يكون المدلول بها مفهوماً ، فهما من صفات المدلول ، لكن بواسطة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النقض والإبرام في تعريفهما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ما دلّ عليه اللفظ في محلّ النطق ، والمفهوم ما دلّ عليه لا في محلّه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العلاّمة الأنصاري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يكون دلالة اللفظ عليه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كمفهوم المخالفة ، أو بمثل الترقّي من الداني إلى العالي كمفهوم الموافقة ،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فهو مفهوم اصطلاحاً وما ليس كذلك لايقال له المفهوم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قدّس سرّه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الخصوصية التي لأجلها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أو منطوق ، غير معلومة ، وما ذكرنا أيضاً إحالة على المجهول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على تمام ما وضع له منطوق ، ودلالته على جزئه أيضاً منطوق على إشكالٍ ؛ فإنّه يمكن أن يكون مفهوماً ؛ لأنّه مدلول بتبع الدلالة على التمام ، ودلالته على الخارج اللازم مفهوم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اصطلاح أهل الميزان</w:t>
      </w:r>
      <w:r>
        <w:rPr>
          <w:rStyle w:val="FootnoteAnchor"/>
          <w:rtl w:val="true"/>
        </w:rPr>
        <w:footnoteReference w:id="296"/>
      </w:r>
      <w:r>
        <w:rPr>
          <w:rFonts w:ascii="Amiri" w:hAnsi="Amiri" w:eastAsia="Amiri" w:cs="Amiri"/>
          <w:color w:val="111111"/>
          <w:sz w:val="28"/>
          <w:sz w:val="28"/>
          <w:szCs w:val="28"/>
          <w:rtl w:val="true"/>
          <w:lang w:bidi="ar-SA"/>
        </w:rPr>
        <w:t>على تقسيم الدلالات بالنسبة إلى المفردات ، فعندهم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المفرد على تمام ما وضع له مطابقة ولو سمع اللفظ من غير شاعرٍ مريد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فهم من اللفظ المفرد ودلّ على تمام الموضوع له هو المدلول المطابقي ، ولا محالة له دلالة على جزئه بنحو دلالة التضمّن ، وإن أشكل بعض الاُصوليين في دلالة 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قد تكون الدلالة على تمام ما وضع له من دون أن تكون على جزئه ؛ لكونه مغفولاً عنه ، نعم ، الدلالة التفصيلية على تمام ما وضع له متضمّنة للدلالة على جزئه ، لكن الدلالة على الجزء مقدّمة على الدلالة على التمام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والدلالة على الخارج اللازم دلالة الالتزام ، وشرطها اللزوم الذهني لا الخارجي ، فقد يكون شيء لازماً لشيءٍ في الذهن ، ومنافياً له في الخارج ، كدلالة الأعمى على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لزومه بيِّناً ، وقد 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بيّناً بالمعنى الأخصّ ، وهو الذي يلزم تصوّره من تصوّر الملزوم ، ويستحيل انفكاكه عنه ذهناً ، وقد يكون بالمعنى الأعمّ ، وهو الذي يلزم من تصوّره وتصوّر ملزومه والنسبة بينهما ، الجزم باللزوم ؛ أي يكون بعد تلك التصوّرات بيّناً غير محتاجٍ إلى تجشّم الاستدلال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البيّن من كلّ قسم ما يقابله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الاُصوليون فيقسّمون الدلالات باعتبار دلالة الكلام ، لا بمعنى أنّ للكلام وضعاً غير وضع المفردات ، ودلالة غير دلالتها ، بل بمعنى أنّ ما 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الخاصّ ، والهيئة على اتّحاد المحمول اللا بشرط مع الموضوع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بدلالة المطابقة ، ولا محالة يدلّ على جزء المعنى ، فيدلّ القيام باعتبار كونه من مقولة الوضع ؛ بمعنى تمام المقولة ، على الهيئة الحاصلة من النسبتين ؛ نسبة الأجزاء بعضها إلى بعض ، ونسبة المجموع إلى الخارج ، فيدلّ على الوضع ؛ بمعنى جزء المقولة ، بدلالة 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على أمرٍ لازم له في الخارج تكون تلك دلالة الالتزام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فالدلالة الالتزامية في اصطلاحهم هي الدلالة على اللازم الذي يمكن الاحتجاج به ؛ فإنّ نظرهم في تقسيم الدلالات إلى ما يحتجّ به على المتكلّم وله ، </w:t>
      </w:r>
    </w:p>
    <w:p>
      <w:pPr>
        <w:pStyle w:val="BookText"/>
        <w:rPr/>
      </w:pPr>
      <w:r>
        <w:rPr>
          <w:rFonts w:ascii="Amiri" w:hAnsi="Amiri" w:eastAsia="Amiri" w:cs="Amiri"/>
          <w:color w:val="111111"/>
          <w:sz w:val="28"/>
          <w:sz w:val="28"/>
          <w:szCs w:val="28"/>
          <w:rtl w:val="true"/>
          <w:lang w:bidi="ar-SA"/>
        </w:rPr>
        <w:t xml:space="preserve">والدلالات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الاحتجاج بها عليه وله ، فإذا قال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الاحتجاج عليه بإخباره بطلوع الشمس ، كذلك يمكن الاحتجاج عليه بإخباره بوجود النهار ، اللازم خارجاً لطلوع الشمس ، ويكون إخباره بوجود النهار بعين إخباره بطلوع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الدلالات الثلاثة دلالات لفظية في محلّ النطق ، وتكون حجّة بلا إشكال ، والقدماء من القوم أيضاً يعدّون هذه الدلالات دلالات لفظية ، ودلالة المفهوم عندهم أمر خارج عنها ، وهي الدلالة لا في محلّ النطق ، وهي نحو دلالة تفهم من اللفظ ، لكن لا يمكن الاحتجاج على المتكلّم بأ نّه نطق بها ، فإذا قال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 نّه إذا لم يتحقّق المجيء لا يجب الإكرام ، لكن لا يجوز أن يحتجّ على المتكلّم بأ 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يتحقّق المجيء لا يجب الإكرام ، وإذا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قيّدتَ كلامك بالمجيء ؟ له أن يعتذر بأعذارٍ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المفهوم خارجة عن الدلالات الثلاث التي هي في محلّ النطق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المتأخّرين لمّا لم يتأمّلوا في كلام القدماء حقّ التأمّل ، وظنّوا أنّ دلالة المفهوم من قبيل دلالة الالتزام ؛ أي ما يكون لازم المعنى خارجاً ، وقعوا في حيصَ بيصَ في توجيه المفاهيم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تدلّ على العلّية المنحصرة</w:t>
      </w:r>
      <w:r>
        <w:rPr>
          <w:rStyle w:val="FootnoteAnchor"/>
          <w:rtl w:val="true"/>
        </w:rPr>
        <w:footnoteReference w:id="297"/>
      </w:r>
      <w:r>
        <w:rPr>
          <w:rFonts w:ascii="Amiri" w:hAnsi="Amiri" w:eastAsia="Amiri" w:cs="Amiri"/>
          <w:color w:val="111111"/>
          <w:sz w:val="28"/>
          <w:sz w:val="28"/>
          <w:szCs w:val="28"/>
          <w:rtl w:val="true"/>
          <w:lang w:bidi="ar-SA"/>
        </w:rPr>
        <w:t>، والوصف المعتمد يشعر بالعلّية</w:t>
      </w:r>
      <w:r>
        <w:rPr>
          <w:rStyle w:val="FootnoteAnchor"/>
          <w:rtl w:val="true"/>
        </w:rPr>
        <w:footnoteReference w:id="298"/>
      </w:r>
      <w:r>
        <w:rPr>
          <w:rFonts w:ascii="IRNazanin" w:hAnsi="IRNazanin" w:eastAsia="IRNazanin"/>
          <w:color w:val="111111"/>
          <w:sz w:val="28"/>
          <w:sz w:val="28"/>
          <w:szCs w:val="28"/>
          <w:rtl w:val="true"/>
          <w:lang w:bidi="fa-IR"/>
        </w:rPr>
        <w:t xml:space="preserve">، وتجاوزوا عن الإشعار إلى </w:t>
      </w:r>
    </w:p>
    <w:p>
      <w:pPr>
        <w:pStyle w:val="BookText"/>
        <w:rPr/>
      </w:pPr>
      <w:r>
        <w:rPr>
          <w:rFonts w:ascii="Amiri" w:hAnsi="Amiri" w:eastAsia="Amiri" w:cs="Amiri"/>
          <w:color w:val="111111"/>
          <w:sz w:val="28"/>
          <w:sz w:val="28"/>
          <w:szCs w:val="28"/>
          <w:rtl w:val="true"/>
          <w:lang w:bidi="ar-SA"/>
        </w:rPr>
        <w:t xml:space="preserve">الدلالة ، وعنها إلى الدلالة المنحصرة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وقعوا في حيصَ بيصَ آخر ؛ حيث نظروا في كلام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الكذائي هل هو حجّة أم لا ؟ مع أنّ الدلالة الالتزامية حجّة بلا إشكال ، فأوّلوا كلامهم بأنّ المقصود أنّ المفهوم ثابت أو لا ؟</w:t>
      </w:r>
    </w:p>
    <w:p>
      <w:pPr>
        <w:pStyle w:val="BookText"/>
        <w:rPr/>
      </w:pPr>
      <w:r>
        <w:rPr>
          <w:rFonts w:ascii="Amiri" w:hAnsi="Amiri" w:eastAsia="Amiri" w:cs="Amiri"/>
          <w:color w:val="111111"/>
          <w:sz w:val="28"/>
          <w:sz w:val="28"/>
          <w:szCs w:val="28"/>
          <w:rtl w:val="true"/>
          <w:lang w:bidi="ar-SA"/>
        </w:rPr>
        <w:t>وإلاّ فمع ثبوته فهو حجّة بلا إشكال ، فالنزاع صغروي ، لا كبروي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للاختلاط الواقع منهم ؛ لأجل قلّة التتبّع في كلام القوم ، وما يظهر للمتأمّل فيه بعد التتبّع أنّ دلالة المفهوم عندهم دلالة اُخرى خارجة عن الدلالات اللفظية ، ومع كون الكلام ذا مفهوم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البحث بينهم في أنّ هذه الدلالة هل هي حجّة ، ويمكن الاستدلال عليها والاحتجاج بها أم لا ؟ فالنزاع كان بينهم كبروياً لا صغروياً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استدلالاتهم للحجّية في المفاهيم ؛ لأنّ مدار احتجاجهم على لزوم لغوية القيد الزائد ، فإذا وجب إكرام زيد مطلقاً يكون إيراد قيد المجيء لغواً ، وإذا وجب التبيّن عن كلام المخبر مطلقاً ، فلماذا التوصيف بالفسق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المتأخّرون فاستدلّوا عليه بدلالة الأدوات على العلّية المنحصرة ، مع أ نّه لا وجه لها أصلاً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مدار استدلال القوم في باب المفاهيم مطلقاً هو إيراد المتكلّم القيد الزائد في الكلام ، وهو يدلّ على أنّ الحكم لمورد القيد ، وعند فقده </w:t>
      </w:r>
    </w:p>
    <w:p>
      <w:pPr>
        <w:pStyle w:val="BookText"/>
        <w:rPr/>
      </w:pPr>
      <w:r>
        <w:rPr>
          <w:rFonts w:ascii="Amiri" w:hAnsi="Amiri" w:eastAsia="Amiri" w:cs="Amiri"/>
          <w:color w:val="111111"/>
          <w:sz w:val="28"/>
          <w:sz w:val="28"/>
          <w:szCs w:val="28"/>
          <w:rtl w:val="true"/>
          <w:lang w:bidi="ar-SA"/>
        </w:rPr>
        <w:t xml:space="preserve">ينتفي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عَلَم الهدى السيّد الشريف المرتضى رحمه الله علیه من ردّ استدلالهم ، بالتمسّك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إلى آخره ، فإنّه يمنع عن قبول الشاهد الواحد حتّى ينضمّ إليه شاهد آخر ، ثمّ علمنا أنّ انضمام امرأتين إلى الشاهد الأوّل ، قائم مقام الرجل الواحد ، ثمّ علمنا أنّ ضمّ اليمين يقوم مقامه أيضاً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فأشكل عليه رحمه الله علیه بوجوه كثيرة</w:t>
      </w:r>
      <w:r>
        <w:rPr>
          <w:rStyle w:val="FootnoteAnchor"/>
          <w:rtl w:val="true"/>
        </w:rPr>
        <w:footnoteReference w:id="302"/>
      </w:r>
      <w:r>
        <w:rPr>
          <w:rFonts w:ascii="Amiri" w:hAnsi="Amiri" w:eastAsia="Amiri" w:cs="Amiri"/>
          <w:color w:val="111111"/>
          <w:sz w:val="28"/>
          <w:sz w:val="28"/>
          <w:szCs w:val="28"/>
          <w:rtl w:val="true"/>
          <w:lang w:bidi="ar-SA"/>
        </w:rPr>
        <w:t xml:space="preserve">،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صدر منه في الردّ على المفهوم لا ينبغي أن يصدر من أصاغر الطلبة ، فضلاً من مثله ؛ فإنّ الآية الشريفة غير مربوطة بباب المفاهيم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بما ذكرنا يظهر وجهه ؛ فإنّ ما يستدلّ به للمفهوم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واحد ، هو مدار الاستدلال عند القدماء ، والوجه الفريد الذي كانوا يعتمدون عليه ؛ وهو أنّ إيراد القيد الزائد لو لم يكن لإفادة المفهوم ، كان لغواً لا يصدر من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أجاب السيّد رحمه الله علیه بما أفاد عن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القيد قد يجيء لا لإفادة المفهوم ، بل لأمرٍ آخر ، كما في الآية الشريفة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المفاهيم إنّما يكون في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الموافقة والمخالفة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 الكلام فيهما إنّما هو في القيود الزائدة في الكلام ، لكن البحث في مفهوم الموافقة في أنّ بعض القيود لا يفهم منه القيدية لدى العرف ، ويكون موضوع الحكم نفس الذات من دون تقيّدها بالقيد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شكّ في صلاته بين الاثنين والثلاث</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فإنّ الموضوع في نظر العرف هو المصلّي الشاكّ من غير دخالة للرجولية فيه ، فالقيود إذا كانت بنظر العرف ملغاة غير دخيلة في الحكم ، وكان الحكم بنظرهم ثابتاً لغير مورد القيد ، كان ذلك من مفهوم الموافقة ؛ سواء كانت نسبة المنطوق إلى المفهوم هي الأولوية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أو لا كالمثال المتقدّم ، والقدماء جعلوا القول بالمفهوم فيما إذا كانت النسبة هي الأولوية ، قولاً بالتفصيل في المسألة ، لا أنّ البحث في المفهوم مختصّ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البحث في المفاهيم أعمّ من المفهوم الموافق والمخالف ، وفي الأوّل أعمّ ممّا يكون بالأولوية أو لا ، والجامع بين المفهومين في البحث هو القيد الزائد ، وإن كان القيد في مفهوم المخالفة على طبق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للاحتراز والقيدية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الموافقة على غير القاعدة أي الإتيان به إنّما هو من جهة كونه أحد الأفراد ، ويكون القيد ملغىً بنظر العرف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الموافقة عند القدماء هو الذي يعبِّر عنه المتأخّرون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تنقيح المناط ؛ فإنّ الثاني أمر عقلي ، والأوّل من المداليل العرفية </w:t>
      </w:r>
      <w:r>
        <w:rPr>
          <w:rFonts w:eastAsia="Amiri" w:cs="Amiri" w:ascii="Amiri" w:hAnsi="Amiri"/>
          <w:color w:val="111111"/>
          <w:sz w:val="28"/>
          <w:szCs w:val="28"/>
          <w:rtl w:val="true"/>
          <w:lang w:bidi="ar-SA"/>
        </w:rPr>
        <w:t xml:space="preserve">. </w:t>
      </w:r>
      <w:bookmarkStart w:id="413" w:name="pg8033_80988"/>
    </w:p>
    <w:p>
      <w:pPr>
        <w:pStyle w:val="Heading4"/>
        <w:numPr>
          <w:ilvl w:val="3"/>
          <w:numId w:val="1"/>
        </w:numPr>
        <w:rPr/>
      </w:pPr>
      <w:bookmarkStart w:id="414" w:name="__RefHeading___Toc7368481_1051229030"/>
      <w:bookmarkStart w:id="415" w:name="_Toc151"/>
      <w:bookmarkEnd w:id="413"/>
      <w:bookmarkEnd w:id="414"/>
      <w:r>
        <w:rPr>
          <w:rtl w:val="true"/>
        </w:rPr>
        <w:t xml:space="preserve">رجع </w:t>
      </w:r>
      <w:r>
        <w:rPr>
          <w:rtl w:val="true"/>
        </w:rPr>
        <w:t xml:space="preserve">: </w:t>
      </w:r>
      <w:r>
        <w:rPr>
          <w:rtl w:val="true"/>
        </w:rPr>
        <w:t>في كيفية دلالة الكلام على المفهوم</w:t>
      </w:r>
      <w:bookmarkEnd w:id="415"/>
    </w:p>
    <w:p>
      <w:pPr>
        <w:pStyle w:val="BookText"/>
        <w:rPr/>
      </w:pPr>
      <w:r>
        <w:rPr>
          <w:rFonts w:ascii="IRNazanin" w:hAnsi="IRNazanin" w:eastAsia="IRNazanin"/>
          <w:color w:val="111111"/>
          <w:sz w:val="28"/>
          <w:sz w:val="28"/>
          <w:szCs w:val="28"/>
          <w:rtl w:val="true"/>
          <w:lang w:bidi="fa-IR"/>
        </w:rPr>
        <w:t>قد أشرنا</w:t>
      </w:r>
      <w:r>
        <w:rPr>
          <w:rStyle w:val="FootnoteAnchor"/>
          <w:rtl w:val="true"/>
        </w:rPr>
        <w:footnoteReference w:id="305"/>
      </w:r>
      <w:r>
        <w:rPr>
          <w:rFonts w:ascii="Amiri" w:hAnsi="Amiri" w:eastAsia="Amiri" w:cs="Amiri"/>
          <w:color w:val="111111"/>
          <w:sz w:val="28"/>
          <w:sz w:val="28"/>
          <w:szCs w:val="28"/>
          <w:rtl w:val="true"/>
          <w:lang w:bidi="ar-SA"/>
        </w:rPr>
        <w:t xml:space="preserve">إلى أنّ المفهوم ليس من المداليل اللفظية ؛ أي المطابقة والتضمّن والالتزام ، بل المداليل المذكورة من المنطوق ولو مع الواسطة وبالتبعية ، فلا بدّ من بيان كيفية دلالة الكلام عليه ، وأنّ المفهوم من أيّة خصوصية من خصوصيات الكلام يستفاد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العقلائي في الكلام الصادر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فعل من أفعاله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أ نّه صدر لأجل فائدة وغرضٍ ، ولم يصدر منه لغواً باطلاً ، وهذا الأصل ليس مختصّاً بالكلام ، بل هو جارٍ في كلّ فعل من أفعاله الاختيارية ، فإذا شككنا في أنّ تكلّمه الكذائي صدر منه لغواً ، أو لأجل غايةٍ وغرضٍ ، حمل على كونه ذا غاية وغرضٍ ، ثمّ لو شككنا في أنّ غرضه فيه هل هو التفهيم أم شيء آخر غيره من الأغراض ؟ يحمل على الأوّل ؛ وذلك أيضاً لأصل عقلائي ؛ فإنّ الكلام آلة للتفهيم ، فاستعماله لأجل غايات نادرة خلاف الأصل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شككنا في أنّ غرضه هو تفهيم المعنى الحقيقي أو غيره ، يحمل على الأوّل ؛ لأصالة الحقيقة التي هي أصل عقلائي آخر ، ولا تصل النوبة إلى أصالة الحقيقة إلاّ بعد الأصلين السابقين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كما في أصل صدور الكلام يجري الاُصول العقلائية ، كذلك في الخصوصيات الزائدة فيه ، فإذا شككنا في قيدٍ في كلامه أ نّه أتى به لغواً أو </w:t>
      </w:r>
    </w:p>
    <w:p>
      <w:pPr>
        <w:pStyle w:val="BookText"/>
        <w:rPr/>
      </w:pPr>
      <w:r>
        <w:rPr>
          <w:rFonts w:ascii="Amiri" w:hAnsi="Amiri" w:eastAsia="Amiri" w:cs="Amiri"/>
          <w:color w:val="111111"/>
          <w:sz w:val="28"/>
          <w:sz w:val="28"/>
          <w:szCs w:val="28"/>
          <w:rtl w:val="true"/>
          <w:lang w:bidi="ar-SA"/>
        </w:rPr>
        <w:t xml:space="preserve">لغرضٍ ، يحمل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شككنا في أ نّه للتفهيم أو لا ، يحمل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العقلائي في القيود الزائدة في الكلام على الحمل على غرض التفهيم ، وما تكون القيود آلة لتفهيمه هو دخالتها في الموضوع ، إن كان الموضوع مقيّداً بها مثلاً ، وهذا ليس من قبيل دلالة اللفظ على المعنى الذي وضع له ، أو على جزئه أو خارجه ، بل هو خارج عنها ، وإنّما هو من قبيل دلالة الفعل الاختياري الصادر من الإنسان على شيءٍ بحسب الأصل العقلائي ، لا الوضع ؛ لكون المتكلّم ممّن صدر منه الكلام لأجل غرضٍ ، لا لمحض اللغوية ، وليس من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دلالة الكلام على كونه بصدد التفهيم ليست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القيد على دخالته في الموضوع أو الحكم بالأصل العقلائي لا بها ، فأداة الشرط والأوصاف المعتمِدة على موصوفها ، لا تكون دلالتها على دخالتها في الموضوع أو الحكم بالوضع ؛ حتّى تكون من سنخ الدلالات ، بل بالأصل العقلائي بما هي أفعال اختيارية ، وبما هي ألفاظ وآلات للتفهيم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يتّضح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القضايا المشروطة قد يكون سوقها لأجل إفادة كون المشروط علّة للجزاء ، وقد يكون لأجل إفادة أنّ الجزاء ثابت للمشروط بهذا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الطبيب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السقمونيا فيسهل الصفراء</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لا ينجّسه شيء</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16" w:name="pg8033_80992"/>
    </w:p>
    <w:p>
      <w:pPr>
        <w:pStyle w:val="BookText"/>
        <w:rPr/>
      </w:pPr>
      <w:bookmarkEnd w:id="416"/>
      <w:r>
        <w:rPr>
          <w:rFonts w:ascii="Amiri" w:hAnsi="Amiri" w:eastAsia="Amiri" w:cs="Amiri"/>
          <w:color w:val="111111"/>
          <w:sz w:val="28"/>
          <w:sz w:val="28"/>
          <w:szCs w:val="28"/>
          <w:rtl w:val="true"/>
          <w:lang w:bidi="ar-SA"/>
        </w:rPr>
        <w:t xml:space="preserve">فإن سيقت لإفادة العلّية فلا مفهوم لها ؛ لأنّ المتكلّم لم يأتِ في كلامه بقيد زائد ، بل أفاد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علّة لإسهال الصفراء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إتيان الشرط لإفادة علّيته للجزاء ، ولا يكون فيه قيد زائد ، لا يكون له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سيقت على النحو الثاني ، يكون لها مفهوم إن تمّ ما ذكر من أنّ القيود الزائدة في الكلام تفيد دخالتها على نحوٍ ينتفي الحكم عند انتفائها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368483_1051229030"/>
      <w:bookmarkStart w:id="418" w:name="_Toc152"/>
      <w:bookmarkEnd w:id="417"/>
      <w:r>
        <w:rPr>
          <w:rtl w:val="true"/>
        </w:rPr>
        <w:t xml:space="preserve">إبانة </w:t>
      </w:r>
      <w:r>
        <w:rPr>
          <w:rtl w:val="true"/>
        </w:rPr>
        <w:t xml:space="preserve">: </w:t>
      </w:r>
      <w:r>
        <w:rPr>
          <w:rtl w:val="true"/>
        </w:rPr>
        <w:t>في أنّ مجرّد التقييد لا يدلّ على المفهوم</w:t>
      </w:r>
      <w:bookmarkEnd w:id="418"/>
    </w:p>
    <w:p>
      <w:pPr>
        <w:pStyle w:val="BookText"/>
        <w:rPr/>
      </w:pPr>
      <w:r>
        <w:rPr>
          <w:rFonts w:ascii="Amiri" w:hAnsi="Amiri" w:eastAsia="Amiri" w:cs="Amiri"/>
          <w:color w:val="111111"/>
          <w:sz w:val="28"/>
          <w:sz w:val="28"/>
          <w:szCs w:val="28"/>
          <w:rtl w:val="true"/>
          <w:lang w:bidi="ar-SA"/>
        </w:rPr>
        <w:t>اعلم أ نّه بعد ما ذكرنا</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مدار حجّية المفهوم عند القدماء في جميع المفاهيم شرطاً أو غيره على وجود القيد ، وأنّ الظاهر من إتيان القيد في الكلام دخالته في الموضوع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يعلم أنّ غاية ما يقتضيه إتيان القيد أنّ الذات المجرّدة عن القيد لا تكون تمام الموضوع للحكم ، ويكون تمام الموضوع له هو المقيّد بما هو مقيّد ، وإلاّ يكون إتيان القيد لغواً مخالفاً للأصل العقلائي ، وأمّا عدم كون الموضوع مع قيدٍ آخر نائباً مناب هذا القيد في تمامية الموضوع للحكم ؛ فلا دلالة للقيد عليه ، ولا يكون مقتضى التقيّد بشيء عدم كون قيدٍ آخر نائباً عنه في الدخالة في الموضوع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 الإمام علیه السلام عن غدير ماء تَلِغ فيه الكلاب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لا ينجّسه شيء</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يدلّ ذلك على أنّ تمام الموضوع لعدم التنجّس ، </w:t>
      </w:r>
    </w:p>
    <w:p>
      <w:pPr>
        <w:pStyle w:val="BookText"/>
        <w:rPr/>
      </w:pPr>
      <w:r>
        <w:rPr>
          <w:rFonts w:ascii="Amiri" w:hAnsi="Amiri" w:eastAsia="Amiri" w:cs="Amiri"/>
          <w:color w:val="111111"/>
          <w:sz w:val="28"/>
          <w:sz w:val="28"/>
          <w:szCs w:val="28"/>
          <w:rtl w:val="true"/>
          <w:lang w:bidi="ar-SA"/>
        </w:rPr>
        <w:t xml:space="preserve">ليس الماء المجرّد عن بلوغ الكرّية ، وإلاّ يكون إتيان القيد لغواً ، وإنّما تمام الموضوع هو ذات الماء مع قيد الكرّية ، لكن لا يدلّ ذلك على أنّ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آخر غير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موضوعاً لعدم التنجّس ؛ حتّى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منافياً ومعارضاً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اُحرز أنّ المتكلّم كان بصدد بيان تمام ما له دخل في الموضوع ، واكتفى بذكر قيدٍ أو قيودٍ ، لاستفيد منه المفهوم ، كما لو سئل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الماء الذي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بضميمة مسبوقيته بالسؤال يكون ظاهراً في المفهوم ، ولكن مع قيام القرينة يكون للّقب أيضاً مفهوم ، كما لو سئل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المائع الذي لا 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المفهوم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الماء ينفعل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احتجاج عَلَم الهدى رحمه الله علیه على عدم المفهوم احتجاج متين في غاية التحقيق ؛ فإنّ مدار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لَغوية القيد الزائد ، فأجاب السيّد عن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القيد لا يقتضي إلاّ كونه دخيلاً في الموضوع ، ولا يكون الموضوع المجرّد عنه تمام الموضوع ، وأمّا عدم نيابة قيدٍ آخر منابه ، فلا يدلّ عليه التقييد ، واستشهد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إلى آخره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419" w:name="pg8033_80996"/>
    </w:p>
    <w:p>
      <w:pPr>
        <w:pStyle w:val="Heading4"/>
        <w:numPr>
          <w:ilvl w:val="3"/>
          <w:numId w:val="1"/>
        </w:numPr>
        <w:rPr/>
      </w:pPr>
      <w:bookmarkStart w:id="420" w:name="__RefHeading___Toc7368485_1051229030"/>
      <w:bookmarkStart w:id="421" w:name="_Toc153"/>
      <w:bookmarkEnd w:id="419"/>
      <w:bookmarkEnd w:id="420"/>
      <w:r>
        <w:rPr>
          <w:rtl w:val="true"/>
        </w:rPr>
        <w:t>حول تعريفي المحقّقين الخراساني والنائيني للمفهوم</w:t>
      </w:r>
      <w:bookmarkEnd w:id="421"/>
    </w:p>
    <w:p>
      <w:pPr>
        <w:pStyle w:val="BookText"/>
        <w:rPr/>
      </w:pPr>
      <w:r>
        <w:rPr>
          <w:rFonts w:ascii="IRNazanin" w:hAnsi="IRNazanin" w:eastAsia="IRNazanin"/>
          <w:color w:val="111111"/>
          <w:sz w:val="28"/>
          <w:sz w:val="28"/>
          <w:szCs w:val="28"/>
          <w:rtl w:val="true"/>
          <w:lang w:bidi="fa-IR"/>
        </w:rPr>
        <w:t>ثمّ إنّ المحقّق الخراساني رحمه الله علیه قد عرّف المفهوم بأ نّه عبارة عن حكم إنشائي أو إخباري تستتبعه خصوصية المعنى الذي اُريد من اللفظ بتلك الخصوصية ولو بقرينة الحكمة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أفاد في مفهوم الشرط</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انحصار العلّية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المعنى الدالّ على أصل 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الخصوصية إمّا أن تكون زائدة على المعنى المراد ؛ بحيث لا تكون مرادة ، ولا اللفظ دالاًّ عليها ، وإمّا أن تكون مرادة من اللفظ ، وتكون من خصوصيات المعنى المراد بما أ نّه 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لعدّ لازم مثل تلك الخصوصية من المفاهيم ؛ فإنّ الخصوصية الملزومة إذا لم تكن مرادة فلا يكون اللازم أيضاً مراداً ، فلا وجه لعدّ المفهوم من المداليل ، وأ نّه حكم غير مذكور ، أو حكم لغير 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دلّت القضيّة الشرطية على صِرف علّية الشرط للجزاء ، لكن عرضت العلّية خصوصية الانحصار من غير أن تكون تلك الخصوصية مرادة ، وكان المفهوم لازماً لتلك الخصوصية الغير المرادة ، فلا وجه لعدّ المفهوم اللازم لغير المراد مدلولاً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الخصوصية جزء المعنى المراد ، ويصير المفهوم لازماً </w:t>
      </w:r>
    </w:p>
    <w:p>
      <w:pPr>
        <w:pStyle w:val="BookText"/>
        <w:rPr/>
      </w:pPr>
      <w:r>
        <w:rPr>
          <w:rFonts w:ascii="Amiri" w:hAnsi="Amiri" w:eastAsia="Amiri" w:cs="Amiri"/>
          <w:color w:val="111111"/>
          <w:sz w:val="28"/>
          <w:sz w:val="28"/>
          <w:szCs w:val="28"/>
          <w:rtl w:val="true"/>
          <w:lang w:bidi="ar-SA"/>
        </w:rPr>
        <w:t xml:space="preserve">للمعنى ، فلا داعي لتعريفه بما ذكر ممّا يخلّ بالمقصود ؛ فإنّ المعنى هو ما اُريد من اللفظ ، فإذا اُريد من اللفظ شيء مع تلك الخصوصية ، يصير الشيء المتخصّص بتلك الخصوصية معنى اللفظ ، لا أنّ المعنى أمر ، والخصوصية أمر آخر ، كما يوهمه التعريف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حكم إنشائي أو إخباري لازم للمعنى المراد من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تصدّى بعض الأعاظم المتأخّر عنه لتعريف المفهوم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هو اللازم البيِّن بالمعنى الأخصّ ، وأمّا اللازم البيِّن بالمعنى الأعمّ فيكون من الدلالات السياقية ، وينقسم إلى دلالة الاقتضاء والتنبيه والإشارة</w:t>
      </w:r>
      <w:r>
        <w:rPr>
          <w:rStyle w:val="FootnoteAnchor"/>
          <w:rtl w:val="true"/>
        </w:rPr>
        <w:footnoteReference w:id="31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ولازمه أن تكون أقسام الدلالات أكثر من دلالة المنطوق والمفهوم ؛ فإنّ دلالة المنطوق بناءً عليه تكون منحصرة بدلالة المطابقة ، ودلالة المفهوم هي دلالة الالتزام ؛ أي الدلالة على اللازم البيِّن بالمعنى الأخصّ ، فدلالة اللفظ على اللازم البيِّن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مَقسماً لدلالة الإشارة واُختيها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خارجة عنهما ، وهنا قسم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على اللازم الغير البيِّن في مقابل اللازم البيِّن بالمعنى الأعمّ ؛ أي ما لا يكون نفس تصوّر اللازم والملزوم والنسبة بينهما كافياً في الجزم باللزوم ، بل يحتاج إلى برهانٍ ، مع أنّ القوم حصروا الدلالات بالدلالة المنطوقية والمفهومية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دلالة المطابقة وشقيقتيها من الدلالات المنطوقية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w:t>
      </w:r>
    </w:p>
    <w:p>
      <w:pPr>
        <w:pStyle w:val="BookText"/>
        <w:rPr/>
      </w:pPr>
      <w:r>
        <w:rPr>
          <w:rFonts w:ascii="Amiri" w:hAnsi="Amiri" w:eastAsia="Amiri" w:cs="Amiri"/>
          <w:color w:val="111111"/>
          <w:sz w:val="28"/>
          <w:sz w:val="28"/>
          <w:szCs w:val="28"/>
          <w:rtl w:val="true"/>
          <w:lang w:bidi="ar-SA"/>
        </w:rPr>
        <w:t xml:space="preserve">الإشارة واُختيها فهي أيضاً من الدلالات المنطوقية ؛ فإنّ المنطوق منقسم إلى الصريح وغير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إلى ما دلّ عليه اللفظ بدلالة اقتضاءٍ وتنبيهٍ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 لأنّ ما يدلّ عليه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مقصودٍ للمتكلّم فهو المدلول عليه بدلالة الإشارة ، كدلالة الآيتين على أقلّ الحمل</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صدق الكلام أو صحّته يتوقّف عليه ؛ فهو المدلول عليه بدلالة الاقتضاء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والنسيان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فإنّهما يدلاّن على مقدّرٍ مصحّحٍ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اقترن بالحكم ما فهم منه العلّية فهو المدلول عليه بدلالة الإيماء والتنبيه كما لو قال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واقعتُ امرأتي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اقتران قوله بقول السائل ممّا يفهم منه علّية المواقعة للكفّارة ، وهذه كلّها دلالات منطوقية عند القوم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معنى المفهوم ، وقد عرفت التحقيق فيه </w:t>
      </w:r>
      <w:r>
        <w:rPr>
          <w:rFonts w:eastAsia="Amiri" w:cs="Amiri" w:ascii="Amiri" w:hAnsi="Amiri"/>
          <w:color w:val="111111"/>
          <w:sz w:val="28"/>
          <w:szCs w:val="28"/>
          <w:rtl w:val="true"/>
          <w:lang w:bidi="ar-SA"/>
        </w:rPr>
        <w:t xml:space="preserve">. </w:t>
      </w:r>
      <w:bookmarkStart w:id="422" w:name="pg8033_81002"/>
    </w:p>
    <w:p>
      <w:pPr>
        <w:pStyle w:val="Heading3"/>
        <w:numPr>
          <w:ilvl w:val="2"/>
          <w:numId w:val="1"/>
        </w:numPr>
        <w:rPr/>
      </w:pPr>
      <w:bookmarkStart w:id="423" w:name="__RefHeading___Toc7368487_1051229030"/>
      <w:bookmarkStart w:id="424" w:name="_Toc154"/>
      <w:bookmarkEnd w:id="422"/>
      <w:bookmarkEnd w:id="423"/>
      <w:r>
        <w:rPr>
          <w:rtl w:val="true"/>
        </w:rPr>
        <w:t>فصل</w:t>
      </w:r>
      <w:bookmarkEnd w:id="424"/>
    </w:p>
    <w:p>
      <w:pPr>
        <w:pStyle w:val="Heading4"/>
        <w:numPr>
          <w:ilvl w:val="3"/>
          <w:numId w:val="1"/>
        </w:numPr>
        <w:rPr/>
      </w:pPr>
      <w:bookmarkStart w:id="425" w:name="__RefHeading___Toc7368489_1051229030"/>
      <w:bookmarkStart w:id="426" w:name="_Toc155"/>
      <w:bookmarkEnd w:id="425"/>
      <w:r>
        <w:rPr>
          <w:rtl w:val="true"/>
        </w:rPr>
        <w:t>في دلالة الجملة الشرطية على المفهوم</w:t>
      </w:r>
      <w:bookmarkEnd w:id="426"/>
    </w:p>
    <w:p>
      <w:pPr>
        <w:pStyle w:val="BookText"/>
        <w:rPr/>
      </w:pPr>
      <w:r>
        <w:rPr>
          <w:rFonts w:ascii="Amiri" w:hAnsi="Amiri" w:eastAsia="Amiri" w:cs="Amiri"/>
          <w:color w:val="111111"/>
          <w:sz w:val="28"/>
          <w:sz w:val="28"/>
          <w:szCs w:val="28"/>
          <w:rtl w:val="true"/>
          <w:lang w:bidi="ar-SA"/>
        </w:rPr>
        <w:t>هل الجملة الشرطية تدلّ على الانتفاء عند الانتفاء ، كما تدلّ على الثبوت عند الثبوت ، أم لا ؟</w:t>
      </w:r>
    </w:p>
    <w:p>
      <w:pPr>
        <w:pStyle w:val="BookText"/>
        <w:rPr/>
      </w:pPr>
      <w:r>
        <w:rPr>
          <w:rFonts w:ascii="Amiri" w:hAnsi="Amiri" w:eastAsia="Amiri" w:cs="Amiri"/>
          <w:color w:val="111111"/>
          <w:sz w:val="28"/>
          <w:sz w:val="28"/>
          <w:szCs w:val="28"/>
          <w:rtl w:val="true"/>
          <w:lang w:bidi="ar-SA"/>
        </w:rPr>
        <w:t xml:space="preserve">أمّا على طريقة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لك بما أشرنا إليه</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يدلّ عليه القيد الزائد هو دخالته في ثبوت الحكم ، أمّا عدم قيام قيدٍ آخر مقامه ، فلا يدلّ عليه إلاّ مع قيام القرينة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طريقة المتأخّرين المتشبّثين بذيل 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المنحصرة ، وأنّ المفهوم من الدلالات الالتزامية المدلول عليها في الكلام بواسطة الدلالة على حصر علّية الشرط للجزاء ، فأحسن ما اُفيد في المقام هو ما أفاده المحقّق الخراساني رحمه الله علیه من تقرير الدلالة على ترتّب الجزاء على الشرط بنحو الترتّب على العلّة المنحصرة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والانصراف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وقضيّة الإطلاق بمقدّمات الحكمة، كدلالة صيغة الأمر على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بإطلاق الشرط على الانحصار ؛ ضرورة أ نّه لو قارنه أو سبقه الآخر لما أثّر وحده ، وقضيّة الإطلاق أ نّه مؤثّر مطلقاً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بإطلاق الشرط ، بتقريب أنّ مقتضاه تعيّنه ، كما أنّ مقتضى إطلاق الأمر التعيين لا التخيير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وجوه خمسة يمكن التمسّك بها لتقريب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أجاب رحمه الله علیه عنها بما يغني عن الإتعاب</w:t>
      </w:r>
      <w:r>
        <w:rPr>
          <w:rStyle w:val="FootnoteAnchor"/>
          <w:rtl w:val="true"/>
        </w:rPr>
        <w:footnoteReference w:id="321"/>
      </w:r>
      <w:r>
        <w:rPr>
          <w:rFonts w:ascii="IRNazanin" w:hAnsi="IRNazanin" w:eastAsia="IRNazanin"/>
          <w:color w:val="111111"/>
          <w:sz w:val="28"/>
          <w:sz w:val="28"/>
          <w:szCs w:val="28"/>
          <w:rtl w:val="true"/>
          <w:lang w:bidi="fa-IR"/>
        </w:rPr>
        <w:t>، وإن أصرّ بعض أعاظم العصر رحمه الله علیه على تتميم الوجه الخامس</w:t>
      </w:r>
      <w:r>
        <w:rPr>
          <w:rStyle w:val="FootnoteAnchor"/>
          <w:rtl w:val="true"/>
        </w:rPr>
        <w:footnoteReference w:id="322"/>
      </w:r>
      <w:r>
        <w:rPr>
          <w:rFonts w:ascii="Amiri" w:hAnsi="Amiri" w:eastAsia="Amiri" w:cs="Amiri"/>
          <w:color w:val="111111"/>
          <w:sz w:val="28"/>
          <w:sz w:val="28"/>
          <w:szCs w:val="28"/>
          <w:rtl w:val="true"/>
          <w:lang w:bidi="ar-SA"/>
        </w:rPr>
        <w:t>، لكنّه لم يأتِ بشيءٍ مقنعٍ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وجه سادس لإثبات الانحصار ؛ وهو أنّ الشرط إذا كان علّة منحصرة ، يكون مؤثّراً في الجزاء بخصوصيته ، بخلاف ما إذا لم يكن بمنحصر ، فإنّه حينئذٍ يؤثّر بجهة جامعة بينه وبين شريكه ؛ لأنّ الخصوصية المميّزة لا تعقل دخالتها مع عدم الانحصار ، والظاهر من القضيّة الشرطية أنّ الشرط بخصوصيته مؤثّر في الجزاء ، لا بالقدر الجامع بينه وبين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أبديت هذا الوجه لدى المحقّق الخراساني رحمه الله علیه فأجاب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حكم عقلي بحسب الدقّة العقلية ، مخالف للأنظار العرفية المتّبعة في أمثال المقامات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اُمور </w:t>
      </w:r>
      <w:r>
        <w:rPr>
          <w:rFonts w:eastAsia="Amiri" w:cs="Amiri" w:ascii="Amiri" w:hAnsi="Amiri"/>
          <w:color w:val="111111"/>
          <w:sz w:val="28"/>
          <w:szCs w:val="28"/>
          <w:rtl w:val="true"/>
          <w:lang w:bidi="ar-SA"/>
        </w:rPr>
        <w:t xml:space="preserve">: </w:t>
      </w:r>
      <w:bookmarkStart w:id="427" w:name="pg8033_81006"/>
    </w:p>
    <w:p>
      <w:pPr>
        <w:pStyle w:val="Heading4"/>
        <w:numPr>
          <w:ilvl w:val="3"/>
          <w:numId w:val="1"/>
        </w:numPr>
        <w:rPr/>
      </w:pPr>
      <w:bookmarkStart w:id="428" w:name="__RefHeading___Toc7368491_1051229030"/>
      <w:bookmarkStart w:id="429" w:name="_Toc156"/>
      <w:bookmarkEnd w:id="427"/>
      <w:bookmarkEnd w:id="428"/>
      <w:r>
        <w:rPr>
          <w:rtl w:val="true"/>
        </w:rPr>
        <w:t>الأمر الأوّل</w:t>
      </w:r>
      <w:bookmarkEnd w:id="429"/>
    </w:p>
    <w:p>
      <w:pPr>
        <w:pStyle w:val="BookText"/>
        <w:rPr/>
      </w:pPr>
      <w:r>
        <w:rPr>
          <w:rFonts w:ascii="Amiri" w:hAnsi="Amiri" w:eastAsia="Amiri" w:cs="Amiri"/>
          <w:color w:val="111111"/>
          <w:sz w:val="28"/>
          <w:sz w:val="28"/>
          <w:szCs w:val="28"/>
          <w:rtl w:val="true"/>
          <w:lang w:bidi="ar-SA"/>
        </w:rPr>
        <w:t xml:space="preserve">في عدم المعنى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المفهوم انتفاء 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إشكال في أنّ انتفاء شخص الحكم عن الموضوع عقلي ، لا يكون من قبيل المفهوم ، فلا يكون من المفهوم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 داري على أولادي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أولادي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الوصيّة والنذر ؛ فإنّ مثل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توجد بنفس الإنشاء ، ولا وجود لها غير ما ينشئه المنشئ ، وتكون عناوين شخصية لموضوع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انتفاؤها عن غير موضوعاتها بدلالة المفهوم ، بل إنّما هو بحكم العقل ، فالوقف على الأولاد العدول لا يمكن أن يكون وقفاً على غيرهم ، وهذا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إشكال في أنّ القضايا الإخبارية ممّا يمكن أن تكون حكاية عن عنوانٍ كلّي أو جزئي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الإخبارية ، تكون دلالتها على الانتفاء بدلالة المفهوم على فرضه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القبيل القضايا الإنشائية التي تكون إرشاداً إلى الأحكام الإلهية ، كفتاوى الفقهاء ، فإذا قال الفقيه للمستفتي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بين الأربع والثلاث فابنِ على الأربع ، وصلِّ ركعتين من جلوس ، أو ركعة من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تكون هذه القضيّة الإنشائية حكاية عن الحكم الواقعي الإلهي ، ويمكن أن يكون الحكم الكلّي مرتفعاً عند فقدان الشرط ، وتكون دلالتها عليه من قبيل دلالة المفهوم على القول به ، وكذا الأخبار الصادرة عن المعصومين علیهم السلام ؛ فإنّها أيضاً </w:t>
      </w:r>
    </w:p>
    <w:p>
      <w:pPr>
        <w:pStyle w:val="BookText"/>
        <w:rPr/>
      </w:pPr>
      <w:r>
        <w:rPr>
          <w:rFonts w:ascii="Amiri" w:hAnsi="Amiri" w:eastAsia="Amiri" w:cs="Amiri"/>
          <w:color w:val="111111"/>
          <w:sz w:val="28"/>
          <w:sz w:val="28"/>
          <w:szCs w:val="28"/>
          <w:rtl w:val="true"/>
          <w:lang w:bidi="ar-SA"/>
        </w:rPr>
        <w:t xml:space="preserve">إرشادات إلى الأحكام الإلهية المنشأة ، وتكون دلالتها على الانتفاء من قبيل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القضايا الإنشائية التي تكون بصدد إنشاء الأحكام ، كالأوامر الصادرة عن اللّه تعالى معلّقة على الشرط ، وكذا ما صدر عن الموالي العرفية معلّقاً عليه ؛ ممّا تكون آلة لإيجاد الوجوب ، ممّا تكون نحو تحقّقها بنفس الإنشاء ، ويكون إيجادها ووجودها الإنشائي واحداً حقيقة ومختلفاً بالاعتبار ؛ فإنّ الألفاظ المستعملة في المعاني الإنشائية يكون نحو استعمالاتها فيها استعمالاً إيجادياً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المعاني الحرفية</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وجودَ لها قبل الاستعمال يكون الاستعمال حاكياً عنه ، ففي مثل هذه المعاني يقع الإشكال في أنّ ما علّق على الشرط لا يمكن أن يكون نفس ماهية الفرد ؛ فإنّ الماهيات من حيث هي ليست إلاّ هي ، وليست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ذاتها مع قطع النظر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لحمل شيءٍ عليها إلاّ ذاتياتها ، فلا تصلح لتعلّق شيءٍ عليها ، ولا لتعلّقها على شيءٍ ، والوجود ليس إلاّ أمراً متشخّصاً وجزئياً خارجياً ، والحكم الكلّي وسنخ الحكم لا يكون مذكوراً في القضيّة اللفظية ، ولا يكون معلّقاً على الشرط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المفهوم قضيّة غير مذكورة ، يكون موضوعها ومحمولها متّحدين مع المذكورة ، كما لا يكون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يكون إكرام زيد موضوعه ، والوجوب محموله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مختلفة الموضوع مع القضيّة </w:t>
      </w:r>
    </w:p>
    <w:p>
      <w:pPr>
        <w:pStyle w:val="BookText"/>
        <w:rPr/>
      </w:pPr>
      <w:r>
        <w:rPr>
          <w:rFonts w:ascii="Amiri" w:hAnsi="Amiri" w:eastAsia="Amiri" w:cs="Amiri"/>
          <w:color w:val="111111"/>
          <w:sz w:val="28"/>
          <w:sz w:val="28"/>
          <w:szCs w:val="28"/>
          <w:rtl w:val="true"/>
          <w:lang w:bidi="ar-SA"/>
        </w:rPr>
        <w:t xml:space="preserve">المنطوقة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فلا يجب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مختلفة المحمول معها ، أو مختلفة الطرفين ؛ كلّ ذلك لأجل لزوم اتّحاد المنطوق والمفهوم في الموضوع والمحمول ، والاختلاف في السلب والإيجاب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علّق على الشرط ، ويكون هو علّة منحصرة له ، يكون منتفياً بانتفائه لا غير ، والفرض أنّ ما يصلح للتعليق في القضايا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نفس استعمالها في معانيها إيجادها لها ، ويكون مفادها تكاليف جزئية ومعانٍ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المعنى الشخصي والأمر الجزئي ؛ لأنّ الفرد ينحلّ إلى ماهية كلّية ووجود ، والماهية لا تصلح لتعلّقها بالعلّة ، والوجود المعلّق جزئي ، يكون انتفاؤه بانتفاء الشرط عقلياً ، لا من باب المفهوم ، وسنخ الوجوب وكلّيه غير مذكورٍ في القضيّة حتّى ينتفي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ما في كلام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 ممّن عبّر بتعبيره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انتفاء سنخ الحكم المعلّق على الشرط عند انتفائه، لا انتفاء شخصه ؛ ضرورة انتفائه عقلاً بانتفاء موضوعه ولو ببعض قيوده</w:t>
      </w:r>
      <w:r>
        <w:rPr>
          <w:rStyle w:val="FootnoteAnchor"/>
          <w:rtl w:val="true"/>
        </w:rPr>
        <w:footnoteReference w:id="32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الشرط لا يكون من قيود الموضوع على طريقة المتأخّرين في باب المفهوم ؛ لأنّه علّة منحصرة للجزاء عندهم ، والعلّة متقدّمة تحصّلاً على المعلول ، فلا يكون من قيود الموضوع الذي يكون مع الحكم في التحصّل وإن كان له نحو تقدّمٍ في العقل ، نعم على طريقة القدماء يكون الشرط </w:t>
      </w:r>
    </w:p>
    <w:p>
      <w:pPr>
        <w:pStyle w:val="BookText"/>
        <w:rPr/>
      </w:pPr>
      <w:r>
        <w:rPr>
          <w:rFonts w:ascii="Amiri" w:hAnsi="Amiri" w:eastAsia="Amiri" w:cs="Amiri"/>
          <w:color w:val="111111"/>
          <w:sz w:val="28"/>
          <w:sz w:val="28"/>
          <w:szCs w:val="28"/>
          <w:rtl w:val="true"/>
          <w:lang w:bidi="ar-SA"/>
        </w:rPr>
        <w:t>من قيوده كما عرفت</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علّق في الكلام ليس إلاّ وجوب إكرام زيدٍ ، وهو أمر شخصي وموجود جزئي ؛ سواء ذكر بنحو القضيّة الإنشائية أو الإخبارية في مقام الإنشاء ، والجزئي غير قابل للكثرة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أصل وجوب الإكرام أو أصل الوجوب كلّي ، لكنّهما غير مذكورين في القضيّة ، وما ذكر جزئي ، فإذا كان الشرط علّة منحصرة لشخص الحكم ينتفي لا محالة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طريقة القدماء ، فما هو قيد في الكلام يكون قيداً لموضوع الحكم الشخصي المذكور في القضيّة ، ولا محالة مع عدم القيد يكون الحكم منتفياً ، وأمّا انتفاء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هناك معنى محصّل لما استقرّت عليه آراء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انتفاء سنخ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في تقريرات العلاّمة الأنصاري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النزاع ليس في شخص الحكم ، فإنّه ينفد بنفاد الكلام ، وليس له بقاء وثبات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ينفد بنفاد التكلّم هو التلفّظ بالحكم ؛ ضرورة أنّ الكلام غير قارّ الذات ، ولكنّ الحكم المعلّق على الشرط غيره بالضرورة ، وما هو معلّق هو الحكم المُنشأ بهذا الإنشاء والمنتزع منه ، وله بقاء وثبات عند العقلاء وإن كان من الاُمور الاعتبارية </w:t>
      </w:r>
      <w:r>
        <w:rPr>
          <w:rFonts w:eastAsia="Amiri" w:cs="Amiri" w:ascii="Amiri" w:hAnsi="Amiri"/>
          <w:color w:val="111111"/>
          <w:sz w:val="28"/>
          <w:szCs w:val="28"/>
          <w:rtl w:val="true"/>
          <w:lang w:bidi="ar-SA"/>
        </w:rPr>
        <w:t xml:space="preserve">. </w:t>
      </w:r>
      <w:bookmarkStart w:id="430" w:name="pg8033_81014"/>
    </w:p>
    <w:p>
      <w:pPr>
        <w:pStyle w:val="Heading4"/>
        <w:numPr>
          <w:ilvl w:val="3"/>
          <w:numId w:val="1"/>
        </w:numPr>
        <w:rPr/>
      </w:pPr>
      <w:bookmarkStart w:id="431" w:name="__RefHeading___Toc7368493_1051229030"/>
      <w:bookmarkStart w:id="432" w:name="_Toc157"/>
      <w:bookmarkEnd w:id="430"/>
      <w:bookmarkEnd w:id="431"/>
      <w:r>
        <w:rPr>
          <w:rtl w:val="true"/>
        </w:rPr>
        <w:t>الأمر الثاني</w:t>
      </w:r>
      <w:bookmarkEnd w:id="432"/>
    </w:p>
    <w:p>
      <w:pPr>
        <w:pStyle w:val="BookText"/>
        <w:rPr/>
      </w:pPr>
      <w:r>
        <w:rPr>
          <w:rFonts w:ascii="Amiri" w:hAnsi="Amiri" w:eastAsia="Amiri" w:cs="Amiri"/>
          <w:color w:val="111111"/>
          <w:sz w:val="28"/>
          <w:sz w:val="28"/>
          <w:szCs w:val="28"/>
          <w:rtl w:val="true"/>
          <w:lang w:bidi="ar-SA"/>
        </w:rPr>
        <w:t>في تعدّد الشرط واتّحاد الجزاء</w:t>
      </w:r>
    </w:p>
    <w:p>
      <w:pPr>
        <w:pStyle w:val="BookText"/>
        <w:rPr/>
      </w:pPr>
      <w:r>
        <w:rPr>
          <w:rFonts w:ascii="Amiri" w:hAnsi="Amiri" w:eastAsia="Amiri" w:cs="Amiri"/>
          <w:color w:val="111111"/>
          <w:sz w:val="28"/>
          <w:sz w:val="28"/>
          <w:szCs w:val="28"/>
          <w:rtl w:val="true"/>
          <w:lang w:bidi="ar-SA"/>
        </w:rPr>
        <w:t xml:space="preserve">إذا تعدّد الشرط مع وحدة الجزاء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فبناءً على المفهوم يقع التعارض بين منطوق كلٍّ منهما مع مفهوم الآخر ، وفي مقام رفع التعارض والجمع بينهما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كلٍّ من المفهومين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كلٍّ من المفهومين بمنطوق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الشرط هو القدر المشترك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كلٍّ من المنطوقين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الاحتمالات الثلاثة الاُوَل تكون النتيجة هي تحقّق القصر بتحقّق كلٍّ منهما ، والانتفاء بانتفائهما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أوّل الاحتمالات منها ، لو دلّ دليل على اعتبار أمرٍ آخر لا يكون معارضاً لهما ؛ لعدم المفهوم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الرابع فلا يتحقّق القصر إلاّ بتحقّقهما ، ويكون الانتفاء بانتفاء واحدٍ منهما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الاحتمالات ؛ لأنّ حكم الإتمام والقصر في الحضر والسفر كان معروفاً بين المسلمين ، فليست الشرطيتان لإفادة أصل حكم القصر ، بل لإفادة تحديد حدّ السفر ، ومعلوم أنّ ما قبل الحدّ يكون باقياً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القضيّتان على انتفاء </w:t>
      </w:r>
      <w:bookmarkStart w:id="433" w:name="pg8033_81015"/>
    </w:p>
    <w:p>
      <w:pPr>
        <w:pStyle w:val="BookText"/>
        <w:rPr/>
      </w:pPr>
      <w:bookmarkEnd w:id="433"/>
      <w:r>
        <w:rPr>
          <w:rFonts w:ascii="Amiri" w:hAnsi="Amiri" w:eastAsia="Amiri" w:cs="Amiri"/>
          <w:color w:val="111111"/>
          <w:sz w:val="28"/>
          <w:sz w:val="28"/>
          <w:szCs w:val="28"/>
          <w:rtl w:val="true"/>
          <w:lang w:bidi="ar-SA"/>
        </w:rPr>
        <w:t xml:space="preserve">حكم القصر عند فقدان الحدّ فيكون لهما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الاحتمال الثاني ؛ لأنّ المفهوم لازم المنطوق وتابع له ، وليس له استقلال بالإنشاء ؛ حتّى يرد عليه التخصيص ، وتختلف الإرادة الاستعمالية مع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الشرط علّة منحصرة للجزاء ، ويفهم منها المفهوم ، فلا معنى لتقييده وتخصيصه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الاحتمالان الآخران ، فلا يبعد أظهرية أوّلهما ؛ أي كون الشرط هو أمراً آخر يكون كلّ منهما أمارة عليه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القصر مقدار من البعد ؛</w:t>
      </w:r>
    </w:p>
    <w:p>
      <w:pPr>
        <w:pStyle w:val="BookText"/>
        <w:rPr/>
      </w:pPr>
      <w:r>
        <w:rPr>
          <w:rFonts w:ascii="Amiri" w:hAnsi="Amiri" w:eastAsia="Amiri" w:cs="Amiri"/>
          <w:color w:val="111111"/>
          <w:sz w:val="28"/>
          <w:sz w:val="28"/>
          <w:szCs w:val="28"/>
          <w:rtl w:val="true"/>
          <w:lang w:bidi="ar-SA"/>
        </w:rPr>
        <w:t xml:space="preserve">بحيث إذا أراد المسافر تشخيصه بحسّ بصره خفيت الجدران عنه ، وإذا أراد تشخيصه بحسّ سمعه خفي أعلى صوت البلد عنه ؛ أي أذان المؤذّنين </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368495_1051229030"/>
      <w:bookmarkStart w:id="435" w:name="_Toc158"/>
      <w:bookmarkEnd w:id="434"/>
      <w:r>
        <w:rPr>
          <w:rtl w:val="true"/>
        </w:rPr>
        <w:t>الأمر الثالث</w:t>
      </w:r>
      <w:bookmarkEnd w:id="435"/>
    </w:p>
    <w:p>
      <w:pPr>
        <w:pStyle w:val="BookText"/>
        <w:rPr/>
      </w:pPr>
      <w:r>
        <w:rPr>
          <w:rFonts w:ascii="Amiri" w:hAnsi="Amiri" w:eastAsia="Amiri" w:cs="Amiri"/>
          <w:color w:val="111111"/>
          <w:sz w:val="28"/>
          <w:sz w:val="28"/>
          <w:szCs w:val="28"/>
          <w:rtl w:val="true"/>
          <w:lang w:bidi="ar-SA"/>
        </w:rPr>
        <w:t>في تداخل الأسباب والمسبّبات</w:t>
      </w:r>
    </w:p>
    <w:p>
      <w:pPr>
        <w:pStyle w:val="BookText"/>
        <w:rPr/>
      </w:pPr>
      <w:r>
        <w:rPr>
          <w:rFonts w:ascii="Amiri" w:hAnsi="Amiri" w:eastAsia="Amiri" w:cs="Amiri"/>
          <w:color w:val="111111"/>
          <w:sz w:val="28"/>
          <w:sz w:val="28"/>
          <w:szCs w:val="28"/>
          <w:rtl w:val="true"/>
          <w:lang w:bidi="ar-SA"/>
        </w:rPr>
        <w:t>إذا تعدّد الشرط واتّحد الجزاء ، فهل يتعدّد الجزاء ؛ أي يجب الإتيان به متعدّداً حسب تعدّد الشرط ، أو يتداخل ، ويكتفي بإتيانه دفعة واحدة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ليست هذه المسألة من المسائل التي تكون الشهرة فيها حجّة ؛ حتّى نبحث عن تحقّقها وعدمه ؛ للعلم بعدم كاشفيتها عن النصّ ، فليس في البين إلاّ ظهور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يقع في مقامين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كلّ من الشرطيتين وجوباً مستقلاًّ وعدمه ، وهو معنى تداخل الأسباب وعدمه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التداخل ، هل يجوز امتثال التكليفين في مصداق واحد ؟ وهذا معنى تداخل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ربط بين هذه المسألة والمسألة السابقة بوجه ؛ فإنّ الكلام هناك بعد تسليم المفهوم ، وهاهنا غير مربوط به ، بل لو فرضنا عدم المفهوم يقع البحث في أنّ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الحدوث عند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مع وحدة الجزاء ، هل تكون ظاهرة في لزوم الإتيان به متعدّداً ، أو تتداخل الأسباب ؟ فلا جهة اشتراك بين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خفاء الأذان والجدران ممّا لا سببية لهما لوجوب القصر ، بل لتحديد البعد الموجب لذلك ، فلا يكون خفاء الأذان سبباً للقصر ، وخفاء الجدران سبباً آخر له ، بخلاف هذه المسألة ؛ فإنّ كلّ شرطٍ سبب مستقلّ ، له سببيته ، فما وقع من بعض الأعاظم من ابتناء المسألة على المسألة السابقة</w:t>
      </w:r>
      <w:r>
        <w:rPr>
          <w:rStyle w:val="FootnoteAnchor"/>
          <w:rtl w:val="true"/>
        </w:rPr>
        <w:footnoteReference w:id="327"/>
      </w:r>
      <w:r>
        <w:rPr>
          <w:rFonts w:ascii="IRNazanin" w:hAnsi="IRNazanin" w:eastAsia="IRNazanin"/>
          <w:color w:val="111111"/>
          <w:sz w:val="28"/>
          <w:sz w:val="28"/>
          <w:szCs w:val="28"/>
          <w:rtl w:val="true"/>
          <w:lang w:bidi="fa-IR"/>
        </w:rPr>
        <w:t xml:space="preserve">ممّا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الأنصاري أقام البرهان على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القضيّة هو استقلال علّية كلٍّ من الشروط للجزاء ، وحفظ هذا الظهور يقتضي الحكم بتعدّد الجزاء عند تعدّد الشرط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إطلاق الجزاء يقتضي أيضاً أن تتداخل الشروط ، لكن ظهور الإطلاق لا يتعارض مع ظهور الشرطية في الاستقلال ؛ لأنّه معلّق على عدم البيان ، وظهور الشرطية بيان 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ما أفاد المحقّق الخراساني ، لكنّه عدَل عن ظهورها في الاستقلال إلى ظهورها في الحدوث عند الحدوث</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تقرير المحقّق الخراساني لا يتمّ فيما إذا تقارنت الشروط ؛ لأنّه معه ليس التداخل مخالفاً للظهور المدّعى ، فإذا حدث وجوب الوضوء عند تقارن النوم والبول ، يكون ظهور الشرطيتين في الحدوث عند الحدوث محفوظاً مع التداخل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تقدّم إحداهما لا بدّ وأن لا تتداخل ؛ حفظاً لظهور الشرطيتين في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تقرير الشيخ يكون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للقاعدة ؛ أي ظهور الشرطية في 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أفاداه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بدّ من تقييد إطلاق الجزاء ؛ حفظاً لظهور الشرطية في الاستقلال أو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إمكان تعلّق الأمر بفردين من الطبيعة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إكرامين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تعلّق بمجموع الفردين ، أو بكلٍّ منهما استقلالاً ؛ بحيث ينحلّ إلى أمرين ، ولا إشكال في أنّ كلّ فرد يكون في الفرض متعلّقاً لأمر ؛ من غير امتياز بينهما بحسب الواقع ، فإذا أوجد المكلّف إكراماً بقصد إطاعة المولى يعدّ مطيعاً له ؛ من غير أن تكون إطاعة لواحد معيّن من الأمرين ؛ لعدم الامتياز الواقعي ، وهذا ممّا لا إشكال فيه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لا إشكال في جواز سببية الأمرين لوجوبين متعلّقين على فردين من </w:t>
      </w:r>
    </w:p>
    <w:p>
      <w:pPr>
        <w:pStyle w:val="BookText"/>
        <w:rPr/>
      </w:pPr>
      <w:r>
        <w:rPr>
          <w:rFonts w:ascii="Amiri" w:hAnsi="Amiri" w:eastAsia="Amiri" w:cs="Amiri"/>
          <w:color w:val="111111"/>
          <w:sz w:val="28"/>
          <w:sz w:val="28"/>
          <w:szCs w:val="28"/>
          <w:rtl w:val="true"/>
          <w:lang w:bidi="ar-SA"/>
        </w:rPr>
        <w:t xml:space="preserve">الطبيعة في عَرض واحد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بلت ونمت توضّأ وضوءين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الإشكال في إمكان تعلّق الوجوب بفردين من الطبيعة تعاقباً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 الوجوب في الشرطية الاُولى بطبيعة ، وفي الثانية بالطبيعة الاُخرى ، أو في الاُولى بفرد منها ، وفي الثانية بفرد آخر ، ممّا لا يعقل ؛ فإنّ النوم قد يكون مقدّماً ، وقد يكون مؤخّراً ، وكذا البول ، وليست القضيّتان ناظرتين إلى حال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تقييد أحد الجزاءين بكونه فرداً آخر غير الجزاء الآخر ، أو طبيعة اُخرى غير مقتضى الشرطية الاُخرى ، ومعه أيضاً لا يكون قيد صالح لتقييد الطبيعة ، ومع عدم إمكان التقييد يكون التداخل ممّا لا محيص عنه ، وفقدان القيد الصالح لتقييد متعلّق الأمر يظهر بمراجعة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إرجاع سببية الشرط إلى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سبب لطبيعة الوضوء ، والبول كذلك ، وهي قابلة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مجال له ؛ ضرورة ظهور الشرطية في سببية النوم والبول للوجوب المتعلّق بالطبيعة ، لا لنفسها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العلاّمة من أ نّه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يؤثّر كلّ واحدٍ من الشرطيات في الجزاء مستقلاًّ ، أو يؤثّر المجموع في واحدٍ ، أو يؤثّر واحد معيّن لا غير ، أو غير معيّنٍ ، أو لا يؤثّر واحد منها ، والكلّ معلوم البطلان إلاّ الأوّل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أوّلها وجوداً لا غير ، كما يمكن اختيار ثاني الاحتمالات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بعض آخر على عدم التداخل بما يقرب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الشرط إنّما يكون في العلّية بالنسبة إلى الجزاء ، فلو كان هو مع غيره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أو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 كان خلاف ظاهر أخذ كلّ شرطٍ مستقلاًّ في القضيّ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 ، فلا مناص من الالتزام بعدم التداخل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عبارة اُخرى عمّا قرّبه المحقّق الخراساني</w:t>
      </w:r>
      <w:r>
        <w:rPr>
          <w:rStyle w:val="FootnoteAnchor"/>
          <w:rtl w:val="true"/>
        </w:rPr>
        <w:footnoteReference w:id="332"/>
      </w:r>
      <w:r>
        <w:rPr>
          <w:rFonts w:ascii="Amiri" w:hAnsi="Amiri" w:eastAsia="Amiri" w:cs="Amiri"/>
          <w:color w:val="111111"/>
          <w:sz w:val="28"/>
          <w:sz w:val="28"/>
          <w:szCs w:val="28"/>
          <w:rtl w:val="true"/>
          <w:lang w:bidi="ar-SA"/>
        </w:rPr>
        <w:t xml:space="preserve">مع تصرّفٍ مخلٍّ بالاستدلال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التقريرات إشكال على عدم التداخل ،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إطلاق الجزاء في كلٍّ من الشرطيات هو إيجاد صِرف الطبيعة ، وهو ممّا لا يتكثّر كالفرد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الإشكال ذلك لكان واضح البطلان ؛ لأنّ الطبيعة قابلة للتكرار مع عدم انسلاخها عن الوحدة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إن لم يمتنع صدقه على الكثيرين فهو كلّي</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الإشكال في أنّ كلاًّ من الشرطيات علّة للوجوب المتعلّق بالطبيعة ، وهو غير قابل للتكثّر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 هو اشتغال الذمّة بإيجاد الطبيعة مرّتين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اشتغال الذمّة ليس أمراً معقولاً سوى وجوب إيجاد الطبيعة فالإشكال على حاله </w:t>
      </w:r>
      <w:r>
        <w:rPr>
          <w:rFonts w:eastAsia="Amiri" w:cs="Amiri" w:ascii="Amiri" w:hAnsi="Amiri"/>
          <w:color w:val="111111"/>
          <w:sz w:val="28"/>
          <w:szCs w:val="28"/>
          <w:rtl w:val="true"/>
          <w:lang w:bidi="ar-SA"/>
        </w:rPr>
        <w:t xml:space="preserve">. </w:t>
      </w:r>
      <w:bookmarkStart w:id="436" w:name="pg8033_81025"/>
    </w:p>
    <w:p>
      <w:pPr>
        <w:pStyle w:val="Heading4"/>
        <w:numPr>
          <w:ilvl w:val="3"/>
          <w:numId w:val="1"/>
        </w:numPr>
        <w:rPr/>
      </w:pPr>
      <w:bookmarkStart w:id="437" w:name="__RefHeading___Toc7368497_1051229030"/>
      <w:bookmarkStart w:id="438" w:name="_Toc159"/>
      <w:bookmarkEnd w:id="436"/>
      <w:bookmarkEnd w:id="437"/>
      <w:r>
        <w:rPr>
          <w:rtl w:val="true"/>
        </w:rPr>
        <w:t>الأمر الرابع</w:t>
      </w:r>
      <w:bookmarkEnd w:id="438"/>
    </w:p>
    <w:p>
      <w:pPr>
        <w:pStyle w:val="BookText"/>
        <w:rPr/>
      </w:pPr>
      <w:r>
        <w:rPr>
          <w:rFonts w:ascii="IRNazanin" w:hAnsi="IRNazanin" w:eastAsia="IRNazanin"/>
          <w:color w:val="111111"/>
          <w:sz w:val="28"/>
          <w:sz w:val="28"/>
          <w:szCs w:val="28"/>
          <w:rtl w:val="true"/>
          <w:lang w:bidi="fa-IR"/>
        </w:rPr>
        <w:t xml:space="preserve">في مفهوم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المفهوم في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الإيجاب الكلّي ، فيستفاد منه تنجّس الماء القليل بكلّ شيءٍ قذر ، أو لا يفيد إلاّ الإيجاب الجزئي ، فيستفاد منه التنجّس ببعض النجاسات على سبيل الإهمال ؟</w:t>
      </w:r>
    </w:p>
    <w:p>
      <w:pPr>
        <w:pStyle w:val="BookText"/>
        <w:rPr/>
      </w:pPr>
      <w:r>
        <w:rPr>
          <w:rFonts w:ascii="Amiri" w:hAnsi="Amiri" w:eastAsia="Amiri" w:cs="Amiri"/>
          <w:color w:val="111111"/>
          <w:sz w:val="28"/>
          <w:sz w:val="28"/>
          <w:szCs w:val="28"/>
          <w:rtl w:val="true"/>
          <w:lang w:bidi="ar-SA"/>
        </w:rPr>
        <w:t xml:space="preserve">اختار أوّلهما الشيخ الأنصاري ؛ بتقريب أنّ المنطوق لمّا كان منحلاًّ إلى قضايا حسب تكثّر الموضوع ؛ لكونه 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المفهوم على طبقه ؛ لعدم الفرق بين المفهوم والمنطوق إلاّ في الإيجاب والسلب لا غيرهما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ثانيهما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نقيض السالبة الكلّية هو الموجبة الجزئية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الحقّ ؛ لأنّ الظاهر من القضيّة المتقدّمة هو عاصمية الكرّ عن تأثير أيّ شيءٍ من النجاسات ، ومقتضى المفهوم عدم هذه العاصمية الثابتة في المنطوق ، وهو مساوق عرفاً للإيجاب الجزئي </w:t>
      </w:r>
      <w:r>
        <w:rPr>
          <w:rFonts w:eastAsia="Amiri" w:cs="Amiri" w:ascii="Amiri" w:hAnsi="Amiri"/>
          <w:color w:val="111111"/>
          <w:sz w:val="28"/>
          <w:szCs w:val="28"/>
          <w:rtl w:val="true"/>
          <w:lang w:bidi="ar-SA"/>
        </w:rPr>
        <w:t xml:space="preserve">. </w:t>
      </w:r>
      <w:bookmarkStart w:id="439" w:name="pg8033_81027"/>
    </w:p>
    <w:p>
      <w:pPr>
        <w:pStyle w:val="Heading3"/>
        <w:numPr>
          <w:ilvl w:val="2"/>
          <w:numId w:val="1"/>
        </w:numPr>
        <w:rPr/>
      </w:pPr>
      <w:bookmarkStart w:id="440" w:name="__RefHeading___Toc7368499_1051229030"/>
      <w:bookmarkStart w:id="441" w:name="_Toc160"/>
      <w:bookmarkEnd w:id="439"/>
      <w:bookmarkEnd w:id="440"/>
      <w:r>
        <w:rPr>
          <w:rtl w:val="true"/>
        </w:rPr>
        <w:t>تنبيه</w:t>
      </w:r>
      <w:bookmarkEnd w:id="441"/>
    </w:p>
    <w:p>
      <w:pPr>
        <w:pStyle w:val="BookText"/>
        <w:rPr/>
      </w:pPr>
      <w:r>
        <w:rPr>
          <w:rFonts w:ascii="Amiri" w:hAnsi="Amiri" w:eastAsia="Amiri" w:cs="Amiri"/>
          <w:color w:val="111111"/>
          <w:sz w:val="28"/>
          <w:sz w:val="28"/>
          <w:szCs w:val="28"/>
          <w:rtl w:val="true"/>
          <w:lang w:bidi="ar-SA"/>
        </w:rPr>
        <w:t>حول باقي المفاهيم</w:t>
      </w:r>
    </w:p>
    <w:p>
      <w:pPr>
        <w:pStyle w:val="BookText"/>
        <w:rPr/>
      </w:pPr>
      <w:r>
        <w:rPr>
          <w:rFonts w:ascii="Amiri" w:hAnsi="Amiri" w:eastAsia="Amiri" w:cs="Amiri"/>
          <w:color w:val="111111"/>
          <w:sz w:val="28"/>
          <w:sz w:val="28"/>
          <w:szCs w:val="28"/>
          <w:rtl w:val="true"/>
          <w:lang w:bidi="ar-SA"/>
        </w:rPr>
        <w:t xml:space="preserve">اعلم أنّه على ما بنينا عليه تبعاً للقدماء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على القول به ، إنّما هو لأجل القيد الزائد في الكلام ، ولزوم اللغوية لولاه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تفترق أقسام المفاهيم في ذلك ، ولا ينبغي لكلّ مفهوم بحث مستقلّ ؛ لوحدة المناط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يقع الخلاف في شيءٍ آخر في بعض المفاهيم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كالخلاف في أنّ الغاية داخلة في المغيّى مطلقاً ، أو لا مطلقاً ، أو التفصيل بين غاية الموضوع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وكالخلاف في أنّ الدلالة في الغاية والاستثناء من دلالة المنطوق أو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الغاية والاستثناء والحصر حيث يستفاد منها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الانتهاء هو انتفاء الحكم عمّا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الدلالة منطوقية ، وهو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وكالإشكال المشهور في كلمة التوحيد ؛ من أنّ المقدّر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وجوده تعالى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نفي إمكان الشريك له تعالى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الأعراب في زمان الجاهلية إنّما يعبدون غير اللّه تعالى من </w:t>
      </w:r>
    </w:p>
    <w:p>
      <w:pPr>
        <w:pStyle w:val="BookText"/>
        <w:rPr/>
      </w:pPr>
      <w:r>
        <w:rPr>
          <w:rFonts w:ascii="Amiri" w:hAnsi="Amiri" w:eastAsia="Amiri" w:cs="Amiri"/>
          <w:color w:val="111111"/>
          <w:sz w:val="28"/>
          <w:sz w:val="28"/>
          <w:szCs w:val="28"/>
          <w:rtl w:val="true"/>
          <w:lang w:bidi="ar-SA"/>
        </w:rPr>
        <w:t xml:space="preserve">صنوف الأصنام ، ولا يعتقدون اُلوهيتها ، وكان شركهم في العبادة لا غيرها ، وكلمة التوحيد إنّما هي لنفي المعبود الآخر سوى اللّه ، فمعنى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معبود إلاّ اللّه ، فالإقرار بها مقابل للاعتقاد الرائج ، وموجب لتوحيد اللّه تعالى الذي هو محلّ النزاع بينهم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8033_81033"/>
      <w:bookmarkStart w:id="443" w:name="pg8033_81033"/>
      <w:bookmarkEnd w:id="443"/>
    </w:p>
    <w:p>
      <w:pPr>
        <w:pStyle w:val="Heading2"/>
        <w:numPr>
          <w:ilvl w:val="1"/>
          <w:numId w:val="1"/>
        </w:numPr>
        <w:rPr/>
      </w:pPr>
      <w:bookmarkStart w:id="444" w:name="pg8033_81033"/>
      <w:bookmarkStart w:id="445" w:name="__RefHeading___Toc7368501_1051229030"/>
      <w:bookmarkStart w:id="446" w:name="_Toc161"/>
      <w:bookmarkEnd w:id="444"/>
      <w:bookmarkEnd w:id="445"/>
      <w:r>
        <w:rPr>
          <w:rtl w:val="true"/>
        </w:rPr>
        <w:t>المقصد الرابع</w:t>
      </w:r>
      <w:r>
        <w:rPr>
          <w:rtl w:val="true"/>
        </w:rPr>
        <w:t xml:space="preserve">: </w:t>
      </w:r>
      <w:r>
        <w:rPr>
          <w:rtl w:val="true"/>
        </w:rPr>
        <w:t>في العامّ والخاصّ</w:t>
      </w:r>
      <w:bookmarkEnd w:id="4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7368503_1051229030"/>
      <w:bookmarkStart w:id="448" w:name="_Toc162"/>
      <w:bookmarkEnd w:id="447"/>
      <w:r>
        <w:rPr>
          <w:rtl w:val="true"/>
        </w:rPr>
        <w:t>في العامّ والخاصّ</w:t>
      </w:r>
      <w:bookmarkEnd w:id="44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8033_81037"/>
      <w:bookmarkStart w:id="450" w:name="pg8033_81037"/>
      <w:bookmarkEnd w:id="450"/>
    </w:p>
    <w:p>
      <w:pPr>
        <w:pStyle w:val="Heading3"/>
        <w:numPr>
          <w:ilvl w:val="2"/>
          <w:numId w:val="1"/>
        </w:numPr>
        <w:rPr/>
      </w:pPr>
      <w:bookmarkStart w:id="451" w:name="pg8033_81037"/>
      <w:bookmarkStart w:id="452" w:name="__RefHeading___Toc7368505_1051229030"/>
      <w:bookmarkStart w:id="453" w:name="_Toc163"/>
      <w:bookmarkEnd w:id="451"/>
      <w:bookmarkEnd w:id="452"/>
      <w:r>
        <w:rPr>
          <w:rtl w:val="true"/>
        </w:rPr>
        <w:t>فصل في تعريف العامّ والخاصّ</w:t>
      </w:r>
      <w:bookmarkEnd w:id="453"/>
    </w:p>
    <w:p>
      <w:pPr>
        <w:pStyle w:val="BookText"/>
        <w:rPr/>
      </w:pPr>
      <w:r>
        <w:rPr>
          <w:rFonts w:ascii="Amiri" w:hAnsi="Amiri" w:eastAsia="Amiri" w:cs="Amiri"/>
          <w:color w:val="111111"/>
          <w:sz w:val="28"/>
          <w:sz w:val="28"/>
          <w:szCs w:val="28"/>
          <w:rtl w:val="true"/>
          <w:lang w:bidi="ar-SA"/>
        </w:rPr>
        <w:t xml:space="preserve">قد عرّف العامّ بتعاريف ، فاُشكل عليها طرداً وعكساً ، مع أنّ التعاريف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موضوعاً ، وحمل عليه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بنحو الإيجاب الكلّي ، فإذا صدق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ما يصدق عليه المعرّف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مطّرد وجامع ؛ أمّا الاطّراد فلأجل صدقه الكذائي ، وأمّا الجامعية فلكونه جامعاً لجميع ما يصدق عليه المعرّف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الانعكاس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تنعكس هذه القضيّة كلّية ، فإذا صدق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المعرِّف صدقاً كلّياً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منعكس ومانع ؛ أمّا انعكاسه فظاهر ، وأمّا مانعيته فلكونه مانعاً عن دخول غيره في التعريف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فقد عرّف العامّ بأ نّه لفظ مستغرق لما يصلح أن ينطبق عليه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ليس من صفات اللفظ ، بل هو من صفات المفهوم والمعنى ، إلاّ أن يراد اللفظ بما له من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لا ينطبق على المصاديق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فالأولى 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ما دلّ على شمول مفهومٍ لجميع ما يصلح أن ينطبق عليه ،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دالّة على استغراق ما يتلوها لجميع ما يصلح أن ينطبق عليه ، فالصيغ الدالّة على العموم إنّما هي آلات لاستغراق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يصلح أن ينطبق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التعريف إنّما هو للعامّ الاستغراقي ، وأمّا العامّ المجموعي فليس له صيغة تخصّه ، وإنّما مثّل القدماء له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مركّبة من عدّة أجزاء مختلفة الحقيقة ، وإذا اعتبر في مصاديق مفهومٍ واحد وحدة واجتماعاً ، يصير أيضاً من العامّ المجموعي ، ولكنّه مجرّد فرضٍ ، وليس له صيغة خاصّة ، وسيأتي أنّ الأحكام الجارية في العامّ الاستغراقي جارية في المجموعي ، مثل الدار وسائر المركّبات التي نحوها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المتداولة الدالّة على العموم إنّما تدلّ على الاستغراقي ، مثل الجمع المحلّى باللاّم والكلّ والمفرد المضاف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دلالتها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متساوية النسبة إلى جميع المصاديق ، فلا يعقل اختصاصها ببعضٍ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اختصاصها بالاستغراقي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الاُصولي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فلأنّها آلة لحاظ الكثرات والمصاديق ، ومعلوم أنّ المصاديق إنّما هي الأفراد بنعت الكثرة لا الاجتماع ، فزيد وعمرو فردان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ومجموعهما ليس فرداً له ، فجميع أفراد العلماء مصاديق كثيرة له ، وليس مجموعهم ممّا ينطبق عليه العلماء ، فهذه الصيغ تختصّ بالعامّ الاستغراقي ، لا البدلي والمجموعي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المحقّق الخراساني رحمه الله علیه ذهب إلى أنّ ما ذكر للعامّ من الأقسام ، إنّما هو لاختلاف كيفية تعلّق الحكم به ، ومع قطع النظر عنها فليس للأقسام اعتبار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 ضرورة أنّ هذه الاعتبارات إنّما هي قبل تعلّق الحكم ، فالكلّ يدلّ على الاستغراق ، تعلّق به حكم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يلاحظ الأفراد مستقلاًّ من مرآة المفهوم كما هي في الخارج ، وقد يلاحظها بنعت الاجتماع والوحدة ؛ حتّى تكون الأفراد أجزاء معنىً واحد ، وقد يلاحظ واحد منها بنعت البدلية ، وتعلُّق الحكم إنّما هو متأخّر عن لحاظ الموضوع ، ولا يعقل أن يكون دخيلاً في اعتباره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المتراءى من ذكر العامّ والخاصّ أ نّهما متقابلان ، ويكون للعامّ صيغة ، وللخاصّ صيغة اُخرى مقابلة له ، لكن الواقع ليس كذلك ؛ فإنّ القدماء قد عرّفوا </w:t>
      </w:r>
    </w:p>
    <w:p>
      <w:pPr>
        <w:pStyle w:val="BookText"/>
        <w:rPr/>
      </w:pP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قصر شموله</w:t>
      </w:r>
      <w:r>
        <w:rPr>
          <w:rStyle w:val="FootnoteAnchor"/>
          <w:rtl w:val="true"/>
        </w:rPr>
        <w:footnoteReference w:id="345"/>
      </w:r>
      <w:r>
        <w:rPr>
          <w:rFonts w:ascii="Amiri" w:hAnsi="Amiri" w:eastAsia="Amiri" w:cs="Amiri"/>
          <w:color w:val="111111"/>
          <w:sz w:val="28"/>
          <w:sz w:val="28"/>
          <w:szCs w:val="28"/>
          <w:rtl w:val="true"/>
          <w:lang w:bidi="ar-SA"/>
        </w:rPr>
        <w:t xml:space="preserve">، والظاهر منه أنّ صيغة العامّ منقسمة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مستغرقاً لما يصلح أن ينطبق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 شموله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إن بقي على عمومه فهو عامّ ، وإن قصر شموله عن جميع الأفراد فهو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تقسيم للعامّ إلى قسمين ، ولا يكون للخاصّ في مقابل العامّ صيغة تخصّه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للعامّ صيغة تخصّه دون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أولوية كون الصيغ حقيقة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الخاصّ متيقّن في المرادية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بنفسه ، وإمّا في ضمن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 الخاصّ أكثر من العامّ ، حتّى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فكونها حقيقة في الخاصّ تقليل للمجاز</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بالأولوية هي الأولوية بحسب الوضع ، فقد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الوضع هو الاحتياج ، فكما يحتاج الناس إلى إفادة الخاصّ ، يحتاجون إلى إفادة العامّ بأنحائه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بعد الوضع والاستعمال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كفاية هذه الاستدلالات لإثبات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معنى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يتفرّع على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بالخاصّ ليس هو مفهومه ؛ لأنّه واضح الفساد ، بل المراد هو ما دون العامّ من الأفراد الباقية ، وللبقيّة مراتب ، وتعيّن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تلك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لمرتبة دون اُخرى بلا معيّنٍ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لا يوجب المجازية حتّى يوضع اللفظ بإزاء الخاصّ تقليلاً للمجاز </w:t>
      </w:r>
      <w:r>
        <w:rPr>
          <w:rFonts w:eastAsia="Amiri" w:cs="Amiri" w:ascii="Amiri" w:hAnsi="Amiri"/>
          <w:color w:val="111111"/>
          <w:sz w:val="28"/>
          <w:szCs w:val="28"/>
          <w:rtl w:val="true"/>
          <w:lang w:bidi="ar-SA"/>
        </w:rPr>
        <w:t xml:space="preserve">. </w:t>
      </w:r>
      <w:bookmarkStart w:id="454" w:name="pg8033_81047"/>
    </w:p>
    <w:p>
      <w:pPr>
        <w:pStyle w:val="Heading3"/>
        <w:numPr>
          <w:ilvl w:val="2"/>
          <w:numId w:val="1"/>
        </w:numPr>
        <w:rPr/>
      </w:pPr>
      <w:bookmarkStart w:id="455" w:name="__RefHeading___Toc7368507_1051229030"/>
      <w:bookmarkStart w:id="456" w:name="_Toc164"/>
      <w:bookmarkEnd w:id="454"/>
      <w:bookmarkEnd w:id="455"/>
      <w:r>
        <w:rPr>
          <w:rtl w:val="true"/>
        </w:rPr>
        <w:t>فصل في النكرة واسم الجنس في سياق النفي</w:t>
      </w:r>
      <w:bookmarkEnd w:id="456"/>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وكذا اسم الجنس في سياق النفي تفيدان العموم ؛ سواء كان السلب بسيطاً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مركّباً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النفي المتعلّق بالطبيعة لا يصدق إلاّ مع عدم جميع أفرادها ، ومع تحقّق فرد منها لا يجوز نسبة النفي إلى الطبيعة ، ولا يحتاج إلى أخذها مرسلة ، كما قال المحقّق الخراساني</w:t>
      </w:r>
      <w:r>
        <w:rPr>
          <w:rStyle w:val="FootnoteAnchor"/>
          <w:rtl w:val="true"/>
        </w:rPr>
        <w:footnoteReference w:id="347"/>
      </w:r>
      <w:r>
        <w:rPr>
          <w:rFonts w:ascii="Amiri" w:hAnsi="Amiri" w:eastAsia="Amiri" w:cs="Amiri"/>
          <w:color w:val="111111"/>
          <w:sz w:val="28"/>
          <w:sz w:val="28"/>
          <w:szCs w:val="28"/>
          <w:rtl w:val="true"/>
          <w:lang w:bidi="ar-SA"/>
        </w:rPr>
        <w:t>، كما سيأتي توضيحه في المطلق والمقيّد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السلب البسيط لا تحتاج إلى الخبر ، كما عليه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لها ؛ لأنّ نفي الطبيعة بسيطاً يفيد المقصود من غير تقدير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التركيب معنىً حرفياً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تحتاج إلى المرتبطين ؛ لعدم تعقّل تركيب كلام من الحرف والاسم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التركيب مساوق لقولنا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التقدير ، كما لا يخفى ،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اسماً في هذا التركيب </w:t>
      </w:r>
      <w:r>
        <w:rPr>
          <w:rFonts w:eastAsia="Amiri" w:cs="Amiri" w:ascii="Amiri" w:hAnsi="Amiri"/>
          <w:color w:val="111111"/>
          <w:sz w:val="28"/>
          <w:szCs w:val="28"/>
          <w:rtl w:val="true"/>
          <w:lang w:bidi="ar-SA"/>
        </w:rPr>
        <w:t xml:space="preserve">. </w:t>
      </w:r>
      <w:bookmarkStart w:id="457" w:name="pg8033_81051"/>
    </w:p>
    <w:p>
      <w:pPr>
        <w:pStyle w:val="Heading3"/>
        <w:numPr>
          <w:ilvl w:val="2"/>
          <w:numId w:val="1"/>
        </w:numPr>
        <w:rPr/>
      </w:pPr>
      <w:bookmarkStart w:id="458" w:name="__RefHeading___Toc7368509_1051229030"/>
      <w:bookmarkStart w:id="459" w:name="_Toc165"/>
      <w:bookmarkEnd w:id="457"/>
      <w:bookmarkEnd w:id="458"/>
      <w:r>
        <w:rPr>
          <w:rtl w:val="true"/>
        </w:rPr>
        <w:t>فصل في حجّية العامّ المخصّص</w:t>
      </w:r>
      <w:bookmarkEnd w:id="459"/>
    </w:p>
    <w:p>
      <w:pPr>
        <w:pStyle w:val="BookText"/>
        <w:rPr/>
      </w:pPr>
      <w:r>
        <w:rPr>
          <w:rFonts w:ascii="Amiri" w:hAnsi="Amiri" w:eastAsia="Amiri" w:cs="Amiri"/>
          <w:color w:val="111111"/>
          <w:sz w:val="28"/>
          <w:sz w:val="28"/>
          <w:szCs w:val="28"/>
          <w:rtl w:val="true"/>
          <w:lang w:bidi="ar-SA"/>
        </w:rPr>
        <w:t>لا شبهة في أنّ العامّ المخصّص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في الباقي ، كان الخاصّ متّصلاً أو منفصلاً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يفصّل بين المتّصل والمنفصل ؛ بأ نّه حجّة في الأوّل دون الثاني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العامّ في الخاصّ مجاز ،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أو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صارفة عن المعنى الحقيقي ، وحيث تكون مراتب المجازات كثيرة ، وفي كلّ مرتبة عددها كثير ، بل يمكن أن يكون العامّ مستعملاً في معنىً مجازي آخر غيرها ، وليست قرينة معيّنة في البين يصير العامّ مجملاً ، وتعيُّن أحد المجازات من بينها بلا معيّنٍ ترجيح بلا مرجّح</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البقيّة بعد التخصيص ؛ لكونه أقرب المجازات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الأقربية إنّما هي بحسب اُنس الذهن ، وليست البقيّة كذلك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المحقّق الخراساني رحمه الله علیه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يلزم من التخصيص كون العامّ مجازاً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أداة العموم مستعملة في معناها ، وهو شمول مدخولها وإن كانت دائرته مختلفة سعة وضيقاً ،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العموم وإن اختلفت دائرة مدخولها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وإن كان بظاهره منقوضاً بالاستثناء ، لكن حال الاستثناء حال المخصِّص المنفصل ؛ لورود الاستثناء على المستثنى منه بعد استعماله في العموم ، فالاستثناء إخراج من العموم ، فيأتي فيه الجواب الآتي في المنفصل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الخصوص واقعاً لا تستلزم استعماله فيه وكون الخاصّ قرينة عليه ، بل الممكن قطعاً استعماله معه في العموم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الإرادة الاستعمالية والجدّية ؛ وأنّ العامّ مستعمل في العموم بحسب الإرادة الاستعمالية ضرباً للقاعدة ، ويكون الخاصّ مانعاً عن حجّية ظهوره ؛ تحكيماً للنصّ أو الأظهر على الظاهر ، لا مصادماً لأصل ظهوره حتّى يصير مجملاً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ويتراءى ورود 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ما ذكر كرٌّ على ما فرّ منه ؛ فإنّ ما يكون حجّة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العبد 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يراد من اللفظ جدّاً لا استعمالاً ، </w:t>
      </w:r>
    </w:p>
    <w:p>
      <w:pPr>
        <w:pStyle w:val="BookText"/>
        <w:rPr/>
      </w:pPr>
      <w:r>
        <w:rPr>
          <w:rFonts w:ascii="Amiri" w:hAnsi="Amiri" w:eastAsia="Amiri" w:cs="Amiri"/>
          <w:color w:val="111111"/>
          <w:sz w:val="28"/>
          <w:sz w:val="28"/>
          <w:szCs w:val="28"/>
          <w:rtl w:val="true"/>
          <w:lang w:bidi="ar-SA"/>
        </w:rPr>
        <w:t>والخاصّ قرينة على عدم تعلّق الإرادة الجدّية بالعموم ، ولا معيِّن لتعلّقها بأيّة مرتبة من مراتب الخصوص ، فالعامّ الحجّة مجمل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تطابق الإرادتين محكّمة عند العقلاء حتّى يعرف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بيان مرامه في الإرادة الجدّية والاستعمالية ، يتوقّف على تحقيق باب الحقائق والمجازات ، وإن مرّ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اللفظ في المعنى عبارة عن طلب عمل اللفظ فيه ؛ أي جعل اللفظ بإزائه ، وإحضاره في ذهن المخاطب بواسطته ، فحينئذٍ قد يستعمل اللفظ في المعنى ، ويريد المتكلّم أن يثبت المعنى في ذهن المخاطب ، ويكون غرضه إفهام المعنى الموضوع له وإثبات حكم له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ثبت</w:t>
      </w:r>
      <w:r>
        <w:rPr>
          <w:rStyle w:val="FootnoteAnchor"/>
          <w:rtl w:val="true"/>
        </w:rPr>
        <w:footnoteReference w:id="356"/>
      </w:r>
      <w:r>
        <w:rPr>
          <w:rFonts w:ascii="Amiri" w:hAnsi="Amiri" w:eastAsia="Amiri" w:cs="Amiri"/>
          <w:color w:val="111111"/>
          <w:sz w:val="28"/>
          <w:sz w:val="28"/>
          <w:szCs w:val="28"/>
          <w:rtl w:val="true"/>
          <w:lang w:bidi="ar-SA"/>
        </w:rPr>
        <w:t>، والحقيقة هي الثابت ، وهي صفة المعنى حقيقة ، واللفظ</w:t>
      </w:r>
    </w:p>
    <w:p>
      <w:pPr>
        <w:pStyle w:val="BookText"/>
        <w:rPr/>
      </w:pPr>
      <w:r>
        <w:rPr>
          <w:rFonts w:ascii="Amiri" w:hAnsi="Amiri" w:eastAsia="Amiri" w:cs="Amiri"/>
          <w:color w:val="111111"/>
          <w:sz w:val="28"/>
          <w:sz w:val="28"/>
          <w:szCs w:val="28"/>
          <w:rtl w:val="true"/>
          <w:lang w:bidi="ar-SA"/>
        </w:rPr>
        <w:t xml:space="preserve">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فيه ، ويريد المتكلّم أن لا يثبت المعنى الموضوع له في ذهنه ، بل ينتقل منه إلى معنىً آخر ، فيكون اللفظ مستعملاً في المعنى الموضوع له ، والمعنى الموضوع له مستعملاً في المعنى الآخر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استعمال المعنى الموضوع له في غيره ؛ هو طلب عمله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إحضاره في الذهن بواسطته ، بادّعاء اتّحاده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شخص سخيّ ، فاستعمل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الشخص المعروف من بني طيّ ، واُريد الانتقال منه إلى الجائي ؛ بدعوى اتّحاده معه ، ويقال لهذا الاستعمال </w:t>
      </w:r>
    </w:p>
    <w:p>
      <w:pPr>
        <w:pStyle w:val="BookText"/>
        <w:rPr/>
      </w:pPr>
      <w:r>
        <w:rPr>
          <w:rFonts w:ascii="Amiri" w:hAnsi="Amiri" w:eastAsia="Amiri" w:cs="Amiri"/>
          <w:color w:val="111111"/>
          <w:sz w:val="28"/>
          <w:sz w:val="28"/>
          <w:szCs w:val="28"/>
          <w:rtl w:val="true"/>
          <w:lang w:bidi="ar-SA"/>
        </w:rPr>
        <w:t xml:space="preserve">استعمالاً مجازياً ، وللمعنى مجازاً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عبره</w:t>
      </w:r>
      <w:r>
        <w:rPr>
          <w:rStyle w:val="FootnoteAnchor"/>
          <w:rtl w:val="true"/>
        </w:rPr>
        <w:footnoteReference w:id="357"/>
      </w:r>
      <w:r>
        <w:rPr>
          <w:rFonts w:ascii="Amiri" w:hAnsi="Amiri" w:eastAsia="Amiri" w:cs="Amiri"/>
          <w:color w:val="111111"/>
          <w:sz w:val="28"/>
          <w:sz w:val="28"/>
          <w:szCs w:val="28"/>
          <w:rtl w:val="true"/>
          <w:lang w:bidi="ar-SA"/>
        </w:rPr>
        <w:t xml:space="preserve">؛ لكون المعنى الموضوع له محلّ عبور الذهن وانتقاله إلى المعنى الغير الموضوع له ، فاللفظ مطلقاً لا يستعمل إلاّ في الموضوع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في الأوّل لإحضار المعنى في الذهن وإثباته فيه ، وفي الثاني لإحضاره فيه ؛ لكونه عَبرة إلى الآخر ؛ بدعوى اتّحاده معه ، ولولا ذلك لما كان مصحِّح للاستعمال ؛ فإنّ مصحّحه هو الوضع ، ولَما استحسنت الاستعمالات 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جاء شخص موصوف بكمال البخل والضنّة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ومضحكاً للحضّار ، ولولا استعمال اللفظ في معناه الحقيقي ، واستعمال المعنى في المعنى بدعوى الاتّحاد والعينية ، 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ومضحكاً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الوجدان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يكون عدّة ألفاظ لها معانٍ خاصّة ، لا يراد من واحدٍ منها المعنى المجازي ، بل من مجموعها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المجموع مستعمل فيه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فِى أَيْديهِمْ وَرَأوْا أَ نَّهُمْ قَدْ ضَلُّوا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حكاية عن قوم موسى وندامتهم على عبادة العجل ، فعبّر تعالى عن وحشتهم وندامتهم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فِى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مدّعياً اتّحادهم مع من سقط في يده شيء فجأة ، فأخذته الوحشة ، ومعلوم أنّ </w:t>
      </w:r>
    </w:p>
    <w:p>
      <w:pPr>
        <w:pStyle w:val="BookText"/>
        <w:rPr/>
      </w:pPr>
      <w:r>
        <w:rPr>
          <w:rFonts w:ascii="Amiri" w:hAnsi="Amiri" w:eastAsia="Amiri" w:cs="Amiri"/>
          <w:color w:val="111111"/>
          <w:sz w:val="28"/>
          <w:sz w:val="28"/>
          <w:szCs w:val="28"/>
          <w:rtl w:val="true"/>
          <w:lang w:bidi="ar-SA"/>
        </w:rPr>
        <w:t xml:space="preserve">كلّ واحدٍ من ألفاظ الجملة لم يستعمل إلاّ في معناه ، واُريد إحضار معنى الجملة في الذهن ؛ عَبرة إلى المعنى المجازي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حال المجازات والحقائق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استعمال الألفاظ إنّما هو في المعاني الموضوعة لها في الجميع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المعاني الحقيقية تكون مرادة استعمالاً وجدّاً في الاستعمالات الحقيقية ، وتكون مرادة 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الاستعمالات المجازية ، والمعاني المجازية تكون مرادة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الألفاظ مستعملة فيها ابتداءً ومستقيماً ، بل هي مستعملة في المعاني الحقيقية ، والمعاني مستعملة في المعاني 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قد يكون مستعملاً في العموم ، ويجعل المتكلّم المعنى العامّ عبرة للخاصّ ؛ بدعوى اتّحادهما ، مثل قول بعضهم في مدح بعض الاُمراء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العالم بلد الأمير ، وجميع الناس هو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يكون حاله حال سائر المجازات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يستعمل العامّ في معناه الموضوع له ، لكن لا يريد بقاء تمام أفراده في ذهن السامع وتعلّق الحكم بجميعها ، بل يريد إحضار العامّ وإخراج ما لا يريد أن يتعلّق به الحكم ؛ لعدم لفظٍ خاصّ للباقي ، أو تعلّق غرضه بإفهامه كذلك جرياً على العادة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جميعهم بالإرادة الاستعما لية ، ولم يكن العامّ مستعملاً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يريد بقاء العامّ على عمومه ، وقد يريد إخراج بعض الأفراد منه ، فيستعمل العامّ توطئة لإخراج الخاصّ وبقاء الباقي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الاستعمال لا يكون بمثابة الاستعمالات الحقيقية ؛ لعدم تعلّق الغرض ببقاء تمام الموضوع له في ذهن السامع وثباته فيه كالحقائق ، ولا بمثابة الاستعمالات المجازية ؛ لعدم ادّعاءٍ في البين ، وعدم عَبرة العامّ إلى المعنى الغير الموضوع له ، فهو أمر متوسّط بينهما ، فاُريد الخاصّ بالإرادة الاستعمالية في ضمن العامّ ، واُريد الباقي بالجدّية والاستعمالية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العامّ الاستغراقي والمجموعي ؛ أي اللفظ الموضوع للمركّبات ، كالدار والبستان والبيت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 إلاّ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العامّ الاستغراقي المخصّص ، وقد عرفت</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القدماء مثّلوا للعامّ المجموعي بمثل المركّبات ، وأمّا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جميع الأفراد التي يعتبر فيها الوحدة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لفظ خاصّ 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ما ذكرنا هو تفسير مرام المحقّق الخراساني ، وهو رحمه الله علیه وإن ذهب في المجازات إلى غير ما ذكرنا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فيها مستعملة في المعاني المجازية ، ومصحّح الاستعمال هو موافقة الطبع</w:t>
      </w:r>
      <w:r>
        <w:rPr>
          <w:rStyle w:val="FootnoteAnchor"/>
          <w:rtl w:val="true"/>
        </w:rPr>
        <w:footnoteReference w:id="360"/>
      </w:r>
      <w:r>
        <w:rPr>
          <w:rFonts w:ascii="Amiri" w:hAnsi="Amiri" w:eastAsia="Amiri" w:cs="Amiri"/>
          <w:color w:val="111111"/>
          <w:sz w:val="28"/>
          <w:sz w:val="28"/>
          <w:szCs w:val="28"/>
          <w:rtl w:val="true"/>
          <w:lang w:bidi="ar-SA"/>
        </w:rPr>
        <w:t>، لكن سلك في المقام ما هو التحقيق الحقيق بالتصديق</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ألفاظ العامّ في العموم ، إنّما هو لضرب القاعدة وللاحتجاج به في مقام الشكّ</w:t>
      </w:r>
      <w:r>
        <w:rPr>
          <w:rStyle w:val="FootnoteAnchor"/>
          <w:rtl w:val="true"/>
        </w:rPr>
        <w:footnoteReference w:id="362"/>
      </w:r>
      <w:r>
        <w:rPr>
          <w:rFonts w:ascii="Amiri" w:hAnsi="Amiri" w:eastAsia="Amiri" w:cs="Amiri"/>
          <w:color w:val="111111"/>
          <w:sz w:val="28"/>
          <w:sz w:val="28"/>
          <w:szCs w:val="28"/>
          <w:rtl w:val="true"/>
          <w:lang w:bidi="ar-SA"/>
        </w:rPr>
        <w:t xml:space="preserve">، ونحن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عادي طبيعي متعارف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فصّلناه هو تحقيق المقام بحسب البرهان ، وإلاّ فالأمر أسهل من ذلك ، فإنّا قد ذكرنا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علم الاُصول هو الحجّة في الفقه ، والعامّ المخصّص ممّا يحتجّ به في الفقه ؛ لأنّ بناء العقلاء هو على التمسّك بالعمومات الصادرة من الموالي بعد التخصيص ، من غير اعتناءٍ بمثل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صيرورة العامّ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وأمثالها شبهة في مقابل البديهة لدى العقلاء فتدبّر </w:t>
      </w:r>
      <w:r>
        <w:rPr>
          <w:rFonts w:eastAsia="Amiri" w:cs="Amiri" w:ascii="Amiri" w:hAnsi="Amiri"/>
          <w:color w:val="111111"/>
          <w:sz w:val="28"/>
          <w:szCs w:val="28"/>
          <w:rtl w:val="true"/>
          <w:lang w:bidi="ar-SA"/>
        </w:rPr>
        <w:t xml:space="preserve">. </w:t>
      </w:r>
      <w:bookmarkStart w:id="460" w:name="pg8033_81065"/>
    </w:p>
    <w:p>
      <w:pPr>
        <w:pStyle w:val="Heading3"/>
        <w:numPr>
          <w:ilvl w:val="2"/>
          <w:numId w:val="1"/>
        </w:numPr>
        <w:rPr/>
      </w:pPr>
      <w:bookmarkStart w:id="461" w:name="__RefHeading___Toc7368511_1051229030"/>
      <w:bookmarkStart w:id="462" w:name="_Toc166"/>
      <w:bookmarkEnd w:id="460"/>
      <w:bookmarkEnd w:id="461"/>
      <w:r>
        <w:rPr>
          <w:rtl w:val="true"/>
        </w:rPr>
        <w:t>فصل في سراية إجمال الخاصّ إلى العامّ</w:t>
      </w:r>
      <w:bookmarkEnd w:id="462"/>
    </w:p>
    <w:p>
      <w:pPr>
        <w:pStyle w:val="Heading4"/>
        <w:numPr>
          <w:ilvl w:val="3"/>
          <w:numId w:val="1"/>
        </w:numPr>
        <w:rPr/>
      </w:pPr>
      <w:bookmarkStart w:id="463" w:name="__RefHeading___Toc7368513_1051229030"/>
      <w:bookmarkStart w:id="464" w:name="_Toc167"/>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لا إشكال في أنّ الخاصّ المجمل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دائراً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يسري إجماله إلى العامّ إذا كان منفصلاً ؛ لعدم حجّيته إلاّ في القدر المتيقّن ، فيكون العامّ حجّة من غير معارضٍ في مقدار إجمال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سراية إجماله إليه مطلقاً إذا كان متّصلاً به ؛ لعدم انعقاد ظهوره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المنفصل المردّد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متساويين بحسب الأفراد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فيسري إجماله حكماً إلى العامّ ، ولا يتّبع ظهوره في واحدٍ منهما بالخصوص ، لكنّه حجّة في أحدهما المردّد ، ونتيجتها عدم جريان الاُصول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من زيد وعمرو ، لا يجوز التمسّك به في واحدٍ منهما لكنّه حجّة بالنسبة إلى واحد منهما ، فلا تجري البراءة أو استصحاب عدم التكليف فيهما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الخاصّ مجملاً بحسب المصداق ؛ بأن يكون مفهومه مبيّناً ، لكن </w:t>
      </w:r>
    </w:p>
    <w:p>
      <w:pPr>
        <w:pStyle w:val="BookText"/>
        <w:rPr/>
      </w:pPr>
      <w:r>
        <w:rPr>
          <w:rFonts w:ascii="Amiri" w:hAnsi="Amiri" w:eastAsia="Amiri" w:cs="Amiri"/>
          <w:color w:val="111111"/>
          <w:sz w:val="28"/>
          <w:sz w:val="28"/>
          <w:szCs w:val="28"/>
          <w:rtl w:val="true"/>
          <w:lang w:bidi="ar-SA"/>
        </w:rPr>
        <w:t xml:space="preserve">شكّ بالشبهة الخارجية في كون فردٍ مصداقاً له ، بعد العلم بكونه فرداً للعامّ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الخاصّ متّصلاً به ، فلا إشكال في عدم جواز التمسّك بالعامّ ؛ لعدم انعقاد ظهور له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منفصلاً منه ، ففيه خلاف بين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المصداق الخارجي لمّا كانت فرديته للعامّ معلومة ، يكون العامّ حجّة فيه ؛ لضمّ صغرى وجدانية إلى كبرى شرعية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خمر ، والخمر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رفع اليد عن الحجّة الفعلية بحجّة أقوى ، لكن الخاصّ لم يكن حجّة على الفرد ؛ لعدم العلم بكونه مصداقاً له ، فلا يمكن تشكيل القياس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بعد التخصيص يصير معنوناً ، فلا يمكن التمسّك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خلط بين التخصيص والتقييد ؛ لأنّ الثاني يوجب ذلك ، لا الأوّل ، فالخاصّ يخرج الأفراد من العامّ من غير تقييده بعنوانه ، والأفراد الباقية في المثال واجبو الإكرام بملاك كونهم علماء ، لا بملاك كونهم علماء عدولاً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المشكوك فيه يكون مشكوك الاندراج تحت المراد الجدّي للعامّ ، فلا يمكن التمسّك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مندرجاً تحته بالإرادة الاستعمالية نحكم بكونه مراداً جدّياً لأصالة تطابقهما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الاستدلال في جواز التمسّك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المحقّق الخراساني رحمه الله علیه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الفرد المشتبه ، وإن كان فرداً للعامّ بلا كلامٍ ، إلاّ أنّه لم يعلم كونه فرداً له بما هو حجّة ؛ لاختصاص </w:t>
      </w:r>
    </w:p>
    <w:p>
      <w:pPr>
        <w:pStyle w:val="BookText"/>
        <w:rPr/>
      </w:pPr>
      <w:r>
        <w:rPr>
          <w:rFonts w:ascii="Amiri" w:hAnsi="Amiri" w:eastAsia="Amiri" w:cs="Amiri"/>
          <w:color w:val="111111"/>
          <w:sz w:val="28"/>
          <w:sz w:val="28"/>
          <w:szCs w:val="28"/>
          <w:rtl w:val="true"/>
          <w:lang w:bidi="ar-SA"/>
        </w:rPr>
        <w:t>حجّيته بغير الفاسق ، فإنّ الخاصّ وإن لا يزاحم ظهور العامّ ، لكن يزاحمه بما هو حجّة ، فتخصّص حجّيته بغير عنوانه ، فحينئذٍ يكون الفرد المشتبه غيرَ معلوم الاندراج تحت إحدى الحجّتين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حجّية العامّ بالنسبة إلى الحكم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حجّيته بالنسبة إلى الأفراد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 حجّيته بالنسبة إلى الحكم الكلّي ، لا تتوقّف على معلومية الفرد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بالنسبة إلى وجوب إكرام كلّ عالم واقعي ؛ علم مصداقه أو لم يعلم ، ولهذا تجري الاُصول في إحراز موضوعه ونفيه ، فيستصحب بقاء عالمية زيد مثلاً أو نفيها ، ولولا حجّيته بالنسبة إلى الواقع مطلقاً ، لكان جريان الأصل بلا محلٍّ ، فالعامّ حجّة على الأفراد الواقعية ، وليس العبد معذوراً في ترك الفحص ، ولا حجّة له في ترك إكرام المصداق الواقعي ، بعد قيام الحجّة على وجوب إكرام كلّ رجل عالم واقعي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ظاهر في وجوب إكرام كلّ فردٍ واقعي ، والأصل العقلائي يقتضي مطابقة الإرادة الاستعمالية للجدّية ، فيكون حجّة على وجوب إكرام الأفراد الواقعية ، فإذا 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هو أيضاً حجّة على الحكم الكلّي ؛ من غير توقّفٍ على معلومية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بيان 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الخاصّ على أنّ إكرام العالم الفاسق ليس </w:t>
      </w:r>
    </w:p>
    <w:p>
      <w:pPr>
        <w:pStyle w:val="BookText"/>
        <w:rPr/>
      </w:pPr>
      <w:r>
        <w:rPr>
          <w:rFonts w:ascii="Amiri" w:hAnsi="Amiri" w:eastAsia="Amiri" w:cs="Amiri"/>
          <w:color w:val="111111"/>
          <w:sz w:val="28"/>
          <w:sz w:val="28"/>
          <w:szCs w:val="28"/>
          <w:rtl w:val="true"/>
          <w:lang w:bidi="ar-SA"/>
        </w:rPr>
        <w:t xml:space="preserve">بواجبٍ ، وتكون الإرادة الاستعمالية في العامّ بالنسبة إلى الفسّاق الواقعية من العلماء مخالفة للإرادة الجدّية ، فالأفراد الواقعية من العلماء العدول داخلة في العامّ بحسب الحجّية والإرادة الجدّية ، والفسّاق الواقعية خارجة عنه بحسب الإرادة الجدّية ، فالفرد المشتبه كما لا يكون الخاصّ حجّة بالنسبة إليه ؛ لإمكان كونه عادلاً ، لا يكون العامّ حجّة عليه ؛ لإمكان كونه فاسقاً واقعاً ، والفاسق الواقعي خارج من العامّ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يكون الفرد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فرداً للعامّ بحسب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مشكوكاً فيه من حيث مطابقة الجدّ والاستعمال ، والأصل العقلائي يقتضي المطابقة ، فيكون العامّ حجّة عليه ، ولا ترفع اليد عنه بغير حجّة 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 إجراء أصالة التطابق إحرازَ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الفرد المشتبه واجب الإكرام واقعاً ، ومصداقاً للعالم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تصلح لذلك ؛ للعلم بخروج الفاسق الواقعي ، والفرد مشكوك فيه فرضاً ، ولا يحرز الأصلُ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من إجرائها ؛ أنّ الحكم الظاهري عند الشكّ في الفسق هو التعبّد بوجوب الإكرام ، فيكون العامّ كفيلاً للحكم الواقعي والظاهري ، فلا يمكن ذلك ؛ لكون الحكمين في رتبتين ، والحكم الظاهري في طول الحكم الواقعي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بعمومه الأفرادي يشمل كلّ فردٍ ، وبإطلاقه الأحوالي يعمّ كلّ حالٍ من حالات الموضوع ، ومشكوكية الفرد ومعلوميته منها ، والخاصّ لا يكون </w:t>
      </w:r>
    </w:p>
    <w:p>
      <w:pPr>
        <w:pStyle w:val="BookText"/>
        <w:rPr/>
      </w:pPr>
      <w:r>
        <w:rPr>
          <w:rFonts w:ascii="Amiri" w:hAnsi="Amiri" w:eastAsia="Amiri" w:cs="Amiri"/>
          <w:color w:val="111111"/>
          <w:sz w:val="28"/>
          <w:sz w:val="28"/>
          <w:szCs w:val="28"/>
          <w:rtl w:val="true"/>
          <w:lang w:bidi="ar-SA"/>
        </w:rPr>
        <w:t xml:space="preserve">حجّة إلاّ بالنسبة إلى الفرد المعلوم ، والمشكوك فيه باقٍ تحت العامّ ، ويكون حكماً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أشرنا إليه من عدم إمكان تكفّل العامّ للحكمين المترتّبين ؛ للاحتياج إلى استئناف نظرٍ من المنشئ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الإطلاق ليس لحاظ القيود المتكثّرة ؛ والأحوال المتخالفة اللاحقة للموضوع ؛ لامتناع كون العنوان الواحد آلة للحاظ الكثير ، فلا يمكن أن يكون العالم مثلاً مرآةً للكثرات إلاّ بما أ نّها عالم ، لا بجهات وحالات اُخرى من المشكوكية والمعلومية والطول والقصر ، بل المراد من الإطلاق هو عدم تقيّد ما هو الموضوع بأمرٍ ، ولا يكون موضوع الحكم في القضيّة إلاّ العنوان المأخوذ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كون العنوان المأخوذ في القضيّة تمام الموضوع للحكم ؛ من غير تقيّده بقيدٍ آخر ، وهو معنى الإرسال أيضاً ؛ أي كونه مرسلاً من القيود ، فالعالم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للوجوب ، من غير دخالة شيء آخر فيه ، ولازمه أ نّه كلّما تحقّق عنوان العالم يجب الإكرام ؛ تحقّق عنوان آخر أو لا ، ومع جميع المقارنات يكون الموضوع هو عنوان العالم ، وتكون القيود والمقارنات كالحجر جنب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المشكوك في فسقه ، لا يكون موضوع الحكم إلاّ بما أ نّه عالم ، فلا يعقل أن يكون الحكم المتعلّق بالعنوان الواقعي من غير أخذ الشكّ فيه حكماً ظاهرياً ؛ لتقوّم الحكم الظاهري بكون موضوعه عنوان المشكوك فيه بما أنّه كذلك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تعلّق حكمه بجميع الأفراد الواقعية بما </w:t>
      </w:r>
    </w:p>
    <w:p>
      <w:pPr>
        <w:pStyle w:val="BookText"/>
        <w:rPr/>
      </w:pPr>
      <w:r>
        <w:rPr>
          <w:rFonts w:ascii="Amiri" w:hAnsi="Amiri" w:eastAsia="Amiri" w:cs="Amiri"/>
          <w:color w:val="111111"/>
          <w:sz w:val="28"/>
          <w:sz w:val="28"/>
          <w:szCs w:val="28"/>
          <w:rtl w:val="true"/>
          <w:lang w:bidi="ar-SA"/>
        </w:rPr>
        <w:t xml:space="preserve">أ نّها أفراد العالم بالإرادة الاستعمالية ، والأصل العقلائي يحكم بمطابقتها للإرادة الجدّية ، والمخصِّص قد أخرج الأفراد الواقعية بعنوانه من تحت العامّ ، ودلّ على أنّ المتكلّم بالعامّ تكون إرادته الجدّية في مورد الخاصّ مخالفة للاستعمالية ، فيكون الحكم الواقعي بعد التخصيص وجوب إكرام العالم الغير الفاسق ، وعدم وجوب إكرام العالم الفاسق ؛ فعند الشكّ في كون فردٍ من العالم أ نّه فاسق ، فإن اُريد بالتمسّك بالعامّ أو الأصل العقلائي وجوبُ إكرام الفرد المشكوك فيه واقعاً ولو كان فاسقاً ، فلا يمكن التزامه ؛ لأنّ الفاسق الواقعي غير واجب الإكرام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إثبات حكم ظاهري لدى الشكّ ، فلا يعقل تكفُّل العامّ لحكمين واقعي وظاهري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 كلام المحقّق الخراساني إلى ما ذكرنا فهو ، وإلاّ فإتمامه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لعدم جواز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العقلاء في التمسّك بالعامّ في التخصيص ، إنّما يكون فيما إذا لزم من خروج الفرد التخصيصُ الزائد ، كما لو شكّ في خروج الفسّاق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خرج عنوان ، وشكّ في كون فرد منه أو لا ، فلا ؛ لعدم لزوم التخصيص الزائد لو كان الفرد من عنوان الخاصّ ؛ لأنّ ما خرج هو عنوان الفاسق لا أفراده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حال المخصِّصات اللفظية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اللبّيات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من تقريرات العلاّمة الأنصاري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التمسّك وعدم جوازه ، مبتنيان على معنونية المخصِّص بعنوانٍ خاصّ كعنوان </w:t>
      </w:r>
    </w:p>
    <w:p>
      <w:pPr>
        <w:pStyle w:val="BookText"/>
        <w:rPr/>
      </w:pPr>
      <w:r>
        <w:rPr>
          <w:rFonts w:ascii="Amiri" w:hAnsi="Amiri" w:eastAsia="Amiri" w:cs="Amiri"/>
          <w:color w:val="111111"/>
          <w:sz w:val="28"/>
          <w:sz w:val="28"/>
          <w:szCs w:val="28"/>
          <w:rtl w:val="true"/>
          <w:lang w:bidi="ar-SA"/>
        </w:rPr>
        <w:t>الفاسق ، وعدمه مثل ما إذا أخرج ذوات الأفراد من غير عنوانٍ ، فلا يجوز على الأوّل ، دون الثاني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الغالب في المخصِّصات اللفظية هو الأوّل ، وفي اللبّية هو الثاني ، كما إذا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بعدم إرادته إكرام عدوّه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لم يكن المخصّص اللبّي معنوناً بعنوان بل اُخرج ذوات الأفراد ، خرجت الشبهة عن كونها مصداقية ، فإنّ معنى الشبهة المصداقية كون الفرد مشكوك الاندراج تحت عنوان الخاصّ ، ومع عدم معنونية الخاصّ يرجع الشكّ إلى الشكّ في التخصيص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توجيه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المخصّص ربّما لا يكون معنوناً بعنوانٍ خاصّ ، بل يكون مخرجاً لذوات الأفراد ، لكن بحيثية تعليلية وعلّة سارية ، كما سيأتي تفصيله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 في اللبّيات بين ما يصحّ أن يتّكل عليه المتكلّم إذا كان بصدد البيان في مقام التخاطب وغيره ، فجوّز في الثاني ، دون الأوّل ؛ لعدم انعقاد الظهور فيه للعامّ إلاّ في الخصوص ، وأمّا في الثاني فالظاهر بقاء العامّ في الفرد المشتبه على حجّيته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علم ممّا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الحجّية هو الكبرى الكلّية الملقاة </w:t>
      </w:r>
    </w:p>
    <w:p>
      <w:pPr>
        <w:pStyle w:val="BookText"/>
        <w:rPr/>
      </w:pPr>
      <w:r>
        <w:rPr>
          <w:rFonts w:ascii="Amiri" w:hAnsi="Amiri" w:eastAsia="Amiri" w:cs="Amiri"/>
          <w:color w:val="111111"/>
          <w:sz w:val="28"/>
          <w:sz w:val="28"/>
          <w:szCs w:val="28"/>
          <w:rtl w:val="true"/>
          <w:lang w:bidi="ar-SA"/>
        </w:rPr>
        <w:t xml:space="preserve">من الشارع ؛ من غير فرق بين ما ألقاها باللفظ ، وما التفت إليه العقل ، أو اُلقيت بدليل آخر من اللبّ ، فالمخصِّص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لفظياً أو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الأفراد بوجودها الواقعي بحسب الكبرى الكلّية ، والفرد المشكوك فيه ، كما أ نّه مشكوك في اندراجه تحت كبرى المخصِّص ، كذلك بالنسبة إلى كبرى العامّ بما هي حجّة ومراد جدّي ؛ من غير فرق بين اللفظيات واللبّيات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العامّ كفيلاً للحكم الواقعي والظاهري لزم ما أسلفناه من لزوم الجمع بين الحكمين المترتّبين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كلامه بما لا يخلو من 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المولى كما اتّكل على عقل المكلّف في المخصِّص المتّصل بحسب الكبرى الكلّية ، كذلك يمكن أن يتّكل عليه في تشخيص صغرياتها ؛ أي لم يكتفِ في التخصيص باللبّي بالاتّكال على عقله في الكبرى فقط ، فحينئذٍ لا يكفي في التخصيص صرف معلومية عنوان المخصِّص بحسب الكبرى الكلّية ، بل لا بدّ في إخراج الأفراد عن العموم من تشخيص الصغرى وضمّها إلى الكبرى حتّى يخرج الفرد من تحت العامّ ، فيكون هاهنا حكم واقعي لأفراد واقعية بحسب الإرادة الجدّية في العامّ ، وحكم ظاهري لأفراد مشكوك في كونها من الخاصّ ، لا بحسب الإرادة ا لجدّية ، بل لأجل حفظ الحمى ؛ بمعنى أنّ لزوم إكرام الأفراد المشكوك فيها لأجل محفوظية الأفراد النفس الأمرية للعامّ ؛ حيث لا تنحفظ إلاّ بذلك ، ولا مانع عقلاً من تصوير هذا النحو من الحكم الواقعي والظاهري للعامّ بعد تخصيصه على النحو المتقدّم ، لكنّه أيضاً لا يخلو من إشكالٍ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هاهنا اُمور </w:t>
      </w:r>
      <w:r>
        <w:rPr>
          <w:rFonts w:eastAsia="Amiri" w:cs="Amiri" w:ascii="Amiri" w:hAnsi="Amiri"/>
          <w:color w:val="111111"/>
          <w:sz w:val="28"/>
          <w:szCs w:val="28"/>
          <w:rtl w:val="true"/>
          <w:lang w:bidi="ar-SA"/>
        </w:rPr>
        <w:t xml:space="preserve">: </w:t>
      </w:r>
      <w:bookmarkStart w:id="465" w:name="pg8033_81081"/>
    </w:p>
    <w:p>
      <w:pPr>
        <w:pStyle w:val="Heading4"/>
        <w:numPr>
          <w:ilvl w:val="3"/>
          <w:numId w:val="1"/>
        </w:numPr>
        <w:rPr/>
      </w:pPr>
      <w:bookmarkStart w:id="466" w:name="__RefHeading___Toc7368515_1051229030"/>
      <w:bookmarkStart w:id="467" w:name="_Toc168"/>
      <w:bookmarkEnd w:id="465"/>
      <w:bookmarkEnd w:id="466"/>
      <w:r>
        <w:rPr>
          <w:rtl w:val="true"/>
        </w:rPr>
        <w:t>الأمر الأوّل</w:t>
      </w:r>
      <w:r>
        <w:rPr>
          <w:rtl w:val="true"/>
        </w:rPr>
        <w:t xml:space="preserve">: </w:t>
      </w:r>
      <w:r>
        <w:rPr>
          <w:rtl w:val="true"/>
        </w:rPr>
        <w:t>في التمسّك بالعامّ إذا كان الخاصّ معلّلاً</w:t>
      </w:r>
      <w:bookmarkEnd w:id="467"/>
    </w:p>
    <w:p>
      <w:pPr>
        <w:pStyle w:val="BookText"/>
        <w:rPr/>
      </w:pPr>
      <w:r>
        <w:rPr>
          <w:rFonts w:ascii="Amiri" w:hAnsi="Amiri" w:eastAsia="Amiri" w:cs="Amiri"/>
          <w:color w:val="111111"/>
          <w:sz w:val="28"/>
          <w:sz w:val="28"/>
          <w:szCs w:val="28"/>
          <w:rtl w:val="true"/>
          <w:lang w:bidi="ar-SA"/>
        </w:rPr>
        <w:t xml:space="preserve">لو كان المخصِّص ذوات الأفراد ، لكن بحيثية تعليلية ،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وعمراً وبكراً ؛ لأنّهم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يكون كالتخصيص الزائد في مورد الشكّ في فسق مصداق ، ويجوز التمسّك بالعامّ ، أو كالمخصّص اللفظي المعنون بعنوان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التمسّك به ؟</w:t>
      </w:r>
    </w:p>
    <w:p>
      <w:pPr>
        <w:pStyle w:val="BookText"/>
        <w:rPr/>
      </w:pPr>
      <w:r>
        <w:rPr>
          <w:rFonts w:ascii="Amiri" w:hAnsi="Amiri" w:eastAsia="Amiri" w:cs="Amiri"/>
          <w:color w:val="111111"/>
          <w:sz w:val="28"/>
          <w:sz w:val="28"/>
          <w:szCs w:val="28"/>
          <w:rtl w:val="true"/>
          <w:lang w:bidi="ar-SA"/>
        </w:rPr>
        <w:t xml:space="preserve">لا يبعد الجواز ؛ لأنّ الفرد المشكوك فيه لا يكون من قبيل الشبهة المصداقية فرضاً ، بل من قبيل الشكّ في التخصيص الزائد ؛ وإن كان منشؤه الشكّ في سريان العلّة في المشكوك فيه </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368517_1051229030"/>
      <w:bookmarkStart w:id="469" w:name="_Toc169"/>
      <w:bookmarkEnd w:id="468"/>
      <w:r>
        <w:rPr>
          <w:rtl w:val="true"/>
        </w:rPr>
        <w:t>الأمر الثاني</w:t>
      </w:r>
      <w:r>
        <w:rPr>
          <w:rtl w:val="true"/>
        </w:rPr>
        <w:t xml:space="preserve">: </w:t>
      </w:r>
      <w:r>
        <w:rPr>
          <w:rtl w:val="true"/>
        </w:rPr>
        <w:t>في العامّين من وجه المتنافيي الحكم</w:t>
      </w:r>
      <w:bookmarkEnd w:id="46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حكمان متنافيان على عنوانين مستقلّين يكون بينهما عموم من وجهٍ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كلّ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علم تصادقهما على موضوع ومصداق خارجي ، فلا إشكال في تقديم أقوى المقتضيين ، والحكم بالتخيير والتساوي في صورة عدم رجحانهما ؛ لأنّ المورد من قبيل تزاحم المقتضيين </w:t>
      </w:r>
      <w:r>
        <w:rPr>
          <w:rFonts w:eastAsia="Amiri" w:cs="Amiri" w:ascii="Amiri" w:hAnsi="Amiri"/>
          <w:color w:val="111111"/>
          <w:sz w:val="28"/>
          <w:szCs w:val="28"/>
          <w:rtl w:val="true"/>
          <w:lang w:bidi="ar-SA"/>
        </w:rPr>
        <w:t xml:space="preserve">. </w:t>
      </w:r>
      <w:bookmarkStart w:id="470" w:name="pg8033_81083"/>
    </w:p>
    <w:p>
      <w:pPr>
        <w:pStyle w:val="BookText"/>
        <w:rPr/>
      </w:pPr>
      <w:bookmarkEnd w:id="470"/>
      <w:r>
        <w:rPr>
          <w:rFonts w:ascii="Amiri" w:hAnsi="Amiri" w:eastAsia="Amiri" w:cs="Amiri"/>
          <w:color w:val="111111"/>
          <w:sz w:val="28"/>
          <w:sz w:val="28"/>
          <w:szCs w:val="28"/>
          <w:rtl w:val="true"/>
          <w:lang w:bidi="ar-SA"/>
        </w:rPr>
        <w:t>وأمّا لو علم صدق أحد العامّين على فردٍ ، وشكّ في كونه مصداقاً للآخر ، كأن</w:t>
      </w:r>
    </w:p>
    <w:p>
      <w:pPr>
        <w:pStyle w:val="BookText"/>
        <w:rPr/>
      </w:pPr>
      <w:r>
        <w:rPr>
          <w:rFonts w:ascii="Amiri" w:hAnsi="Amiri" w:eastAsia="Amiri" w:cs="Amiri"/>
          <w:color w:val="111111"/>
          <w:sz w:val="28"/>
          <w:sz w:val="28"/>
          <w:szCs w:val="28"/>
          <w:rtl w:val="true"/>
          <w:lang w:bidi="ar-SA"/>
        </w:rPr>
        <w:t xml:space="preserve">علم كون زيدٍ عالماً ، وشكّ في فسقه ، فهل 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بملاك أنّ حجّية العامّ تامّة ، وكون الفرد مصداقاً له محرزاً بالوجدان ، ونشكّ في وجود حجّة مزاحمة له ، أو لا يجوز ؛ لأنّ الخارج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الأفراد الواقعية ، فالشكّ في الفرد هو الشكّ في حجّية العامّ بالنسبة إليه ، كما ذكرنا سالفاً</w:t>
      </w:r>
      <w:r>
        <w:rPr>
          <w:rStyle w:val="FootnoteAnchor"/>
          <w:rtl w:val="true"/>
        </w:rPr>
        <w:footnoteReference w:id="3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هو الأوّل ؛ لأنّ الحكم الثابت لعنوانٍ مستقلّ آخر ، ليس من قبيل الإخراج والتخصيص ؛ حتّى يأتي فيه ما ذكرناه سابقاً ، بل من قبيل إثبات حكم لموضوع مقتضٍ له ، فالموارد المتصادقة من قبيل تزاحم الحجّتين ، لا تخصيص أحدهما بالآخر ، فالفرد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إحدى الحجّتين بالنسبة إليه ، وعدم تمامية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التمسّك بالحجّة ، وليس رفع اليد عنها إلاّ بغير الحجّة ، وهذا ممّا لا إشكال فيه </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368519_1051229030"/>
      <w:bookmarkStart w:id="472" w:name="_Toc170"/>
      <w:bookmarkEnd w:id="471"/>
      <w:r>
        <w:rPr>
          <w:rtl w:val="true"/>
        </w:rPr>
        <w:t>الأمر الثالث</w:t>
      </w:r>
      <w:r>
        <w:rPr>
          <w:rtl w:val="true"/>
        </w:rPr>
        <w:t xml:space="preserve">: </w:t>
      </w:r>
      <w:r>
        <w:rPr>
          <w:rtl w:val="true"/>
        </w:rPr>
        <w:t>في إحراز المصداق بالأصل في الشبهة المصداقية</w:t>
      </w:r>
      <w:bookmarkEnd w:id="472"/>
    </w:p>
    <w:p>
      <w:pPr>
        <w:pStyle w:val="Heading5"/>
        <w:numPr>
          <w:ilvl w:val="4"/>
          <w:numId w:val="1"/>
        </w:numPr>
        <w:rPr/>
      </w:pPr>
      <w:bookmarkStart w:id="473" w:name="__RefHeading___Toc7368521_1051229030"/>
      <w:bookmarkStart w:id="474" w:name="_Toc171"/>
      <w:bookmarkEnd w:id="473"/>
      <w:r>
        <w:rPr>
          <w:rtl w:val="true"/>
        </w:rPr>
        <w:t>في إحراز المصداق بالأصل في الشبهة المصداقية</w:t>
      </w:r>
      <w:bookmarkEnd w:id="474"/>
    </w:p>
    <w:p>
      <w:pPr>
        <w:pStyle w:val="BookText"/>
        <w:rPr/>
      </w:pPr>
      <w:r>
        <w:rPr>
          <w:rFonts w:ascii="Amiri" w:hAnsi="Amiri" w:eastAsia="Amiri" w:cs="Amiri"/>
          <w:color w:val="111111"/>
          <w:sz w:val="28"/>
          <w:sz w:val="28"/>
          <w:szCs w:val="28"/>
          <w:rtl w:val="true"/>
          <w:lang w:bidi="ar-SA"/>
        </w:rPr>
        <w:t xml:space="preserve">لعلّك سمعت أنّ القضايا مطلقاً تنقسم إلى الهلية البسيطة والمركّبة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الوجود محمولاً لموضوعها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فالوجود محمولي ، والقضيّة بسيطة ؛ لكونها أبسط من المركّبة ، </w:t>
      </w:r>
    </w:p>
    <w:p>
      <w:pPr>
        <w:pStyle w:val="BookText"/>
        <w:rPr/>
      </w:pPr>
      <w:r>
        <w:rPr>
          <w:rFonts w:ascii="Amiri" w:hAnsi="Amiri" w:eastAsia="Amiri" w:cs="Amiri"/>
          <w:color w:val="111111"/>
          <w:sz w:val="28"/>
          <w:sz w:val="28"/>
          <w:szCs w:val="28"/>
          <w:rtl w:val="true"/>
          <w:lang w:bidi="ar-SA"/>
        </w:rPr>
        <w:t xml:space="preserve">أو لكون الوجود البسيط الغير المتقيّد محمولاً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الوجود رابطاً فيها ، والمحمول غير الوجود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الوجود فيها رابط بين الموضوع والمحمول وليس محمولاً ، ولذا قيل إنّ الوجود الرابط يختصّ بالهليات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برأسها ، لا كما قيل من أنّ السلب في السلبيات وارد على النسبة الإيجابية ، ويعتبر في القضيّة السالبة الإيجاب أوّلاً ، ثمّ يرد السلب عليه ، ويكون أجزاء القضيّة أربعة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خلاف الوجدان في السالبات ، بل القضيّة السالبة مركّبة من ثلاثة أجزاء كالموجبة ، والنسبة السلبية نسبة بسيطة كالإيجابية ، كما أنّ إيقاع النسبة وانتزاعها ليسا من أجزاء القضيّة ؛ لأنّ أجزاءها إنّما هي ما تكون ثابتة في المادّة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ليس في الخارج شيء وراء الموضوع والمحمول والنسبة التي بينهما ؛ كي يكون هو إيقاع النسبة أو انتزاعها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المخصّص بالمنفصل ، أو بمثل الاستثناء من المتّصل ، لمّا كان غير معنونٍ بعنوانٍ خاصّ ، بل بكلّ عنوانٍ غير عنوان الخاصّ ، ويكون جميع الأفراد مشمولة له بعنوانٍ واحد هو عنوان العامّ ، والمخصِّص إنّما يخرج بعض الأفراد من غير حصول قيدٍ في العامّ ، ومن غير تعنونه بعنوانٍ ، كان إحراز المشتبه منه بالأصل الموضوعي غالباً ممكناً ، وذلك بوجهين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الأوّل في تقرير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المحقّق الخراساني رحمه الله علیه ، وهو بنحو السالبة الهلية البسيطة كما إذا شكّ في امرأة أ نّها قرشية أو غيرها ، بعد ورود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ترى الدم إلى خمسين</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 وقد خرجت بالمنفصل أو بنحو الاستثناء المرأة القرشية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إحراز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انتساب هذه المرأة إلى قريش لم يكن سابقاً ، والآن كما كان ، فهذه القضيّة هلية بسيطة سالبة ، موضوعها انتساب المرأة إلى قريش ، ومحمولها هو الوجود ، والنسبة 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القضيّة المتيقّنة سالبة بسلب الموضوع ، والمشكوك فيها سالبة بسلب المحمول ، لا يضرّ بالاستصحاب ؛ فإنّ القضيّة السالبة بسلب الموضوع أو المحمول لم تكن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 ؛ لأنّ القضايا تنقسم إلى الموجبات والسوالب ، ولا ثالث لهما ، فالقضيّة السلبية أعمّ من السلب الموضوعي أو المحمولي ، وهي قضيّة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انتساب المرأة إلى قريش تجدي في تنقيح الموضوع ، وأنّها ممّن لا تحيض إلاّ إلى 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الانتساب لا تجدي في تنقيح الموضوع إلاّ بالأصل المثبت ؛ لأنّ ما خرج من العامّ هي المرأة القرشية ، وما بقي هي المرأة الغير القرشية ، والأصل بنحو الهلية البسيطة لا يثبت كونها غير قرشية ، أو عدم كونها قرشية بنحو الهلية المركّبة ، التي هي موضوع الحكم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يجدي ذلك لو احتجنا إليه ، لكن لا نحتاج إليه ؛ لأنّ العامّ شامل </w:t>
      </w:r>
    </w:p>
    <w:p>
      <w:pPr>
        <w:pStyle w:val="BookText"/>
        <w:rPr/>
      </w:pPr>
      <w:r>
        <w:rPr>
          <w:rFonts w:ascii="Amiri" w:hAnsi="Amiri" w:eastAsia="Amiri" w:cs="Amiri"/>
          <w:color w:val="111111"/>
          <w:sz w:val="28"/>
          <w:sz w:val="28"/>
          <w:szCs w:val="28"/>
          <w:rtl w:val="true"/>
          <w:lang w:bidi="ar-SA"/>
        </w:rPr>
        <w:t xml:space="preserve">لجميع الأفراد ، والمانع منه هو عنوان الخاصّ ، وأصالة عدم الانتساب تدفع المانع ، فيبقى الفرد تحت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الموضوع في الحكم هو العنوان المأخوذ فيه ، فالمرأة تمام الموضوع لرؤية الدم إلى خمسين ، وبعد خروج القرشية يكون الموضوع أيضاً هو عنوان العامّ من غير تقييده بشيءٍ ، والفرض أنّ المرأة محرزة بالوجدان ، والمانع من تعلّق الحكم هو الشكّ في كونها من عنوان الخاصّ ، وهو أيضاً مدفوع بالأصل ، فأصالة عدم الانتساب إلى قريش ممّا يجدي لإثبات الحكم لها ؛ من غير احتياجٍ إلى إثبات كونها غير قرشية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حاصل ما أفاده المحقّق الخراساني بتوضيحٍ منّا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الباقي تحت العامّ بعد تخصيصه بالمنفصل أو كالاستثناء من المتّصل ، لمّا كان غير معنونٍ بعنوانٍ خاصّ ، بل بكلِّ عنوانٍ لم يكن ذاك بعنوان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الإشكال والسقوط ، إن أراد بمعنونية العامّ بكلّ عنوانٍ أنّ جميع العناوين المقارنة للأفراد دخيلة في موضوعية الحكم ، حتّى تكون المرأة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ترى الدم 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للحكم مع جميع حالاتها اللاحقة بها ، كالعالمية والجاهلية والقرشية وغيرها لأنّ ذلك واضح الفساد ، فإنّ كلّ عنوانٍ اُخذ في موضوع الحكم ، لا يمكن أن يتجاوز الحكم عنه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يضرّ مقارنته بكلّ عنوانٍ خارجي ، فالمرأة في المثال المذكور موضوع للحكم من غير دخالة شيءٍ آخر فيه ، ومع كلّ مقارنٍ تكون هي بنفسها موضوعاً له ، ولعلّ مراده يرجع إلى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الانتساب ممّا لا أصل لها ؛ لأنّ القضيّة المتيقّنة في الاستصحاب لا بدّ وأن تكون عين القضيّة المشكوك فيها ، وفيما نحن فيه ليست كذلك ؛ لأنّ هذه المرأة لم تكن قبل وجودها قابلة للإشارة ، وليست هذيتها محفوظة ، فانتساب هذه المرأة في الأزل ممّا لا يجوز أن يقال معدومة أو موجودة وليست معدومية انتسابها تقابل موجوديته تقابل الإيجاب والسلب ، بل كتقابل العدم والملكة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الانتساب لمّا كان من الاُمور الإضافية والاعتبارية ، فلا تحقّق له إلاّ بعد تحقّق المرأة ووجودها ، وقبله لا يعتبر الانتساب ، لا أنّه يعتبر عدم الانتساب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العامّ بعد التخصيص ، يصير بحسب مقام الثبوت والواقع معنوناً بعنوانٍ وجودي أو عدمي ، ولا يعقل أن تكون الأفراد بعد التخصيص نفس ذاتها ؛ من غير حصول عنوانٍ مقابل للخاصّ لها ؛ ضرورة أنّ المرأة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ترى الدم 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القرشية ترى الدم إلى ستّين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لا يمكن أن تكون تمام الموضوع لرؤية الدم إلى خمسين ، بل الموضوع هي المرأة الغير القرشية ، أو المرأة التي ليست بقرشية على نعت الليسية </w:t>
      </w:r>
    </w:p>
    <w:p>
      <w:pPr>
        <w:pStyle w:val="BookText"/>
        <w:rPr/>
      </w:pPr>
      <w:r>
        <w:rPr>
          <w:rFonts w:ascii="Amiri" w:hAnsi="Amiri" w:eastAsia="Amiri" w:cs="Amiri"/>
          <w:color w:val="111111"/>
          <w:sz w:val="28"/>
          <w:sz w:val="28"/>
          <w:szCs w:val="28"/>
          <w:rtl w:val="true"/>
          <w:lang w:bidi="ar-SA"/>
        </w:rPr>
        <w:t xml:space="preserve">الناقصة والعدم النعتي ، فلا مجرى للاستصحاب لإثبات كونها غير قرشية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الإشكال على الإيراد الذي أورده بعض المتأخّرين من أعاظم المعاصرين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التخصيص إن كان كالتقييد يخرج العامّ عن تمام الموضوعية إلى بعضها ، يكون الأصل مجدياً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خلافه ؛ فإنّ شأن المخصِّص إخراج الفرد مع إبقاء العامّ على تمام الموضوعية ، وإنّما يقلّل العامّ بلا انقلابٍ فيه ، نظير موت بعض الأفراد ، فلا يبقى مجال لجريان الأصل ؛ إذ الأصل السالب ليس شأنه إلاّ نفي الحكم الخاصّ عن مورده ، لا إثبات حكم العامّ عليه ، ونفي أحد الحكمين بالأصل لا يثبت الآخر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التخصيص غير باب التقييد ، أنّ ظهور العامّ لا ينقلب عمّا هو عليه ، ولا تصير البقيّة بعد التخصيص متقيّدة بحسب مقام الظهور ، فهو مسلّم ، لكن لا يضرّ بجريان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الحكم بحسب الواقع والإرادة الجدّية كذلك ، وأنّ العامّ بعد التخصيص يبقى على تمام الموضوعية واقعاً ، فهو ظاهر البطلان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في تقرير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أصالة عدم القرشية بنحو الهلية المركّبة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لم تكن قرشية قبل وجودها ، والآن كما كانت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عين ما أوردنا على المحقّق الخراساني </w:t>
      </w:r>
      <w:r>
        <w:rPr>
          <w:rFonts w:eastAsia="Amiri" w:cs="Amiri" w:ascii="Amiri" w:hAnsi="Amiri"/>
          <w:color w:val="111111"/>
          <w:sz w:val="28"/>
          <w:szCs w:val="28"/>
          <w:rtl w:val="true"/>
          <w:lang w:bidi="ar-SA"/>
        </w:rPr>
        <w:t xml:space="preserve">. </w:t>
      </w:r>
      <w:bookmarkStart w:id="475" w:name="pg8033_81095"/>
    </w:p>
    <w:p>
      <w:pPr>
        <w:pStyle w:val="Heading5"/>
        <w:numPr>
          <w:ilvl w:val="4"/>
          <w:numId w:val="1"/>
        </w:numPr>
        <w:rPr/>
      </w:pPr>
      <w:bookmarkStart w:id="476" w:name="__RefHeading___Toc7368523_1051229030"/>
      <w:bookmarkStart w:id="477" w:name="_Toc172"/>
      <w:bookmarkEnd w:id="475"/>
      <w:bookmarkEnd w:id="476"/>
      <w:r>
        <w:rPr>
          <w:rtl w:val="true"/>
        </w:rPr>
        <w:t xml:space="preserve">وهم وإزاحة </w:t>
      </w:r>
      <w:r>
        <w:rPr>
          <w:rtl w:val="true"/>
        </w:rPr>
        <w:t>:</w:t>
      </w:r>
      <w:bookmarkEnd w:id="477"/>
    </w:p>
    <w:p>
      <w:pPr>
        <w:pStyle w:val="BookText"/>
        <w:rPr/>
      </w:pPr>
      <w:r>
        <w:rPr>
          <w:rFonts w:ascii="Amiri" w:hAnsi="Amiri" w:eastAsia="Amiri" w:cs="Amiri"/>
          <w:color w:val="111111"/>
          <w:sz w:val="28"/>
          <w:sz w:val="28"/>
          <w:szCs w:val="28"/>
          <w:rtl w:val="true"/>
          <w:lang w:bidi="ar-SA"/>
        </w:rPr>
        <w:t xml:space="preserve">قال المحقّق الخراساني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يظهر من بعضهم</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بالعمومات فيما إذا شكّ في فردٍ ، لا من جهة احتمال التخصيص ، بل من جهة اُخرى ، كما إذا شكّ في صحّة الوضوء أو الغسل بمائعٍ مضاف ، فيستكشف صحّته بعموم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فيما إذا وقع متعلّقاً 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ممّا لا يكاد يتوهّمه عاقل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جواز التمسّك بأدلّة وجوب الوفاء بالنذر لصحّة الوضوء بالمائع المضاف ، ليس إلاّ من جهة عدم جواز التمسّك بالعامّ في الشبهة المصداقية ؛ فإنّ أدلّة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إلاّ في طاعة اللّه</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قبيل العامّ المخصّص ؛ ممّا لا يجوز التمسّك بها فيما شكّ في كونه طاعة اللّه من جهة الشبهة المصداقية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دعوى كشف حال الفرد بعد التمسّك بالعامّ ، فيحكم بصحّة الوضوء ، وكونه طاعة اللّه ، فهو من أفراد العامّ لا المخصِّص ، وهذا ظاهر الفساد ، وأمّا صِرف التمسّك بالعامّ في الشبهة المصداقية ، فليس ظاهر الفساد ولا ينبغي التعبير عنه بما عبّر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إلاّ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المقيّد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معنوناً بعنوانه فيكون التمسّك به من قبيل التمسّك بالعامّ في الشبهة المصداقية لنفس العامّ ، وهو ممّا لا يلتزم به عاقل ، كما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تأييد كلام هذا القائل بما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أدلّة صحّة الإحرام قبل الميقات والصيام في السفر إذا تعلّق بهما النذر</w:t>
      </w:r>
      <w:r>
        <w:rPr>
          <w:rStyle w:val="FootnoteAnchor"/>
          <w:rtl w:val="true"/>
        </w:rPr>
        <w:footnoteReference w:id="379"/>
      </w:r>
      <w:r>
        <w:rPr>
          <w:rFonts w:ascii="Amiri" w:hAnsi="Amiri" w:eastAsia="Amiri" w:cs="Amiri"/>
          <w:color w:val="111111"/>
          <w:sz w:val="28"/>
          <w:sz w:val="28"/>
          <w:szCs w:val="28"/>
          <w:rtl w:val="true"/>
          <w:lang w:bidi="ar-SA"/>
        </w:rPr>
        <w:t xml:space="preserve">ممّا لم يظهر له وجه ، فإنّ مدّعى هذا القائل هو جواز الوضوء والغسل بالمائع المضاف مطلقاً ؛ تعلّق به النذر أو لا ، 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أدلّة وجوب الوفاء بالنذر ؛ لكشف حال الفرد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يؤيّد ذلك هذا المدّعى ؛ لأنّ الإحرام قبل الميقات والصوم في السفر ممّا لا يجوزان شرعاً ، وما يكون جائزاً هو الإحرام قبل الميقات والصوم في السفر مع تعلّق النذر بهما ، لا مطلقاً ، فما ذكر من التأييد غير مربوط بالمدّعى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ذكر لتصحيح نذر الإحرام قبل الميقات</w:t>
      </w:r>
      <w:r>
        <w:rPr>
          <w:rStyle w:val="FootnoteAnchor"/>
          <w:rtl w:val="true"/>
        </w:rPr>
        <w:footnoteReference w:id="380"/>
      </w:r>
      <w:r>
        <w:rPr>
          <w:rFonts w:ascii="Amiri" w:hAnsi="Amiri" w:eastAsia="Amiri" w:cs="Amiri"/>
          <w:color w:val="111111"/>
          <w:sz w:val="28"/>
          <w:sz w:val="28"/>
          <w:szCs w:val="28"/>
          <w:rtl w:val="true"/>
          <w:lang w:bidi="ar-SA"/>
        </w:rPr>
        <w:t>والصيام في السفر</w:t>
      </w:r>
      <w:r>
        <w:rPr>
          <w:rStyle w:val="FootnoteAnchor"/>
          <w:rtl w:val="true"/>
        </w:rPr>
        <w:footnoteReference w:id="381"/>
      </w:r>
      <w:r>
        <w:rPr>
          <w:rFonts w:ascii="Amiri" w:hAnsi="Amiri" w:eastAsia="Amiri" w:cs="Amiri"/>
          <w:color w:val="111111"/>
          <w:sz w:val="28"/>
          <w:sz w:val="28"/>
          <w:szCs w:val="28"/>
          <w:rtl w:val="true"/>
          <w:lang w:bidi="ar-SA"/>
        </w:rPr>
        <w:t xml:space="preserve">ثبوتاً مع حرمتهما قبله وقيام الدليل على الصحّة في مقام الإثبات وجوهاً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الدالّ على الصحّة إثباتاً ، يكشف عن رجحانهما ذاتاً قبل الميقات وفي السفر ، لكن لم يؤمر بهما استحباباً أو وجوباً ؛ لمانعٍ مرتفع بالنذر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مخالف لما دلّ على أنّ الإحرام قبل الميقات كالصلاة قبل الوقت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يصيران راجحين بنفس تعلّق النذر بهما ، بعد عدم كونهما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ذلك مع قيام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إلاّ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لازمه توقّف النذر على الرجحان والرجحان على النذر ، مضافاً إلى لزوم صيرورتهما توصّليين ؛ لأنّ وجوب الوفاء بالنذر توصّلي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صحّتهما يكشف عن عروض عنوانٍ راجح عليهما ، غير عنوان الإحرام والصوم ، وغير عنوان النذر ، بل عنوان آخر ملازم لتعلّق النذر بهما ، وذلك ممّا يصحّح عباديتهما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دليل اعتبار الرجحان في متعلّق النذر بهذا الدليل ، وحينئذٍ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الرجحان الطارئ من قِبَل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الرجحان الطارئ من قِبَله لا يصحّح العبادية ، 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عباديتهما إنّما هي لأجل تعلّق النذر بإتيانهما عبادياً ومتقرّباً بهما منه تعالى ؛ فإنّه وإن لم يتمكّن من إتيانهما كذلك قبله ، إلاّ أ نّه يتمكّن منه بعده ، ولا يعتبر في صحّة النذر إلاّ التمكُّن من الوفاء ولو بسببه</w:t>
      </w:r>
      <w:r>
        <w:rPr>
          <w:rStyle w:val="FootnoteAnchor"/>
          <w:rtl w:val="true"/>
        </w:rPr>
        <w:footnoteReference w:id="38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لصيرورتهما عباديين لأجل طروّ عنوانٍ مجهول يغفل عنه المكلّف ، ولا يكون مقصوداً له ، لا تفصيلاً ولا إجمالاً ، وإنّما هو أمر يخترعه عقل بعض المدقّقين ؛ لتصوير الإمكان ثبوتاً </w:t>
      </w:r>
      <w:r>
        <w:rPr>
          <w:rFonts w:eastAsia="Amiri" w:cs="Amiri" w:ascii="Amiri" w:hAnsi="Amiri"/>
          <w:color w:val="111111"/>
          <w:sz w:val="28"/>
          <w:szCs w:val="28"/>
          <w:rtl w:val="true"/>
          <w:lang w:bidi="ar-SA"/>
        </w:rPr>
        <w:t xml:space="preserve">. </w:t>
      </w:r>
      <w:bookmarkStart w:id="478" w:name="pg8033_81101"/>
    </w:p>
    <w:p>
      <w:pPr>
        <w:pStyle w:val="BookText"/>
        <w:rPr/>
      </w:pPr>
      <w:bookmarkEnd w:id="478"/>
      <w:r>
        <w:rPr>
          <w:rFonts w:ascii="Amiri" w:hAnsi="Amiri" w:eastAsia="Amiri" w:cs="Amiri"/>
          <w:color w:val="111111"/>
          <w:sz w:val="28"/>
          <w:sz w:val="28"/>
          <w:szCs w:val="28"/>
          <w:rtl w:val="true"/>
          <w:lang w:bidi="ar-SA"/>
        </w:rPr>
        <w:t xml:space="preserve">وعلى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تصوير العبادية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أخذها في متعلّق النذر ، وتعلّق الأمر بالوفاء به على الموضوع المتقيّد بقصد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على ما فرّ منه قدّس سرّه في باب التعبّدي من عدم إمكان أخذ التقرّب في متعلّق الأمر ، وأ نّه مستلزم لعدم إمكان إتيان المأمور به ؛ لتوقّف داعوية الأمر على داعويته بالتفصيل الذي مرّ ذكره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بناءً على ما ذكرنا من تصويره ، لا مانع منه ، فراجع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7368525_1051229030"/>
      <w:bookmarkStart w:id="480" w:name="_Toc173"/>
      <w:bookmarkEnd w:id="479"/>
      <w:r>
        <w:rPr>
          <w:rtl w:val="true"/>
        </w:rPr>
        <w:t>الأمر الرابع</w:t>
      </w:r>
      <w:r>
        <w:rPr>
          <w:rtl w:val="true"/>
        </w:rPr>
        <w:t xml:space="preserve">: </w:t>
      </w:r>
      <w:r>
        <w:rPr>
          <w:rtl w:val="true"/>
        </w:rPr>
        <w:t>في التمسّك بأصالة العموم عند الشكّ بين التخصيص والتخصّص</w:t>
      </w:r>
      <w:bookmarkEnd w:id="480"/>
    </w:p>
    <w:p>
      <w:pPr>
        <w:pStyle w:val="BookText"/>
        <w:rPr/>
      </w:pPr>
      <w:r>
        <w:rPr>
          <w:rFonts w:ascii="Amiri" w:hAnsi="Amiri" w:eastAsia="Amiri" w:cs="Amiri"/>
          <w:color w:val="111111"/>
          <w:sz w:val="28"/>
          <w:sz w:val="28"/>
          <w:szCs w:val="28"/>
          <w:rtl w:val="true"/>
          <w:lang w:bidi="ar-SA"/>
        </w:rPr>
        <w:t xml:space="preserve">لو ورد عامٌّ ، وعلم بعدم كون فردٍ محكوماً بحكمه ، وشكّ في كونه من باب التخصيص أو التخصّص ، فهل يجوز التمسّك بأصالة عدم التخصيص لكشف حال الفرد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كلّ عالم واجب بحكم أصالة العموم ، فمن لا يجب إكرامه فليس بعالم ؛ بحكم عكس النقيض اللازم للقضيّة ، فزيد مثلاً ليس بعالم</w:t>
      </w:r>
      <w:r>
        <w:rPr>
          <w:rStyle w:val="FootnoteAnchor"/>
          <w:rtl w:val="true"/>
        </w:rPr>
        <w:footnoteReference w:id="386"/>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جريانها لذلك ؛ لأنّ جريانها مخصوص بما إذا شكّ في كون فردٍ محكوماً بحكم العامّ بعد إحراز كونه منه ، وأمّا بعد العلم بالمراد والشكّ في </w:t>
      </w:r>
      <w:bookmarkStart w:id="481" w:name="pg8033_81103"/>
    </w:p>
    <w:p>
      <w:pPr>
        <w:pStyle w:val="BookText"/>
        <w:rPr/>
      </w:pPr>
      <w:bookmarkEnd w:id="481"/>
      <w:r>
        <w:rPr>
          <w:rFonts w:ascii="Amiri" w:hAnsi="Amiri" w:eastAsia="Amiri" w:cs="Amiri"/>
          <w:color w:val="111111"/>
          <w:sz w:val="28"/>
          <w:sz w:val="28"/>
          <w:szCs w:val="28"/>
          <w:rtl w:val="true"/>
          <w:lang w:bidi="ar-SA"/>
        </w:rPr>
        <w:t xml:space="preserve">التخصيص والتخصّص ، فلا ؛ لأنّ معنى أصالة العموم ، هو أنّ كلّ فردٍ مرادٍ بالإرادة الاستعمالية ، مراد بالجدّية أيضاً ، فاللفظ لا يتكفّل إلاّ وجوب إكرام كلّ عالم بالإرادة الاستعمالية ، والأصل العقلائي يقتضي كون الإرادة الاستعمالية في كلّ فردٍ مطابقة للجدّية ، ولا يتعرّض العموم لحال الفرد إثباتاً ونفياً ، لعدم كونه مفاده ، وإنّما هو في مقام إثبات الحكم الكلّي ، لا بيان حال الأفراد ، وكذا الأصل العقلائي لا يتعرّض إلاّ لتطابق الإرادتين ، من غير تعرّض لحال الفرد </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368527_1051229030"/>
      <w:bookmarkStart w:id="483" w:name="_Toc174"/>
      <w:bookmarkEnd w:id="482"/>
      <w:r>
        <w:rPr>
          <w:rtl w:val="true"/>
        </w:rPr>
        <w:t>الأمر الخامس</w:t>
      </w:r>
      <w:r>
        <w:rPr>
          <w:rtl w:val="true"/>
        </w:rPr>
        <w:t xml:space="preserve">: </w:t>
      </w:r>
      <w:r>
        <w:rPr>
          <w:rtl w:val="true"/>
        </w:rPr>
        <w:t>لو دار الأمر بين التخصيص والتخصّص لإجمال الخاصّ</w:t>
      </w:r>
      <w:bookmarkEnd w:id="483"/>
    </w:p>
    <w:p>
      <w:pPr>
        <w:pStyle w:val="BookText"/>
        <w:rPr/>
      </w:pPr>
      <w:r>
        <w:rPr>
          <w:rFonts w:ascii="Amiri" w:hAnsi="Amiri" w:eastAsia="Amiri" w:cs="Amiri"/>
          <w:color w:val="111111"/>
          <w:sz w:val="28"/>
          <w:sz w:val="28"/>
          <w:szCs w:val="28"/>
          <w:rtl w:val="true"/>
          <w:lang w:bidi="ar-SA"/>
        </w:rPr>
        <w:t>لو قامت الحجّة على عدم وجوب إكرام زيدٍ ، وكان مشتركاً بين زيد العالم والجاهل ، وشكّ في التخصيص والتخصّص</w:t>
      </w:r>
      <w:r>
        <w:rPr>
          <w:rStyle w:val="FootnoteAnchor"/>
          <w:rtl w:val="true"/>
        </w:rPr>
        <w:footnoteReference w:id="387"/>
      </w:r>
      <w:r>
        <w:rPr>
          <w:rFonts w:ascii="Amiri" w:hAnsi="Amiri" w:eastAsia="Amiri" w:cs="Amiri"/>
          <w:color w:val="111111"/>
          <w:sz w:val="28"/>
          <w:sz w:val="28"/>
          <w:szCs w:val="28"/>
          <w:rtl w:val="true"/>
          <w:lang w:bidi="ar-SA"/>
        </w:rPr>
        <w:t xml:space="preserve">، فقد يكون زيد محكوماً بحسب الحجّة بحكم غير إلزامي ، كعدم وجوب إكرامه ، وقد يكون محكوماً بحكم إلزامي ، كحرمة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أصالة العموم ، ويكون العامّ حجّة على وجوب إكرام زيد العالم ، ولا ترفع اليد عنه لأجل الدليل المجمل ، للشكّ في التخصيص بعد قيام الحجّة على وجوب إكرامه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هذه المسألة غير السابقة التي حكمنا بأنّ أصالة العموم لا تكشف عن حال الفرد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يتمسّك أيضاً بأصالة العموم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مقتضاها كون زيد العالم واجب الإكرام ، ولازم وجوب إكرامه عدم حرمة إكرامه ، ولازم ذلك أن يكون زيد المحرّم إكرامه هو زيد الجاهل ، لا العالم ، ولوازم الاُصول العقلائية حجّة ؛ لكونها أمارة على الواقع ، وحينئذٍ تنحلّ الحجّة الإجمالية ، لا بمعنى الانحلال الاصطلاحي ، بل بمعنى أ نّها تنحلّ إلى قيام الحجّة بوجوب إكرام زيد العالم ، وحرمة إكرام زيد الجاهل ، فانحلالها بحسب أثرها ؛ فإنّه لولا أصالة العموم يكون أثر الحجّة الإجمالية تنجّز الحرمة الواقعية ، ولزوم ترك إكرام كليهما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الإجمالية تنحلّ إذا قامت الحجّة على وجوب إكرام زيد العالم بالخصوص ، كما لو قامت البيّنة على وجوب إكرام زيد العالم ، وأمّا العامّ فلا يتكفّل لحكم الأفراد بالخصوص ، بل هو حكم عامّ متعلّق بعنوانٍ عامّ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تعرّضٍ للفرد بخصوصه ، والحجّة الإجمالية القائمة على حرمة إكرام زيد المردّد بين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عقلاً الخروج عن عهدتها بترك إكرام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العامّ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فرق من هذه الجهة بين إفادة حكم زيد العالم بدليل خاصّ أو حجّة عامّة ، فإنّ زيداً مصداق العالم وجداناً ، ومحكوم بوجوب الإكرام ؛ بضمّ الصغرى الوجدانية إلى الكبرى الكلّية ، فإذا وجب إكرامه لا يحرم إكرامه ، ولازمه حرمة إكرام زيد الجاهل ، ولازم الاُصول اللفظية حجّة ، كما عرفت </w:t>
      </w:r>
      <w:r>
        <w:rPr>
          <w:rFonts w:eastAsia="Amiri" w:cs="Amiri" w:ascii="Amiri" w:hAnsi="Amiri"/>
          <w:color w:val="111111"/>
          <w:sz w:val="28"/>
          <w:szCs w:val="28"/>
          <w:rtl w:val="true"/>
          <w:lang w:bidi="ar-SA"/>
        </w:rPr>
        <w:t xml:space="preserve">. </w:t>
      </w:r>
      <w:bookmarkStart w:id="484" w:name="pg8033_81106"/>
    </w:p>
    <w:p>
      <w:pPr>
        <w:pStyle w:val="Heading4"/>
        <w:numPr>
          <w:ilvl w:val="3"/>
          <w:numId w:val="1"/>
        </w:numPr>
        <w:rPr/>
      </w:pPr>
      <w:bookmarkStart w:id="485" w:name="__RefHeading___Toc7368529_1051229030"/>
      <w:bookmarkStart w:id="486" w:name="_Toc175"/>
      <w:bookmarkEnd w:id="484"/>
      <w:bookmarkEnd w:id="485"/>
      <w:r>
        <w:rPr>
          <w:rtl w:val="true"/>
        </w:rPr>
        <w:t>الأمر السادس</w:t>
      </w:r>
      <w:r>
        <w:rPr>
          <w:rtl w:val="true"/>
        </w:rPr>
        <w:t xml:space="preserve">: </w:t>
      </w:r>
      <w:r>
        <w:rPr>
          <w:rtl w:val="true"/>
        </w:rPr>
        <w:t>في وجه فتوى المشهور بالضمان في اليد المشكوكة</w:t>
      </w:r>
      <w:bookmarkEnd w:id="486"/>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المتّفق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بالضمان فيما إذا دار أمر اليد بين أن تكون يداً عادية أو أمينة ؛ للاشتباه من جهة الاُمور الخارجية ، إنّما هو لأجل التمسّك بعموم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مع أ نّه تمسّك بالعامّ في الشبهة المصداقية ، وهذا مع كونه مخالفاً للتحقيق ، مخالف لقواعد باب القضاء ، لأنّ عدم الضمان موافق للأصل ، وللمدّعي إثباته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فتوى المشهور ليس لما ذكر ، بل للروايات الواردة في هذا الباب ؛ ممّا يستفاد منها هذا الحكم </w:t>
      </w:r>
      <w:r>
        <w:rPr>
          <w:rFonts w:eastAsia="Amiri" w:cs="Amiri" w:ascii="Amiri" w:hAnsi="Amiri"/>
          <w:color w:val="111111"/>
          <w:sz w:val="28"/>
          <w:szCs w:val="28"/>
          <w:rtl w:val="true"/>
          <w:lang w:bidi="ar-SA"/>
        </w:rPr>
        <w:t xml:space="preserve">. </w:t>
      </w:r>
      <w:bookmarkStart w:id="487" w:name="pg8033_81108"/>
    </w:p>
    <w:p>
      <w:pPr>
        <w:pStyle w:val="Heading3"/>
        <w:numPr>
          <w:ilvl w:val="2"/>
          <w:numId w:val="1"/>
        </w:numPr>
        <w:rPr/>
      </w:pPr>
      <w:bookmarkStart w:id="488" w:name="__RefHeading___Toc7368531_1051229030"/>
      <w:bookmarkStart w:id="489" w:name="_Toc176"/>
      <w:bookmarkEnd w:id="487"/>
      <w:bookmarkEnd w:id="488"/>
      <w:r>
        <w:rPr>
          <w:rtl w:val="true"/>
        </w:rPr>
        <w:t>فصل في العمل بالعامّ قبل الفحص عن المخصّص</w:t>
      </w:r>
      <w:bookmarkEnd w:id="489"/>
    </w:p>
    <w:p>
      <w:pPr>
        <w:pStyle w:val="BookText"/>
        <w:rPr/>
      </w:pPr>
      <w:r>
        <w:rPr>
          <w:rFonts w:ascii="Amiri" w:hAnsi="Amiri" w:eastAsia="Amiri" w:cs="Amiri"/>
          <w:color w:val="111111"/>
          <w:sz w:val="28"/>
          <w:sz w:val="28"/>
          <w:szCs w:val="28"/>
          <w:rtl w:val="true"/>
          <w:lang w:bidi="ar-SA"/>
        </w:rPr>
        <w:t xml:space="preserve">هل يجوز العمل بالعامّ قبل الفحص عن مخصِّصه ؟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يدّعى الإجماع على عدم الجواز</w:t>
      </w:r>
      <w:r>
        <w:rPr>
          <w:rStyle w:val="FootnoteAnchor"/>
          <w:rtl w:val="true"/>
        </w:rPr>
        <w:footnoteReference w:id="390"/>
      </w:r>
      <w:r>
        <w:rPr>
          <w:rFonts w:ascii="Amiri" w:hAnsi="Amiri" w:eastAsia="Amiri" w:cs="Amiri"/>
          <w:color w:val="111111"/>
          <w:sz w:val="28"/>
          <w:sz w:val="28"/>
          <w:szCs w:val="28"/>
          <w:rtl w:val="true"/>
          <w:lang w:bidi="ar-SA"/>
        </w:rPr>
        <w:t>، لكن هذه المسألة ليست من المسائل التي تكشف الشهرة أو الاتّفاق عن نصٍّ خاصّ ، فلا تكون من المسائل الإجماعية ، مع أ نّها لم تكن معنونة قبل القرن الرابع على ما يشهد به التتبّع ؛ فإنّ أوّل من تعرّض لها هو أبو العبّاس بن سريج في أواخر القرن الثالث ، أو أوائل القرن الرابع ، واختار عدم الجواز</w:t>
      </w:r>
      <w:r>
        <w:rPr>
          <w:rStyle w:val="FootnoteAnchor"/>
          <w:rtl w:val="true"/>
        </w:rPr>
        <w:footnoteReference w:id="391"/>
      </w:r>
      <w:r>
        <w:rPr>
          <w:rFonts w:ascii="Amiri" w:hAnsi="Amiri" w:eastAsia="Amiri" w:cs="Amiri"/>
          <w:color w:val="111111"/>
          <w:sz w:val="28"/>
          <w:sz w:val="28"/>
          <w:szCs w:val="28"/>
          <w:rtl w:val="true"/>
          <w:lang w:bidi="ar-SA"/>
        </w:rPr>
        <w:t xml:space="preserve">، وأنكر عليه تلميذه أبو بكر الصيرفي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لولا جواز العمل بالعامّ قبل الفحص عن مخصِّصه ، لوجب أن لا يجوز العمل بالحقيقة قبل الفحص عن قرينة المجاز</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صارت المسألة معنونة في كتب القوم ، وقد عثرنا على هذا </w:t>
      </w:r>
    </w:p>
    <w:p>
      <w:pPr>
        <w:pStyle w:val="BookText"/>
        <w:rPr/>
      </w:pPr>
      <w:r>
        <w:rPr>
          <w:rFonts w:ascii="Amiri" w:hAnsi="Amiri" w:eastAsia="Amiri" w:cs="Amiri"/>
          <w:color w:val="111111"/>
          <w:sz w:val="28"/>
          <w:sz w:val="28"/>
          <w:szCs w:val="28"/>
          <w:rtl w:val="true"/>
          <w:lang w:bidi="ar-SA"/>
        </w:rPr>
        <w:t>البحث وكلامهم فيه في مطاوي كلماتهم في جواز إسماع المتكلّم العامّ المخصّص من غير ذكر مخصِّصه متّصلاً به ، بل أورد المخصِّص منفصلاً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حجّية العامّ قبل الفحص ، متفرّع على جواز إسماع العامّ المخصّص بدون ذكر مخصِّصه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دخالة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المبحوث عنها في هذه المسألة ، ولا بما أنّه من الأدلّة اللفظية ، بل البحث يطّرد في جميع الاُصول اللفظية والعقلية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العمل بالظهور قبل الفحص عن معارضه ، وهو يعمّ أصالة الحقيقة والعموم والإطلاق ، وهل يجوز العمل بالاُصول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الفحص عن البيان ؟</w:t>
      </w:r>
    </w:p>
    <w:p>
      <w:pPr>
        <w:pStyle w:val="BookText"/>
        <w:rPr/>
      </w:pPr>
      <w:r>
        <w:rPr>
          <w:rFonts w:ascii="Amiri" w:hAnsi="Amiri" w:eastAsia="Amiri" w:cs="Amiri"/>
          <w:color w:val="111111"/>
          <w:sz w:val="28"/>
          <w:sz w:val="28"/>
          <w:szCs w:val="28"/>
          <w:rtl w:val="true"/>
          <w:lang w:bidi="ar-SA"/>
        </w:rPr>
        <w:t xml:space="preserve">فلا فرق في الاُصول اللفظية والعقلية مطلقاً في الجهة المبحوث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بين الفحص هاهنا وبينه في الاُصول العملية ؛ بأ نّه هاهنا عمّا يزاحم الحجّة ، بخلافه هناك ، فإنّه بدونه لا حجّية ؛ ضرورة أنّ العقل بدونه يستقلّ باستحقاق المؤاخذة على المخالفة ، فلا يكون العقاب بدونه بلا بيانٍ ، والنقل وإن دلّ على البراءة أو الاستصحاب في موردهما مطلقاً ، إلاّ أنّ الإجماع بقسميه على تقييده به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ما ينبغي ، ضرورة 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لفظ كاشف عن الإرادة </w:t>
      </w:r>
    </w:p>
    <w:p>
      <w:pPr>
        <w:pStyle w:val="BookText"/>
        <w:rPr/>
      </w:pPr>
      <w:r>
        <w:rPr>
          <w:rFonts w:ascii="Amiri" w:hAnsi="Amiri" w:eastAsia="Amiri" w:cs="Amiri"/>
          <w:color w:val="111111"/>
          <w:sz w:val="28"/>
          <w:sz w:val="28"/>
          <w:szCs w:val="28"/>
          <w:rtl w:val="true"/>
          <w:lang w:bidi="ar-SA"/>
        </w:rPr>
        <w:t xml:space="preserve">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حجّة إلاّ إذا جرت فيه أصالة تطابق الإرادة الاستعمالية للجدّية وهي لا تجري قبل الفحص عن المخصّص ، فلا يكون العامّ قبل الفحص حجّة ؛ حتّى يكون الفحص عن مزاحمها بعد تمامية الحجّة ، بل الفحص من متمّمات الحجّية ، كما أنّ النقل الدالّ على البراءة والاستصحاب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أو الإطلاقات التي تكون مورد البحث في جواز التمسّك بها قبل الفحص ، وقد عرفت أنّ المسألة ليس من المسائل الإجماعية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البحث ليس الجواز التكليفي ؛ بمعنى أ نّه لو عمل به قبل الفحص لارتكب محرّماً ، بل بمعنى صحّة الاحتجاج وعدمه ، كما هو الشأن في سائر المسائل الاُصولية ، فلو عمل به قبل الفحص ، فصار مخالفاً لمطلوب المولى ؛ لأجل ورود التخصيص لم يكن معذوراً ، ويكون معاقباً على مخالفة الواقع ، لا على ترك الفحص والعمل بالعامّ قبله ، كما أ نّه لو عمل به بعده يكون معذوراً ، وله الحجّة على المولى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محلّ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 الخراساني</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بعد الفراغ عن اعتبار أصالة العموم بالخصوص من باب الظنّ النوعي ، لا من باب الظنّ المطلق ، ولا من باب الظنّ الخاصّ الفعلي ، ولا يكون العلم الإجمالي حاصلاً بوجود المخصِّص ؛ ضرورة أنّ مع القول باعتبارها من باب الظنّ المطلق أو الظنّ الفعلي ، يكون الأمر دائراً مدار حصولهما ، فلا مجال للبحث عن الحجّية قبل الفحص أو بعده ، كما أنّه لو علم إجمالاً بورود المخصِّص ، فلا مجال </w:t>
      </w:r>
    </w:p>
    <w:p>
      <w:pPr>
        <w:pStyle w:val="BookText"/>
        <w:rPr/>
      </w:pPr>
      <w:r>
        <w:rPr>
          <w:rFonts w:ascii="Amiri" w:hAnsi="Amiri" w:eastAsia="Amiri" w:cs="Amiri"/>
          <w:color w:val="111111"/>
          <w:sz w:val="28"/>
          <w:sz w:val="28"/>
          <w:szCs w:val="28"/>
          <w:rtl w:val="true"/>
          <w:lang w:bidi="ar-SA"/>
        </w:rPr>
        <w:t>للتشكيك في لزوم الفحص ، وإن يظهر من استدلال بعض المحقّقين على لزومه بالعلم الإجمالي بورود المخصّصات</w:t>
      </w:r>
      <w:r>
        <w:rPr>
          <w:rStyle w:val="FootnoteAnchor"/>
          <w:rtl w:val="true"/>
        </w:rPr>
        <w:footnoteReference w:id="396"/>
      </w:r>
      <w:r>
        <w:rPr>
          <w:rFonts w:ascii="Amiri" w:hAnsi="Amiri" w:eastAsia="Amiri" w:cs="Amiri"/>
          <w:color w:val="111111"/>
          <w:sz w:val="28"/>
          <w:sz w:val="28"/>
          <w:szCs w:val="28"/>
          <w:rtl w:val="true"/>
          <w:lang w:bidi="ar-SA"/>
        </w:rPr>
        <w:t xml:space="preserve">، أعمّية البحث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المحقّق الخراساني رحمه الله علیه على عدم الجواز فيما إذا كان العامّ في معرض التخصيص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لولا القطع باستقرار سيرة العقلاء على عدم العمل به قبله ، فلا أقلّ من الشكّ</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يظهر مراده من المعرضية ؛ هل هي عبارة عن احتمال المخصِّص أو الظنّ به ، أو العلم الإجمالي به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الاحتمال حاصلاً لجميع العمومات من غير فرق بينها ، وليس بناء العقلاء على الاعتناء بمثل هذا الاحتمال ، ولا الفحص عن المخصِّص المحتمل ، كما يظهر بالتأمّل في بنائهم على العمل بالعمومات الصادرة عن الموالي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 على اعتبار هذا الظنّ ، وليس بناء العقلاء على عدم العمل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خلاف المفروض ؛ لأنّ الكلام فيما إذا لم يكن علم إجمالي في البين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موافق للتحقيق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العمومات قد تكون في لسان أهل المحاورة من الموالي والعبيد لدى التخاطب مشافهة أو مكاتبة ، وفي هذه الصورة لا شبهة في حجّيتها ولو مع </w:t>
      </w:r>
    </w:p>
    <w:p>
      <w:pPr>
        <w:pStyle w:val="BookText"/>
        <w:rPr/>
      </w:pPr>
      <w:r>
        <w:rPr>
          <w:rFonts w:ascii="Amiri" w:hAnsi="Amiri" w:eastAsia="Amiri" w:cs="Amiri"/>
          <w:color w:val="111111"/>
          <w:sz w:val="28"/>
          <w:sz w:val="28"/>
          <w:szCs w:val="28"/>
          <w:rtl w:val="true"/>
          <w:lang w:bidi="ar-SA"/>
        </w:rPr>
        <w:t xml:space="preserve">احتمال التخصيص ، وكذا لا شبهة في حجّية سائر الظواهر من الإطلاقات والحقائق مع احتمال المعارض لها ، بل ولو مع العلم بأنّ المولى قد يعوّل على مخصِّصٍ ومقيِّدٍ منفصلين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بناء العقلاء وسيرتهم ، وليس للعبد بعد ورود العامّ من المولى أن يترك العمل باحتمال ورود المخصِّص ، ولا للمولى أن يعاقب العبد على العمل بالعامّ مع ترك الفحص ، وذلك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العمومات وأمثالها في لسان المشرِّع والمقنِّن ، ويكون له كتاب قانونٍ وتشريعٍ الذي من شأنه أن تذكر فيه المخصِّصات والمقيِّدات وسائر القيود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المقنّن قد لا يبالي بمخالفة أحكامه عند الجهل بها ، وقد لا يكون كذلك ، بل يكون معتنياً بها ، ففي هذه الصورة لا يكون للعبد عذر في ترك الفحص عن أحكامه الواقعية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الأحكام الشرعية كذلك ؛ فإنّ أحكامه تعالى قوانين مدوّنة في الكتاب والسنّة النبوية وأخبار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شأنها ورود المخصِّصات والمقيِّدات عليها ، وقد أمر اللّه تعالى عباده بتعلّم أحكامه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فِى الدِّينِ</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إلى آخره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وأمثالها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والذي يظهر بالتأمّل في الآيات والأخبار أنّ المراد بالعلم ليس هو العلم الوجداني ، بل هو بمعنى العلم بالأحكام من طريق الأدلّة ؛ أي الخطابات الواردة في لسان الكتاب والسنّة ، كما هو 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أي العلم المأثور ، ومعلوم أنّ وجوب التعلّم ليس نفسياً يعاقب المكلّف على تركه ، بل يكون العقاب على ترك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تعالى العذر عن عباده في ترك الفحص وترك التعلّم لأحكامه الواقعية ، فللّه على الناس حجّة بالغة</w:t>
      </w:r>
      <w:r>
        <w:rPr>
          <w:rStyle w:val="FootnoteAnchor"/>
          <w:rtl w:val="true"/>
        </w:rPr>
        <w:footnoteReference w:id="402"/>
      </w:r>
      <w:r>
        <w:rPr>
          <w:rFonts w:ascii="Amiri" w:hAnsi="Amiri" w:eastAsia="Amiri" w:cs="Amiri"/>
          <w:color w:val="111111"/>
          <w:sz w:val="28"/>
          <w:sz w:val="28"/>
          <w:szCs w:val="28"/>
          <w:rtl w:val="true"/>
          <w:lang w:bidi="ar-SA"/>
        </w:rPr>
        <w:t xml:space="preserve">، وليس لهم عليه تعالى حجّة ، فلا بدّ لكلّ مكلّفٍ أن يتفحّص عن مرادات اللّه وأحكامه الواقعية بالمقدار الميسور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لزوم الفحص بناءً على ما ذهبنا إليه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فيه ليس هو العلم الإجمالي ، فلا مورد لبعض الإشكالات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العمل بالعامّ قبل انحلال العلم ولو بعد الفحص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الانحلال لا يجب الفحص عن مخصِّصات العمومات المشكوك في تخصيصها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للفحص هو ما دلّ على وجوب التعلّم من الآيات والأخبار ، فبعد الفحص والتعلّم تصير العمومات حجّة ، وليس للعبد عذر قبل الفحص ولو في الشبهة البدوية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بناءً على أنّ لزوم الفحص إنّما هو من جهة العلم الإجمالي ، لا يجوز التمسّك بالعموم ولو بعد الفحص عنه ما لم ينحلّ العلم ؛ لعدم خروجه عن الطرفية بالفحص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 بأ نّه بعد الفحص عنه يعلم أ نّه خارج عن طرف العلم من أوّل الأمر</w:t>
      </w:r>
      <w:r>
        <w:rPr>
          <w:rStyle w:val="FootnoteAnchor"/>
          <w:rtl w:val="true"/>
        </w:rPr>
        <w:footnoteReference w:id="404"/>
      </w:r>
      <w:r>
        <w:rPr>
          <w:rFonts w:ascii="Amiri" w:hAnsi="Amiri" w:eastAsia="Amiri" w:cs="Amiri"/>
          <w:color w:val="111111"/>
          <w:sz w:val="28"/>
          <w:sz w:val="28"/>
          <w:szCs w:val="28"/>
          <w:rtl w:val="true"/>
          <w:lang w:bidi="ar-SA"/>
        </w:rPr>
        <w:t xml:space="preserve">،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حال الفحص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مقداره فيتفاوت بحسب الوجوه التي استدلّ بها له ؛ فإن كان المبنى هو العلم الإجمالي ، فلا بدّ من الفحص حتّى ينحلّ العلم ، وإن كان حصول الظنّ فإلى أن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ذكرناه فلا بدّ من الفحص بالمقدار الميسور له ؛ بحيث لا يقع في العسر والحرج ، فلا بدّ من تحصيل التكاليف الواقعية ، وتهيئة وسائله من تعلُّم العلوم العربية ، والمنطق ، واُصول الفقه بمقدار الاحتياج ، والتتبّع لفتاوى الفقهاء لكي لا يقع في خلاف الإجماع أو الشهرة المتّبعة ، وتعلّم القرآن ولا أقلّ من آيات أحكامه ، بل ربّما يكون العلم بغيرها دخيلاً في فهم بعض الأحكام ، وتعلّم علم الحديث والرجال ، والبحث عن الأسانيد وطبقات الرجال ، والفحص عن الروايات ، بل عن روايات أهل السنّة وفتاويهم ، فإنّها أيضاً قد تكون دخيلة في فهم أحكام اللّه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للمكلّف أن يبذل جهده لتحصيل الأحكام ، وليس له العذر في تركه ، ونسأل اللّه التوفيق والتأييد له ، وعلى اللّه التكلان </w:t>
      </w:r>
      <w:r>
        <w:rPr>
          <w:rFonts w:eastAsia="Amiri" w:cs="Amiri" w:ascii="Amiri" w:hAnsi="Amiri"/>
          <w:color w:val="111111"/>
          <w:sz w:val="28"/>
          <w:szCs w:val="28"/>
          <w:rtl w:val="true"/>
          <w:lang w:bidi="ar-SA"/>
        </w:rPr>
        <w:t xml:space="preserve">. </w:t>
      </w:r>
      <w:bookmarkStart w:id="490" w:name="pg8033_81121"/>
    </w:p>
    <w:p>
      <w:pPr>
        <w:pStyle w:val="Heading3"/>
        <w:numPr>
          <w:ilvl w:val="2"/>
          <w:numId w:val="1"/>
        </w:numPr>
        <w:rPr/>
      </w:pPr>
      <w:bookmarkStart w:id="491" w:name="__RefHeading___Toc7368533_1051229030"/>
      <w:bookmarkStart w:id="492" w:name="_Toc177"/>
      <w:bookmarkEnd w:id="490"/>
      <w:bookmarkEnd w:id="491"/>
      <w:r>
        <w:rPr>
          <w:rtl w:val="true"/>
        </w:rPr>
        <w:t>فصل في الخطابات الشفاهية</w:t>
      </w:r>
      <w:bookmarkEnd w:id="492"/>
    </w:p>
    <w:p>
      <w:pPr>
        <w:pStyle w:val="BookText"/>
        <w:rPr/>
      </w:pPr>
      <w:r>
        <w:rPr>
          <w:rFonts w:ascii="Amiri" w:hAnsi="Amiri" w:eastAsia="Amiri" w:cs="Amiri"/>
          <w:color w:val="111111"/>
          <w:sz w:val="28"/>
          <w:sz w:val="28"/>
          <w:szCs w:val="28"/>
          <w:rtl w:val="true"/>
          <w:lang w:bidi="ar-SA"/>
        </w:rPr>
        <w:t>هل الخطابات الشفاهية تختصّ بالحاضرين أو تعمّ غيرهم حتّى المعدومين ؟ هذا النزاع كان معنوناً بين الاُصوليين من قديم الأيّام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الخراساني جعل ما يمكن أن يكون محلّ النزاع 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ولو لم يكن بنحو المخاطبة ، هل يمكن تعلّقه بالمعدومين أم لا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ما أفاده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الحقيقي مستحيل ، والإيقاعي الإنشائي ممكن بلا بعث وزجر فعليين ، بل بغرض أن يصير فعلياً بعد وجودهم وحصول شرائط التكليف ، فلا يكون لغواً ، كما أنّ التكليف الفعلي مقيّداً بوجود المكلّف ووجدان الشرائط ، بمكانٍ من الإمكان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على الوجه الأوّل ممّا لا معنى له ؛ فإنّ أحداً من العقلاء لا يمكن أن يجوِّز تعلّق التكليف بالمعدوم في حال عدمه ، كما أنّ التكليف الإيقاعي الإنشائي لا لغرض البعث ، لا يصير فعلياً عند وجود الشرائط ، والبعث الإنشائي الإيقاعي ممّا لا يمكن تعلّقه وتوجّهه بالمعدومين ويكون لغواً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طرفي النزاع قد تسالما على أنّ التكاليف مشتركة بين الموجودين والمعدومين ، وأنّ حكمه تعالى على الأوّلين حكمه على الآخرين ، ولكنّ النزاع في أنّ الاشتراك إنّما هو ثابت بنفس الخطابات المشتملة على التكاليف ، أو بغيرها مثل إجماعٍ أو ضرورة أو دليل لفظي ، ومعلوم أ نّه بعد هذا التسالم لم يكن النزاع فيما أفاده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العناوين المأخوذة في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لا تصدق إلاّ على الموجودين ، فلا يكون المعدوم ناساً ، ولا مستطيعاً ، ولا مؤمناً ، ولا مصداقاً لأمرٍ من الاُمور ، وعنواناً من العناوين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فالنزاع إنّما يكون في أنّ التكاليف المتعلّقة بالعناوين ، هل تختصّ بالمصاديق المتحقّقة حال الخطاب أو في مجلس المخاطبة ، أو تعمّ غيرهم ممّن سيوجد تدريجاً ، ويصير مصداقاً لها في عمود الزمان ؟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المتضمّنة للتكاليف ، هل هي قضايا خارجية ، أو حقيقية ، وتكون التكاليف متعلّقة بالعناوين بغرض البعث والزجر ، لكن بنحو القضايا الحقيقية ؛ من غير تقيّدها بزمن الخطاب ، فتصير فعلية لدى وجود المكلّف ، وصيرورته مصداقاً للعناوين ، وجامعاً لشرائط التكليف ؟</w:t>
      </w:r>
    </w:p>
    <w:p>
      <w:pPr>
        <w:pStyle w:val="BookText"/>
        <w:rPr/>
      </w:pPr>
      <w:r>
        <w:rPr>
          <w:rFonts w:ascii="Amiri" w:hAnsi="Amiri" w:eastAsia="Amiri" w:cs="Amiri"/>
          <w:color w:val="111111"/>
          <w:sz w:val="28"/>
          <w:sz w:val="28"/>
          <w:szCs w:val="28"/>
          <w:rtl w:val="true"/>
          <w:lang w:bidi="ar-SA"/>
        </w:rPr>
        <w:t xml:space="preserve">وهذا النزاع مضافاً إلى إمكانه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وأنّ كلّ فردٍ من الأفراد في ظرف وجوده وصيرورته مصداقاً لها ، مبعوث بنفس الخطابات الصادرة ، وتكون حجّة عليه في ظرف تحقّقه من دون أن تعمّ التكاليف المعدومين ، أو تقيّد بوجود المكلّف ووجدانه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إضافة متقوِّمة بمتضايفين ، ولا يمكن أن تتحقّق بين الموجود والمعدوم ، فلا بدّ في التكليف ولو إنشائياً بغرض البعث ، من وجود المكلّف بالكسر والفتح</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الإضافة التي من المقولات ، وبين الأوصاف الحقيقية ذات الإضافة ، مثل العلم والقدرة والإرادة ؛ فإنّ الثانية تكون تحقّقها بقيامها بنفس العالم والقادر والمريد ، مضافةً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المعدوم ، كالعلم بالأشياء المستقبلة ، وكعلمه تعالى قبل الإيجاد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الإضافة المقولية لا يمكن تحقّقها إلاّ بين الموجودين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تصحّ المخاطبة مع المعدومين وتوجيه الخطاب إليهم ولو لم يكن متضمّناً للتكليف ؟ </w:t>
      </w:r>
    </w:p>
    <w:p>
      <w:pPr>
        <w:pStyle w:val="BookText"/>
        <w:rPr/>
      </w:pPr>
      <w:r>
        <w:rPr>
          <w:rFonts w:ascii="Amiri" w:hAnsi="Amiri" w:eastAsia="Amiri" w:cs="Amiri"/>
          <w:color w:val="111111"/>
          <w:sz w:val="28"/>
          <w:sz w:val="28"/>
          <w:szCs w:val="28"/>
          <w:rtl w:val="true"/>
          <w:lang w:bidi="ar-SA"/>
        </w:rPr>
        <w:t xml:space="preserve">حاصل ما أفاده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يمتنع الخطاب الحقيقي إلى المعدوم حال عدمه ، وأمّا بملاحظة حال وجوده فلا مانع منه ، كما أنّ الخطاب الإيقاعي الإنشائي ممّا لا مانع منه حتّى إلى المعدوم ، ونتيجته صيرورته فعلياً عند وجوده وحصول شرائطه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مثل أدوات النداء لم يكن موضوعاً للخطاب الحقيقي ، بل هو موضوع للإيقاعي الإنشائي منه ، فالمتكلّم ربّما يوقع الخطاب بها تحسّراً أو تأسّفاً أو حزناً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كوكباً ما كان أقصرَ عُمرَه </w:t>
      </w:r>
      <w:r>
        <w:rPr>
          <w:rFonts w:eastAsia="Amiri" w:cs="Amiri" w:ascii="Amiri" w:hAnsi="Amiri"/>
          <w:color w:val="111111"/>
          <w:sz w:val="28"/>
          <w:szCs w:val="28"/>
          <w:rtl w:val="true"/>
          <w:lang w:bidi="ar-SA"/>
        </w:rPr>
        <w:t>. .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استعماله في معناه الحقيقي حينئذٍ التخصيص بمن يصحّ مخاطبته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دعوى الانصراف إلى الخطاب الحقيقي ، كما هو الحال في أداة الاستفهام والتمنّي والترجّي</w:t>
      </w:r>
      <w:r>
        <w:rPr>
          <w:rStyle w:val="FootnoteAnchor"/>
          <w:rtl w:val="true"/>
        </w:rPr>
        <w:footnoteReference w:id="412"/>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الخطاب عبارة عن توجيه كلامٍ إنشائي أو إخباري إلى شخص لغرض إفهامه ، ولا يتقوّم تحصُّل الخطاب بتضمّن الكلام لأداة الخطاب ، كالكاف وحروف النداء وأمثالها ، فلو ألقى متكلّم كلاماً إخبارياً إلى شخص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إليه ولغرض إفهامه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الكلام خطاباً بالحمل الشائع ، والسامع مخاطباً كذلك ؛ من غير احتياج إلى أداة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اشتمال الكلام عليها يكون آكد فيه من عدمه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فالخطاب عبارة عن توجيه الكلام إلى الغير لغرض إفهامه وإعلامه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المتكلّم بواسطة فهم المخاطب ، إلى ما هو مقصده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المعنى من المعاني التي يقع بإزائها لفظ ، كسائر الألفاظ الموضوعة للمعاني ، بل التكلّم بما هو فعل من الأفعال الاختيارية للمتكلّم ، يكون بحسب طبعه عند العقلاء آلةً للتوسّل بها إلى التخاطب ؛ بحيث لو سلب عنها ذلك ، ويتوسّل بها إلى غيره من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كإظهار التأثّر والتأسّف أو الإشفاق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مجازاً عقلائياً ، لا لفظياً لغوياً ؛ بمعنى أن هذا الفعل الاختياري الذي يكون بحسب طبعه آلة للتوجّه إلى الغير لغرض الإفهام ، إذا توجّه بها إلى ما ليس له شعور وإدراك ، لغرضٍ آخر غير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كالتحسّر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ياكوكباً ما كان أقصرَ عُمرَه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تكون ألفاظه مستعملة في غير معانيها اللغوية ، فحرف النداء في المثال وكذا سائر ألفاظه استعملت في معانيها الموضوعة لها ، لكن وقع هنا انحراف وتجوّز في التكلّم الذي هو من الأفعال الاختيارية ، لا من الألفاظ الموضوعة للمعاني ، فالمجاز عقلائي لإيجاد ما يكون إيجاده طبعاً لغرض الإفهام لا لهذا الغرض ، بل لمقاصد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مجاز وانحراف ، لأنّ العقلاء يحملون إيجاد هذا الفعل الاختياري على طبق طبعه لو خُلّي ونفسه ، فلو قال المولى لعبده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له أن يعتذر عن تركه ؛ باحتمال صدور الكلام منه لغرض آخر غير الإفهام ، من الاُمور المترتّبة على هذا الفعل الاختياري ، فإنّه لا يصار إليه إلاّ مع نصب قرينة ، ومع عدمها يحمل التكلّم على ما هو طبعه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المحقّق الخراساني من أنّ الخطاب موضوع </w:t>
      </w:r>
    </w:p>
    <w:p>
      <w:pPr>
        <w:pStyle w:val="BookText"/>
        <w:rPr/>
      </w:pPr>
      <w:r>
        <w:rPr>
          <w:rFonts w:ascii="Amiri" w:hAnsi="Amiri" w:eastAsia="Amiri" w:cs="Amiri"/>
          <w:color w:val="111111"/>
          <w:sz w:val="28"/>
          <w:sz w:val="28"/>
          <w:szCs w:val="28"/>
          <w:rtl w:val="true"/>
          <w:lang w:bidi="ar-SA"/>
        </w:rPr>
        <w:t>للإيقاعي والإنشائي ، ولكنّه منصرف إلى الحقيقي</w:t>
      </w:r>
      <w:r>
        <w:rPr>
          <w:rStyle w:val="FootnoteAnchor"/>
          <w:rtl w:val="true"/>
        </w:rPr>
        <w:footnoteReference w:id="413"/>
      </w:r>
      <w:r>
        <w:rPr>
          <w:rFonts w:ascii="Amiri" w:hAnsi="Amiri" w:eastAsia="Amiri" w:cs="Amiri"/>
          <w:color w:val="111111"/>
          <w:sz w:val="28"/>
          <w:sz w:val="28"/>
          <w:szCs w:val="28"/>
          <w:rtl w:val="true"/>
          <w:lang w:bidi="ar-SA"/>
        </w:rPr>
        <w:t xml:space="preserve">، ليس على ما ينبغي ؛ لما عرفت من أنّ الخطاب لم يكن من الألفاظ الموضوعة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لمعنى كلّي ، ومنصرف إلى أحد أفراده أو أقسامه ، بل هو فعل اختياري كسائر الأفعال الاختيارية ، كما أنّ الأمر في الطلب وأمثاله ليس على ما أفاده ، بل كما ذكرنا على ما مرّ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الخطابات الإلهية في الكتاب العزيز ، ليست صادرة لغير غرض الإفهام ، كالتأسّف والتحزّن والتحسّر وأمثالها بالضرورة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نسبة الخطابات الإلهية إلى المعدومين والموجودين في زمن الخطاب وفي محضر النبي صلی الله علیه و آله وسلم على السواء ؛ فإنّها إنّما نزلت على قلب سيّد المرسلين صلی الله علیه و آله وسلم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ومعلوم أ نّها لم تكن من الخطابات اللفظية التي يسمعها كلّ سامع ولو كان حاضراً في مجلس الوحي ، والنبي صلی الله علیه و آله وسلم إنّما هو حاكٍ عن تلك الخطابات الغيبية ، لا أنّها هي نفس الخطابات كما هو واضح وحكايته عن الوحي وصل إلينا بالواسطة ؛ فلا يضرّ بالمدّعى تصرُّم الألفاظ وعدم سماعها ، بعد كون الحكاية مستمرّة بالكتابة أو بالنقل ،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لِاُنذِرَكُم بِهِ وَمَنْ بَلَغَ</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 فنفس الخطاب غير مسموع لأحد ، ولا مستمرّ الوجود ، لكن الحكاية عنه مستمرّة باقية إلى آخر الأبد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يتّضح النظر فيما أفاده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باب شمول الخطابات للمعدومين ، ليس في شمولها في حال عدمهم ؛ بحيث يكون المعدوم طرف المخاطبة مع كونه معدوماً ؛ فإنّه ضروري البطلان ولا يمكن أن يكون مورد النقض والإبرام بين الأعلام ، بل الكلام في أنّ تلك الخطابات ، هل صدرت لغرض إفهام الموجودين حال الخطاب أو الأعمّ منهم ومن المعدومين في زمنهم ؛ ممّن سيوجد في عمود الزمان بحسب التدريج كلّ في وعائه وزمانه لا حال عدمه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مثلاً صدر لإفهام كلّ من كان مصداقاً لهذا المفهوم في الأزمنة المتدرّجة ، وهذا نزاع معقول يمكن الذهاب إلى طرفيه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الصادر من المتكلّم إذا لم يكن له ثبات بوجهٍ ولو بحفظه بالدفاتر والخواطر ، لا يمكن أن يكون خطاباً إلى غير الموجود في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ثبات ولو بالكتب والحفظ ولو في بعض الآلات ، فلا إشكال في إمكان تعميمه كالخطابات الواردة في الكتب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وكالوصايا من الأشخاص إلى أولادهم نسلاً بعد نسل ، ولا إشكال في أنّ الخطابات الإلهية من هذا القبيل </w:t>
      </w:r>
      <w:r>
        <w:rPr>
          <w:rFonts w:eastAsia="Amiri" w:cs="Amiri" w:ascii="Amiri" w:hAnsi="Amiri"/>
          <w:color w:val="111111"/>
          <w:sz w:val="28"/>
          <w:szCs w:val="28"/>
          <w:rtl w:val="true"/>
          <w:lang w:bidi="ar-SA"/>
        </w:rPr>
        <w:t xml:space="preserve">. </w:t>
      </w:r>
      <w:bookmarkStart w:id="493" w:name="pg8033_81135"/>
    </w:p>
    <w:p>
      <w:pPr>
        <w:pStyle w:val="Heading3"/>
        <w:numPr>
          <w:ilvl w:val="2"/>
          <w:numId w:val="1"/>
        </w:numPr>
        <w:rPr/>
      </w:pPr>
      <w:bookmarkStart w:id="494" w:name="__RefHeading___Toc7368535_1051229030"/>
      <w:bookmarkStart w:id="495" w:name="_Toc178"/>
      <w:bookmarkEnd w:id="493"/>
      <w:bookmarkEnd w:id="494"/>
      <w:r>
        <w:rPr>
          <w:rtl w:val="true"/>
        </w:rPr>
        <w:t>فصل في تخصيص العامّ بالضمير الراجع إلى بعض أفراده</w:t>
      </w:r>
      <w:bookmarkEnd w:id="495"/>
    </w:p>
    <w:p>
      <w:pPr>
        <w:pStyle w:val="BookText"/>
        <w:rPr/>
      </w:pPr>
      <w:r>
        <w:rPr>
          <w:rFonts w:ascii="Amiri" w:hAnsi="Amiri" w:eastAsia="Amiri" w:cs="Amiri"/>
          <w:color w:val="111111"/>
          <w:sz w:val="28"/>
          <w:sz w:val="28"/>
          <w:szCs w:val="28"/>
          <w:rtl w:val="true"/>
          <w:lang w:bidi="ar-SA"/>
        </w:rPr>
        <w:t xml:space="preserve">إذا تعقِّب العامّ بضمير راجع إلى بعض أفراده ، فهل يوجب ذلك تخصيصه أم لا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حيث اختصّ حكم الأحقّية بالردّ بالرجعيات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دار الأمر بين التصرّف في العامّ ؛ بإرادة خصوص ما اُريد من الضمير ، أو التصرّف في الضمير ، بإرجاعه إلى بعض ما هو مرجعه ، أو بارتكاب التجوّز في نسبة الحكم إلى الكلّ توسّعاً ، ومع الدوران بينها تكون أصالة العموم بلا معارض ؛ لأنّ المراد من الضمير معلوم ؛ لرجوعه إلى الرجعيات مثلاً ، وإنّما الشكّ في كونه من باب الحقيقة أو المجاز في الكلمة أو الإسناد ، ولم يثبت بناء العقلاء على اتّباع الظهور في ذلك ، بل المتيقّن منه اتّباعه في تعيين المراد ، لا في كيفية الاستعمال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إذا انعقد للكلام ظهور في العموم ، وأمّا مع اكتنافه بما يصلح للقرينية ، فيحكم بالإجمال ، ويرجع إلى ما تقتضيه الاُصول</w:t>
      </w:r>
      <w:r>
        <w:rPr>
          <w:rStyle w:val="FootnoteAnchor"/>
          <w:rtl w:val="true"/>
        </w:rPr>
        <w:footnoteReference w:id="418"/>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الاحتمالين الأخيرين ساقطان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رجوع الضمير إلى بعض ما اُريد من المرجع ، فلما عرفت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لما هو إشارة بالحمل الشائع ؛ أي لإيجادها ، لا لمفهومها ، ولا لمصداق المشار إليه ، كما يتراءى من بعض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ولا بدّ للإشارة من تعيّن المشار إليه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بنحو الحضور خارجاً ، أو ذهناً ، أو بنحو التخاطب كضمير المخاطب ، أو التكلّم كضمير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وضعت للإشارة إلى متعيّن بالتخاطب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وضعت للإشارة إلى متعيّن في الذهن ، أو سابق في اللفظ ، وإذا لم يكن للمرجع تعيّن بوجه ، فلا يكون للإشارة مورد ، فلا بدّ وأن يرجع الضمير إلى كلّ ما اُريد من العامّ ؛ لأنّه</w:t>
      </w:r>
    </w:p>
    <w:p>
      <w:pPr>
        <w:pStyle w:val="BookText"/>
        <w:rPr/>
      </w:pPr>
      <w:r>
        <w:rPr>
          <w:rFonts w:ascii="Amiri" w:hAnsi="Amiri" w:eastAsia="Amiri" w:cs="Amiri"/>
          <w:color w:val="111111"/>
          <w:sz w:val="28"/>
          <w:sz w:val="28"/>
          <w:szCs w:val="28"/>
          <w:rtl w:val="true"/>
          <w:lang w:bidi="ar-SA"/>
        </w:rPr>
        <w:t xml:space="preserve">المذكور في الكلام والمتعيّن في المقام ، ولا يكون بعض ما اُريد من العامّ متعيّناً بوجه ؛ لا لفظاً وذكراً ، ولا عقلاً وذهناً ، فاحتمال رجوعه إلى البعض 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لمّا وضع لأن يكون آلة للإشارة إلى متعيّن ، يكون تابعاً للمشار إليه في العموم والخصوص ، فأصالة الظهور في الضمير تابعة لأصالة العموم ؛ فجريان الأصل في العامّ يرفع الشكّ من الضمير ، ويكون من قبيل الأصل الحاكم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المجاز في الإسناد بإسناد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ية الرجوع في الآية إلى كلّ </w:t>
      </w:r>
    </w:p>
    <w:p>
      <w:pPr>
        <w:pStyle w:val="BookText"/>
        <w:rPr/>
      </w:pPr>
      <w:r>
        <w:rPr>
          <w:rFonts w:ascii="Amiri" w:hAnsi="Amiri" w:eastAsia="Amiri" w:cs="Amiri"/>
          <w:color w:val="111111"/>
          <w:sz w:val="28"/>
          <w:sz w:val="28"/>
          <w:szCs w:val="28"/>
          <w:rtl w:val="true"/>
          <w:lang w:bidi="ar-SA"/>
        </w:rPr>
        <w:t xml:space="preserve">المطلّقات توسُّعاً ، فهو أيضاً ساقط ، لأنّ إسناد ما للبعض إلى الكلّ ، إنّما يحسن إذا اعتبر الكلّ شيئاً واحداً ، وادُّعي أنّ ما صدر من البعض صادر من الكلّ ؛ لمكان اتّحاده معه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فلانٍ قتلوا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أ نّهم بمنزلة شخصٍ واحد ، فإذا صدر من واحدٍ منهم أمر ، فقد صدر منهم ، وأمّا مع إرادة الاستغراق من العموم ، فحيث يكون كلّ واحدٍ من أفراده مستقلاًّ في الحكم من غير ادّعاء الوحدة ، فلا مصحّح للتجوّز وإرجاع الضمير إلى الكلّ توسّعاً ، فإذا سقط الاحتمالان ، بقي الاحتمال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باقٍ على عمومه ، والضمير راجع إليه والإسناد واقع عليه بحسب الإرادة الاستعمالية ، والمخصِّص الخارجي أخرج بعض ما اُريد بحسب الاستعمال عن العامّ ، كما هو الحال في كلّية المخصِّصات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النظر فيما أفاده من إمكان اكتناف العامّ بما يصلح للقرينية ؛ أي كون الضمير صالحاً للقرينية ؛ لما عرفت من أنّ الضمير تابع لمرجعه ، وأصالة العموم حاكمة على أصالة الظهور فيه ، فلا يصلح الضمير للقرينية ، وإنّما المخصّص للعامّ أمر آخر خارج والمخصّص الخارجي يوجب عدم تطابق الإرادتين في الضمير لا العامّ ؛ لأنّ حكم التربّص ثابت لجميع المطلّقات ، والاختلاف إنّما هو في جواز الرجوع وعدمه </w:t>
      </w:r>
      <w:r>
        <w:rPr>
          <w:rFonts w:eastAsia="Amiri" w:cs="Amiri" w:ascii="Amiri" w:hAnsi="Amiri"/>
          <w:color w:val="111111"/>
          <w:sz w:val="28"/>
          <w:szCs w:val="28"/>
          <w:rtl w:val="true"/>
          <w:lang w:bidi="ar-SA"/>
        </w:rPr>
        <w:t xml:space="preserve">. </w:t>
      </w:r>
      <w:bookmarkStart w:id="496" w:name="pg8033_81141"/>
    </w:p>
    <w:p>
      <w:pPr>
        <w:pStyle w:val="Heading3"/>
        <w:numPr>
          <w:ilvl w:val="2"/>
          <w:numId w:val="1"/>
        </w:numPr>
        <w:rPr/>
      </w:pPr>
      <w:bookmarkStart w:id="497" w:name="__RefHeading___Toc7368537_1051229030"/>
      <w:bookmarkStart w:id="498" w:name="_Toc179"/>
      <w:bookmarkEnd w:id="496"/>
      <w:bookmarkEnd w:id="497"/>
      <w:r>
        <w:rPr>
          <w:rtl w:val="true"/>
        </w:rPr>
        <w:t>فصل في تخصيص العامّ بالمفهوم</w:t>
      </w:r>
      <w:bookmarkEnd w:id="498"/>
    </w:p>
    <w:p>
      <w:pPr>
        <w:pStyle w:val="BookText"/>
        <w:rPr/>
      </w:pPr>
      <w:r>
        <w:rPr>
          <w:rFonts w:ascii="Amiri" w:hAnsi="Amiri" w:eastAsia="Amiri" w:cs="Amiri"/>
          <w:color w:val="111111"/>
          <w:sz w:val="28"/>
          <w:sz w:val="28"/>
          <w:szCs w:val="28"/>
          <w:rtl w:val="true"/>
          <w:lang w:bidi="ar-SA"/>
        </w:rPr>
        <w:t>قد عرفت فيما سبق</w:t>
      </w:r>
      <w:r>
        <w:rPr>
          <w:rStyle w:val="FootnoteAnchor"/>
          <w:rtl w:val="true"/>
        </w:rPr>
        <w:footnoteReference w:id="420"/>
      </w:r>
      <w:r>
        <w:rPr>
          <w:rFonts w:ascii="Amiri" w:hAnsi="Amiri" w:eastAsia="Amiri" w:cs="Amiri"/>
          <w:color w:val="111111"/>
          <w:sz w:val="28"/>
          <w:sz w:val="28"/>
          <w:szCs w:val="28"/>
          <w:rtl w:val="true"/>
          <w:lang w:bidi="ar-SA"/>
        </w:rPr>
        <w:t>، الفرق بين المفهوم المخالف والموافق ، وأنّ الثاني</w:t>
      </w:r>
    </w:p>
    <w:p>
      <w:pPr>
        <w:pStyle w:val="BookText"/>
        <w:rPr/>
      </w:pPr>
      <w:r>
        <w:rPr>
          <w:rFonts w:ascii="Amiri" w:hAnsi="Amiri" w:eastAsia="Amiri" w:cs="Amiri"/>
          <w:color w:val="111111"/>
          <w:sz w:val="28"/>
          <w:sz w:val="28"/>
          <w:szCs w:val="28"/>
          <w:rtl w:val="true"/>
          <w:lang w:bidi="ar-SA"/>
        </w:rPr>
        <w:t xml:space="preserve">يرجع إلى إلقاء الخصوصية ، ولا يشترط فيه الأولوية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بين الثلاث والأربع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الأربع</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فإنّ العرف يلقي الخصوصية مع أنّ المرأة لا أولوية لها وبعد فرض إلقاء الخصوصية يخصّص العامّ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التخصيص به مورد الاتّفاق</w:t>
      </w:r>
      <w:r>
        <w:rPr>
          <w:rStyle w:val="FootnoteAnchor"/>
          <w:rtl w:val="true"/>
        </w:rPr>
        <w:footnoteReference w:id="422"/>
      </w:r>
      <w:r>
        <w:rPr>
          <w:rFonts w:ascii="Amiri" w:hAnsi="Amiri" w:eastAsia="Amiri" w:cs="Amiri"/>
          <w:color w:val="111111"/>
          <w:sz w:val="28"/>
          <w:sz w:val="28"/>
          <w:szCs w:val="28"/>
          <w:rtl w:val="true"/>
          <w:lang w:bidi="ar-SA"/>
        </w:rPr>
        <w:t xml:space="preserve">، غير مسلّم ، بل قد يظهر وجود الخلاف بين القدماء ، كما في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الأظهر هو التخصيص به</w:t>
      </w:r>
      <w:r>
        <w:rPr>
          <w:rStyle w:val="FootnoteAnchor"/>
          <w:rtl w:val="true"/>
        </w:rPr>
        <w:footnoteReference w:id="423"/>
      </w:r>
      <w:r>
        <w:rPr>
          <w:rFonts w:ascii="Amiri" w:hAnsi="Amiri" w:eastAsia="Amiri" w:cs="Amiri"/>
          <w:color w:val="111111"/>
          <w:sz w:val="28"/>
          <w:sz w:val="28"/>
          <w:szCs w:val="28"/>
          <w:rtl w:val="true"/>
          <w:lang w:bidi="ar-SA"/>
        </w:rPr>
        <w:t xml:space="preserve">فالتعبير به ممّا يتراءى منه الخلاف في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الأوّل ؛ أي المفهوم المخالف ، فهو يرجع إلى دخالة القيد ، وأنّ الحكم ثابت للذات مع تقيّدها بقيدٍ ، وليست الذات تمام الموضوع للحكم ، وقد عرفت</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مورد بحث القدماء ، دون ما هو المبحوث عنه لدى المتأخّرين من أنّ أداة الشرط يستفاد منها العلّية المنحصرة ، أو الوصف مثلاً يشعر بالعلّية المنحصرة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في كلّية المفاهيم عند القدماء شيء واحد هو دخالة القيد في الحكم ، فعلى هذا يكون التقييد أو التخصيص بالمفهوم المخالف راجعاً دائماً إلى حمل المطلق على المقيّد ، والسرّ فيه هو السرّ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العامّة عن رسول اللّه صلی الله علیه و آله وسلم من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w:t>
      </w:r>
    </w:p>
    <w:p>
      <w:pPr>
        <w:pStyle w:val="BookText"/>
        <w:rPr/>
      </w:pPr>
      <w:r>
        <w:rPr>
          <w:rFonts w:ascii="Amiri" w:hAnsi="Amiri" w:eastAsia="Amiri" w:cs="Amiri"/>
          <w:color w:val="111111"/>
          <w:sz w:val="28"/>
          <w:sz w:val="28"/>
          <w:szCs w:val="28"/>
          <w:rtl w:val="true"/>
          <w:lang w:bidi="ar-SA"/>
        </w:rPr>
        <w:t>طهوراً لم ينجّسه شيء ، إلاّ ما غيّر لونه أو طعمه أو رائحته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تكون نسبته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نسبة المطلق إلى المقيّد ؛ فإنّ الأوّل يدلّ على أنّ الماء تمام الموضوع لعدم التنجّس ، والثاني يدلّ على أنّ للكرّية دخالة فيه ، فتقع المعارضة بين المنطوقين ، ولا إشكال في أظهرية المقيّد في دخالة القيد من المطلق في تمام الموضوعية ، فيحمل عليه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الماء كرّاً فلا يدلّ الثاني على شيء ؛ فإنّ المفهوم منه ليس إلاّ دخالة القيد ، وأمّا عدم دخالة شيء آخر ، فلا ، فيمكن أن يقع قيد آخر مقام القيد </w:t>
      </w:r>
    </w:p>
    <w:p>
      <w:pPr>
        <w:pStyle w:val="BookText"/>
        <w:rPr/>
      </w:pPr>
      <w:r>
        <w:rPr>
          <w:rFonts w:ascii="Amiri" w:hAnsi="Amiri" w:eastAsia="Amiri" w:cs="Amiri"/>
          <w:color w:val="111111"/>
          <w:sz w:val="28"/>
          <w:sz w:val="28"/>
          <w:szCs w:val="28"/>
          <w:rtl w:val="true"/>
          <w:lang w:bidi="ar-SA"/>
        </w:rPr>
        <w:t xml:space="preserve">المذكور ، فيكون الماء مثلاً مع الجريان أو مع المادّة أيضاً غير منفعل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بالمفهوم المخالف عند القدماء ، من صغريات حمل المطلق على المقيّد ، والكلام فيه هو الكلام فيه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عند المتأخّرين ، فعلى القول بالعلّية المنحصرة ليس دلالة مفهومية ، بل هي دلالة بالمنطوق ؛ حيث تدلّ أداة الشرط أو الوصف المعتمد على الموصوف على العلّية المنحصرة ، فتدلّ على عدم الحكم عند عدم القيد ، وحينئذٍ ليس من قبيل المطلق والمقيّد ، كما لا يخفى ؛ ولهذا تدلّ على عدم مدخلية قيدٍ آخر سوى القيد المذكور ، فتدبّر </w:t>
      </w:r>
      <w:r>
        <w:rPr>
          <w:rFonts w:eastAsia="Amiri" w:cs="Amiri" w:ascii="Amiri" w:hAnsi="Amiri"/>
          <w:color w:val="111111"/>
          <w:sz w:val="28"/>
          <w:szCs w:val="28"/>
          <w:rtl w:val="true"/>
          <w:lang w:bidi="ar-SA"/>
        </w:rPr>
        <w:t xml:space="preserve">. </w:t>
      </w:r>
      <w:bookmarkStart w:id="499" w:name="pg8033_81146"/>
    </w:p>
    <w:p>
      <w:pPr>
        <w:pStyle w:val="Heading3"/>
        <w:numPr>
          <w:ilvl w:val="2"/>
          <w:numId w:val="1"/>
        </w:numPr>
        <w:rPr/>
      </w:pPr>
      <w:bookmarkStart w:id="500" w:name="__RefHeading___Toc7368539_1051229030"/>
      <w:bookmarkStart w:id="501" w:name="_Toc180"/>
      <w:bookmarkEnd w:id="499"/>
      <w:bookmarkEnd w:id="500"/>
      <w:r>
        <w:rPr>
          <w:rtl w:val="true"/>
        </w:rPr>
        <w:t>فصل الاستثناء المتعقّب لجمل متعدّدة</w:t>
      </w:r>
      <w:bookmarkEnd w:id="501"/>
    </w:p>
    <w:p>
      <w:pPr>
        <w:pStyle w:val="BookText"/>
        <w:rPr/>
      </w:pPr>
      <w:r>
        <w:rPr>
          <w:rFonts w:ascii="Amiri" w:hAnsi="Amiri" w:eastAsia="Amiri" w:cs="Amiri"/>
          <w:color w:val="111111"/>
          <w:sz w:val="28"/>
          <w:sz w:val="28"/>
          <w:szCs w:val="28"/>
          <w:rtl w:val="true"/>
          <w:lang w:bidi="ar-SA"/>
        </w:rPr>
        <w:t>الاستثناء المتعقّب لجمل متعدّدة ، هل يمكن رجوعه إلى الكلّ أم لا ؟ وعلى الأوّل هل الظاهر رجوعه إلى الكلّ ، أو الأخيرة ، أو لا ظهور له ؟</w:t>
      </w:r>
    </w:p>
    <w:p>
      <w:pPr>
        <w:pStyle w:val="BookText"/>
        <w:rPr/>
      </w:pPr>
      <w:r>
        <w:rPr>
          <w:rFonts w:ascii="Amiri" w:hAnsi="Amiri" w:eastAsia="Amiri" w:cs="Amiri"/>
          <w:color w:val="111111"/>
          <w:sz w:val="28"/>
          <w:sz w:val="28"/>
          <w:szCs w:val="28"/>
          <w:rtl w:val="true"/>
          <w:lang w:bidi="ar-SA"/>
        </w:rPr>
        <w:t xml:space="preserve">قد عرفت في مبحث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معانيها غير مستقلّة في الوجود ، وأنّ موجوديتها بنفس المعاني الاستقلالية التي هي فانية فيها ، والاستثناء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الحرفية الربطية الغير المستقلّة ، الفانية في المعاني الاسمية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قد يعتبر الجمل المتعدّدة بنعت الوحدة ، فيخرج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مجموعها من حيث المجموع ، وهذا ممّا لا محذور فيه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يعتبر القضايا متعدّدة كثيرة ، فيراد أن يستثنى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واحدٍ منها ، فمحذوره أشدّ من استعمال لفظٍ واحد في معانٍ متعدّدة ؛ فإنّ الحروف آلة للحاظ المعاني الاسمية وفانية فيها ، ولا يمكن فناء شيءٍ واحد في اُمور كثيرة ، ولا يقاس ذلك بالاستثناءات المتعدّدة ؛ فإنّ حروف العطف فيها رابطة ، فيخرج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ويرتبط الثاني به بحرف العطف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فلا محذور فيه ، </w:t>
      </w:r>
    </w:p>
    <w:p>
      <w:pPr>
        <w:pStyle w:val="BookText"/>
        <w:rPr/>
      </w:pPr>
      <w:r>
        <w:rPr>
          <w:rFonts w:ascii="Amiri" w:hAnsi="Amiri" w:eastAsia="Amiri" w:cs="Amiri"/>
          <w:color w:val="111111"/>
          <w:sz w:val="28"/>
          <w:sz w:val="28"/>
          <w:szCs w:val="28"/>
          <w:rtl w:val="true"/>
          <w:lang w:bidi="ar-SA"/>
        </w:rPr>
        <w:t xml:space="preserve">بخلاف الاستثناء الواحد من الجمل الكثيرة ، فإنّه من قبيل استعمال اللفظ الواحد في معانٍ متعدّدة ، بل أشدّ محذوراً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ليس إلاّ من قبيل العلامة ، فبعد تصوّر الجمل المتعدّدة ، وكون المستثنى خارجاً من كلٍّ منها ، يجعل علامة للإخراج من كلٍّ منها ، فيفهم المخاطب بواسطتها كونه خارجاً من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يلاحظ الجمل الكثيرة بلحاظٍ واحد حين استعمال الأداة الاستثنائية ، وإن تلاحظ تلك الجمل مستقلّة حين استعمالها ، فيستثنى باللحاظ ا لواحد من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إلزام أئمّة الأدب بالإشكال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بحسب مقام الثبوت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مقام الدلالة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الظهور في شيءٍ ، ولكن القدر المتيقّن هو الأخير ، وغيره يحتاج إلى الدليل </w:t>
      </w:r>
      <w:r>
        <w:rPr>
          <w:rFonts w:eastAsia="Amiri" w:cs="Amiri" w:ascii="Amiri" w:hAnsi="Amiri"/>
          <w:color w:val="111111"/>
          <w:sz w:val="28"/>
          <w:szCs w:val="28"/>
          <w:rtl w:val="true"/>
          <w:lang w:bidi="ar-SA"/>
        </w:rPr>
        <w:t xml:space="preserve">. </w:t>
      </w:r>
      <w:bookmarkStart w:id="502" w:name="pg8033_81150"/>
    </w:p>
    <w:p>
      <w:pPr>
        <w:pStyle w:val="Heading3"/>
        <w:numPr>
          <w:ilvl w:val="2"/>
          <w:numId w:val="1"/>
        </w:numPr>
        <w:rPr/>
      </w:pPr>
      <w:bookmarkStart w:id="503" w:name="__RefHeading___Toc7368541_1051229030"/>
      <w:bookmarkStart w:id="504" w:name="_Toc181"/>
      <w:bookmarkEnd w:id="502"/>
      <w:bookmarkEnd w:id="503"/>
      <w:r>
        <w:rPr>
          <w:rtl w:val="true"/>
        </w:rPr>
        <w:t>فصل جواز تخصيص الكتاب بالخبر الواحد</w:t>
      </w:r>
      <w:bookmarkEnd w:id="504"/>
    </w:p>
    <w:p>
      <w:pPr>
        <w:pStyle w:val="BookText"/>
        <w:rPr/>
      </w:pPr>
      <w:r>
        <w:rPr>
          <w:rFonts w:ascii="Amiri" w:hAnsi="Amiri" w:eastAsia="Amiri" w:cs="Amiri"/>
          <w:color w:val="111111"/>
          <w:sz w:val="28"/>
          <w:sz w:val="28"/>
          <w:szCs w:val="28"/>
          <w:rtl w:val="true"/>
          <w:lang w:bidi="ar-SA"/>
        </w:rPr>
        <w:t xml:space="preserve">الحقّ جواز تخصيص الكتاب بالخبر الواحد المعتبر بالخصوص ؛ للسيرة المستمرّة في جميع الأعصار عليه ، ولولاه لما قام للمسلمين فقه ؛ ضرورة ندرة خبر لم يكن على خلافه عموم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على عدم الجواز باُمور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ظنّي ، والكتاب قطعي ، ولا يجوز رفع اليد عنه به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ليس في السند ، بل في العموم ، وأصالة العموم ظنّية ، فرفع اليد عن العموم به رفع لليد عن الدليل الظنّي بالدليل الظنّي الأقوى ؛ للسيرة العقلائية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الخبر هو الإجماع ، وهو قاصر عن المورد ؛ لأنّ القدر المتيقّن منه غيره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هو السيرة القطعية العقلائية ، ولم يرد ردع عنها ، والإجماع أيضاً عملي يرجع إليها ، لا إلى الإجماع المصطلح ، كما أنّ سيرة المسلمين ترجع إلى السيرة العقلائية ، لا المتشرّعة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في جميع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تخصيص الكتاب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جاز التخصيص لجاز النسخ ؛ لأنّ النسخ هو التخصيص الزماني ، ولا يجوز نسخه به قطعاً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 لقيام الإجماع على عدم جواز النسخ ، دون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منع عدم جواز النسخ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المتواترة معنىً أو إجمالاً ، تدلّ على وجوب طرح الأخبار المخالفة للقرآن ، فكيف يخصّص القرآن 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الأخبار على كثرتها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وجوب عرض الخبر على كتاب اللّه ، فإن وجد فيه شاهد أو شاهدان عليه فيعمل به ، وإلاّ فلا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تدلّ على عدم حجّية الأخبار من رأسٍ ، فإنّه لو وجد شاهد أو شاهدان من كتاب اللّه على شيءٍ ، ويكون شرط العمل به ذلك ، يكون المعمول عليه هو الكتاب فقط ، فلا معنى لحجّيته ، فهذه الطائفة معارضة لجميع ما دلّ </w:t>
      </w:r>
    </w:p>
    <w:p>
      <w:pPr>
        <w:pStyle w:val="BookText"/>
        <w:rPr/>
      </w:pPr>
      <w:r>
        <w:rPr>
          <w:rFonts w:ascii="Amiri" w:hAnsi="Amiri" w:eastAsia="Amiri" w:cs="Amiri"/>
          <w:color w:val="111111"/>
          <w:sz w:val="28"/>
          <w:sz w:val="28"/>
          <w:szCs w:val="28"/>
          <w:rtl w:val="true"/>
          <w:lang w:bidi="ar-SA"/>
        </w:rPr>
        <w:t xml:space="preserve">على حجّية الخبر الواحد ، وقد دلّت الأخبار المتواترة على إمضاء السيرة العقلائية في العمل بالأخبار ، كما أنّ عمل الأصحاب عليه خلفاً عن سلفٍ ، فلا يمكن أن تكون تلك الأخبار رادعة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نّها أخبار آحاد لا تبلغ حدّ التواتر ، فرادعيتها عنها دورية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 بكتاب اللّه عند تعارض الخبرين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الطائفة غير مربوطة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صدور الأخبار المخالفة أو غير الموافقة للقرآن منهم ، وأنّ الخبر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على الجدار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الأخبار المخالفة أو غير الموافقة لا يجوز العمل بها ، ويجب ردّ علمها إليهم</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هي هاتان الطائفتان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محيص عن حملهما على المخالفة بالتباين ؛ ضرورة ورود الأخبار المخالفة لعموم الكتاب وإطلاقه منهم ، بل ما من خبرٍ إلاّ وهو مخالف لعموم الكتاب أو إطلاقه ، وقلّما يتّفق أن تكون الأخبار المتواترة على </w:t>
      </w:r>
    </w:p>
    <w:p>
      <w:pPr>
        <w:pStyle w:val="BookText"/>
        <w:rPr/>
      </w:pPr>
      <w:r>
        <w:rPr>
          <w:rFonts w:ascii="Amiri" w:hAnsi="Amiri" w:eastAsia="Amiri" w:cs="Amiri"/>
          <w:color w:val="111111"/>
          <w:sz w:val="28"/>
          <w:sz w:val="28"/>
          <w:szCs w:val="28"/>
          <w:rtl w:val="true"/>
          <w:lang w:bidi="ar-SA"/>
        </w:rPr>
        <w:t xml:space="preserve">خلافه ، مع أنّ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الطائفتين طرح الأخبار المخالفة مطلقاً ؛ واحدة كانت أو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المخالفة بالعموم والخصوص والإطلاق والتقييد ليست مخالفة عرفاً ؛ فإنّ المخالفة أو غير الملائمة والموافقة عند العرف هي المباينة عندهم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الكتاب بالخبر الحجّة جائز </w:t>
      </w:r>
      <w:r>
        <w:rPr>
          <w:rFonts w:eastAsia="Amiri" w:cs="Amiri" w:ascii="Amiri" w:hAnsi="Amiri"/>
          <w:color w:val="111111"/>
          <w:sz w:val="28"/>
          <w:szCs w:val="28"/>
          <w:rtl w:val="true"/>
          <w:lang w:bidi="ar-SA"/>
        </w:rPr>
        <w:t xml:space="preserve">. </w:t>
      </w:r>
      <w:bookmarkStart w:id="505" w:name="pg8033_81158"/>
    </w:p>
    <w:p>
      <w:pPr>
        <w:pStyle w:val="Heading2"/>
        <w:numPr>
          <w:ilvl w:val="1"/>
          <w:numId w:val="1"/>
        </w:numPr>
        <w:rPr/>
      </w:pPr>
      <w:bookmarkStart w:id="506" w:name="__RefHeading___Toc7368543_1051229030"/>
      <w:bookmarkStart w:id="507" w:name="_Toc182"/>
      <w:bookmarkEnd w:id="505"/>
      <w:bookmarkEnd w:id="506"/>
      <w:r>
        <w:rPr>
          <w:rtl w:val="true"/>
        </w:rPr>
        <w:t>المقصد الخامس</w:t>
      </w:r>
      <w:r>
        <w:rPr>
          <w:rtl w:val="true"/>
        </w:rPr>
        <w:t xml:space="preserve">: </w:t>
      </w:r>
      <w:r>
        <w:rPr>
          <w:rtl w:val="true"/>
        </w:rPr>
        <w:t>في المطلق والمقيّد</w:t>
      </w:r>
      <w:bookmarkEnd w:id="5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7368545_1051229030"/>
      <w:bookmarkStart w:id="509" w:name="_Toc183"/>
      <w:bookmarkEnd w:id="508"/>
      <w:r>
        <w:rPr>
          <w:rtl w:val="true"/>
        </w:rPr>
        <w:t>اشارة</w:t>
      </w:r>
      <w:bookmarkEnd w:id="5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8033_81162"/>
      <w:bookmarkStart w:id="511" w:name="pg8033_81162"/>
      <w:bookmarkEnd w:id="511"/>
    </w:p>
    <w:p>
      <w:pPr>
        <w:pStyle w:val="Heading3"/>
        <w:numPr>
          <w:ilvl w:val="2"/>
          <w:numId w:val="1"/>
        </w:numPr>
        <w:rPr/>
      </w:pPr>
      <w:bookmarkStart w:id="512" w:name="pg8033_81162"/>
      <w:bookmarkStart w:id="513" w:name="__RefHeading___Toc7368547_1051229030"/>
      <w:bookmarkStart w:id="514" w:name="_Toc184"/>
      <w:bookmarkEnd w:id="512"/>
      <w:bookmarkEnd w:id="513"/>
      <w:r>
        <w:rPr>
          <w:rtl w:val="true"/>
        </w:rPr>
        <w:t>فصل في تعريف المطلق والمقيّد</w:t>
      </w:r>
      <w:bookmarkEnd w:id="514"/>
    </w:p>
    <w:p>
      <w:pPr>
        <w:pStyle w:val="Heading4"/>
        <w:numPr>
          <w:ilvl w:val="3"/>
          <w:numId w:val="1"/>
        </w:numPr>
        <w:rPr/>
      </w:pPr>
      <w:bookmarkStart w:id="515" w:name="__RefHeading___Toc7368549_1051229030"/>
      <w:bookmarkStart w:id="516" w:name="_Toc185"/>
      <w:bookmarkEnd w:id="515"/>
      <w:r>
        <w:rPr>
          <w:rtl w:val="true"/>
        </w:rPr>
        <w:t>في تعريف المطلق والمقيّد</w:t>
      </w:r>
      <w:bookmarkEnd w:id="516"/>
    </w:p>
    <w:p>
      <w:pPr>
        <w:pStyle w:val="BookText"/>
        <w:rPr/>
      </w:pPr>
      <w:r>
        <w:rPr>
          <w:rFonts w:ascii="Amiri" w:hAnsi="Amiri" w:eastAsia="Amiri" w:cs="Amiri"/>
          <w:color w:val="111111"/>
          <w:sz w:val="28"/>
          <w:sz w:val="28"/>
          <w:szCs w:val="28"/>
          <w:rtl w:val="true"/>
          <w:lang w:bidi="ar-SA"/>
        </w:rPr>
        <w:t xml:space="preserve">عرّف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ما دلّ على شائعٍ في جنسه ، والمقيّد بخلافه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عليه بعدم الاطّراد والانعكاس</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شرح الاسم ، وليس بتعريف حقيقي ، وهو ممّا يجوز ألاّ يكون بمطّرد ، ولا بمنعكس</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التعريف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بالجنس فيه ، هو الطبيعة التي مدلول اللفظ ، يلزم أن يكون المطلق شائعاً في نفسه ، وهو كما ترى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الجنس الذي فوق مدلول المطلق ، يلزم أن يكون شائعاً فيما فوقه ، وهو أشدّ محذوراً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بالجنس هو الأفراد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جنس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يظهر من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والتقييد وصفان للّفظ باعتبار المعنى الموضوع له ، فبعض الألفاظ وضع لمعنىً شائع في جنسه ، وهو المطلق ، وبعض الألفاظ وضع لمعنىً غير شائع فيه وهو المقيّد ، فالموضوع له في المطلق غيره في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الأعلام الشخصية والجزئيات الحقيقية ممّا لا شيوع لها تكون من المقيّدات ، والماهيات الكلّية من أسماء الأجناس وأعلامها والنكرات ؛ ممّا لها شمول استغراقي أو بدلي من المطلقات ، وهذا خلاف التحقيق في المطلق والمقيّد حسبما يستفاد من موارد استعمالاتهما لدى الفقهاء والاُصوليين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والمقيّد ليسا من صفات المعنى الموضوع له ، وليس للمطلق معنىً ، وللمقيّد معنىً آخر موضوع له لفظ آخر في قباله ، بل المطلق والمقيّد صفتان لموضوع الحكم بما أ نّهما موضوعه ، فربّما جعل شيء تمام الموضوع في ثبوت حكم عليه ، وربّما لا يكون كذلك ، بل جعل موضوعاً مع قيد 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موضوعاً لحكم من الأحكام بلا دخالة قيد فيه غير ذاته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لإطلاقه عن القيود والسلاسل ، ولكونه جارياً على مقتضى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موضوعاً لحكم مع دخالة شيء آخر فيه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 لتقيّده ، كالمحبوس المقيّد بالسلسلة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لا بدّ له من شيوع ، سواء كان شيوعاً فردياً ، أو حالياً ، فما لا شيوع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الأفراد ، ولا بحسب الحالات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الشائع أيضاً لا يعدّ مطلقاً إلاّ إذا اُخذ موضوعاً لحكم ، ويكون تمام الموضوع له بلا دخالة شيء فيه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والتقييد صفتان لأمر واحد باعتبارين ، فالرقبة إذا كانت تمام الموضوع لحكم تكون مطلقة ، وإذا كانت مع قيد الإيمان موضوعاً له تكون مقيّدة ، فالإطلاق والتقييد وصفان للرقبة في المثال ؛ باعتبار تمام الموضوعية للحكم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والتقييد وصفان إضافيان ، فربّما كان شيء باعتبار قيد مطلقاً ، وباعتبار قيد آخر مقيّداً ، فعتق الرقبة بالنسبة إلى الإيمان يمكن أن يكون مقيّداً ، وبالنسبة إلى الصحّة والمرض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المطلق والمقيّد تقابل العدم والملكة ، فالمطلق هو غير المقيّد ممّا من شأنه أن يكون مقيّداً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والتقييد وصفان للمعنى أوّلاً وبالذات ، وللّفظ الدالّ عليه ثانياً وبالعرض ، فالرقبة في مقام الثبوت، إذا كانت تمام الموضوع لحكم ، تكون مطلقة ، وإلاّ تكون مقيّدة ، واللفظ الدالّ على الأوّل مطلق بواسطة ، والدالّ على الثاني مقيّد كذلك </w:t>
      </w:r>
      <w:r>
        <w:rPr>
          <w:rFonts w:eastAsia="Amiri" w:cs="Amiri" w:ascii="Amiri" w:hAnsi="Amiri"/>
          <w:color w:val="111111"/>
          <w:sz w:val="28"/>
          <w:szCs w:val="28"/>
          <w:rtl w:val="true"/>
          <w:lang w:bidi="ar-SA"/>
        </w:rPr>
        <w:t xml:space="preserve">. </w:t>
      </w:r>
      <w:bookmarkStart w:id="517" w:name="pg8033_81168"/>
    </w:p>
    <w:p>
      <w:pPr>
        <w:pStyle w:val="BookText"/>
        <w:rPr/>
      </w:pPr>
      <w:bookmarkEnd w:id="517"/>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متقوّم بأمر عدمي ، وهو عدم أخذ شيء في الموضوع سوى الذات ، ولا يحتاج إلى لحاظ السريان والشيوع في الأفراد ، ولا إلى تقيّدها بالسريان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الإطلاق ؛ أي صيرورة الموضوع متساوي النسبة إلى جميع الأفراد بالنسبة إلى حكم ، شمولياً كان أو بدلياً ، هو كونه تمام الموضوع ثبوتاً ، وملاك التقييد كونه الموضوع مع 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ملاك السريان ، لا تقييده بالسريان أو لحاظه فيه ، بل التقييد به يوجب عدم السريان ، فالاختلاف بين الإطلاق والتقييد إنّما هو باعتبار مقام الموضوعية لحكم ، لا بحسب مقام الوضع ، فلا يكون الموضوع له فيهما مختلفاً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368551_1051229030"/>
      <w:bookmarkStart w:id="519" w:name="_Toc186"/>
      <w:bookmarkEnd w:id="518"/>
      <w:r>
        <w:rPr>
          <w:rtl w:val="true"/>
        </w:rPr>
        <w:t xml:space="preserve">تنبيه </w:t>
      </w:r>
      <w:r>
        <w:rPr>
          <w:rtl w:val="true"/>
        </w:rPr>
        <w:t xml:space="preserve">: </w:t>
      </w:r>
      <w:r>
        <w:rPr>
          <w:rtl w:val="true"/>
        </w:rPr>
        <w:t>في ألفاظ المطلق</w:t>
      </w:r>
      <w:bookmarkEnd w:id="519"/>
    </w:p>
    <w:p>
      <w:pPr>
        <w:pStyle w:val="BookText"/>
        <w:rPr/>
      </w:pPr>
      <w:r>
        <w:rPr>
          <w:rFonts w:ascii="Amiri" w:hAnsi="Amiri" w:eastAsia="Amiri" w:cs="Amiri"/>
          <w:color w:val="111111"/>
          <w:sz w:val="28"/>
          <w:sz w:val="28"/>
          <w:szCs w:val="28"/>
          <w:rtl w:val="true"/>
          <w:lang w:bidi="ar-SA"/>
        </w:rPr>
        <w:t>بناءً على ما ذكرنا في تحقيق المطلق والمقيّد ، لا حاجة إلى تحقيق أسماء الأجناس وأعلامها وأمثالهما ، لكن نذكر ما هو التحقيق فيهما استطراداً وتبعاً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 الجنس كإنسان وفرس وسواد وبياض من الجواهر والأعراض ، فوضع لنفس الطبيعة اللا بشرط ، التي هي نفس الماهيات من حيث هي ، المنتفية عن مرتبة ذاتها غير ذاتها وذاتياتها ، حتّى النقائض ، فالإنسان بما أ نّه إنسان ، لا موجود ولا لا موجود ، ولا واحد ولا كثير ، ولا أسود </w:t>
      </w:r>
    </w:p>
    <w:p>
      <w:pPr>
        <w:pStyle w:val="BookText"/>
        <w:rPr/>
      </w:pPr>
      <w:r>
        <w:rPr>
          <w:rFonts w:ascii="Amiri" w:hAnsi="Amiri" w:eastAsia="Amiri" w:cs="Amiri"/>
          <w:color w:val="111111"/>
          <w:sz w:val="28"/>
          <w:sz w:val="28"/>
          <w:szCs w:val="28"/>
          <w:rtl w:val="true"/>
          <w:lang w:bidi="ar-SA"/>
        </w:rPr>
        <w:t xml:space="preserve">ولا لا أسود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فالأوصاف التي تكون من قبيل الخارج المحمول ، والتي من قبيل المحمول بالضميمة ، كلّها مرتفعة عن مرتبة ذات الماهية ، كما أنّ مقابلاتها كذلك ، وهذا لا يحتاج إلى تحقيق أقسام الماهية ، لكنّا نشير إليها تبعاً للقوم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قسّموها إلى الماهية بشرط شيء ، وبشرط لا ، ولا 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فعرّفوا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عبارة عن الماهية مع لحاظ شيء معها ، كالإنسان الموجود أو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هي مع لحاظ التجرّد عن كلّ شيء واعتبار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هي مع عدم لحاظ شيء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فاُشكل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المقسم فيها عين القسم الثالث ؛ أي الماهية لا بشرط شيء ، فأطالوا الكلام والنقض والإبرام لدفع الإشكال وتحصيل الفرق بينهما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يساعد عليه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الأقسام ليست لنفس الماهية ، بل هي أقسام للحاظها على أنحاء ، فقد تلحظ بشرط شيء ، وقد تلحظ بشرط لا ، وقد تلحظ لا بشرط شيء ، فأصل اللحاظ مقسم وهو غير أقسامه وليست الأقسام للماهية حتّى يرد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الماهية اللا بشرط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مقسمي وقسمي ، وكلّ من تصدّى لتقسيم الماهية قسّمها بلحاظ </w:t>
      </w:r>
    </w:p>
    <w:p>
      <w:pPr>
        <w:pStyle w:val="BookText"/>
        <w:rPr/>
      </w:pPr>
      <w:r>
        <w:rPr>
          <w:rFonts w:ascii="Amiri" w:hAnsi="Amiri" w:eastAsia="Amiri" w:cs="Amiri"/>
          <w:color w:val="111111"/>
          <w:sz w:val="28"/>
          <w:sz w:val="28"/>
          <w:szCs w:val="28"/>
          <w:rtl w:val="true"/>
          <w:lang w:bidi="ar-SA"/>
        </w:rPr>
        <w:t xml:space="preserve">هذه الاعتبارات ، وإن غفل عن كون التقسيم للاعتبار واللحاظ لا لنفسها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يمكن أن يكون التقسيم لنفسها ؛ فإنّ الماهية المجرّدة ؛ أي التي بشرط لا ، لا حقيقة لها أصلاً بحسب الواقع ، لا في الخارج ولا في الذهن ، فكيف تكون من أقسامها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 بشرط بما أ نّها لا بشرط ، لا حقيقة لها ، فتحقّقهما وتقرّرهما بحسب الاعتبار واللحاظ ، وإن كان نفس الاعتبار مغفولاً عنه ، فالتقسيم باعتبار اللحاظ ، والمقسم لحاظ الماهية ، لكن اللحاظ مغفول عنه ، فالأقسام وإن كانت متقوّمة باللحاظ ، ولكنّه مغفول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بوجهٍ نظير الجواب عن الإشكال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المجهول المطلق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إخبار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الإخبار باعتبار معلوميته بحسب اللحاظ ؛ وإن كان اللحاظ مغفولاً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حال اسم الجنس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ذكره المحقّق الخراساني</w:t>
      </w:r>
      <w:r>
        <w:rPr>
          <w:rStyle w:val="FootnoteAnchor"/>
          <w:rtl w:val="true"/>
        </w:rPr>
        <w:footnoteReference w:id="441"/>
      </w:r>
      <w:r>
        <w:rPr>
          <w:rFonts w:ascii="Amiri" w:hAnsi="Amiri" w:eastAsia="Amiri" w:cs="Amiri"/>
          <w:color w:val="111111"/>
          <w:sz w:val="28"/>
          <w:sz w:val="28"/>
          <w:szCs w:val="28"/>
          <w:rtl w:val="true"/>
          <w:lang w:bidi="ar-SA"/>
        </w:rPr>
        <w:t xml:space="preserve">تبعاً لأعاظم أئمّة النحو ، كسيبويه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وابن مالك</w:t>
      </w:r>
      <w:r>
        <w:rPr>
          <w:rStyle w:val="FootnoteAnchor"/>
          <w:rtl w:val="true"/>
        </w:rPr>
        <w:footnoteReference w:id="443"/>
      </w:r>
      <w:r>
        <w:rPr>
          <w:rFonts w:ascii="Amiri" w:hAnsi="Amiri" w:eastAsia="Amiri" w:cs="Amiri"/>
          <w:color w:val="111111"/>
          <w:sz w:val="28"/>
          <w:sz w:val="28"/>
          <w:szCs w:val="28"/>
          <w:rtl w:val="true"/>
          <w:lang w:bidi="ar-SA"/>
        </w:rPr>
        <w:t xml:space="preserve">، من أ نّه لا فرق بين أسماء الأجناس وأعلامها ؛ فإنّهما موضوعتان لنفس الطبيعة من غير لحاظ شيء آخر معها ، </w:t>
      </w:r>
    </w:p>
    <w:p>
      <w:pPr>
        <w:pStyle w:val="BookText"/>
        <w:rPr/>
      </w:pPr>
      <w:r>
        <w:rPr>
          <w:rFonts w:ascii="Amiri" w:hAnsi="Amiri" w:eastAsia="Amiri" w:cs="Amiri"/>
          <w:color w:val="111111"/>
          <w:sz w:val="28"/>
          <w:sz w:val="28"/>
          <w:szCs w:val="28"/>
          <w:rtl w:val="true"/>
          <w:lang w:bidi="ar-SA"/>
        </w:rPr>
        <w:t>ولا معنى لوضع اللفظ بإزاء الطبيعة المتعيّنة بالتعيّن الذهني</w:t>
      </w:r>
      <w:r>
        <w:rPr>
          <w:rStyle w:val="FootnoteAnchor"/>
          <w:rtl w:val="true"/>
        </w:rPr>
        <w:footnoteReference w:id="444"/>
      </w:r>
      <w:r>
        <w:rPr>
          <w:rFonts w:ascii="Amiri" w:hAnsi="Amiri" w:eastAsia="Amiri" w:cs="Amiri"/>
          <w:color w:val="111111"/>
          <w:sz w:val="28"/>
          <w:sz w:val="28"/>
          <w:szCs w:val="28"/>
          <w:rtl w:val="true"/>
          <w:lang w:bidi="ar-SA"/>
        </w:rPr>
        <w:t xml:space="preserve">؛ فإنّه معه لا يمكن أن يحمل على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بالتعيّن الذهني مفهومه ، وإن كان المراد هو التعيّن الماهوي ؛ أي ما هو بالحمل الشائع كذلك ، فلا يحتاج إلى التقيّد ؛ لأنّ ثبوت الشيء لنفسه ضروري ، وإثبات أحكام المعرفة على عَلَم الجنس دون اسمه ، ليس باعتبار التعيّ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الذهني ، بل إنّما تعريفه لفظي مسموع من العرب ، كالتأنيث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المفرد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فينقسم إلى أقسام ، حيث إنّه إمّا أن يتعيّن الشيء في الخارج ، ويحكم عليه بأ نّه كذلك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المعرّف بلام العهد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الرجل كيف يضحك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الملحوظ نفس الماهية من غير لحاظ اتّحادها مع الأفراد ، أو لا ؛ أي مع لحاظها كذلك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يلاحظ اتّحادها مع جميع الأفراد ، أو مع بعضها ، ويقال لجميع الشقوق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بلام الجنس ، إلاّ أنّ الشقّ الأخير هو المعرّف بالعهد الذهني في الاصطلاح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اللئيم يسبُّني</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هو بعض الأفراد المعلومة عنده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تلوناه عليك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البحث عندهم في أنّ الخصوصيات </w:t>
      </w:r>
    </w:p>
    <w:p>
      <w:pPr>
        <w:pStyle w:val="BookText"/>
        <w:rPr/>
      </w:pPr>
      <w:r>
        <w:rPr>
          <w:rFonts w:ascii="Amiri" w:hAnsi="Amiri" w:eastAsia="Amiri" w:cs="Amiri"/>
          <w:color w:val="111111"/>
          <w:sz w:val="28"/>
          <w:sz w:val="28"/>
          <w:szCs w:val="28"/>
          <w:rtl w:val="true"/>
          <w:lang w:bidi="ar-SA"/>
        </w:rPr>
        <w:t>المتقدّمة هل تتأتّى من قِبَل اللام ، أو القرائن من غير دخالة اللام في إفادتها</w:t>
      </w:r>
      <w:r>
        <w:rPr>
          <w:rStyle w:val="FootnoteAnchor"/>
          <w:rtl w:val="true"/>
        </w:rPr>
        <w:footnoteReference w:id="447"/>
      </w:r>
      <w:r>
        <w:rPr>
          <w:rFonts w:ascii="Amiri" w:hAnsi="Amiri" w:eastAsia="Amiri" w:cs="Amiri"/>
          <w:color w:val="111111"/>
          <w:sz w:val="28"/>
          <w:sz w:val="28"/>
          <w:szCs w:val="28"/>
          <w:rtl w:val="true"/>
          <w:lang w:bidi="ar-SA"/>
        </w:rPr>
        <w:t xml:space="preserve">؟ والحقّ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التعيّن الواقعي بالحمل الشائع كافٍ في التعريف ، ولا يلزم فيه أخذ مفهوم التعيّن الذهني في الشيء ؛ ليلزم منه عدم الانطباق على الخارج إلاّ بتجرّده عن التعيّن ، والتعيّن الواقعي اللازم للتعريف حاصل في جميع أقسام المعارف ؛ من غير احتياج إلى التقييد المضرِّ بالحمل على الخارج ، فالمعارف لا تحتاج في معرّفيتها إلى اللام ؛ لأنّ التعيّن حاصل لذاتها بذاتها ، فلا تفيد اللام التعريف ، كما لا تفيد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مفهوم المشار إليه حتّى لا ينطبق على الخارج ، ولا إيجاد الإشارة وما هو بالحمل الشائع كذلك ؛ لأنّه يلزم منه إفادة إشارتين 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الإنسان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الخراساني ذهب إلى كون اللام في مثله للتزيين ، كالحسن والحسين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لا يدخل إلاّ في المعاني الوصفية التي تفيد الكلّية ، كوصف الحسن ؛ وإدخال اللام على الأعلام الشخصية إنّما هو للتلميح على النقل عن الوصفية ، كما قال ابن 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الأعْلامِ عليه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 ما قد كان عنه نُقِلا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فلا يكون اللام للتزيين مطلقاً ، حتّى ما تدخل على الأعلام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فرق وجداناً فيما يستفاد من اللفظ ، بين مدخول اللام كالرجل ، ومدخول التنوين كرجل ، وغيرهما كالمضاف ، فإذا لم يكن فرق بين دخول اللام وعدمه ، فكيف يفيد التعريف أو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تعريف اللام لفظياً كالتأنيث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 تقريب دلالته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تدلّ على التعيين ، ولا تعيّن إلاّ لجميع الأفراد ، فلا بدّ من الدلالة على العموم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فأشكل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بين مراتب الجمع هو أقلّ مراتبه ، وهو المتعيّن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أقلّ مراتب الجمع ؛ أي الثلاثة ، كلّي يصدق على كلّ ثلاثة من مدلول الجمع ، فتعيّن إحداها بلا معيّن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دلالة الجمع على العموم هو نفس المفهوم ؛ فإنّه حاكٍ عن جميع الأفراد ؛ بحيث لا يشذّ فرد عن كونه مصداقاً له ، فلا معنى لتعيّن بعضٍ ؛ لأنّ لازمه دلالته على ذلك البعض دون الآخر من غير مرجّح ، فنفس الجمع دالّ على جميع الأفراد ؛ من غير احتياج إلى دخول اللام فيه ، فتعريف الجمع المعرّف أيضاً لفظي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مفهوم التعيّن فيه مخلّ </w:t>
      </w:r>
    </w:p>
    <w:p>
      <w:pPr>
        <w:pStyle w:val="BookText"/>
        <w:rPr/>
      </w:pPr>
      <w:r>
        <w:rPr>
          <w:rFonts w:ascii="IRNazanin" w:hAnsi="IRNazanin" w:eastAsia="IRNazanin"/>
          <w:color w:val="111111"/>
          <w:sz w:val="28"/>
          <w:sz w:val="28"/>
          <w:szCs w:val="28"/>
          <w:rtl w:val="true"/>
          <w:lang w:bidi="fa-IR"/>
        </w:rPr>
        <w:t xml:space="preserve">بالصدق ، ومصداقه حاصل لنفس المدخول بذاته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المطلقات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دالّة إمّا على فرد معيّن واقعاً غير معيّن عند المخاطب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 . »</w:t>
      </w:r>
      <w:r>
        <w:rPr>
          <w:rStyle w:val="FootnoteAnchor"/>
          <w:rtl w:val="true"/>
        </w:rPr>
        <w:footnoteReference w:id="453"/>
      </w:r>
      <w:r>
        <w:rPr>
          <w:rFonts w:ascii="Amiri" w:hAnsi="Amiri" w:eastAsia="Amiri" w:cs="Amiri"/>
          <w:color w:val="111111"/>
          <w:sz w:val="28"/>
          <w:sz w:val="28"/>
          <w:szCs w:val="28"/>
          <w:rtl w:val="true"/>
          <w:lang w:bidi="ar-SA"/>
        </w:rPr>
        <w:t xml:space="preserve">وإمّا على الطبيعة المهملة المأخوذة مع قيد الوحدة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القسمين بمعنى واحد ، وهو الطبيعة المهملة مع قيد الوحدة ، إلاّ أنّ الدلالة على التعيّن الواقعي عند المتكلّم نشأت من دالّ آخر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على نحو تعدّد الدالّ والمدلول ، فلا وجه للنزاع في أنّ المعنى الموضوع له في النكرات ، هل هو الفرد المردّد ،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أو الكلّي المأخوذ مع قيد مفهوم الوحدة ؛ حيث إنّ ضمّ مفهوم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مفهوم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كلّي آخر ، لا يوجب صيرورة الشيء جزئياً ،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وهو الحقّ ؛ لأنّه لا معنى للفرد المردّد إن كان مراده هو الذي ظهر من كلامه ؛ أي كون كلّ فرد هذا أو غيره ؛ فإنّ ما في الخارج ليس هو أو غيره ، بل هو من مصاديق الطبيعة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منه هو لحاظ الفرد على نحو الترديد القابل للانطباق على كلّ واحدٍ من الأفراد ، كالعلم الإجمالي فهو ممّا لا إشكال فيه ، إلاّ أنّه راجع إلى ما اختاره المحقّق القمّي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إن كان هو بمعنى الإرسال والشمول ،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عروض التقييد عليه إلاّ تجوّزاً</w:t>
      </w:r>
      <w:r>
        <w:rPr>
          <w:rStyle w:val="FootnoteAnchor"/>
          <w:rtl w:val="true"/>
        </w:rPr>
        <w:footnoteReference w:id="456"/>
      </w:r>
      <w:r>
        <w:rPr>
          <w:rFonts w:ascii="Amiri" w:hAnsi="Amiri" w:eastAsia="Amiri" w:cs="Amiri"/>
          <w:color w:val="111111"/>
          <w:sz w:val="28"/>
          <w:sz w:val="28"/>
          <w:szCs w:val="28"/>
          <w:rtl w:val="true"/>
          <w:lang w:bidi="ar-SA"/>
        </w:rPr>
        <w:t xml:space="preserve">،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هو إضافة قيد إلى ما يدلّ على المطلق ، فتقييد المطلق ليس بمعنى استعمال المطلق في المقيّد حتّى يلزم المجاز ، كان معنى المطلق هو الإرسال ، أو لا ، بل بمعنى إفادة الخصوصية بدالٍّ آخر ، فلا يلزم التجوّز </w:t>
      </w:r>
      <w:r>
        <w:rPr>
          <w:rFonts w:eastAsia="Amiri" w:cs="Amiri" w:ascii="Amiri" w:hAnsi="Amiri"/>
          <w:color w:val="111111"/>
          <w:sz w:val="28"/>
          <w:szCs w:val="28"/>
          <w:rtl w:val="true"/>
          <w:lang w:bidi="ar-SA"/>
        </w:rPr>
        <w:t xml:space="preserve">. </w:t>
      </w:r>
      <w:bookmarkStart w:id="520" w:name="pg8033_81184"/>
    </w:p>
    <w:p>
      <w:pPr>
        <w:pStyle w:val="Heading3"/>
        <w:numPr>
          <w:ilvl w:val="2"/>
          <w:numId w:val="1"/>
        </w:numPr>
        <w:rPr/>
      </w:pPr>
      <w:bookmarkStart w:id="521" w:name="__RefHeading___Toc7368553_1051229030"/>
      <w:bookmarkStart w:id="522" w:name="_Toc187"/>
      <w:bookmarkEnd w:id="520"/>
      <w:bookmarkEnd w:id="521"/>
      <w:r>
        <w:rPr>
          <w:rtl w:val="true"/>
        </w:rPr>
        <w:t>فصل في مقدّمات الحكمة</w:t>
      </w:r>
      <w:bookmarkEnd w:id="522"/>
    </w:p>
    <w:p>
      <w:pPr>
        <w:pStyle w:val="Heading4"/>
        <w:numPr>
          <w:ilvl w:val="3"/>
          <w:numId w:val="1"/>
        </w:numPr>
        <w:rPr/>
      </w:pPr>
      <w:bookmarkStart w:id="523" w:name="__RefHeading___Toc7368555_1051229030"/>
      <w:bookmarkStart w:id="524" w:name="_Toc188"/>
      <w:bookmarkEnd w:id="523"/>
      <w:r>
        <w:rPr>
          <w:rtl w:val="true"/>
        </w:rPr>
        <w:t>في مقدّمات الحكمة</w:t>
      </w:r>
      <w:bookmarkEnd w:id="524"/>
    </w:p>
    <w:p>
      <w:pPr>
        <w:pStyle w:val="Heading4"/>
        <w:numPr>
          <w:ilvl w:val="3"/>
          <w:numId w:val="1"/>
        </w:numPr>
        <w:rPr/>
      </w:pPr>
      <w:bookmarkStart w:id="525" w:name="__RefHeading___Toc7368557_1051229030"/>
      <w:bookmarkStart w:id="526" w:name="_Toc189"/>
      <w:bookmarkEnd w:id="525"/>
      <w:r>
        <w:rPr>
          <w:rtl w:val="true"/>
        </w:rPr>
        <w:t>الإطلاق والتقييد ثبوتاً</w:t>
      </w:r>
      <w:bookmarkEnd w:id="526"/>
    </w:p>
    <w:p>
      <w:pPr>
        <w:pStyle w:val="BookText"/>
        <w:rPr/>
      </w:pPr>
      <w:r>
        <w:rPr>
          <w:rFonts w:ascii="IRNazanin" w:hAnsi="IRNazanin" w:eastAsia="IRNazanin"/>
          <w:color w:val="111111"/>
          <w:sz w:val="28"/>
          <w:sz w:val="28"/>
          <w:szCs w:val="28"/>
          <w:rtl w:val="true"/>
          <w:lang w:bidi="fa-IR"/>
        </w:rPr>
        <w:t xml:space="preserve">قال المحقّق الخراساني رحمه الله علیه ما محصّله بتوضيح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ظهر أ نّه لا دلالة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الماهية المبهمة بحسب الوضع ، وأنّ الشياع والسريان ليس ذاتياً لها ، ولا لازماً لذاتها ، بل يكون من العوارض والطوارئ الخارجة عمّا وضع له ، فلا بدّ من لحاظ هذا السريان بحسب مقام الثبوت ، والدلالة عليه بحسب مقام الإثبات والدلالة ، وهي مقدّمات الحكمة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فهاهنا دعاوٍ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ماهية وضعت لنفس الذات من حيث هي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الشائع خارج عن ذاتها ، وليس لازماً لذاتها ، بل يكون من العوارض المفارقة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الشياع والسريان لا يمكن إلاّ بلحاظها كذلك بحسب مقام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بدّ من قيام الدليل عليه بحسب مقام الإثبات ، وهو مقدّمات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الشياع هو سريان الماهية نفسها في أفرادها ، فلا إشكال في أ نّه من ذاتياتها ، لا بمعنى دخوله في مفهومها ، بل بمعنى أ نّها شائعة واقعاً ؛ أي متّحدة مع الأفراد ، وليس هذا الشيوع والاتّحاد قابلاً للافتراق عنها حتّى يكون من قبيل الأعراض المفارقة ، فالماهية بذاتها متّحدة مع الأفراد وسارية فيها ، ولا يمكن افتراقها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الشياع والسريان هو الشياع بحسب موضوعية الماهية للحكم ، وأنّ الماهية إذا كانت موضوعاً لحكم فلا بدّ في شيوعها في جميع الأفراد من لحاظ شيوعها وسريانها فيها ، وإلاّ فنفس جعل الماهية موضوعاً للحكم لا يوجب سريانه في الأفراد ، فلا بدّ في السريان من لحاظه لبّاً وقيام الدليل عليه إثباتاً ، فهذا له وجه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أن يكون مرادهم ذلك ؛ فإنّ الأوّل بعيد ، لكنّه أيضاً خلاف التحقيق ؛ فإنّ لحاظ سريان ماهية في الأفراد معنى العموم ، لا الإطلاق ، ولا يمكن أن تجعل الماهية آلة للحاظ بعض أفرادها في التقييد الذي يقابل الإطلاق ، فالإطلاق والتقييد بحسب اللحاظ ممّا لا أصل لهما ، بل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موارد استعمالهما في لسان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وصفان لشيء واحد ، له سريان ما ولو بلحاظ الحالات ؛ باعتبار جعله تمام الموضوع </w:t>
      </w:r>
      <w:bookmarkStart w:id="527" w:name="pg8033_81188"/>
    </w:p>
    <w:p>
      <w:pPr>
        <w:pStyle w:val="BookText"/>
        <w:rPr/>
      </w:pPr>
      <w:bookmarkEnd w:id="527"/>
      <w:r>
        <w:rPr>
          <w:rFonts w:ascii="Amiri" w:hAnsi="Amiri" w:eastAsia="Amiri" w:cs="Amiri"/>
          <w:color w:val="111111"/>
          <w:sz w:val="28"/>
          <w:sz w:val="28"/>
          <w:szCs w:val="28"/>
          <w:rtl w:val="true"/>
          <w:lang w:bidi="ar-SA"/>
        </w:rPr>
        <w:t xml:space="preserve">لحكم ، أو لا ، كالرقبة ، فإنّها في كفّارة اليمين مطلقة ، وفي كفّارة قتل الخطأ مقيّدة بالمؤمنة ، وفي كفّارة الظهار مختلف فيها ، فالرقبة قد تكون مطلقة ، وقد تكون 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الإطلاق والتقييد قد يتحقّقان في الأعلام الشخصية بالنظر إلى الحالات ، فزيد قد يجعل تمام الموضوع لحكم ، فيكون مطلقاً ، وقد يجعل زيد العالم موضوعاً له ، فيكون زيد بعض الموضوع ، فيكون مقيّداً ، مثال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w:t>
      </w:r>
    </w:p>
    <w:p>
      <w:pPr>
        <w:pStyle w:val="Heading4"/>
        <w:numPr>
          <w:ilvl w:val="3"/>
          <w:numId w:val="1"/>
        </w:numPr>
        <w:rPr/>
      </w:pPr>
      <w:bookmarkStart w:id="528" w:name="__RefHeading___Toc7368559_1051229030"/>
      <w:bookmarkStart w:id="529" w:name="_Toc190"/>
      <w:bookmarkEnd w:id="528"/>
      <w:r>
        <w:rPr>
          <w:rtl w:val="true"/>
        </w:rPr>
        <w:t>إحراز الإطلاق في مقام الإثبات</w:t>
      </w:r>
      <w:bookmarkEnd w:id="529"/>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دليل في مقام الإثبات ، في صورة الشكّ في أنّ ما جعل موضوعاً لحكم مطلق أو مقيّد ، يثبت واحداً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القدماء قبل سلطان العلماء ، استدلّ بأصالة الحقيقة على حمل اللفظ على الإطلاق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السقوط ؛ فإنّ اللفظ في المقيّد لا يستعمل إلاّ فيما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بأحد أن يتخيّل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مجازاً ؛ ضرورة أنّ كلاًّ من الطبيعة والقيد مستعمل فيما وضع له ، ويستفاد منهما بنحو تعدّد الدالّ والمدلول ما هو موضوع الحكم ، وهذا ممّا لا إشكال فيه </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368561_1051229030"/>
      <w:bookmarkStart w:id="531" w:name="_Toc191"/>
      <w:bookmarkEnd w:id="530"/>
      <w:r>
        <w:rPr>
          <w:rtl w:val="true"/>
        </w:rPr>
        <w:t>الاستدلال على الإطلاق بدليل الحكمة</w:t>
      </w:r>
      <w:bookmarkEnd w:id="53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المحقّق الخراساني على الإطلاق بدليل الحكمة ، وهو مركّب من مقدّمات ، واستدلاله إنّما يكون على مبناه من كون الإطلاق هو السريان </w:t>
      </w:r>
    </w:p>
    <w:p>
      <w:pPr>
        <w:pStyle w:val="BookText"/>
        <w:rPr/>
      </w:pPr>
      <w:r>
        <w:rPr>
          <w:rFonts w:ascii="Amiri" w:hAnsi="Amiri" w:eastAsia="Amiri" w:cs="Amiri"/>
          <w:color w:val="111111"/>
          <w:sz w:val="28"/>
          <w:sz w:val="28"/>
          <w:szCs w:val="28"/>
          <w:rtl w:val="true"/>
          <w:lang w:bidi="ar-SA"/>
        </w:rPr>
        <w:t xml:space="preserve">في موضوع الحكم وهو من العوارض المفارقة ، يعرض الماهية لأجل لحاظها 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المتكلّم في مقام بيان تمام المراد ، وليس المقصود كونه في مقام بيان تمام مراده ؛ فإنّ كلّ متكلّم في تكلّمه يكون بصدد بيان تمام مراده ، بل المقصود كونه في مقام بيان تمام الموضوع لحكمه ؛ أي بيان كلّ ما هو دخيل في موضوع حكمه ، لا في مقام الإهمال والإجمال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ما يوجب التعيين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القدر المتيقّن في مقام التخاطب ؛ أي لا يكون في ذهن المخاطب في حين التخاطب ، جهات توجب العلم الإجمالي بين الأقلّ والأكثر ؛ بحيث يكون الأقلّ هو القدر المتيقّن ، كما 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في ذهن المخاطب جهات توجب العلم بأنّ الموضوع إمّا تمام أفراد الرقبات بنحو البدلية ، أو الرقبات المؤمنات ؛ بمعنى أ نّه إمّا جعل الرقبة مرآة لتمام الأفراد ، أو مرآة للمؤمنات منها ، فتكون المؤمنات متيقّنة منها ؛ إذ لو كان المتيقّن في البين ، لما أخلّ بغرضه لو كان تمام مراده المؤمنات ؛ لأنّ المخاطب يعلم بأنّ المؤمنات موضوع الحكم ويشكّ في بقيتها ، فالمتكلّم بيّن موضوع حكمه ، وأدخله في 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ببيان ما هو موضوع حكمه ، وإنّما أخلّ ببيان كون البعض تمام الموضوع ؛ لاحتمال أن يكون البعض الآخر أيضاً موضوعاً ، وهذا غير الإخلال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بالنظر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 نّه تمام الموضوع ؛ فإنّ المفروض أنّ المتكلّم في مقام تبيين تمام الموضوع ، فبيّن أنّ المتيقّن موضوع ، ولم يبيّن غيره ، فيجب أن لا يكون </w:t>
      </w:r>
    </w:p>
    <w:p>
      <w:pPr>
        <w:pStyle w:val="BookText"/>
        <w:rPr/>
      </w:pPr>
      <w:r>
        <w:rPr>
          <w:rFonts w:ascii="Amiri" w:hAnsi="Amiri" w:eastAsia="Amiri" w:cs="Amiri"/>
          <w:color w:val="111111"/>
          <w:sz w:val="28"/>
          <w:sz w:val="28"/>
          <w:szCs w:val="28"/>
          <w:rtl w:val="true"/>
          <w:lang w:bidi="ar-SA"/>
        </w:rPr>
        <w:t xml:space="preserve">موضوعاً ، وإلاّ لَبيّنه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 المتيقّن بكونه في مقام التخاطب ؛ لأنّ الخارج عنه لا يضرّ بالإطلاق ، فإنّ المخاطب إذا علم بالقدر المتيقّن من برهان خارجي ومقدّمات عقلية خارجة عن مقام التخاطب ،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بيّن تمام موضوع حكمه ؛ فإنّ البرهان الخارجي لا دخل له ببيان المتكلّم ، ولا يكون المتكلّم حين بيانه للحكم مبيّناً لموضوعه ، بخلاف مقام التخاطب ؛ فإنّ المتكلّم إذا علم أنّ المخاطب يرد في ذهنه القدر المتيقّن حين التخاطب ، يتبيّن له أنّ كلامه كأ نّه محفوف بالبيان لموضوع حكمه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مفاد كلام المحقّق الخراساني بتوضيح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الثانية لا مقدّمية لها ، فإنّ الموضوع في باب الإطلاق ،</w:t>
      </w:r>
    </w:p>
    <w:p>
      <w:pPr>
        <w:pStyle w:val="BookText"/>
        <w:rPr/>
      </w:pPr>
      <w:r>
        <w:rPr>
          <w:rFonts w:ascii="Amiri" w:hAnsi="Amiri" w:eastAsia="Amiri" w:cs="Amiri"/>
          <w:color w:val="111111"/>
          <w:sz w:val="28"/>
          <w:sz w:val="28"/>
          <w:szCs w:val="28"/>
          <w:rtl w:val="true"/>
          <w:lang w:bidi="ar-SA"/>
        </w:rPr>
        <w:t xml:space="preserve">هو ما إذا جعلت الماهية موضوع الحكم بلا قيد ، وشكّ في أنّ المراد هو الإطلاق أو التقييد ، فعدم بيان القيد محقِّق موضوع البحث ، لا من مقدّمات إثبات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بعض الأعاظم على المقدّمة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المتيقّن لو كان مخلاًّ بالإطلاق ، لما جاز التمسّك به فيما إذا ورد في مورد الجواب عن سؤال بعض الأفراد ، كما لو سئل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إكرام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يتمسّك أحياناً بتلك المطلقات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القدر المتيقّن في مقام التخاطب وغيره ، فالتفصيل بلا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بالغرض لازم ولو مع القدر المتيقّن ؛ فإنّ موضوع حكمه لو كان الأفراد المتيقّنة ، لم يبيّن ولم ينصب دليل عليه ، وهذا معنى الإخلال به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القدر المتيقّن في مقام التخاطب ، والفرق بينه وبين غيره ، فقد مرّ ذكره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قضيّة الإخلال بالغرض مع وجود القدر المتيقّن ، فلا وجه له لو بنينا على كون الإطلاق هو جعل الماهية مرآةً لتمام الأفراد ، والتقييد جعلها مرآةً للبعض ، كما أفاده الشيخ ، وتبعه غيره حتّى المُورد</w:t>
      </w:r>
      <w:r>
        <w:rPr>
          <w:rStyle w:val="FootnoteAnchor"/>
          <w:rtl w:val="true"/>
        </w:rPr>
        <w:footnoteReference w:id="461"/>
      </w:r>
      <w:r>
        <w:rPr>
          <w:rFonts w:ascii="Amiri" w:hAnsi="Amiri" w:eastAsia="Amiri" w:cs="Amiri"/>
          <w:color w:val="111111"/>
          <w:sz w:val="28"/>
          <w:sz w:val="28"/>
          <w:szCs w:val="28"/>
          <w:rtl w:val="true"/>
          <w:lang w:bidi="ar-SA"/>
        </w:rPr>
        <w:t xml:space="preserve">؛ فإنّ المفروض أنّ معنى بيان موضوع الحكم تبيين أنّ تمام الأفراد أو بعضها هو موضوعه ، فإذا كان في البين قدر متيقّنٍ ، فلا إشكال في تبيين كون الماهية مرآة للمتيقّن ، وعدم تبيين كونها مرآة للأفراد الغير المتيقّنة ، ومع عدم تبيينها يعلم أ نّها ليست موضوع حكمه ؛ لأنّ المفروض كون المتكلّم في مقام بيان تمام الموضوع للحكم ، وقد بيّن القدر المتيقّن ؛ أي أورده في ذهن المخاطب ، ولم يبيّن غيره ، مع كون المخاطب شاكّاً في كونه مراداً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سلكناه في معنى الإطلاق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عبارة عن جعل الماهية تمام الموضوع للحكم من غير جعلها مرآة للأفراد</w:t>
      </w:r>
      <w:r>
        <w:rPr>
          <w:rStyle w:val="FootnoteAnchor"/>
          <w:rtl w:val="true"/>
        </w:rPr>
        <w:footnoteReference w:id="462"/>
      </w:r>
      <w:r>
        <w:rPr>
          <w:rFonts w:ascii="Amiri" w:hAnsi="Amiri" w:eastAsia="Amiri" w:cs="Amiri"/>
          <w:color w:val="111111"/>
          <w:sz w:val="28"/>
          <w:sz w:val="28"/>
          <w:szCs w:val="28"/>
          <w:rtl w:val="true"/>
          <w:lang w:bidi="ar-SA"/>
        </w:rPr>
        <w:t xml:space="preserve">، تكون تلك المقدّمة حشواً غير محتاج إليها، فإنّ القدر المتيقّن في مقام التخاطب ممّا لا دخل </w:t>
      </w:r>
      <w:bookmarkStart w:id="532" w:name="pg8033_81196"/>
    </w:p>
    <w:p>
      <w:pPr>
        <w:pStyle w:val="BookText"/>
        <w:rPr/>
      </w:pPr>
      <w:bookmarkEnd w:id="532"/>
      <w:r>
        <w:rPr>
          <w:rFonts w:ascii="Amiri" w:hAnsi="Amiri" w:eastAsia="Amiri" w:cs="Amiri"/>
          <w:color w:val="111111"/>
          <w:sz w:val="28"/>
          <w:sz w:val="28"/>
          <w:szCs w:val="28"/>
          <w:rtl w:val="true"/>
          <w:lang w:bidi="ar-SA"/>
        </w:rPr>
        <w:t xml:space="preserve">له بمقدّمات الحكمة ؛ ضرورة أنّ الأحكام حينئذٍ إنّما تثبت للحيثيات ، لا للأفراد، فإذا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مقام بيان تمام موضوع حكمه، يعلم بأنّ موضوع حكمه هو حيثية الرقبة صِرفاً ؛ من غير دخالة حيثية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حيثية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وإلاّ لكان عليه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الأفراد على هذا المبنى المنصور موضوعاً للحكم ؛ حتّى يكون القدر المتيقّن في مقام التخاطب مضرّاً بالإطلاق ؛ ضرورة أنّ الأفراد إذا لم تكن بما أ نّها أفراد ؛ وبنعت الكثرة ، محكومةً بحكم ، لا يكون عدم القدر المتيقّن في مقام التخاطب دخيلاً في الإطلاق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المقدّمات التي مهّدها المحقّق الخراساني رحمه الله علیه لا تكون دخيلة في التمسّك بالإطلاق على مسلكنا إلاّ المقدّمة الاُولى ؛ أي كون المتكلّم في مقام البيان </w:t>
      </w:r>
      <w:r>
        <w:rPr>
          <w:rFonts w:eastAsia="IRNazanin" w:cs="IRNazanin"/>
          <w:color w:val="111111"/>
          <w:sz w:val="28"/>
          <w:szCs w:val="28"/>
          <w:rtl w:val="true"/>
          <w:lang w:bidi="fa-IR"/>
        </w:rPr>
        <w:t>.</w:t>
      </w:r>
    </w:p>
    <w:p>
      <w:pPr>
        <w:pStyle w:val="Heading4"/>
        <w:numPr>
          <w:ilvl w:val="3"/>
          <w:numId w:val="1"/>
        </w:numPr>
        <w:rPr/>
      </w:pPr>
      <w:bookmarkStart w:id="533" w:name="__RefHeading___Toc7368563_1051229030"/>
      <w:bookmarkStart w:id="534" w:name="_Toc192"/>
      <w:bookmarkEnd w:id="533"/>
      <w:r>
        <w:rPr>
          <w:rtl w:val="true"/>
        </w:rPr>
        <w:t xml:space="preserve">فذلكة </w:t>
      </w:r>
      <w:r>
        <w:rPr>
          <w:rtl w:val="true"/>
        </w:rPr>
        <w:t xml:space="preserve">: </w:t>
      </w:r>
      <w:r>
        <w:rPr>
          <w:rtl w:val="true"/>
        </w:rPr>
        <w:t>في ملخّص ما حقّقناه في معنى الإطلاق والتقييد</w:t>
      </w:r>
      <w:bookmarkEnd w:id="534"/>
    </w:p>
    <w:p>
      <w:pPr>
        <w:pStyle w:val="BookText"/>
        <w:rPr/>
      </w:pPr>
      <w:r>
        <w:rPr>
          <w:rFonts w:ascii="Amiri" w:hAnsi="Amiri" w:eastAsia="Amiri" w:cs="Amiri"/>
          <w:color w:val="111111"/>
          <w:sz w:val="28"/>
          <w:sz w:val="28"/>
          <w:szCs w:val="28"/>
          <w:rtl w:val="true"/>
          <w:lang w:bidi="ar-SA"/>
        </w:rPr>
        <w:t xml:space="preserve">وملخّص ما حقّقناه في معنى الإطلاق والتقييد إنّما نذكره في ضمن اُمور ؛ لمكان أهمّيتها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أهل المعقول قد قسّموا الماهية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بشرط وبشرط شيء وبشرط لا ، فاُشكل عليهم بأنّ المقسم هو اللا بشرط ؛ حيث لا يمكن أن يكون بشرط لا ولا بشرط شيء ؛ لعدم انطباق كلٍّ منهما على صاحبه ، فيلزم اتّحاد القسم والمقسم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 بشرط القسمي مقيّد باللابشرطية دون المقسمي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أجبنا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المقسم ليس هو الماهية كي يرد الإشكال ، بل هو اعتبار الماهية ولحاظها ، فيكون نفس الملحوظ ممّا يقبل الوجود في قسم ، ولا يقبله في آخر ، ولا بشرطٍ في ثالث</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لحاظ الماهية ، ولذلك نلتزم بأنّ المقسم لا يكون كلّياً طبيعياً ، بخلاف الماهية اللا بشرط القسمي ؛ فإنّ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هي الماهية اللا بشرط ، واللحاظ غير مأخوذ في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وقع النزاع في وجود الكلّي الطبيعي الذي هو معروض الكلّية ، ويكون كلّياً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وجوده ، هل هو اللا بشرط القسمي ، أو المقسمي ؟ بعد وضوح أ نّه لم يكن الماهية بشرط لا التي لا تقبل الوجود ، ويكون وجوده الذهني على وزان وجود المعدوم المطلق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يمكن أن يكون الطبيعي هو بشرط شيء ؛ لأنّه كلّي يصدق على كثيرين ، والماهية بشرط شيء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من ذهب إلى الطريق الأوّل في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السبزواري</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الطبيعي هو اللا بشرط المقسمي ؛ حيث لا يمكن كون القسمي هو الكلّي الطبيعي على مختارهم ؛ لأنّ الطبيعي غير مقيّدٍ بقيدٍ ، واللا بشرط القسمي مقيّد عندهم ، ولأنّ الماهية المقيّدة باللا بشرطية كلّي عقلي ، والطبيعي ليس كذلك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فالطبيعي هو اللا بشرط القسمي ؛ لأنّ المقسم هو اعتبار الماهية لا نفسها ، والطبيعي هو الماهية ، والماهية اللا بشرط تقع قسماً </w:t>
      </w:r>
    </w:p>
    <w:p>
      <w:pPr>
        <w:pStyle w:val="BookText"/>
        <w:rPr/>
      </w:pPr>
      <w:r>
        <w:rPr>
          <w:rFonts w:ascii="Amiri" w:hAnsi="Amiri" w:eastAsia="Amiri" w:cs="Amiri"/>
          <w:color w:val="111111"/>
          <w:sz w:val="28"/>
          <w:sz w:val="28"/>
          <w:szCs w:val="28"/>
          <w:rtl w:val="true"/>
          <w:lang w:bidi="ar-SA"/>
        </w:rPr>
        <w:t xml:space="preserve">للمخلوطة والمجرّدة فقط ، والمقسم بين الثلاثة هو اعتبار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لحاظ الماهية والأقسام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أنّ الإطلاق عبارة عن كون شيء تمام الموضوع لحكم ، فكلّ ما يكون تمام الموضوع لحكم ، ويكون جميع أفراده أو حالاته متساوياً بالنسبة إلى الحكم ، يكون مطلقاً ؛ والمقيّد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الإطلاق ما دلّ على شائع في جنسه حتّى تكون الطبائع الكلّية بحسب الوضع من المطلقات ، والجزئيات الحقيقية من المقيّدات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مناط الإطلاق ليس ما ذهب إليه المحقّق الخراساني</w:t>
      </w:r>
      <w:r>
        <w:rPr>
          <w:rStyle w:val="FootnoteAnchor"/>
          <w:rtl w:val="true"/>
        </w:rPr>
        <w:footnoteReference w:id="465"/>
      </w:r>
      <w:r>
        <w:rPr>
          <w:rFonts w:ascii="Amiri" w:hAnsi="Amiri" w:eastAsia="Amiri" w:cs="Amiri"/>
          <w:color w:val="111111"/>
          <w:sz w:val="28"/>
          <w:sz w:val="28"/>
          <w:szCs w:val="28"/>
          <w:rtl w:val="true"/>
          <w:lang w:bidi="ar-SA"/>
        </w:rPr>
        <w:t>تبعاً للشيخ الأنصاري</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السريان والشياع ؛ فإنّهما حاصلان لنفس الطبيعة ذاتاً من غير احتياج إلى اللحاظ ، بل اللحاظ يخرجها عن إمكان الانطباق على جميع الأفراد ، بل مناط الإطلاق حمل الطبيعة تمام الموضوع للحكم بحيث لا يلاحظ في الموضوع قيد زائد على نفس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مقوّم الإطلاق ليس إلاّ عدم ملاحظة شيء في موضوع الحكم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التي تدلّ على المعاني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الأجناس وأعلامها والنكرة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موضوعة إلاّ للطبيعة من حيث هي ، ونفس وقوعها في موضوع الحكم من غير قيد هو مناط الإطلاق ، من غير فرق بين الشمولي والبدلي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والسريان والشياع غير مأخوذين في الموضوع له ولا في موضوع الحكم </w:t>
      </w:r>
      <w:r>
        <w:rPr>
          <w:rFonts w:eastAsia="Amiri" w:cs="Amiri" w:ascii="Amiri" w:hAnsi="Amiri"/>
          <w:color w:val="111111"/>
          <w:sz w:val="28"/>
          <w:szCs w:val="28"/>
          <w:rtl w:val="true"/>
          <w:lang w:bidi="ar-SA"/>
        </w:rPr>
        <w:t xml:space="preserve">. </w:t>
      </w:r>
      <w:bookmarkStart w:id="535" w:name="pg8033_81201"/>
    </w:p>
    <w:p>
      <w:pPr>
        <w:pStyle w:val="BookText"/>
        <w:rPr/>
      </w:pPr>
      <w:bookmarkEnd w:id="535"/>
      <w:r>
        <w:rPr>
          <w:rFonts w:ascii="Amiri" w:hAnsi="Amiri" w:eastAsia="Amiri" w:cs="Amiri"/>
          <w:color w:val="111111"/>
          <w:sz w:val="28"/>
          <w:sz w:val="28"/>
          <w:szCs w:val="28"/>
          <w:rtl w:val="true"/>
          <w:lang w:bidi="ar-SA"/>
        </w:rPr>
        <w:t xml:space="preserve">ولا ينطبق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الماهية اللا بشرط القسمي ؛ لأنّها متساوية النسبة إلى جميع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أنّ الشياع والسريان في المطلقات ، هل هو من الوضع أو من مقدّمات الحكمة ، ليس على ما ينبغي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368565_1051229030"/>
      <w:bookmarkStart w:id="537" w:name="_Toc193"/>
      <w:bookmarkEnd w:id="536"/>
      <w:r>
        <w:rPr>
          <w:rtl w:val="true"/>
        </w:rPr>
        <w:t xml:space="preserve">تنبيه </w:t>
      </w:r>
      <w:r>
        <w:rPr>
          <w:rtl w:val="true"/>
        </w:rPr>
        <w:t xml:space="preserve">: </w:t>
      </w:r>
      <w:r>
        <w:rPr>
          <w:rtl w:val="true"/>
        </w:rPr>
        <w:t>حول مقالة سلطان العلماء</w:t>
      </w:r>
      <w:bookmarkEnd w:id="537"/>
    </w:p>
    <w:p>
      <w:pPr>
        <w:pStyle w:val="Heading5"/>
        <w:numPr>
          <w:ilvl w:val="4"/>
          <w:numId w:val="1"/>
        </w:numPr>
        <w:rPr/>
      </w:pPr>
      <w:bookmarkStart w:id="538" w:name="__RefHeading___Toc7368567_1051229030"/>
      <w:bookmarkStart w:id="539" w:name="_Toc194"/>
      <w:bookmarkEnd w:id="538"/>
      <w:r>
        <w:rPr>
          <w:rtl w:val="true"/>
        </w:rPr>
        <w:t>حول مقالة سلطان العلماء</w:t>
      </w:r>
      <w:bookmarkEnd w:id="539"/>
    </w:p>
    <w:p>
      <w:pPr>
        <w:pStyle w:val="BookText"/>
        <w:rPr/>
      </w:pPr>
      <w:r>
        <w:rPr>
          <w:rFonts w:ascii="Amiri" w:hAnsi="Amiri" w:eastAsia="Amiri" w:cs="Amiri"/>
          <w:color w:val="111111"/>
          <w:sz w:val="28"/>
          <w:sz w:val="28"/>
          <w:szCs w:val="28"/>
          <w:rtl w:val="true"/>
          <w:lang w:bidi="ar-SA"/>
        </w:rPr>
        <w:t>ويقرب ممّا ذكرنا كلام سلطان العلماء على ما في التقريرات</w:t>
      </w:r>
      <w:r>
        <w:rPr>
          <w:rStyle w:val="FootnoteAnchor"/>
          <w:rtl w:val="true"/>
        </w:rPr>
        <w:footnoteReference w:id="4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العمل بالمطلق والمقيّد من غير الإخراج عن حقيقته ، فلا يجب ارتكاب التجوّز لو عمل بالمقيّد ، ويبقى المطلق على إطلاقه ؛ فإنّ مدلول المطلق ليس صحّة العمل بأيّ فرد فرد حتّى ينافي المقيّد ، بل هو أعمّ منه وممّا يصلح للتقييد ، بل المقيّد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معروض للتقييد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حصول المقيّد بدون المطلق مع أنّه لا يصلح لأيّ رقبة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مقتضى المطلق ليس ذلك وإلاّ لم يتخلّف فيه</w:t>
      </w:r>
      <w:r>
        <w:rPr>
          <w:rStyle w:val="FootnoteAnchor"/>
          <w:rtl w:val="true"/>
        </w:rPr>
        <w:footnoteReference w:id="46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لا يبقى على إطلاقه مع التقييد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يعمل بالمقيّد ، ويبقى المطلق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 فمراده أنّ التقييد لا يوجب خروج المطلق عن معناه الموضوع له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التأمّل في كلامه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ظاهر فيما ذكرنا من معنى الإطلاق ، </w:t>
      </w:r>
      <w:bookmarkStart w:id="540" w:name="pg8033_81204"/>
    </w:p>
    <w:p>
      <w:pPr>
        <w:pStyle w:val="BookText"/>
        <w:rPr/>
      </w:pPr>
      <w:bookmarkEnd w:id="540"/>
      <w:r>
        <w:rPr>
          <w:rFonts w:ascii="Amiri" w:hAnsi="Amiri" w:eastAsia="Amiri" w:cs="Amiri"/>
          <w:color w:val="111111"/>
          <w:sz w:val="28"/>
          <w:sz w:val="28"/>
          <w:szCs w:val="28"/>
          <w:rtl w:val="true"/>
          <w:lang w:bidi="ar-SA"/>
        </w:rPr>
        <w:t xml:space="preserve">وأنّ حقيقته عدم التقييد بقيدٍ ، وأنّ ذات الطبيعة بنفسها مطلقة ، من غير اعتبار قيد السريان والشياع ، 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المطلق ليس صحّة العمل بأيّ فردٍ كان ؛ حتّى ينافي مدلول المقيّد ، بل هو أعمّ منه وممّا يصلح للتقييد ، فما ذكره راجع إلى ما ذكرنا ، إلاّ أنّ الذي ذكره في معنى الإطلاق والتقييد ، مربوط بمقام الوضع ، لا الموضوعية للحكم ،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نحن فيه هو الإطلاق ؛ بمعنى تمام الموضوعية للحكم ، والتقييد في 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المشهور من السريان والشياع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السريان بالحمل الشائع ، لا أنّ مفهومه قيد في الموضوع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7368569_1051229030"/>
      <w:bookmarkStart w:id="542" w:name="_Toc195"/>
      <w:bookmarkEnd w:id="541"/>
      <w:r>
        <w:rPr>
          <w:rtl w:val="true"/>
        </w:rPr>
        <w:t xml:space="preserve">الأمر الأوّل </w:t>
      </w:r>
      <w:r>
        <w:rPr>
          <w:rtl w:val="true"/>
        </w:rPr>
        <w:t xml:space="preserve">: </w:t>
      </w:r>
      <w:r>
        <w:rPr>
          <w:rtl w:val="true"/>
        </w:rPr>
        <w:t>طريق إحراز كون المتكلّم في مقام البيان</w:t>
      </w:r>
      <w:bookmarkEnd w:id="542"/>
    </w:p>
    <w:p>
      <w:pPr>
        <w:pStyle w:val="BookText"/>
        <w:rPr/>
      </w:pPr>
      <w:r>
        <w:rPr>
          <w:rFonts w:ascii="Amiri" w:hAnsi="Amiri" w:eastAsia="Amiri" w:cs="Amiri"/>
          <w:color w:val="111111"/>
          <w:sz w:val="28"/>
          <w:sz w:val="28"/>
          <w:szCs w:val="28"/>
          <w:rtl w:val="true"/>
          <w:lang w:bidi="ar-SA"/>
        </w:rPr>
        <w:t xml:space="preserve">بعد ما عرفت من أنّ كون المتكلّم في مقام بيان تمام موضوع حكمه ممّا لا بدّ منه في الإطلاق ، فطريق إحراز كونه في مقام البيان أنّ ظهور حال المتكلّم في أنّ كلامه الصادر منه بما أ نّه فعل من أفعاله الاختيارية ، إنّما هو لبيان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بما أنّه عمل من أعماله ، لا بما أنّه لفظ دالّ ، يدلّ دلالة عقلائية على</w:t>
      </w:r>
    </w:p>
    <w:p>
      <w:pPr>
        <w:pStyle w:val="BookText"/>
        <w:rPr/>
      </w:pPr>
      <w:r>
        <w:rPr>
          <w:rFonts w:ascii="Amiri" w:hAnsi="Amiri" w:eastAsia="Amiri" w:cs="Amiri"/>
          <w:color w:val="111111"/>
          <w:sz w:val="28"/>
          <w:sz w:val="28"/>
          <w:szCs w:val="28"/>
          <w:rtl w:val="true"/>
          <w:lang w:bidi="ar-SA"/>
        </w:rPr>
        <w:t xml:space="preserve">كونه بصدد بيان موضوع حكمه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بناء العقلاء وديدنهم على التمسّك بهذا الظهور الفعلي ، فترى أ نّهم عند فقدان القيد في الكلام يحملونه على الإطلاق ؛ أي على كون ما اُخذ موضوعاً أنّه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ورد بعد ذلك قيد ، واُحرز وحدة الحكم ، يقع التعارض بين الإطلاق والتقييد ، ويحمل الإطلاق على التقييد ؛ لأنّ منشأ ظهور المطلق </w:t>
      </w:r>
      <w:bookmarkStart w:id="543" w:name="pg8033_81206"/>
    </w:p>
    <w:p>
      <w:pPr>
        <w:pStyle w:val="BookText"/>
        <w:rPr/>
      </w:pPr>
      <w:bookmarkEnd w:id="543"/>
      <w:r>
        <w:rPr>
          <w:rFonts w:ascii="Amiri" w:hAnsi="Amiri" w:eastAsia="Amiri" w:cs="Amiri"/>
          <w:color w:val="111111"/>
          <w:sz w:val="28"/>
          <w:sz w:val="28"/>
          <w:szCs w:val="28"/>
          <w:rtl w:val="true"/>
          <w:lang w:bidi="ar-SA"/>
        </w:rPr>
        <w:t xml:space="preserve">في الإطلاق ، إنّما هو متقوّم بأمر عدمي هو عدم التقييد ، ومع وصول القيد ترفع اليد عن ظهور المطلق في الإطلاق ، كما أنّ بناء العقلاء على أصالة الحقيقة ، إنّما هو عند عدم القرينة ، ومعها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وكذا الحال في أصالة العموم عند فقدان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صحيح إذا لم يكن من دأب المتكلّم ذكر قيود كلامه من المخصِّصات والمقيِّدات ، منفصلة وأمّا معه فلم يثبت بناء العقلاء على ما ذكر ؛ أي الحمل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خروج الشارع عن دأب العقلاء في إلقاء كلامه ، وإلاّ فيشكل الأمر في باب أصالة الحقيقة والعموم أيضاً </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7368571_1051229030"/>
      <w:bookmarkStart w:id="545" w:name="_Toc196"/>
      <w:bookmarkEnd w:id="544"/>
      <w:r>
        <w:rPr>
          <w:rtl w:val="true"/>
        </w:rPr>
        <w:t xml:space="preserve">الأمر الثاني </w:t>
      </w:r>
      <w:r>
        <w:rPr>
          <w:rtl w:val="true"/>
        </w:rPr>
        <w:t xml:space="preserve">: </w:t>
      </w:r>
      <w:r>
        <w:rPr>
          <w:rtl w:val="true"/>
        </w:rPr>
        <w:t>إشكال ودفع</w:t>
      </w:r>
      <w:bookmarkEnd w:id="545"/>
    </w:p>
    <w:p>
      <w:pPr>
        <w:pStyle w:val="BookText"/>
        <w:rPr/>
      </w:pPr>
      <w:r>
        <w:rPr>
          <w:rFonts w:ascii="Amiri" w:hAnsi="Amiri" w:eastAsia="Amiri" w:cs="Amiri"/>
          <w:color w:val="111111"/>
          <w:sz w:val="28"/>
          <w:sz w:val="28"/>
          <w:szCs w:val="28"/>
          <w:rtl w:val="true"/>
          <w:lang w:bidi="ar-SA"/>
        </w:rPr>
        <w:t xml:space="preserve">قد يستشكل على القول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الشياع المأخوذ في معاني الألفاظ المطلقة إمّا أن يكون شياعاً بدلياً كما في باب الأوامر ، وإمّا أن يكون شياعاً استغراقياً كما في أغلب النواهي والأحكام الوضعية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التجوّز في إطلاقات باب النواهي وما يكون مثلها في الشياع الاستغراقي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ذلك في إطلاقات باب الأوامر ومثلها ، ولا جامع بين </w:t>
      </w:r>
    </w:p>
    <w:p>
      <w:pPr>
        <w:pStyle w:val="BookText"/>
        <w:rPr/>
      </w:pPr>
      <w:r>
        <w:rPr>
          <w:rFonts w:ascii="Amiri" w:hAnsi="Amiri" w:eastAsia="Amiri" w:cs="Amiri"/>
          <w:color w:val="111111"/>
          <w:sz w:val="28"/>
          <w:sz w:val="28"/>
          <w:szCs w:val="28"/>
          <w:rtl w:val="true"/>
          <w:lang w:bidi="ar-SA"/>
        </w:rPr>
        <w:t xml:space="preserve">الشياعين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هو الشياع الجامع</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لا يرد على مقالتنا في باب الإطلاق ؛ لأنّ المأخوذ في الموضوع ليس إلاّ نفس الطبيعة ، من غير قيد الشياع وغيره وإن كانت الطبيعة شائعة ذاتاً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الحاصل في جانب الأوامر والنواهي ، فقد ذكرنا منشأه في مبحث النواهي</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أخذ الطبيعة في متعلّق البعث هو مطلوبية إيجادها في الخارج ، وبعد وجودها بوجود فرد ما منها يحصل المطلوب ، فيسقط الأمر ، وإلاّ يلزم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فلمّا كانت حقيقته عبارة عن الزجر عن الطبيعة ، والطبيعة تتكثّر بتكثّر الأفراد ، فكلُّ ما فرض من الطبيعة يكون الزجر بالنسبة إليه موجوداً ، ولا يسقط الزجر بعصيان بعض الأفراد ، كما فصّلناه في ذلك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المعروف من أنّ الأمر أو النهي كما يسقطان بالإطاعة يسقطان بالعصيان</w:t>
      </w:r>
      <w:r>
        <w:rPr>
          <w:rStyle w:val="FootnoteAnchor"/>
          <w:rtl w:val="true"/>
        </w:rPr>
        <w:footnoteReference w:id="473"/>
      </w:r>
      <w:r>
        <w:rPr>
          <w:rFonts w:ascii="Amiri" w:hAnsi="Amiri" w:eastAsia="Amiri" w:cs="Amiri"/>
          <w:color w:val="111111"/>
          <w:sz w:val="28"/>
          <w:sz w:val="28"/>
          <w:szCs w:val="28"/>
          <w:rtl w:val="true"/>
          <w:lang w:bidi="ar-SA"/>
        </w:rPr>
        <w:t xml:space="preserve">، ليس بصحيح ؛ فإنّ الإسقاط بالعصيان ممّا لا معنى 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في جانب الأوامر والنواهي غير ملحوظة إلاّ نفس ذاتها ، فالسريان غير ملحوظٍ فيها ؛ لا في مقام الوضع ، ولا مقام الإطلاق ، </w:t>
      </w:r>
      <w:bookmarkStart w:id="546" w:name="pg8033_81209"/>
    </w:p>
    <w:p>
      <w:pPr>
        <w:pStyle w:val="BookText"/>
        <w:rPr/>
      </w:pPr>
      <w:bookmarkEnd w:id="546"/>
      <w:r>
        <w:rPr>
          <w:rFonts w:ascii="Amiri" w:hAnsi="Amiri" w:eastAsia="Amiri" w:cs="Amiri"/>
          <w:color w:val="111111"/>
          <w:sz w:val="28"/>
          <w:sz w:val="28"/>
          <w:szCs w:val="28"/>
          <w:rtl w:val="true"/>
          <w:lang w:bidi="ar-SA"/>
        </w:rPr>
        <w:t xml:space="preserve">فلا نحتاج إلى تصوير الجامع بين الشياعين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إنّما يرد الإشكال على مقالة المشهور ؛ أي أخذ الشياع والسريان في وضع تلك الألفاظ على ما نسب إليهم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7368573_1051229030"/>
      <w:bookmarkStart w:id="548" w:name="_Toc197"/>
      <w:bookmarkEnd w:id="547"/>
      <w:r>
        <w:rPr>
          <w:rtl w:val="true"/>
        </w:rPr>
        <w:t xml:space="preserve">الأمر الثالث </w:t>
      </w:r>
      <w:r>
        <w:rPr>
          <w:rtl w:val="true"/>
        </w:rPr>
        <w:t xml:space="preserve">: </w:t>
      </w:r>
      <w:r>
        <w:rPr>
          <w:rtl w:val="true"/>
        </w:rPr>
        <w:t>أقسام المطلق</w:t>
      </w:r>
      <w:bookmarkEnd w:id="548"/>
    </w:p>
    <w:p>
      <w:pPr>
        <w:pStyle w:val="BookText"/>
        <w:rPr/>
      </w:pPr>
      <w:r>
        <w:rPr>
          <w:rFonts w:ascii="Amiri" w:hAnsi="Amiri" w:eastAsia="Amiri" w:cs="Amiri"/>
          <w:color w:val="111111"/>
          <w:sz w:val="28"/>
          <w:sz w:val="28"/>
          <w:szCs w:val="28"/>
          <w:rtl w:val="true"/>
          <w:lang w:bidi="ar-SA"/>
        </w:rPr>
        <w:t xml:space="preserve">الطبيعة المجعولة الموضوعة لحكم قد تكون موضوعاً له بنفس ذاتها من غير حكايتها عن الأفراد ، كما في متعلّق الأوامر والنواهي ؛ فإنّ أفراد طبيعة الإكرام أو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للأمر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موجودة في الخارج حتّى تكون حاكية عنها ، فلا محالة يكون الأمر والنهي متعلّقين بنفس الطبيعة ، لا الطبيعة الحاكية عن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موضوعاً له بما أ نّها حاكية عن الأفراد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فإنّ الخسران ليس للطبيعة قبل وجودها ، بل لها بحسب الوجود الخارجي ،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 فإنّ الحلّية إنّما هي للوجود الخارجي منه ، ولا بدّ في هذا النحو من الإطلاق من لحاظ الأفراد تحت عنوان الطبيعة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الجهة فرق بين الإطلاق في القسم الأوّل والثاني ، ولكن ملاك </w:t>
      </w:r>
    </w:p>
    <w:p>
      <w:pPr>
        <w:pStyle w:val="BookText"/>
        <w:rPr/>
      </w:pPr>
      <w:r>
        <w:rPr>
          <w:rFonts w:ascii="Amiri" w:hAnsi="Amiri" w:eastAsia="Amiri" w:cs="Amiri"/>
          <w:color w:val="111111"/>
          <w:sz w:val="28"/>
          <w:sz w:val="28"/>
          <w:szCs w:val="28"/>
          <w:rtl w:val="true"/>
          <w:lang w:bidi="ar-SA"/>
        </w:rPr>
        <w:t xml:space="preserve">الإطلاق في كلا القسمين هو عدم أخذ القيد الزائد في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فرغنا عن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الإطلاق فيه أيضاً عدم أخذ قيدٍ آخر ؛ لتكون الطبيعة متساوية النسبة بالنسبة إلى جميع الأفراد ، ومع القيد تكون حاكية عن بعضها ، ومعلوم أنّ الطبيعة الكلّية المطلقة لا تحكي إلاّ عن وجود أفرادها ، لا أمرٍ آخر وخصوصية اُخرى ، ولا تحتاج إلى قيد السريان والشياع ؛ لأنّهما ذاتيان لها ، فهذا الإطلاق كسابقه يتقوّم بأمر عدمي ؛ هو عدم لحاظ قيد زائد ، لا أمر وجودي هو سريان الطبيعة ، فهي حاكية بذاتها عن تمام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الإطلاق أشبه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المفرد المحلّى باللام يفيد العموم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لعلّ منشأه ذلك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حكايتهما عن الأفراد ،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كلّ من له العلم ، فالقول بإفادته العموم من جهة شَبَهه بالعامّ ، مع أ نّه مطلق لا عامّ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فرق بين إطلاقه وإطلاق النكرة ، فإنّ الثاني من القسم الأوّل من الإطلاق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الملحوظ إلاّ طبيعة الرقبة بما هي ، لا بما هي حاكية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الإطلاق بكلا قسميه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منشأ اختلاف كيفية الإطلاق من الشمولي والبدلي ، فليس بنحوين من اللحاظ ؛ أي لحاظ نحو من السريان في الشمولي ، ونحوٍ آخر في البدلي ، </w:t>
      </w:r>
      <w:bookmarkStart w:id="549" w:name="pg8033_81213"/>
    </w:p>
    <w:p>
      <w:pPr>
        <w:pStyle w:val="BookText"/>
        <w:rPr/>
      </w:pPr>
      <w:bookmarkEnd w:id="549"/>
      <w:r>
        <w:rPr>
          <w:rFonts w:ascii="Amiri" w:hAnsi="Amiri" w:eastAsia="Amiri" w:cs="Amiri"/>
          <w:color w:val="111111"/>
          <w:sz w:val="28"/>
          <w:sz w:val="28"/>
          <w:szCs w:val="28"/>
          <w:rtl w:val="true"/>
          <w:lang w:bidi="ar-SA"/>
        </w:rPr>
        <w:t>بل يكون منشأ اختلافهما من أخذ نفس الطبيعة في متعلّق الأمر وفي متعلّق النهي ، واختلاف مقتضاهما كما أشرنا إليه</w:t>
      </w:r>
      <w:r>
        <w:rPr>
          <w:rStyle w:val="FootnoteAnchor"/>
          <w:rtl w:val="true"/>
        </w:rPr>
        <w:footnoteReference w:id="478"/>
      </w:r>
      <w:r>
        <w:rPr>
          <w:rFonts w:ascii="Amiri" w:hAnsi="Amiri" w:eastAsia="Amiri" w:cs="Amiri"/>
          <w:color w:val="111111"/>
          <w:sz w:val="28"/>
          <w:sz w:val="28"/>
          <w:szCs w:val="28"/>
          <w:rtl w:val="true"/>
          <w:lang w:bidi="ar-SA"/>
        </w:rPr>
        <w:t xml:space="preserve">، وهذا من غير فرق بين قسمي الإطلاق </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7368575_1051229030"/>
      <w:bookmarkStart w:id="551" w:name="_Toc198"/>
      <w:bookmarkEnd w:id="550"/>
      <w:r>
        <w:rPr>
          <w:rtl w:val="true"/>
        </w:rPr>
        <w:t xml:space="preserve">الأمر الرابع </w:t>
      </w:r>
      <w:r>
        <w:rPr>
          <w:rtl w:val="true"/>
        </w:rPr>
        <w:t xml:space="preserve">: </w:t>
      </w:r>
      <w:r>
        <w:rPr>
          <w:rtl w:val="true"/>
        </w:rPr>
        <w:t>شرط الاحتياج إلى مقدّمات الحكمة</w:t>
      </w:r>
      <w:bookmarkEnd w:id="551"/>
    </w:p>
    <w:p>
      <w:pPr>
        <w:pStyle w:val="BookText"/>
        <w:rPr/>
      </w:pPr>
      <w:r>
        <w:rPr>
          <w:rFonts w:ascii="Amiri" w:hAnsi="Amiri" w:eastAsia="Amiri" w:cs="Amiri"/>
          <w:color w:val="111111"/>
          <w:sz w:val="28"/>
          <w:sz w:val="28"/>
          <w:szCs w:val="28"/>
          <w:rtl w:val="true"/>
          <w:lang w:bidi="ar-SA"/>
        </w:rPr>
        <w:t xml:space="preserve">الاحتياج إلى مقدّمات الحكمة في باب الإطلاق ، إنّما هو فيما إذا لا ينافي إطلاق المطلق في الكلام مع إرادة المقيّد واقعاً ، وأمّا مع تنافيهما فيكفي التمسّك بأصالة الحقيقة لإثبات الإطلاق ؛ من غير احتياج إلى إثبات كون المتكلّم في مقام البيان ، أو سائر المقدّمات على فرض احتياجنا إليها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لا تكون الطبيعة بذاتها تمام الموضوع لحكم ، بل تكون هي مع قيدٍ زائد تمامه ، إلاّ أنّ المتكلّم يريد إيكال بيان القيد إلى دليل منفصل عن المطلق ، ولا يضرّ ذلك باستعمال اللفظ المطلق فيما هو موضوع له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كون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للعتق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 وأراد بيان قيد الإيمان بدليل منفصل ، فحينئذٍ لا يكون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الطبيعة الموضوع لها ، ويكون بيان القيد من قبيل تعدّد الدالّ والمدلول بالنسبة إلى إفادة تمام الموضوع ، فحينئذٍ لو شككنا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 لا يمكن إثباته بأصالة الحقيقة ؛ لما عرفت من أنّ اللفظ المطلق مستعمل في معناه الحقيقي ، ولو مع عدم كونه تمام الموضوع ، </w:t>
      </w:r>
    </w:p>
    <w:p>
      <w:pPr>
        <w:pStyle w:val="BookText"/>
        <w:rPr/>
      </w:pPr>
      <w:r>
        <w:rPr>
          <w:rFonts w:ascii="Amiri" w:hAnsi="Amiri" w:eastAsia="Amiri" w:cs="Amiri"/>
          <w:color w:val="111111"/>
          <w:sz w:val="28"/>
          <w:sz w:val="28"/>
          <w:szCs w:val="28"/>
          <w:rtl w:val="true"/>
          <w:lang w:bidi="ar-SA"/>
        </w:rPr>
        <w:t xml:space="preserve">فنحتاج في إثباته إلى مقدّمات الإطلاق ودليل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بالقيد المنفصل منافياً لاستعمال بعض الألفاظ المذكورة في الكلام الأوّل فيما وضع له ؛ فيمكن كشف الإطلاق من أصالة الحقيقة من غير احتياجٍ إلى دليل الحكمة ، وإحراز كون المتكلّم في مقام البيان ، كالنكرة الواقعة في سياق النفي ؛ فإنّ حرف النفي وضع لنفي مدخوله ليس إلاّ ، فالخصوصية الزائدة إذا اُخذت قيداً للمدخول ينفي حرف النفي المدخول بخصوصيته ، واستعمل في معناه الموضوع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انفصال القيد ، وذكر الطبيعة بلا قيدٍ عقيب النفي ، فمقتضاه نفي الطبيعة المطلقة المدخولة ، فإذا اُريد نفي الطبيعة المقيّدة من غير ذكر القيد ، يكون استعمال حرف النفي في غير ما هو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ذلك ، يرجع الشكّ إلى استعمال حرف النفي في معناه الموضوع له أو غيره ، فيجوز التمسّك بأصالة الحقيقة ؛ والحكم بأنّ الطبيعة المنفية هي تمام الموضوع للحكم ، 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وشكّ في أنّ مراده مطلق الرجل ، أو الرجل العالم ، يكفي في كشف الإطلاق نفس أصالة الحقيقة ؛ لأنّ اللام وضعت لنفي مدخولها لا غير ، فإن استعملت في ذلك تكون مستعملة في معناها الحقيقي ، وإن استعملت واُريد منها نفي أمر زائد على المدخول ، تكون مستعملة في غير ما هي موضوعة له ، فأصالة الحقيقة تكشف عن إطلاق مدخولها من غير احتياج إلى مقدّمات الإطلاق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تكون النواهي الواردة على الطبائع أيضاً كذلك ، أي لا تحتاج </w:t>
      </w:r>
    </w:p>
    <w:p>
      <w:pPr>
        <w:pStyle w:val="BookText"/>
        <w:rPr/>
      </w:pPr>
      <w:r>
        <w:rPr>
          <w:rFonts w:ascii="Amiri" w:hAnsi="Amiri" w:eastAsia="Amiri" w:cs="Amiri"/>
          <w:color w:val="111111"/>
          <w:sz w:val="28"/>
          <w:sz w:val="28"/>
          <w:szCs w:val="28"/>
          <w:rtl w:val="true"/>
          <w:lang w:bidi="ar-SA"/>
        </w:rPr>
        <w:t xml:space="preserve">في إثبات إطلاق مدخولاتها إلاّ إلى أصالة الحقيقة ، دون مقدّمات الإطلاق ، بخلاف الطبائع الواقعة في سياق الإثبات ؛ فإنّ بيان القيد الزائد فيها لا ينافي استعمال المطلق في الإطلاق ، ولا يوجب استعمال لفظٍ في غير ما هو 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النواهي فيوجب ذلك استعمال حرف النهي في غير الموضوع له ، كما قلنا في النفي ، فتدبّر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وظاهراً وباطناً </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8033_81225"/>
      <w:bookmarkStart w:id="553" w:name="pg8033_81225"/>
      <w:bookmarkEnd w:id="553"/>
    </w:p>
    <w:p>
      <w:pPr>
        <w:pStyle w:val="Heading2"/>
        <w:numPr>
          <w:ilvl w:val="1"/>
          <w:numId w:val="1"/>
        </w:numPr>
        <w:rPr/>
      </w:pPr>
      <w:bookmarkStart w:id="554" w:name="pg8033_81225"/>
      <w:bookmarkStart w:id="555" w:name="__RefHeading___Toc7368577_1051229030"/>
      <w:bookmarkStart w:id="556" w:name="_Toc199"/>
      <w:bookmarkEnd w:id="554"/>
      <w:bookmarkEnd w:id="555"/>
      <w:r>
        <w:rPr>
          <w:rtl w:val="true"/>
        </w:rPr>
        <w:t>المقصد السادس</w:t>
      </w:r>
      <w:r>
        <w:rPr>
          <w:rtl w:val="true"/>
        </w:rPr>
        <w:t xml:space="preserve">: </w:t>
      </w:r>
      <w:r>
        <w:rPr>
          <w:rtl w:val="true"/>
        </w:rPr>
        <w:t>في بيان الأمارات المعتبرة عقلاً أو شرعاً</w:t>
      </w:r>
      <w:bookmarkEnd w:id="556"/>
    </w:p>
    <w:p>
      <w:pPr>
        <w:pStyle w:val="Heading3"/>
        <w:numPr>
          <w:ilvl w:val="2"/>
          <w:numId w:val="1"/>
        </w:numPr>
        <w:rPr/>
      </w:pPr>
      <w:bookmarkStart w:id="557" w:name="__RefHeading___Toc7368579_1051229030"/>
      <w:bookmarkStart w:id="558" w:name="_Toc200"/>
      <w:bookmarkEnd w:id="557"/>
      <w:r>
        <w:rPr>
          <w:rtl w:val="true"/>
        </w:rPr>
        <w:t>اشارة</w:t>
      </w:r>
      <w:bookmarkEnd w:id="55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فيما هو المهمّ ، لا بأس بتقديم فصول</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8033_81228"/>
      <w:bookmarkStart w:id="560" w:name="pg8033_81228"/>
      <w:bookmarkEnd w:id="560"/>
    </w:p>
    <w:p>
      <w:pPr>
        <w:pStyle w:val="Heading3"/>
        <w:numPr>
          <w:ilvl w:val="2"/>
          <w:numId w:val="1"/>
        </w:numPr>
        <w:rPr/>
      </w:pPr>
      <w:bookmarkStart w:id="561" w:name="pg8033_81228"/>
      <w:bookmarkStart w:id="562" w:name="__RefHeading___Toc7368581_1051229030"/>
      <w:bookmarkStart w:id="563" w:name="_Toc201"/>
      <w:bookmarkEnd w:id="561"/>
      <w:bookmarkEnd w:id="562"/>
      <w:r>
        <w:rPr>
          <w:rtl w:val="true"/>
        </w:rPr>
        <w:t>الفصل الأوّل</w:t>
      </w:r>
      <w:r>
        <w:rPr>
          <w:rtl w:val="true"/>
        </w:rPr>
        <w:t xml:space="preserve">: </w:t>
      </w:r>
      <w:r>
        <w:rPr>
          <w:rtl w:val="true"/>
        </w:rPr>
        <w:t>في تمهيدات لمباحث القطع</w:t>
      </w:r>
      <w:bookmarkEnd w:id="563"/>
    </w:p>
    <w:p>
      <w:pPr>
        <w:pStyle w:val="Heading4"/>
        <w:numPr>
          <w:ilvl w:val="3"/>
          <w:numId w:val="1"/>
        </w:numPr>
        <w:rPr/>
      </w:pPr>
      <w:bookmarkStart w:id="564" w:name="__RefHeading___Toc7368583_1051229030"/>
      <w:bookmarkStart w:id="565" w:name="_Toc202"/>
      <w:bookmarkEnd w:id="564"/>
      <w:r>
        <w:rPr>
          <w:rtl w:val="true"/>
        </w:rPr>
        <w:t>في تمهيدات لمباحث القطع</w:t>
      </w:r>
      <w:bookmarkEnd w:id="565"/>
    </w:p>
    <w:p>
      <w:pPr>
        <w:pStyle w:val="BookText"/>
        <w:rPr/>
      </w:pPr>
      <w:r>
        <w:rPr>
          <w:rFonts w:ascii="Amiri" w:hAnsi="Amiri" w:eastAsia="Amiri" w:cs="Amiri"/>
          <w:color w:val="111111"/>
          <w:sz w:val="28"/>
          <w:sz w:val="28"/>
          <w:szCs w:val="28"/>
          <w:rtl w:val="true"/>
          <w:lang w:bidi="ar-SA"/>
        </w:rPr>
        <w:t xml:space="preserve">يذكر فيه اُمور </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7368585_1051229030"/>
      <w:bookmarkStart w:id="567" w:name="_Toc203"/>
      <w:bookmarkEnd w:id="566"/>
      <w:r>
        <w:rPr>
          <w:rtl w:val="true"/>
        </w:rPr>
        <w:t xml:space="preserve">الأمر الأوّل </w:t>
      </w:r>
      <w:r>
        <w:rPr>
          <w:rtl w:val="true"/>
        </w:rPr>
        <w:t xml:space="preserve">: </w:t>
      </w:r>
      <w:r>
        <w:rPr>
          <w:rtl w:val="true"/>
        </w:rPr>
        <w:t>اُصولية مبحث القطع</w:t>
      </w:r>
      <w:bookmarkEnd w:id="567"/>
    </w:p>
    <w:p>
      <w:pPr>
        <w:pStyle w:val="BookText"/>
        <w:rPr/>
      </w:pPr>
      <w:r>
        <w:rPr>
          <w:rFonts w:ascii="Amiri" w:hAnsi="Amiri" w:eastAsia="Amiri" w:cs="Amiri"/>
          <w:color w:val="111111"/>
          <w:sz w:val="28"/>
          <w:sz w:val="28"/>
          <w:szCs w:val="28"/>
          <w:rtl w:val="true"/>
          <w:lang w:bidi="ar-SA"/>
        </w:rPr>
        <w:t xml:space="preserve">إنّ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في موضوع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هو الحجّة في الفقه</w:t>
      </w:r>
      <w:r>
        <w:rPr>
          <w:rStyle w:val="FootnoteAnchor"/>
          <w:rtl w:val="true"/>
        </w:rPr>
        <w:footnoteReference w:id="479"/>
      </w:r>
      <w:r>
        <w:rPr>
          <w:rFonts w:ascii="Amiri" w:hAnsi="Amiri" w:eastAsia="Amiri" w:cs="Amiri"/>
          <w:color w:val="111111"/>
          <w:sz w:val="28"/>
          <w:sz w:val="28"/>
          <w:szCs w:val="28"/>
          <w:rtl w:val="true"/>
          <w:lang w:bidi="ar-SA"/>
        </w:rPr>
        <w:t xml:space="preserve">من مسائل علم الاُصول ؛ ضرورة كونه حجّة فيه كسائر الأمارات المعتبرة ، وإن كانت حجّيته ذاتية ضرورية ، وليس من مسائل علم الكلام ؛ لأنّ علم الكلام هو ما يبحث عمّا يجب على اللّه ، أو يقبح عليه ، وفي مسائل القطع لا يبحث عن أمثاله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الأنصاري في معنى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هي التي وقعت وسطاً في الإثبات</w:t>
      </w:r>
      <w:r>
        <w:rPr>
          <w:rStyle w:val="FootnoteAnchor"/>
          <w:rtl w:val="true"/>
        </w:rPr>
        <w:footnoteReference w:id="480"/>
      </w:r>
      <w:r>
        <w:rPr>
          <w:rFonts w:ascii="Amiri" w:hAnsi="Amiri" w:eastAsia="Amiri" w:cs="Amiri"/>
          <w:color w:val="111111"/>
          <w:sz w:val="28"/>
          <w:sz w:val="28"/>
          <w:szCs w:val="28"/>
          <w:rtl w:val="true"/>
          <w:lang w:bidi="ar-SA"/>
        </w:rPr>
        <w:t xml:space="preserve">، فهي الحجّة على طريقة المنطقيين ، لا على طريقة </w:t>
      </w:r>
      <w:bookmarkStart w:id="568" w:name="pg8033_81230"/>
    </w:p>
    <w:p>
      <w:pPr>
        <w:pStyle w:val="BookText"/>
        <w:rPr/>
      </w:pPr>
      <w:bookmarkEnd w:id="568"/>
      <w:r>
        <w:rPr>
          <w:rFonts w:ascii="Amiri" w:hAnsi="Amiri" w:eastAsia="Amiri" w:cs="Amiri"/>
          <w:color w:val="111111"/>
          <w:sz w:val="28"/>
          <w:sz w:val="28"/>
          <w:szCs w:val="28"/>
          <w:rtl w:val="true"/>
          <w:lang w:bidi="ar-SA"/>
        </w:rPr>
        <w:t xml:space="preserve">الاُصوليين ؛ لأنّ الوقوع وسطاً في الإثبات أو اللا وقوع كذلك ، لا مساس له بالحجّية الاُصولية التي هي بمعنى المنجّز والمعذّر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الحجّة في المنطق عبارة عن كلتا مقدّمتي القياس</w:t>
      </w:r>
      <w:r>
        <w:rPr>
          <w:rStyle w:val="FootnoteAnchor"/>
          <w:rtl w:val="true"/>
        </w:rPr>
        <w:footnoteReference w:id="481"/>
      </w:r>
      <w:r>
        <w:rPr>
          <w:rFonts w:ascii="Amiri" w:hAnsi="Amiri" w:eastAsia="Amiri" w:cs="Amiri"/>
          <w:color w:val="111111"/>
          <w:sz w:val="28"/>
          <w:sz w:val="28"/>
          <w:szCs w:val="28"/>
          <w:rtl w:val="true"/>
          <w:lang w:bidi="ar-SA"/>
        </w:rPr>
        <w:t xml:space="preserve">لا مجرّد الوسط في الإثبات </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7368587_1051229030"/>
      <w:bookmarkStart w:id="570" w:name="_Toc204"/>
      <w:bookmarkEnd w:id="569"/>
      <w:r>
        <w:rPr>
          <w:rtl w:val="true"/>
        </w:rPr>
        <w:t xml:space="preserve">الأمر الثاني </w:t>
      </w:r>
      <w:r>
        <w:rPr>
          <w:rtl w:val="true"/>
        </w:rPr>
        <w:t xml:space="preserve">: </w:t>
      </w:r>
      <w:r>
        <w:rPr>
          <w:rtl w:val="true"/>
        </w:rPr>
        <w:t xml:space="preserve">في المراد من </w:t>
      </w:r>
      <w:r>
        <w:rPr>
          <w:rtl w:val="true"/>
        </w:rPr>
        <w:t>«</w:t>
      </w:r>
      <w:r>
        <w:rPr>
          <w:rtl w:val="true"/>
        </w:rPr>
        <w:t>المكلّف</w:t>
      </w:r>
      <w:r>
        <w:rPr>
          <w:rtl w:val="true"/>
        </w:rPr>
        <w:t xml:space="preserve">» </w:t>
      </w:r>
      <w:r>
        <w:rPr>
          <w:rtl w:val="true"/>
        </w:rPr>
        <w:t>في تقسيم الشيخ قدّس سرّه</w:t>
      </w:r>
      <w:bookmarkEnd w:id="570"/>
    </w:p>
    <w:p>
      <w:pPr>
        <w:pStyle w:val="BookText"/>
        <w:rPr/>
      </w:pP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المقسم في رسالة الشيخ</w:t>
      </w:r>
      <w:r>
        <w:rPr>
          <w:rStyle w:val="FootnoteAnchor"/>
          <w:rtl w:val="true"/>
        </w:rPr>
        <w:footnoteReference w:id="482"/>
      </w:r>
      <w:r>
        <w:rPr>
          <w:rFonts w:ascii="IRNazanin" w:hAnsi="IRNazanin" w:eastAsia="IRNazanin"/>
          <w:color w:val="111111"/>
          <w:sz w:val="28"/>
          <w:sz w:val="28"/>
          <w:szCs w:val="28"/>
          <w:rtl w:val="true"/>
          <w:lang w:bidi="fa-IR"/>
        </w:rPr>
        <w:t xml:space="preserve">هو المكلّف الفعلي بالنسبة إلى بعض الأحكام الضرورية ؛ فإنّه إذا التفت إلى حكم غير ما يكون لأجله مكلّفاً ، فإمّا أن يحصل له القطع ، أو الظنّ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لا المكلّف الفعلي بالنسبة إلى ذلك الحكم الذي يحصل له الأقسام ؛ ضرورة عدم كونه مقسماً لها ، ولا المكلّف الشأني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مكلّفاً ، بل له شأنية التكليف ، والظاهر من قوله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المكلّف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هو المكلّف الفعلي ، كما هو الشأن في كلّية العناوين المأخوذة في موضوع حكم </w:t>
      </w:r>
      <w:r>
        <w:rPr>
          <w:rFonts w:eastAsia="IRNazanin" w:cs="IRNazanin"/>
          <w:color w:val="111111"/>
          <w:sz w:val="28"/>
          <w:szCs w:val="28"/>
          <w:rtl w:val="true"/>
          <w:lang w:bidi="fa-IR"/>
        </w:rPr>
        <w:t>.</w:t>
      </w:r>
    </w:p>
    <w:p>
      <w:pPr>
        <w:pStyle w:val="Heading4"/>
        <w:numPr>
          <w:ilvl w:val="3"/>
          <w:numId w:val="1"/>
        </w:numPr>
        <w:rPr/>
      </w:pPr>
      <w:bookmarkStart w:id="571" w:name="__RefHeading___Toc7368589_1051229030"/>
      <w:bookmarkStart w:id="572" w:name="_Toc205"/>
      <w:bookmarkEnd w:id="571"/>
      <w:r>
        <w:rPr>
          <w:rtl w:val="true"/>
        </w:rPr>
        <w:t xml:space="preserve">الأمر الثالث </w:t>
      </w:r>
      <w:r>
        <w:rPr>
          <w:rtl w:val="true"/>
        </w:rPr>
        <w:t xml:space="preserve">: </w:t>
      </w:r>
      <w:r>
        <w:rPr>
          <w:rtl w:val="true"/>
        </w:rPr>
        <w:t>في مراتب الحكم</w:t>
      </w:r>
      <w:bookmarkEnd w:id="57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المحقّق الخراساني جعل للحكم مراتب ؛ من الاقتضائي ، والإنشائي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الدفاتر ، والفعلي ، والمنجّز</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للفعلي مرتبتين ؛ </w:t>
      </w:r>
    </w:p>
    <w:p>
      <w:pPr>
        <w:pStyle w:val="BookText"/>
        <w:rPr/>
      </w:pPr>
      <w:r>
        <w:rPr>
          <w:rFonts w:ascii="Amiri" w:hAnsi="Amiri" w:eastAsia="Amiri" w:cs="Amiri"/>
          <w:color w:val="111111"/>
          <w:sz w:val="28"/>
          <w:sz w:val="28"/>
          <w:szCs w:val="28"/>
          <w:rtl w:val="true"/>
          <w:lang w:bidi="ar-SA"/>
        </w:rPr>
        <w:t xml:space="preserve">الفعلي قبل التنجّز ، وبعده ، فتصير المراتب 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يصير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إلاّ إذا كان محفوظاً بذاته في جميع المراتب ، ويختلف شدّة وضعفاً ، كمراتب البياض والسواد ، أو زيادة ونقصاً كالكمّ ، وأمّا مع عدم محفوظيته فيها فلا يكون ذا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المراتب للحكم منظور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مقام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موضوع الحكم ذا مصلحة أو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مراتب الحكم ؛ لعدم تحقّقه في هذا المقام ، ولا يكون الاقتضاء قوّةً واستعداداً بالنسبة إلى الحكم ، كالنطفة بالنسبة إلى الصورة الإنسانية ؛ فإنّها استعداد بالنسبة إلى الصورة ، ولها إمكان استعدادي بالنسبة إلى النطفة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الاستعداد من مراتب وجود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الاقتضاء ، فلا يكون كذلك ، ولا يتبدّل بالحكم كما هو واضح ، فعدّه من مراتبه ممّا لا وجه له ، كما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الحكم الإنشائي على اصطلاحه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يكتبه الحاكم في الدفاتر لأجل النظر إليه والحكّ والإصلاح حتّى تتمّ حدوده ، ثمّ يحكم حكماً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لو اُطلق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مراتبه ؛ بمعنى صيرورته حكماً فعلياً بعد كونه إنشائياً ، بحيث تكون ذات واحدة لها مرتبتان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التنجّز ليس من مراتب الحكم ؛ فإنّه وصف عقلي اعتباري للحكم الفعلي ، لأجل تعلّق علم المكلّف به ، أو قيام الحجّة عليه ، من غير أن تكون للحكم مرتبتان شدّة وضعفاً ؛ فإنّ الحكم الفعلي لا يكون ناقصاً قبل العلم ، ولا يصير بعده تامّاً أو مؤكّداً ، بل الحكم على ما هو عليه ، لكنّه قبل تعلّق العلم </w:t>
      </w:r>
      <w:bookmarkStart w:id="573" w:name="pg8033_81234"/>
    </w:p>
    <w:p>
      <w:pPr>
        <w:pStyle w:val="BookText"/>
        <w:rPr/>
      </w:pPr>
      <w:bookmarkEnd w:id="573"/>
      <w:r>
        <w:rPr>
          <w:rFonts w:ascii="Amiri" w:hAnsi="Amiri" w:eastAsia="Amiri" w:cs="Amiri"/>
          <w:color w:val="111111"/>
          <w:sz w:val="28"/>
          <w:sz w:val="28"/>
          <w:szCs w:val="28"/>
          <w:rtl w:val="true"/>
          <w:lang w:bidi="ar-SA"/>
        </w:rPr>
        <w:t xml:space="preserve">لا يمكن أن يكون باعثاً فعلياً ومحرّكاً ، بخلافه بعد تعلّقه ، وليست له إلاّ مرتبة واحدة ؛ منجّزة بعد تعلّق العلم به ، وغير منجّزة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قبل تعلّق العلم به ، قد يكون محرّكاً ، كما في الاحتياط مع احتمال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المحرّك في الاحتياط ، هو الحكم الواقعي المجهول ؛ لأنّ وجوده الواقعي وعدمه سواء في تحرّك العبد ، بل المحرّك فيه نفس الاحتمال مع مقدّمات اُخرى ، فالاحتياط قد يصادف الواقع ، وقد لا يصادفه ، وما يكون كذلك لا يمكن أن يكون المحرّك فيه هو الحكم الواقعي </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7368591_1051229030"/>
      <w:bookmarkStart w:id="575" w:name="_Toc206"/>
      <w:bookmarkEnd w:id="574"/>
      <w:r>
        <w:rPr>
          <w:rtl w:val="true"/>
        </w:rPr>
        <w:t xml:space="preserve">الأمر الرابع </w:t>
      </w:r>
      <w:r>
        <w:rPr>
          <w:rtl w:val="true"/>
        </w:rPr>
        <w:t xml:space="preserve">: </w:t>
      </w:r>
      <w:r>
        <w:rPr>
          <w:rtl w:val="true"/>
        </w:rPr>
        <w:t>في تقسيم الحكم إلى الواقعي والظاهري</w:t>
      </w:r>
      <w:bookmarkEnd w:id="575"/>
    </w:p>
    <w:p>
      <w:pPr>
        <w:pStyle w:val="BookText"/>
        <w:rPr/>
      </w:pPr>
      <w:r>
        <w:rPr>
          <w:rFonts w:ascii="Amiri" w:hAnsi="Amiri" w:eastAsia="Amiri" w:cs="Amiri"/>
          <w:color w:val="111111"/>
          <w:sz w:val="28"/>
          <w:sz w:val="28"/>
          <w:szCs w:val="28"/>
          <w:rtl w:val="true"/>
          <w:lang w:bidi="ar-SA"/>
        </w:rPr>
        <w:t xml:space="preserve">إنّ للحكم تقسيمات ؛ من التكليفي ، والوضعي ، ولكلٍّ منهما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أيضاً إلى الحكم الواقعي والظاهري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بالموضوعات بعناوينها الأوّلية ، كالمستطيع ، والبالغة غلاّته حدّ النصاب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الشكّ في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جعلها بلحاظ الأحكام الأوّلية ، من غير أن تكون لنفسها مصلحة ويكون الجعل لتلك المصلحة ؛ فإنّه إذا كان الجعل بلحاظها يكون حكماً واقعياً ، لا ظاهرياً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تعلّق الشكّ بحكم ، موجباً لحصول مصلحة مورثة لتعلّق الحكم به ، ويكون تعلّق الحكم به لأجلها ، فلا يكون حكماً ظاهرياً وحجّة على الحكم الواقعي ، فجعل وجوب الاتّباع في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لمصلحة في نفس </w:t>
      </w:r>
    </w:p>
    <w:p>
      <w:pPr>
        <w:pStyle w:val="BookText"/>
        <w:rPr/>
      </w:pPr>
      <w:r>
        <w:rPr>
          <w:rFonts w:ascii="Amiri" w:hAnsi="Amiri" w:eastAsia="Amiri" w:cs="Amiri"/>
          <w:color w:val="111111"/>
          <w:sz w:val="28"/>
          <w:sz w:val="28"/>
          <w:szCs w:val="28"/>
          <w:rtl w:val="true"/>
          <w:lang w:bidi="ar-SA"/>
        </w:rPr>
        <w:t xml:space="preserve">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حجّة على الحكم الواقعي ، ولا أمارة عليه ، بل يكون حكماً واقعياً في عَرض سائر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فالأحكام الظاهرية ما يكون جعلها لحفظ الأحكام الواقعية الأوّلية ، فلو أمر المولى بالاحتياط ، أو جعل خبر الثقة حجّة لحفظ الواقعيات ، يصير الواقع منجّزاً بواسطة الحكم الظاهري ، فالحكم الفعلي قد يصير منجّزاً بتعلّق العلم به ، وقد يصير منجّزاً بواسطة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الحكم الفعلي بحيثية تكون مخالفته خروجاً عن رسم العبودية ، وتكون العقوبة عليها غير قبيحة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منحصر بالأحكام الإلزامية في الواجبات والمحرّمات ، دون المرغّبات والمنزّهات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الحكم محرّكاً فعلياً ، فلا يكون مختصّاً بالإلزاميات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بالحكم الإلزامي منجِّز ، وبمطلق الأحكام يوجب الباعثية الفعلية ، فعدّ</w:t>
      </w:r>
    </w:p>
    <w:p>
      <w:pPr>
        <w:pStyle w:val="BookText"/>
        <w:rPr/>
      </w:pPr>
      <w:r>
        <w:rPr>
          <w:rFonts w:ascii="Amiri" w:hAnsi="Amiri" w:eastAsia="Amiri" w:cs="Amiri"/>
          <w:color w:val="111111"/>
          <w:sz w:val="28"/>
          <w:sz w:val="28"/>
          <w:szCs w:val="28"/>
          <w:rtl w:val="true"/>
          <w:lang w:bidi="ar-SA"/>
        </w:rPr>
        <w:t xml:space="preserve">التنجيز لمطلق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 المحقّق الخراساني</w:t>
      </w:r>
      <w:r>
        <w:rPr>
          <w:rStyle w:val="FootnoteAnchor"/>
          <w:rtl w:val="true"/>
        </w:rPr>
        <w:footnoteReference w:id="484"/>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الباعثية مختصّة بحال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أنّ الحكم جعل للعالم به ؛ فإنّه دور باطل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الفعلي جعل لكلّ مكلّفٍ ، لكنّه لا يكون باعثاً ومحرّكاً إلاّ بعد العلم ، وإنّما أمر المولى ليعلم المكلّف وينبعثَ نحو المطلوب ، فالعلم بالحكم من مقدّمات الانبعاث ، لا أنّ الحكم مجعول للعالم به </w:t>
      </w:r>
      <w:r>
        <w:rPr>
          <w:rFonts w:eastAsia="Amiri" w:cs="Amiri" w:ascii="Amiri" w:hAnsi="Amiri"/>
          <w:color w:val="111111"/>
          <w:sz w:val="28"/>
          <w:szCs w:val="28"/>
          <w:rtl w:val="true"/>
          <w:lang w:bidi="ar-SA"/>
        </w:rPr>
        <w:t xml:space="preserve">. </w:t>
      </w:r>
      <w:bookmarkStart w:id="576" w:name="pg8033_81238"/>
    </w:p>
    <w:p>
      <w:pPr>
        <w:pStyle w:val="Heading4"/>
        <w:numPr>
          <w:ilvl w:val="3"/>
          <w:numId w:val="1"/>
        </w:numPr>
        <w:rPr/>
      </w:pPr>
      <w:bookmarkStart w:id="577" w:name="__RefHeading___Toc7368593_1051229030"/>
      <w:bookmarkStart w:id="578" w:name="_Toc207"/>
      <w:bookmarkEnd w:id="576"/>
      <w:bookmarkEnd w:id="577"/>
      <w:r>
        <w:rPr>
          <w:rtl w:val="true"/>
        </w:rPr>
        <w:t xml:space="preserve">الأمر الخامس </w:t>
      </w:r>
      <w:r>
        <w:rPr>
          <w:rtl w:val="true"/>
        </w:rPr>
        <w:t xml:space="preserve">: </w:t>
      </w:r>
      <w:r>
        <w:rPr>
          <w:rtl w:val="true"/>
        </w:rPr>
        <w:t>في تقسيم حالات المكلّف باعتبار وجود المنجّز وعدمه</w:t>
      </w:r>
      <w:bookmarkEnd w:id="578"/>
    </w:p>
    <w:p>
      <w:pPr>
        <w:pStyle w:val="BookText"/>
        <w:rPr/>
      </w:pPr>
      <w:r>
        <w:rPr>
          <w:rFonts w:ascii="Amiri" w:hAnsi="Amiri" w:eastAsia="Amiri" w:cs="Amiri"/>
          <w:color w:val="111111"/>
          <w:sz w:val="28"/>
          <w:sz w:val="28"/>
          <w:szCs w:val="28"/>
          <w:rtl w:val="true"/>
          <w:lang w:bidi="ar-SA"/>
        </w:rPr>
        <w:t>إنّ الشيخ الأعظم قد ثلّث حالات المكلّف إلى القطع ، والظنّ ، والشكّ</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ورد عليه إشكال التداخل، عدل عنه المحقّق الخراساني إلى التثنية،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يحصل له القطع،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القطع بالأحكام الظاهرية من أقسام القطع</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لمّا كان منجّزاً قاطعاً للعذر ، تنحصر منجّزيته بتعلّقه بالأحكام الواقعية ؛ إذ لا معنى لتنجيزه الأحكام الظاهرية ، فإنّ القطع بحجّية الخبر الواحد لا يكون منجّزاً ، بل المنجّز هو الخبر القائم على الواقع ، لا القطع المتعلّق بحجّيته ، مضافاً إلى ورود إشكالات اُخر عليه كما سيتّضح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التفت إلى حكم فعلي ؛ فإمّا أن يكون له منجّز أو لا ، فيدخل في الأوّل القطع بالحكم ، والأمارات المعتبرة ؛ فإنّها منجّزات للواقع ؛ بمعنى أ نّه إذا خالف المكلّف مفادها ، وكان موافقاً للواقع ، يصير مستحقّاً للعقوبة على الواقع، وإن عمل بها وتخلّف مفادها عن الواقع، لا يكون معاقباً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الاشتغال ، فراجعة إلى منجّزية القطع الإجمالي للواقع الذي في الأطراف ، فمع المخالفة يكون معاقباً على الواقع المعلوم على فرض المصادفة ، فأصل الاشتغال بأقسامه من باب منجّزية القطع للواقع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أصل التخيير ، فقد يكون مع منجّزية الواقع بنحوٍ ، كما لو علم بالتكليف إجمالاً ولم تمكن الموافقة القطعية ، ولكن أمكنت الموافقة الاحتمالية ، وكذا </w:t>
      </w:r>
    </w:p>
    <w:p>
      <w:pPr>
        <w:pStyle w:val="BookText"/>
        <w:rPr/>
      </w:pPr>
      <w:r>
        <w:rPr>
          <w:rFonts w:ascii="Amiri" w:hAnsi="Amiri" w:eastAsia="Amiri" w:cs="Amiri"/>
          <w:color w:val="111111"/>
          <w:sz w:val="28"/>
          <w:sz w:val="28"/>
          <w:szCs w:val="28"/>
          <w:rtl w:val="true"/>
          <w:lang w:bidi="ar-SA"/>
        </w:rPr>
        <w:t xml:space="preserve">المخالفة القطعية ، كمن علم بوجوب صلاة الجمعة أو الظهر عليه ، ولم يمكنه الإتيان بكلتيهما ، وأمكنه تركهما وإتيان إحداهما ، فالواقع حينئذٍ منجّز في صورة ، وغير منجّز في اُخرى ؛ لأنّه لو تركهما يكون معاقباً على الواقع المتروك ، ولو أتى بواحدة منهما لا يكون مستحقّاً للعقوبة ولو كان الواقع غير ما أتى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إنّما يحكم بوجوب إتيان إحداهما مخيّراً بينهما ، إذا لم يكن لإحداهما مرجّح ، كما لو ظنّ بكون الواقع إحداهما خاصّة ؛ فإنّ الأخذ بالراجح لازم عقلاً ، فيحكم العقل بمنجّزية الواقع على فرض ترك الأخذ بالمرجّح ، وعدمها على فرض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ظنّ بأنّ الواجب هو الجمعة ، وتركها وصادف الواقع ، يستحقّ العقوبة عليه ، دون ما إذا أتى بها وخالف الواقع ؛ فإنّه معذور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العالم بالواقع ، 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التحفّظ عليه بمقدار الميسور ؛ وهو الأخذ بالمظنون ، فلا بدّ له من الأخذ به مراعاةً للواقع وتحفّظاً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التخيير أيضاً من أقسام منجّزية القطع للواقع ، كما أنّ الأخذ بالمظنون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التخيير في الدوران بين المحذورين ، فهي ترجع إلى عدم منجّزية القطع للواقع ، فتكون من قبيل أصالة البراءة ، وإن افترقتا في أنّ التنجيز في مورد أصل البراءة ممّا لا مقتضي له ، وأمّا في مورد أصالة التخيير فالمقتضي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موجوداً ، لكنّ المانع منه متحقّق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 فهو أيضاً راجع إلى منجّزية الواقع ؛ فإنّ المكلّف لو خالف الاستصحاب وصادف الواقع ، يكون مستحقّاً للعقوبة عليه ، سواء كانت الشبهة </w:t>
      </w:r>
    </w:p>
    <w:p>
      <w:pPr>
        <w:pStyle w:val="BookText"/>
        <w:rPr/>
      </w:pPr>
      <w:r>
        <w:rPr>
          <w:rFonts w:ascii="Amiri" w:hAnsi="Amiri" w:eastAsia="Amiri" w:cs="Amiri"/>
          <w:color w:val="111111"/>
          <w:sz w:val="28"/>
          <w:sz w:val="28"/>
          <w:szCs w:val="28"/>
          <w:rtl w:val="true"/>
          <w:lang w:bidi="ar-SA"/>
        </w:rPr>
        <w:t xml:space="preserve">حكمية أو موضوعية ، فالاستصحاب منجّز كسائر المنجّزات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إمّا أن يحصل له منجّز أو لا ، فيدخل في الأوّل جميع المنجّزات ؛ من القطع ، والأمارات ، وأصالتي الاشتغال والتخيير في غير الدوران بين المحذورين ، والاستصحاب ، وفي الثاني أصالتا البراءة ، والتخيير في الدوران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أنّ عدّ أصالتي الاشتغال والتخيير في مقابل القطع كما صنعه الأعلام</w:t>
      </w:r>
      <w:r>
        <w:rPr>
          <w:rStyle w:val="FootnoteAnchor"/>
          <w:rtl w:val="true"/>
        </w:rPr>
        <w:footnoteReference w:id="487"/>
      </w:r>
      <w:r>
        <w:rPr>
          <w:rFonts w:ascii="IRNazanin" w:hAnsi="IRNazanin" w:eastAsia="IRNazanin"/>
          <w:color w:val="111111"/>
          <w:sz w:val="28"/>
          <w:sz w:val="28"/>
          <w:szCs w:val="28"/>
          <w:rtl w:val="true"/>
          <w:lang w:bidi="fa-IR"/>
        </w:rPr>
        <w:t xml:space="preserve">ممّا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وجوب العمل بالقطع ، ليس هو الوجوب الشرعي ، بل ا لمراد منه هو الوجوب العقلي ، وهو يرجع إلى منجّزية الواقع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التخيير في أصالة التخيير مطلقاً ، ليس هو التخيير الشرعي ، بل هو التخيير العقلي بالتفصيل الذي عرفت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حالات المكلّف ترجع إلى وجود المنجّز وعدمه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الاشتغال والتخيير عقلية لا شرعية ، وأصالة البراءة بحسب اصطلاح الاُصوليين هي الأصل العقلي ، وأمّا المستفاد من الشرع فلا يطلق عليه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أفاده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المرجع عند الشكّ هو القواعد الشرعية الثابتة للشاكّ</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هو يصحّ بالنسبة إلى الاستصحاب ؛ فإنّه قاعدة شرعية </w:t>
      </w:r>
      <w:r>
        <w:rPr>
          <w:rFonts w:eastAsia="Amiri" w:cs="Amiri" w:ascii="Amiri" w:hAnsi="Amiri"/>
          <w:color w:val="111111"/>
          <w:sz w:val="28"/>
          <w:szCs w:val="28"/>
          <w:rtl w:val="true"/>
          <w:lang w:bidi="ar-SA"/>
        </w:rPr>
        <w:t xml:space="preserve">. </w:t>
      </w:r>
      <w:bookmarkStart w:id="579" w:name="pg8033_81244"/>
    </w:p>
    <w:p>
      <w:pPr>
        <w:pStyle w:val="Heading3"/>
        <w:numPr>
          <w:ilvl w:val="2"/>
          <w:numId w:val="1"/>
        </w:numPr>
        <w:rPr/>
      </w:pPr>
      <w:bookmarkStart w:id="580" w:name="__RefHeading___Toc7368595_1051229030"/>
      <w:bookmarkStart w:id="581" w:name="_Toc208"/>
      <w:bookmarkEnd w:id="579"/>
      <w:bookmarkEnd w:id="580"/>
      <w:r>
        <w:rPr>
          <w:rtl w:val="true"/>
        </w:rPr>
        <w:t>الفصل الثاني</w:t>
      </w:r>
      <w:r>
        <w:rPr>
          <w:rtl w:val="true"/>
        </w:rPr>
        <w:t xml:space="preserve">: </w:t>
      </w:r>
      <w:r>
        <w:rPr>
          <w:rtl w:val="true"/>
        </w:rPr>
        <w:t>معنى حجّية القطع</w:t>
      </w:r>
      <w:bookmarkEnd w:id="581"/>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متابعة القطع والعمل عليه ما دام موجوداً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متابعة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الشرعي الثابت للواقع المقطوع به ؛ لكون متابعة الواقع هو العمل بالقطع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الإشكال لدى 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لدى القاطع في وجوب متابعة الواقع وجوباً شرعياً ، فإذا قطع بوجوب صلاة الجمعة ، أو وجوب ترك شرب الخمر ، فلا إشكال عنده في وجوبهما عليه ، فيرجع إلى أنّ القاطع بوجوب صلاة الجمعة وترك شرب الخمر ، قاطع بوجوب العمل بهما شرعاً ، فتصير القضيّة ضرورية ؛ يكون المحمول فيها عين الموضوع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منه أ نّه لا إشكال لدى القاطع وغيره من العقلاء ، في </w:t>
      </w:r>
    </w:p>
    <w:p>
      <w:pPr>
        <w:pStyle w:val="BookText"/>
        <w:rPr/>
      </w:pPr>
      <w:r>
        <w:rPr>
          <w:rFonts w:ascii="Amiri" w:hAnsi="Amiri" w:eastAsia="Amiri" w:cs="Amiri"/>
          <w:color w:val="111111"/>
          <w:sz w:val="28"/>
          <w:sz w:val="28"/>
          <w:szCs w:val="28"/>
          <w:rtl w:val="true"/>
          <w:lang w:bidi="ar-SA"/>
        </w:rPr>
        <w:t xml:space="preserve">وجوب متابعة القاطع لقطعه وجوباً عقلياً ؛ أي يكون عند العقلاء القطع منجّزاً للتكليف الواقعي ، بمعنى أ نّه لو خالف قطعه ، وكان مصادفاً للواقع ، ليستحقّ العقوبة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تكون سائر الأمارات أيضاً واجبة العمل بها ؛ أي لا إشكال في منجّزيتها للواقع ، والفرق بينه وبينها أ نّه لا يحتاج في ذلك إلى جعل 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كلامه الآتي بعد هذا الكلام هو المعنى الأوّل ؛ فإنّه قال في مقام الفرق بين القطع وغيره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يصير وسطاً في الإثبات ، فلا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مقطوع الخمرية ، وكلّ ما كان كذلك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خمر ، وكلّ خمر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سائر الأمارات ، فإنّه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مظنون الخمرية ، وكلّ مظنون الخمرية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وسطاً في الإثبات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الشرعي الثابت للواقع ، وإنّما يكون ذلك عملاً بالقطع ؛ لانطباق العمل به على العمل بالواقع المقطوع به ، فيكون وجوباً شرعياً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الأمارات عند الاُصوليين ، ليس إلاّ لأنّها حجّة على الأحكام الواقعية الثابتة لموضوعاتها ؛ بمعنى أنّها منجّزات لها ، فتكون الأمارات حجّة على الواقع ، ومنجّزة لها ، ولا تطلق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وجوب العمل على طبقها وجوباً </w:t>
      </w:r>
    </w:p>
    <w:p>
      <w:pPr>
        <w:pStyle w:val="BookText"/>
        <w:rPr/>
      </w:pPr>
      <w:r>
        <w:rPr>
          <w:rFonts w:ascii="Amiri" w:hAnsi="Amiri" w:eastAsia="Amiri" w:cs="Amiri"/>
          <w:color w:val="111111"/>
          <w:sz w:val="28"/>
          <w:sz w:val="28"/>
          <w:szCs w:val="28"/>
          <w:rtl w:val="true"/>
          <w:lang w:bidi="ar-SA"/>
        </w:rPr>
        <w:t xml:space="preserve">ظاهرياً في مقابل الواقع ؛ فإنّ وجوب العمل بالأمارات لدى الشكّ في الواقع ، حكم ظاهري اُخذ في موضوعه الشكّ في الواقع ، ويكون مجعولاً بلحاظ التحفّظ على الواقع ، فهاهنا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الواقعية المنجّزة بواسطة قيام الأمارات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الظاهرية الثابتة للأمارات ، وتكون هي موضوعات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فالأمارات منجّزات للأحكام الواقعية ، وموضوعات للأحكام الظاهرية ؛ أي يجب ا لعمل على طبقها لدى الشكّ في الواقع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يراد كونها منجّزات للواقع ، لا أ نّه يجب العمل على طبقها وجوباً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الأمارات ، تطلق على القطع أيضاً ؛ لكونه أيضاً منجّزاً للواقع كسائر الأمارات ، ولا يقع القطع ولا غيره من المنجّزات وسطاً في الإثبات في قياسٍ باعتبار منجّزيتها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وقوع الأمارات وسطاً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قامت الأمارة الكذائية على وجوبه ، وكلّ ما كان كذلك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بالنسبة إلى الحكم الظاهري الثابت لها لدى الشكّ ؛ أي الحكم الذي تكون الأمارات القائمة على الواقع موضوعات له ، لا الموضوعات الواقعية ، فتدبّر ولا تغفل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وجوب العمل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الأوّل ، لكن صريح كلام المحقّق الخراساني هو المعنى الثاني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العمل على وفق القطع عقلاً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بقي إشكال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موجب لتنجّز التكليف فيما أصاب ؛ باستحقاق الذمّ والعقاب على مخالفته ، وكونه عذراً فيما أخطأ قصوراً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أنّ القطع إذا كان منجّزاً للتكليف ، فلا يعقل أن يكون موجباً للعذر ؛ ضرورة أنّ عدم القطع بالحكم حينئذٍ موجب للعذر ، لا القطع بعدمه ، فنسبة المعذّرية إلى القطع بعدم الحكم ، غير تامّة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الجمع بين العبارتين تناقض وتهافت ؛ فإنّه إذا صار القطع موجباً للتنجّز ، فلا بدّ وأن يكون الحكم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تعلّق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مقتضٍ للتنجّز ، ولازم كون القطع بالعدم عذراً ، أنّ الحكم بحسب وجوده الواقعي وفي حدّ ذاته ، مقتضٍ للتنجّز ، والقطع بخلافه عذر </w:t>
      </w:r>
      <w:r>
        <w:rPr>
          <w:rFonts w:eastAsia="Amiri" w:cs="Amiri" w:ascii="Amiri" w:hAnsi="Amiri"/>
          <w:color w:val="111111"/>
          <w:sz w:val="28"/>
          <w:szCs w:val="28"/>
          <w:rtl w:val="true"/>
          <w:lang w:bidi="ar-SA"/>
        </w:rPr>
        <w:t xml:space="preserve">. </w:t>
      </w:r>
      <w:bookmarkStart w:id="582" w:name="pg8033_81252"/>
    </w:p>
    <w:p>
      <w:pPr>
        <w:pStyle w:val="Heading3"/>
        <w:numPr>
          <w:ilvl w:val="2"/>
          <w:numId w:val="1"/>
        </w:numPr>
        <w:rPr/>
      </w:pPr>
      <w:bookmarkStart w:id="583" w:name="__RefHeading___Toc7368597_1051229030"/>
      <w:bookmarkStart w:id="584" w:name="_Toc209"/>
      <w:bookmarkEnd w:id="582"/>
      <w:bookmarkEnd w:id="583"/>
      <w:r>
        <w:rPr>
          <w:rtl w:val="true"/>
        </w:rPr>
        <w:t>الفصل الثالث</w:t>
      </w:r>
      <w:r>
        <w:rPr>
          <w:rtl w:val="true"/>
        </w:rPr>
        <w:t xml:space="preserve">: </w:t>
      </w:r>
      <w:r>
        <w:rPr>
          <w:rtl w:val="true"/>
        </w:rPr>
        <w:t>في قيام الأمارة مقام القطع الموضوعي والطريقي</w:t>
      </w:r>
      <w:bookmarkEnd w:id="584"/>
    </w:p>
    <w:p>
      <w:pPr>
        <w:pStyle w:val="BookText"/>
        <w:rPr/>
      </w:pPr>
      <w:r>
        <w:rPr>
          <w:rFonts w:ascii="Amiri" w:hAnsi="Amiri" w:eastAsia="Amiri" w:cs="Amiri"/>
          <w:color w:val="111111"/>
          <w:sz w:val="28"/>
          <w:sz w:val="28"/>
          <w:szCs w:val="28"/>
          <w:rtl w:val="true"/>
          <w:lang w:bidi="ar-SA"/>
        </w:rPr>
        <w:t xml:space="preserve">لا إشكال في أنّ معنى اعتبار أمارة ، هو أ نّه إذا قامت على حكم أو موضوع ذي حكم ، يجب ترتيب آثار القطع بهما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القطع بهما منجّز وموجب لوجوب العمل على وفقه عقلاً ، كذلك الأمارة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وجوب تصديق العادل، جعل مؤدّى قوله موافقاً للواقع عملاً ، ووجوب العمل على طبقه، وجعل مؤدّاه كمؤدّى القطع في مقام العمل ، فلا بدّ وأن يكون المكلّف شاكّاً في الحكم أو الموضوع الذي هو ذو حكم ، حتّى يكون لقيام الأمارة معنىً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صلاة الجمعة مشكوكاً فيها ، وقامت الأمارة على وجوبها ، وحكم الشارع باعتبار تلك الأمارة ، يجب عقلاً ترتيب آثار القطع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شكّ في حياة زيدٍ ، فقامت على حياته ، يجب ترتيب آثار القطع بحياته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الواقعي يصير منجّزاً بالأمارة المعتبرة ، كتنجّزه بالقطع بلا افتراق بينهما من هذه الحيثية ، وهذا معنى قيام الأمارة مقام القطع الطريقي ، وهو ممّا لا إشكال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القطع موضوعاً لحكم أو جزء موضوعٍ له ، فيكون القطع بالخمرية أو الخمر المقطوع به ، موضوعاً للحرمة ، فلا يعقل قيام الأمارة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قيام الأمارة على شيءٍ ، إنّما يعتبر مع الشكّ في تحقّقه ، دون ما إذا قطع بعدم تحقّقه ؛ فإنّه حينئذٍ لا معنى لقيامها عليه ، والمفروض أنّه مع الشكّ في الخمرية يقطع بعدم تحقّق موضوع الحكم ؛ فإنّ موضوعه هو المقطوع به ، لا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اعتبار الأمارة ، إنّما هو فيما إذا قامت على حكمٍ أو موضوعٍ ذي حكم ، والفرض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الخمر ، فقيامها على الخمرية قيام على غير ما هو الموضوع ، فلا معنى لاعتبارها وقيامها مقام القطع ، ولو فرض قيام الأمارة على نفس الموضوع ، فقامت البيّنة على أنّك قاطع بالخمرية ، مع كونك شاكّاً فيها ، تقطع بكذبها ، ومعه لا يعقل اعتبارها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المعنى ، من كونها أمارة للواقع ومعتبرة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الموضوعي ، ممّا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بقيامها مقامه بمعنى آخر ؛ وهو تنزيل قيام الأمارة مقام القطع ا لموضوعي ، كتنزيل الطهارة الترابية مقام المائية ، كما لو دلّ دليل على أنّ الأمارة إذا قامت على خمرية شيء ، يكون قيامها بمنزلة تعلّق القطع به في كونه ذا مصلحة أو مفسدة ملزمة ، فيكون حينئذٍ حكماً واقعياً كسائر الأحكام الواقعية ، لكنّه خارج عن الأمارية التي يكون اعتبارها بلحاظ الشكّ في الواقع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الشيخ ممّا ظاهره المنافاة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القطع المأخوذ في الموضوع على قسمين ؛ 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على نحو الطريقية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p>
    <w:p>
      <w:pPr>
        <w:pStyle w:val="BookText"/>
        <w:rPr/>
      </w:pPr>
      <w:r>
        <w:rPr>
          <w:rFonts w:ascii="Amiri" w:hAnsi="Amiri" w:eastAsia="Amiri" w:cs="Amiri"/>
          <w:color w:val="111111"/>
          <w:sz w:val="28"/>
          <w:sz w:val="28"/>
          <w:szCs w:val="28"/>
          <w:rtl w:val="true"/>
          <w:lang w:bidi="ar-SA"/>
        </w:rPr>
        <w:t>الصفتية ، فتقوم الأمارات بأدلّة اعتبارها مقام القطع الموضوعي على النحو الأوّل ، دون الثاني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رجوعه إلى ما ذكرناه ؛ وأنّ مراده من ذلك أ نّه قد يكون القطع في ظاهر الدليل ومقام الإثبات والدلالة ، مأخوذاً في الموضوع ، لكنّه ليس موضوعاً في مقام الثبوت والواقع ، بل الحكم ثابت للواقع بلا دخالة القطع فيه ؛ لا بنحو تمام الموضوع ، ولا بنحو جزئه ، بل يكون طريقاً محضاً إلى المتعلّق ، كسائر الموارد التي لم يؤخذ في ظاهر الدليل أيضاً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بخمرية شيء اجتنب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هو الاجتناب عن الخمر الواقعي ، ويكون القطع كاشفاً وطريقاً محضاً إلى الموضوع الواقعي ، تقوم الأمارات مقامه ؛ لأنّ الحكم ثابت للواقع ، لا المقطوع وإن اُخذ في ظاهر الدليل في الموضوع ، بخلاف ما إذا اُخذ في الموضوع بحسب مقام الثبوت ، كما أخذه كذلك بحسب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مراده التفصيل بين القطع المأخوذ في الموضوع ثبوتاً على نحو الطريقية والصفتية ، بل مراده التفصيل بين القطع المأخوذ في الموضوع وغيره ؛ أي ما كان طريقاً محضاً ، ولو اُخذ في ظاهر الدليل في الموضوع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بل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خواصّ القطع الذي هو طريق إلى الواقع ، قيام الأمارات الشرعية وبعض الاُصول العملية مقامه</w:t>
      </w:r>
      <w:r>
        <w:rPr>
          <w:rStyle w:val="FootnoteAnchor"/>
          <w:rtl w:val="true"/>
        </w:rPr>
        <w:footnoteReference w:id="494"/>
      </w:r>
      <w:r>
        <w:rPr>
          <w:rFonts w:ascii="Amiri" w:hAnsi="Amiri" w:eastAsia="Amiri" w:cs="Amiri"/>
          <w:color w:val="111111"/>
          <w:sz w:val="28"/>
          <w:sz w:val="28"/>
          <w:szCs w:val="28"/>
          <w:rtl w:val="true"/>
          <w:lang w:bidi="ar-SA"/>
        </w:rPr>
        <w:t xml:space="preserve">؛ فإنّ عدّ هذا من </w:t>
      </w:r>
    </w:p>
    <w:p>
      <w:pPr>
        <w:pStyle w:val="BookText"/>
        <w:rPr/>
      </w:pPr>
      <w:r>
        <w:rPr>
          <w:rFonts w:ascii="Amiri" w:hAnsi="Amiri" w:eastAsia="Amiri" w:cs="Amiri"/>
          <w:color w:val="111111"/>
          <w:sz w:val="28"/>
          <w:sz w:val="28"/>
          <w:szCs w:val="28"/>
          <w:rtl w:val="true"/>
          <w:lang w:bidi="ar-SA"/>
        </w:rPr>
        <w:t xml:space="preserve">خواصّ القطع الطريقي ، ينافي التفصيل بين قسمي القطع الموضوعي وقيام الأمارات مقام قسمٍ منه ؛ فإنّ خاصّة الشيء ما لا يشترك معه غيره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أفاده بعد ذلك في مقام بيان القطع المأخوذ في الموضوع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تابع لدليله ؛ فإن ظهر منه أو من دليل خارج ، اعتباره على وجه الطريقية للموضوع ، قامت الأمارات وبعض الاُصول مقامه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للموضوع ، أنّ متعلّق القطع هو تمام الموضوع ، لا بعضه وبعضه الآخر هو القطع ؛ فإنّه لا يناسب هذا التعبير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هذا التوجيه لكلامه توجيه آخر وهو أنّ القطع لمّا كان من الصفات الحقيقية ذات الإضافة ، فله إضافة إلى القاطع ، وإضافة إلى الأمر المقطوع به ؛ لكشفه عنه ، فيمكن أن يؤخذ في الموضوع بما أ نّه صفة خاصّة للقاطع ، وأن يؤخذ فيه بما أ نّه كاشف عن الواقع ، فإن اُخذ على النحو الثاني قامت الأمارات مقامه ، دون ما إذا اُخذ على النحو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اعتبار الأمارة القائمة على حكمٍ أو موضوعٍ ذي حكم ، هو ترتيب آثار الواقع عليه لدى الشكّ فيه ، وأمّا مع القطع بعدمه فلا معنى لاعتبارها ، فإذا اُخذ القطع في موضوعٍ ، فقامت الأمارة على ذلك الموضوع للشاكّ ، يقطع بعدم تحقّق موضوع حكمه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على الخمرية ، لا على القطع بها ، والموضوع هو الثاني ، </w:t>
      </w:r>
    </w:p>
    <w:p>
      <w:pPr>
        <w:pStyle w:val="BookText"/>
        <w:rPr/>
      </w:pPr>
      <w:r>
        <w:rPr>
          <w:rFonts w:ascii="Amiri" w:hAnsi="Amiri" w:eastAsia="Amiri" w:cs="Amiri"/>
          <w:color w:val="111111"/>
          <w:sz w:val="28"/>
          <w:sz w:val="28"/>
          <w:szCs w:val="28"/>
          <w:rtl w:val="true"/>
          <w:lang w:bidi="ar-SA"/>
        </w:rPr>
        <w:t xml:space="preserve">لا الأوّل ، ولو قامت على الثاني تكون كذباً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احتمال ثالث في توجيه عبارته وهو أنّ المراد من القطع الملحوظ على الصفتية ملاحظته من حيث إنّه كشف تامّ ، ومن الملحوظ على نحو الطريقية ملاحظته من حيث إنّه أحد مصاديق الطرق المعتبرة ؛ أي ملاحظة الجامع بين القطع وبين سائر الطرق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اُخذ في الموضوع على النحو الأوّل ، لا تقوم الأمارات مقامه ، بخلاف ما إذا اُخذ فيه على النحو الثاني ، فإنّها تقوم مقامه بواسطة الأدلّة الدالّة على اعتبارها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القطع بعض الموضوع ، وبعضه الآخر هو الواقع المقطوع به ، فيكفي في إثبات جزء الموضوع واعتبار الأمارة بالنسبة إليه ، كونه ذا أثرٍ تعليقي ؛ أي لو انضمّ إليه الجزء الآخر يكون ذا أثرٍ فعلي شرعي ، وكم له من نظير ، فإنّ إثبات بعض الأجزاء بالأصل أو الأمارة ، والباقي بالوجدان ،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تمام الموضوع ، فلا معنى لاعتبار الأمارة إلاّ إذا كان للموضوع أثر آخر تعتبر الأمارة بلحاظه ، مثل أن يكون الخمر موضوعاً للحرمة واقعاً ، وما علم خمريته يكون موضوعاً للنجاسة مثلاً ، فحينئذٍ يمكن إحراز الخمر تعبّداً بقيام البيّنة ؛ لكونها ذات أثرٍ شرعي ، وبعد قيامها يترتّب عليها الحكم الآخر الذي رتّب على العلم من حيث إنّه طريق إلى تحقّق موضوعه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فيما إذا كان القطع جزء الموضوع ، يكون اعتبار الأمارة متوقّفاً </w:t>
      </w:r>
    </w:p>
    <w:p>
      <w:pPr>
        <w:pStyle w:val="BookText"/>
        <w:rPr/>
      </w:pPr>
      <w:r>
        <w:rPr>
          <w:rFonts w:ascii="Amiri" w:hAnsi="Amiri" w:eastAsia="Amiri" w:cs="Amiri"/>
          <w:color w:val="111111"/>
          <w:sz w:val="28"/>
          <w:sz w:val="28"/>
          <w:szCs w:val="28"/>
          <w:rtl w:val="true"/>
          <w:lang w:bidi="ar-SA"/>
        </w:rPr>
        <w:t xml:space="preserve">على كونه ذا أثر ، وكونه ذا أثر متوقّف على اعتبار الأمارة ، فقيام الأمارة لا يمكن إلاّ على وجهٍ دوري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تمام الموضوع ، وكان له أثر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 إلاّ أ نّه يلزم منه أن يكون الحكم الواقعي ، مترتّباً على الحكم الظاهري بعكس المتعارف ؛ فإنّ وجوب ترتيب آثار الحرمة على الأمارة القائمة على الخمرية ، حكم ظاهري يترتّب عليه الحكم الواقعي الذي هو النجاسة </w:t>
      </w:r>
      <w:r>
        <w:rPr>
          <w:rFonts w:eastAsia="Amiri" w:cs="Amiri" w:ascii="Amiri" w:hAnsi="Amiri"/>
          <w:color w:val="111111"/>
          <w:sz w:val="28"/>
          <w:szCs w:val="28"/>
          <w:rtl w:val="true"/>
          <w:lang w:bidi="ar-SA"/>
        </w:rPr>
        <w:t xml:space="preserve">. </w:t>
      </w:r>
      <w:bookmarkStart w:id="585" w:name="pg8033_81264"/>
    </w:p>
    <w:p>
      <w:pPr>
        <w:pStyle w:val="Heading3"/>
        <w:numPr>
          <w:ilvl w:val="2"/>
          <w:numId w:val="1"/>
        </w:numPr>
        <w:rPr/>
      </w:pPr>
      <w:bookmarkStart w:id="586" w:name="__RefHeading___Toc7368599_1051229030"/>
      <w:bookmarkStart w:id="587" w:name="_Toc210"/>
      <w:bookmarkEnd w:id="585"/>
      <w:bookmarkEnd w:id="586"/>
      <w:r>
        <w:rPr>
          <w:rtl w:val="true"/>
        </w:rPr>
        <w:t>الفصل الرابع</w:t>
      </w:r>
      <w:r>
        <w:rPr>
          <w:rtl w:val="true"/>
        </w:rPr>
        <w:t xml:space="preserve">: </w:t>
      </w:r>
      <w:r>
        <w:rPr>
          <w:rtl w:val="true"/>
        </w:rPr>
        <w:t>في التجرّي</w:t>
      </w:r>
      <w:bookmarkEnd w:id="587"/>
    </w:p>
    <w:p>
      <w:pPr>
        <w:pStyle w:val="Heading4"/>
        <w:numPr>
          <w:ilvl w:val="3"/>
          <w:numId w:val="1"/>
        </w:numPr>
        <w:rPr/>
      </w:pPr>
      <w:bookmarkStart w:id="588" w:name="__RefHeading___Toc7368601_1051229030"/>
      <w:bookmarkStart w:id="589" w:name="_Toc211"/>
      <w:bookmarkEnd w:id="588"/>
      <w:r>
        <w:rPr>
          <w:rtl w:val="true"/>
        </w:rPr>
        <w:t>تحرير محلّ النزاع</w:t>
      </w:r>
      <w:bookmarkEnd w:id="589"/>
    </w:p>
    <w:p>
      <w:pPr>
        <w:pStyle w:val="BookText"/>
        <w:rPr/>
      </w:pPr>
      <w:r>
        <w:rPr>
          <w:rFonts w:ascii="Amiri" w:hAnsi="Amiri" w:eastAsia="Amiri" w:cs="Amiri"/>
          <w:color w:val="111111"/>
          <w:sz w:val="28"/>
          <w:sz w:val="28"/>
          <w:szCs w:val="28"/>
          <w:rtl w:val="true"/>
          <w:lang w:bidi="ar-SA"/>
        </w:rPr>
        <w:t xml:space="preserve">ولا بدّ قبل تحقيق المقام من تحرير محلّ النزاع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يكون محلّ النزاع أحد اُمور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إذا تعلّق بحرمة شيء أو وجوبه ، هل هو موجب للحرمة الشرعية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صادف الواقع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يوجب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القطع بهما ، هل هو موجب للحرمة على المخالفة إذا لم يصادف الواقع أم لا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بحالها ، لكن يقع النزاع في أنّ العقل هل يحكم باستحقاق العقوبة على المخالفة أم لا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بحالها ، ويقع النزاع في الحكم العقلي كالثالثة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النزاع يمكن أن يقع في أنّ التجرّي هل له ملاك غير ملاك التجرّي الذي في المعصية ، أم لا بل ملاكهما واحد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المعصية جهتين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نفس الفعل بما أنّه </w:t>
      </w:r>
    </w:p>
    <w:p>
      <w:pPr>
        <w:pStyle w:val="BookText"/>
        <w:rPr/>
      </w:pPr>
      <w:r>
        <w:rPr>
          <w:rFonts w:ascii="Amiri" w:hAnsi="Amiri" w:eastAsia="Amiri" w:cs="Amiri"/>
          <w:color w:val="111111"/>
          <w:sz w:val="28"/>
          <w:sz w:val="28"/>
          <w:szCs w:val="28"/>
          <w:rtl w:val="true"/>
          <w:lang w:bidi="ar-SA"/>
        </w:rPr>
        <w:t xml:space="preserve">ذو مفسدة محضة أو غالبة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مخالفة المولى والتجرّي عليه ، فيمكن النزاع في أنّ ملاك قبح التجرّي ، هل هو ملاك قبح المعصية من الجهة الثانية ، أم له ملاك مستقلّ غير الملاك الذي في المعصية ؟</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النزاع إنّما هو في الصورة الرابعة ؛ فإنّها قابلة للنقض والإبرام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الحرمة الشرعية متعلّقة بنفس مقطوع الحرمة بما أ نّه كذلك ، فمقطوع العدم ؛ لعدم الدليل عليها ، بل لازم تعلّق الحرمة به ، أن تتحقّق في المعصية الواحدة الصادرة من المكلّف ، معاصٍ غير متناهية ؛ فإنّ مقطوع الحرمة حرام بالفرض ، فإذا تعلّق القطع بمقطوع الحرمة ، يتحقّق حرام آخر ، وهكذا في صورة تعلّق القطع بالقطع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ما لا نهاية له ، فتتضاعف المحرّمات حسب تضاعف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التجرّي ملاكاً مستقلاًّ غير ملاك التجرّي الذي في المعصية ، فهو غير محقّق ؛ ضرورة أنّ الملاك الآخر المستقلّ مقطوع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إنّما هو في أنّ القطع إذا تعلّق بحرمة شيء أو وجوبه ، فكما أنّه في صورة الإصابة موجب لاستحقاق العقوبة على المخالفة ، فهل هو في صورة عدمها أيضاً موجب لاستحقاقها عقلاً أم لا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تعبير 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في أنّ القطع حجّة عليه وإن لم يصادف الواقع أو لا</w:t>
      </w:r>
      <w:r>
        <w:rPr>
          <w:rStyle w:val="FootnoteAnchor"/>
          <w:rtl w:val="true"/>
        </w:rPr>
        <w:footnoteReference w:id="497"/>
      </w:r>
      <w:r>
        <w:rPr>
          <w:rFonts w:ascii="Amiri" w:hAnsi="Amiri" w:eastAsia="Amiri" w:cs="Amiri"/>
          <w:color w:val="111111"/>
          <w:sz w:val="28"/>
          <w:sz w:val="28"/>
          <w:szCs w:val="28"/>
          <w:rtl w:val="true"/>
          <w:lang w:bidi="ar-SA"/>
        </w:rPr>
        <w:t xml:space="preserve">ففي غير محلّه ؛ فإنّ معنى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تنجيز الواقع على المكلّف ، ومعلوم أنّه لا معنى لتنجيز القطع الغير المصادف للواقع </w:t>
      </w:r>
      <w:r>
        <w:rPr>
          <w:rFonts w:eastAsia="Amiri" w:cs="Amiri" w:ascii="Amiri" w:hAnsi="Amiri"/>
          <w:color w:val="111111"/>
          <w:sz w:val="28"/>
          <w:szCs w:val="28"/>
          <w:rtl w:val="true"/>
          <w:lang w:bidi="ar-SA"/>
        </w:rPr>
        <w:t xml:space="preserve">. </w:t>
      </w:r>
      <w:bookmarkStart w:id="590" w:name="pg8033_81268"/>
    </w:p>
    <w:p>
      <w:pPr>
        <w:pStyle w:val="Heading4"/>
        <w:numPr>
          <w:ilvl w:val="3"/>
          <w:numId w:val="1"/>
        </w:numPr>
        <w:rPr/>
      </w:pPr>
      <w:bookmarkStart w:id="591" w:name="__RefHeading___Toc7368603_1051229030"/>
      <w:bookmarkStart w:id="592" w:name="_Toc212"/>
      <w:bookmarkEnd w:id="590"/>
      <w:bookmarkEnd w:id="591"/>
      <w:r>
        <w:rPr>
          <w:rtl w:val="true"/>
        </w:rPr>
        <w:t>فيما استدلّ على قبح التجرّي</w:t>
      </w:r>
      <w:bookmarkEnd w:id="592"/>
    </w:p>
    <w:p>
      <w:pPr>
        <w:pStyle w:val="BookText"/>
        <w:rPr/>
      </w:pPr>
      <w:r>
        <w:rPr>
          <w:rFonts w:ascii="Amiri" w:hAnsi="Amiri" w:eastAsia="Amiri" w:cs="Amiri"/>
          <w:color w:val="111111"/>
          <w:sz w:val="28"/>
          <w:sz w:val="28"/>
          <w:szCs w:val="28"/>
          <w:rtl w:val="true"/>
          <w:lang w:bidi="ar-SA"/>
        </w:rPr>
        <w:t>ثمّ إنّه قد استدلّ على قبح التجرّي بالإجماع والعقل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الإجماع ، فلا شبهة في عدم تحقّقه ؛ فإنّه مضافاً إلى كون المسألة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الشيخ</w:t>
      </w:r>
      <w:r>
        <w:rPr>
          <w:rStyle w:val="FootnoteAnchor"/>
          <w:rtl w:val="true"/>
        </w:rPr>
        <w:footnoteReference w:id="499"/>
      </w:r>
      <w:r>
        <w:rPr>
          <w:rFonts w:ascii="Amiri" w:hAnsi="Amiri" w:eastAsia="Amiri" w:cs="Amiri"/>
          <w:color w:val="111111"/>
          <w:sz w:val="28"/>
          <w:sz w:val="28"/>
          <w:szCs w:val="28"/>
          <w:rtl w:val="true"/>
          <w:lang w:bidi="ar-SA"/>
        </w:rPr>
        <w:t xml:space="preserve">أ نّها ليست من المسائل الأصلية المعنونة في كلام قدماء أصحابنا ، بل من المتفرّعات التي ليست دعوى الإجماع عليها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 فقد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باستحقاق عقوبة العاصي دون المتجرّي ، إناطة لاستحقاق العقاب بما هو خارج عن الاختيار ؛ لأنّ العاصي والمتجرّي متساويان إلاّ في تصادف قطع أحدهما للواقع دون الآخر ، وهو غير اختياري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باستحقاق المتجرّي للعقاب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عنهما الشيخ الأنصاري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على العصيان ، إنّما يكون على شرب الخمر اختياراً ؛ فإنّ العاصي شرب الخمر اختياراً ، والعقل إنّما يحكم بتساويهما في استحقاق الذمّ من حيث شقاوة الفاعل ، وسوء سريرته مع المولى ، وخبث طينته ، لا في استحقاق المذمّة على الفعل المقطوع به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أنّ العاصي والمتجرّي مستحقّان للذمّ من حيث خبث طينتهما ، وسوء سريرتهما ، وشقاوتهما الذاتية ، ليس كذلك مطلقاً ، بل قلّما يتّفق أن يكون صدور العصيان والتجرّي على المولى ، ناشئَين عن سوء السريرة مع المولى ، ولو فرض كون العبد مع مولاه كذلك ، لكشف ذلك عن كفره وعناده مع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 ليس كذلك نوعاً ؛ فإنّه كثيراً ما يكون العاصي أو المتجرّي حسنَ السريرة معه ، خاضعاً لربوبيته ، مائلاً لطاعته ، محبّاً له ، لكن غلبته الشهوات والميول الباطنية ، وأعانت عليه الوساوس الشيطانية ، فإذا ارتكب المعصية ندم على ما فعل غاية الندامة ، وذمّ نفسه ، ورجع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تكون سريرته حسنة ، وطينته طيّبة ، وليس من الأشقياء ، بل ربّما يكون من السعداء ، فلا يصحّ أن يقال عمّن عصى واجترأ على مولاه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سيّءُ السريرة ، خبيث الطينة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 لا يكون على سوء السريرة وخبث الطينة كما ذكره ، ولا على العزم والجزم على المعصية ، وكونِه بصدد هتك المولى ، مع كون الفعل المتجرّى به على ما هو عليه كما عليه المحقّق الخراساني</w:t>
      </w:r>
      <w:r>
        <w:rPr>
          <w:rStyle w:val="FootnoteAnchor"/>
          <w:rtl w:val="true"/>
        </w:rPr>
        <w:footnoteReference w:id="503"/>
      </w:r>
      <w:r>
        <w:rPr>
          <w:rFonts w:ascii="Amiri" w:hAnsi="Amiri" w:eastAsia="Amiri" w:cs="Amiri"/>
          <w:color w:val="111111"/>
          <w:sz w:val="28"/>
          <w:sz w:val="28"/>
          <w:szCs w:val="28"/>
          <w:rtl w:val="true"/>
          <w:lang w:bidi="ar-SA"/>
        </w:rPr>
        <w:t xml:space="preserve">، بل لأنّ المتجرّي والعاصي ، إنّما يكونان متوافقين في أنّ مبدأ المخالفة للمولى كان فيهما بالقوّة ، فصار فعلياً بحركتهما الاختيارية ، فالمتجرّي خرج من قوّة مخالفة المولى إلى فعليتها بذلك الفعل الاختياري كالعاصي ، وإنّما </w:t>
      </w:r>
    </w:p>
    <w:p>
      <w:pPr>
        <w:pStyle w:val="BookText"/>
        <w:rPr/>
      </w:pPr>
      <w:r>
        <w:rPr>
          <w:rFonts w:ascii="Amiri" w:hAnsi="Amiri" w:eastAsia="Amiri" w:cs="Amiri"/>
          <w:color w:val="111111"/>
          <w:sz w:val="28"/>
          <w:sz w:val="28"/>
          <w:szCs w:val="28"/>
          <w:rtl w:val="true"/>
          <w:lang w:bidi="ar-SA"/>
        </w:rPr>
        <w:t xml:space="preserve">الفرق بينهما أنّ العاصي وقع في مفسدة الفعل بما أ نّه فعل ذو مفسدة ، دون المتجرّي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انتسابها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مفاسد ومصالح ذاتية قبل تعلّق التكليف بها ، فالخمر فيها مفسدة غالبة على مصلحتها ، تعلّق بها تكليف أو لا ، وإذا تعلّق التكليف بها يصير منسوباً إلى المولى لأجله ، فيصير ارتكاب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إيصال المكلّف إلى المفسدة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لمخالفة المولى وخروجِ العبد عن رسم العبودية وطريق الطاعة ، والمتجرّي القاطع بأنّ المائع الكذائي خمر يكون شريكاً للعاصي في الجهة الثانية للعصيان ، لا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المتجرّى به يصير قبيحاً لا بعنوانه الذاتي ، بل بعنوانٍ عرضي ثابت له بواسطة قطع العبد بكونه متعلّقاً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نظر العقل من هذه الجهة بين تصادف القطع للواقع وعدمه ، فكما أنّ ارتكاب شرب الخمر المقطوع به مذموم عند العقلاء ، ويكون خروجاً عن رسم العبودية ، وقبيحاً بالعنوان المنطبق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مخالفة المولى والجرأة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الفعل المتجرّى به من هذه الحيثية ، طابق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الخمر في ذاتها مع قطع النظر عن تعلّق النهي بها ذات مفسدة ، والماء المقطوع بكونه خمراً ليس كذلك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المتجرّى به كالعصيان من جهة ، ويفترق عنه من جهة اُخرى </w:t>
      </w:r>
      <w:r>
        <w:rPr>
          <w:rFonts w:eastAsia="Amiri" w:cs="Amiri" w:ascii="Amiri" w:hAnsi="Amiri"/>
          <w:color w:val="111111"/>
          <w:sz w:val="28"/>
          <w:szCs w:val="28"/>
          <w:rtl w:val="true"/>
          <w:lang w:bidi="ar-SA"/>
        </w:rPr>
        <w:t xml:space="preserve">. </w:t>
      </w:r>
      <w:bookmarkStart w:id="593" w:name="pg8033_81274"/>
    </w:p>
    <w:p>
      <w:pPr>
        <w:pStyle w:val="Heading4"/>
        <w:numPr>
          <w:ilvl w:val="3"/>
          <w:numId w:val="1"/>
        </w:numPr>
        <w:rPr/>
      </w:pPr>
      <w:bookmarkStart w:id="594" w:name="__RefHeading___Toc7368605_1051229030"/>
      <w:bookmarkStart w:id="595" w:name="_Toc213"/>
      <w:bookmarkEnd w:id="593"/>
      <w:bookmarkEnd w:id="594"/>
      <w:r>
        <w:rPr>
          <w:rtl w:val="true"/>
        </w:rPr>
        <w:t>مقالة المحقّق الخراساني في هذا المقام</w:t>
      </w:r>
      <w:bookmarkEnd w:id="595"/>
    </w:p>
    <w:p>
      <w:pPr>
        <w:pStyle w:val="BookText"/>
        <w:rPr/>
      </w:pPr>
      <w:r>
        <w:rPr>
          <w:rFonts w:ascii="Amiri" w:hAnsi="Amiri" w:eastAsia="Amiri" w:cs="Amiri"/>
          <w:color w:val="111111"/>
          <w:sz w:val="28"/>
          <w:sz w:val="28"/>
          <w:szCs w:val="28"/>
          <w:rtl w:val="true"/>
          <w:lang w:bidi="ar-SA"/>
        </w:rPr>
        <w:t>ثمّ إنّ المحقّق الخراساني ، قد أرخى عنان القلم إلى بحث لا ينبغي الخوض فيه كثيراً ، وأعاد ما أفاد في باب الطلب والإرادة</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العقاب على قصد العصيان والعزم على الطغيان ، وأ نّهما وإن لم يكونا بالاختيار لكونهما من مبادئه فيتسلسل ، إلاّ أنّ بعض مبادئ الاختيار غالباً يكون وجوده بالاختيار ؛ للتمكّن من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المؤاخذة والعقوبة ، إنّما يكون من تبعة بُعده عن سيّده بتجرّيه عليه ، كما كان من تبعة العصيان ، فكما أ نّه يوجب البُعد ،</w:t>
      </w:r>
    </w:p>
    <w:p>
      <w:pPr>
        <w:pStyle w:val="BookText"/>
        <w:rPr/>
      </w:pPr>
      <w:r>
        <w:rPr>
          <w:rFonts w:ascii="Amiri" w:hAnsi="Amiri" w:eastAsia="Amiri" w:cs="Amiri"/>
          <w:color w:val="111111"/>
          <w:sz w:val="28"/>
          <w:sz w:val="28"/>
          <w:szCs w:val="28"/>
          <w:rtl w:val="true"/>
          <w:lang w:bidi="ar-SA"/>
        </w:rPr>
        <w:t xml:space="preserve">كذلك لا غرو في أن يوجب حسن العقوبة ؛ فإنّه وإن لم يكن باختياره ، إلاّ أ نّه بسوء سريرته وخبث باطنه ؛ بحسب نقصانه واقتضاء استعداده ذاتاً وإمكاناً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انتهى الأمر إليه يرتفع الإشكال ، 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الذاتيات ضرورية الثبوت للذات ، والسؤال عن أنّ الكافر لِمَ اختار الكفر ، والعاصي العصيان ؟ كالسؤال عن أنّ الحمار لِمَ يكون ناهقاً ، والإنسان ناطقاً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الكلام فيه سالفاً</w:t>
      </w:r>
      <w:r>
        <w:rPr>
          <w:rStyle w:val="FootnoteAnchor"/>
          <w:rtl w:val="true"/>
        </w:rPr>
        <w:footnoteReference w:id="506"/>
      </w:r>
      <w:r>
        <w:rPr>
          <w:rFonts w:ascii="Amiri" w:hAnsi="Amiri" w:eastAsia="Amiri" w:cs="Amiri"/>
          <w:color w:val="111111"/>
          <w:sz w:val="28"/>
          <w:sz w:val="28"/>
          <w:szCs w:val="28"/>
          <w:rtl w:val="true"/>
          <w:lang w:bidi="ar-SA"/>
        </w:rPr>
        <w:t xml:space="preserve">وملخّص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وقوع الخلط في معنى الاختيار ، وظنّ أنّ الفعل بمجرّد كونه عن إرادة وعزمٍ ، موجب لصحّة العقوبة أو </w:t>
      </w:r>
    </w:p>
    <w:p>
      <w:pPr>
        <w:pStyle w:val="BookText"/>
        <w:rPr/>
      </w:pPr>
      <w:r>
        <w:rPr>
          <w:rFonts w:ascii="Amiri" w:hAnsi="Amiri" w:eastAsia="Amiri" w:cs="Amiri"/>
          <w:color w:val="111111"/>
          <w:sz w:val="28"/>
          <w:sz w:val="28"/>
          <w:szCs w:val="28"/>
          <w:rtl w:val="true"/>
          <w:lang w:bidi="ar-SA"/>
        </w:rPr>
        <w:t xml:space="preserve">المثوبة عليه ، مع أنّ الأمر ليس كذلك ؛ فإنّ الحيوانات أيضاً لها عزم وإرادة ، ويكون صدور الأفعال منها عن إرادة وعزمٍ في مقابل صدورها عن الطبائع ، مع أنّ العقوبة والمثوبة على أفعالها ممّا لا وجه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استحقاقهما عليهما عقلاً إنّما هو الاختيار ، وهو عبارة عن تشخيص الخير وطلبه ، وقد مرّ</w:t>
      </w:r>
      <w:r>
        <w:rPr>
          <w:rStyle w:val="FootnoteAnchor"/>
          <w:rtl w:val="true"/>
        </w:rPr>
        <w:footnoteReference w:id="507"/>
      </w:r>
      <w:r>
        <w:rPr>
          <w:rFonts w:ascii="Amiri" w:hAnsi="Amiri" w:eastAsia="Amiri" w:cs="Amiri"/>
          <w:color w:val="111111"/>
          <w:sz w:val="28"/>
          <w:sz w:val="28"/>
          <w:szCs w:val="28"/>
          <w:rtl w:val="true"/>
          <w:lang w:bidi="ar-SA"/>
        </w:rPr>
        <w:t xml:space="preserve">أنّ الإنسان خلق من لطائف العوالم العلوية ولطائف العوالم السفلية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والنطفة 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المختلطة</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النطفة المعنوية والتخمير الإلهي من اللطائف العلوية والسفلية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اللطيفتين ميول إلى عالمها ؛ فالإنسان باللطيفة العلوية يميل إلى العالم العلوي ، ودار ثواب اللّه ، ويتوجّه إلى الحقائق الغيبية ، وباللطيفة السفلية يميل إلى العالم السفلي ، ويتوجّه إلى الشهوات النفسانية ، واللّه تعالى جعل فيه قوّة العقل والتمييز ، وأيّده بالعقول الكاملة الخارجية ؛ من الأنبياء والمرسلين ، والأولياء والعلماء الكاملين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دائماً يكون بين الميول المختلفة العلوية والسفلية ، وله قوّة العقل والتمييز بين الحسن والقبح ، فإن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ميوله العلوية ، وتأييد العقل الداخلي والخارجي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العلوّ ، ورأى خيره فيه واصطفاه واختاره ، يشتاق إليه ويريده ، ويفعل ما يناسبه </w:t>
      </w:r>
      <w:r>
        <w:rPr>
          <w:rFonts w:eastAsia="Amiri" w:cs="Amiri" w:ascii="Amiri" w:hAnsi="Amiri"/>
          <w:color w:val="111111"/>
          <w:sz w:val="28"/>
          <w:szCs w:val="28"/>
          <w:rtl w:val="true"/>
          <w:lang w:bidi="ar-SA"/>
        </w:rPr>
        <w:t xml:space="preserve">. </w:t>
      </w:r>
      <w:bookmarkStart w:id="596" w:name="pg8033_81278"/>
    </w:p>
    <w:p>
      <w:pPr>
        <w:pStyle w:val="BookText"/>
        <w:rPr/>
      </w:pPr>
      <w:bookmarkEnd w:id="596"/>
      <w:r>
        <w:rPr>
          <w:rFonts w:ascii="Amiri" w:hAnsi="Amiri" w:eastAsia="Amiri" w:cs="Amiri"/>
          <w:color w:val="111111"/>
          <w:sz w:val="28"/>
          <w:sz w:val="28"/>
          <w:szCs w:val="28"/>
          <w:rtl w:val="true"/>
          <w:lang w:bidi="ar-SA"/>
        </w:rPr>
        <w:t xml:space="preserve">وإن رأى خيره في العاجل ، وغلبته الشهوات والميول النفسانية ، واختار الخير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قليلاً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الآجل وإن كان كثيراً باقياً ، يشتاق إليه ويريده ويفعل على منواله ، فمناط استحقاق العقاب إنّما هو هذا الاختيار ، الذي يكون بقوّة العقل والتمييز ، مع تمامية الحجّة من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من أنّ في قلب كلّ إنسانٍ نكتتين ؛ بيضاء وسوداء ، فإذا أطاع تزداد النكتة البيضاء حتّى تحيط بالقلب ، وإذا عصى تزداد النكتة السوداء كذلك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للقلب اُذنين ينفث فيهما الملك والشيطان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كيفية خلق الإنسان من أخذ طينته من السماوات السبع والأرضين السبع</w:t>
      </w:r>
      <w:r>
        <w:rPr>
          <w:rStyle w:val="FootnoteAnchor"/>
          <w:rtl w:val="true"/>
        </w:rPr>
        <w:footnoteReference w:id="51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يظهر للمتتبّع </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368607_1051229030"/>
      <w:bookmarkStart w:id="598" w:name="_Toc214"/>
      <w:bookmarkEnd w:id="597"/>
      <w:r>
        <w:rPr>
          <w:rtl w:val="true"/>
        </w:rPr>
        <w:t>تفصيل صاحب الفصول رحمه الله علیه</w:t>
      </w:r>
      <w:bookmarkEnd w:id="59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التفصيل ؛ وهو أنّ العبد مستحقّ للعقوبة على فعله المتجرّى به ، إلاّ أن يعتقد تحريم واجب غير مشروط بقصد القربة ، فإنّه لا يبعد عدم استحقاق العقاب عليه مطلقاً أو في بعض الموارد ؛ نظراً إلى معارضة الجهة الواقعية للجهة الظاهرية ؛ فإنّ قبح التجرّي ليس ذاتياً ، بل يختلف بالوجوه والاعتبار ، فمن اشتبه عليه مؤمن ورع عالم بكافرٍ واجب القتل ، </w:t>
      </w:r>
    </w:p>
    <w:p>
      <w:pPr>
        <w:pStyle w:val="BookText"/>
        <w:rPr/>
      </w:pPr>
      <w:r>
        <w:rPr>
          <w:rFonts w:ascii="Amiri" w:hAnsi="Amiri" w:eastAsia="Amiri" w:cs="Amiri"/>
          <w:color w:val="111111"/>
          <w:sz w:val="28"/>
          <w:sz w:val="28"/>
          <w:szCs w:val="28"/>
          <w:rtl w:val="true"/>
          <w:lang w:bidi="ar-SA"/>
        </w:rPr>
        <w:t xml:space="preserve">وتجرّى ولم يقتله ، فإنّه لا يستحقّ الذمّ على هذا الفعل عقلاً عند مَن انكشف له الواقع </w:t>
      </w:r>
      <w:r>
        <w:rPr>
          <w:rFonts w:eastAsia="Amiri" w:cs="Amiri" w:ascii="Amiri" w:hAnsi="Amiri"/>
          <w:color w:val="111111"/>
          <w:sz w:val="28"/>
          <w:szCs w:val="28"/>
          <w:rtl w:val="true"/>
          <w:lang w:bidi="ar-SA"/>
        </w:rPr>
        <w:t>. . .</w:t>
      </w:r>
      <w:r>
        <w:rPr>
          <w:rStyle w:val="FootnoteAnchor"/>
          <w:rtl w:val="true"/>
        </w:rPr>
        <w:footnoteReference w:id="51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المقام يتمّ بذكر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مزاحمة الجهات المحسّنة والمقبّحة في الأفعال ، ليس هو انمحاء جهات الحسن في صورة غلبة جهات القبح عليها ، أو بالعكس ، بل تكون الجهات بحالها بحسب الواقع ، لكن حسن الفعل أو قبحه تابع للجهة الغالبة ، فالخمر التي فيها نفع وصلاح ، لكن فسادها وضرّها أكثر منهما ، وإثمها أكبر من نفعها ، ويكون حكمها تابعاً للجهة الغالبة ، لا ينمحي صلاحها الجزئي ونفعها السير ، بل يكون باقياً مغلوباً عند تزاحم المقتضيين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في كون الحسن والقبح ذاتيين أو بالوجوه والاعتبار ، أنّ بعض العناوين المتصوّرة ، تكون بحسب ذاتها حسنة أو قبيحة عقلاً ، فيحكم العقل بحسنها أو قبحها الذاتيين ، إذا وجدت في الخارج بذاتها مع قطع النظر عن الطوارئ والعوارض الخارجية الملحقة بها في الخارج ، كالصدق والكذب من حيث ذاتهما ، مع قطع النظر عن اللواحق فهذا معنى ذاتية الحسن والقبح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تلك العناوين الحسنة أو القبيحة ، إذا وجدت في الخارج ، قد تتصادق عليها عناوين اُخر في الوجود الخارجي والهوية العينية ، فتتزاحم معها ، فحينئذٍ يكون الحسن والقبح بالوجوه والاعتبار ؛ لأجل التزاحم الخارجي بين المقتضيات التابعة للعناوين الصادقة على الهوية العينية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 ابن المولى قبيح ذاتاً ، إذا تحقّق في الخارج بذاته من غير لواحق اُخر مزاحمة له في المقتضي، ولكن قد يصير حسناً إذا عرضه عنوان راجح، مثل كونه قاتلاً للمولى، وإكرام المولى حسن ذاتاً ، وقد يتصادق مع عنوان آخر في الخارج، فيصير قبيحاً بالعرض ؛ لكونه معرّفاً له عند العدوّ القاهر الذي يريد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الأفعال بذاتها مع قطع النظر عن أمر المولى أو نهيه ، مشتملة على مصالح ومفاسد ذاتية ، وبعد تعلّقهما بها ينطبق عليها عنوان آخر ، لأجله يحكم العقل بحسنها أو قبحها ، فإذا أمر المولى بشيء ، وأطاع العبد ، يكون فعله حسناً لأجل انطباق عنوان طاعته عليه ، ولو تركه يكون تركه قبيحاً لأجل انطباق عنوان العصيان عليه ، وكذا في النواهي ، وكلّ ذلك من متفرّعات أمره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حكم العقل بقبح التجرّي ، هو عين ملاك حكمه بقبح المعصية ؛ وهو الخروج عن رسم العبودية ، وكون الفعل الخارجي منتهى ما يمكن للعبد أن يظهر به المخالفة للمولى ، من غير فرق من هذه الحيثية بين العصيان والتجرّي ، ويختصّ العصيان بوقوع المكلّف في المفسدة الذاتية للفعل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العبد غير مستحقٍّ للعقوبة مع مصادفة فعله لما هو واجب واقعاً ، غير صحيح ؛ لما عرفت من أنّ تزاحم الجهات المحسّنة مع الجهات المقبّحة ، ليس بمعنى انمحائها ، فحينئذٍ يكون التجرّي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 ، وله أن يعاقب العبد عليه ؛ لعدم سقوط قبحه ، والمصلحة الواقعية لا توجب زوال القبح من جهة التجرّي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هنا أمر آخر ؛ وهو أنّ هذا التجرّي في نظر المولى قبيح ، وموجب لسخطه على العبد بما أ نّه متجرّئ عليه ، ونجاة ابنه من الهلاك ذات مصلحة تامّة ، فحينئذٍ قد يكون قبح التجرّي أقوى في نظره ، وقد يكون ملاك نجاة ابنه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يكون أقوى يكون مؤثّراً في نفسه ؛ أي قد يصير مسروراً لأجل تحقّق الواقعة ، وقد يصير محزوناً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مربوطٍ بعدم استحقاق المتجرّي للعقوبة ؛ لأنّ المتجرّي كان إقدامه وحركته نحو مخالفة المولى ، وهو أمر ، والمزاحمة بين عنوان التجرّي والمصلحة الواقعية أمر آخر لا يوجب خروج التجرّي عن كونه قبيحاً وجرأة على المولى وهتكاً لحرمته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العقوبة تابع لإتيان العبد ما هو مبغوض المولى ، والفعل المتجرّى به إذا انطبق عليه عنوان ذو مصلحة غالبة ، لا يكون مبغوضاً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ممنوع ، بل استحقاق العقوبة إنّما هو على مخالفة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مخالفة الأوامر والنواهي الامتحانية ، موجبة لاستحقاق العقوبة ، مع عدم كون الفعل أو الترك مبغوضاً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قد 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باب التجرّي مع المثبتين ، لكن بالمعنى الذي ذكرنا في محلّ النزاع ؛ من أنّ النزاع في حكم العقل باستحقاق العقوبة وعدمه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المدّعى إثبات استحقاق العقوبة لا 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أمر ليس للعقل فيه دخالة وحكم حتّى في مورد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عمّا يمكن </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الأدلّة الشرعية أنّ العقوبة على فعل المعصية ، فشرب الخمر وقتل المؤمن وترك الصلاة والصوم وأمثالها موجبة للعقوبة بحسب الأدلّة ، ولا دليل على العقوبة على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الظواهر تدلّ على أنّ العصيان له عقوبة فعلية ، ولا تدلّ على نفي استحقاقها على التجرّي ، والمدّعى أنّ التجرّي موجب لاستحقاقها لا فعليتها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التجرّي إذا صادف المعصية الواقعية يتداخل عقابهما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هو ما إذا لم يصادف الواقع ، وإلاّ فهو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يريد به أ نّه إذا قطع المكلّف بكون مائعٍ خمراً وشربه ، فتبيّن عدم كونه خمراً ، لكن ظهر أ نّه مغصوب ، فصادف التجرّي معصية واقعية ، يتداخل العقابان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كفى في تنجّز التكليف الواقعي العلم بجنس التكليف ولو في ضمن نوعٍ آخر ، يكون المثال المذكور معصية لا تجرّياً ، ولو توقّف التنجّز على العلم بنوع التكليف يكون تجرّياً لا معصية ، والجمع بينهما ممّا لا يمكن فتدبّر </w:t>
      </w:r>
      <w:r>
        <w:rPr>
          <w:rFonts w:eastAsia="Amiri" w:cs="Amiri" w:ascii="Amiri" w:hAnsi="Amiri"/>
          <w:color w:val="111111"/>
          <w:sz w:val="28"/>
          <w:szCs w:val="28"/>
          <w:rtl w:val="true"/>
          <w:lang w:bidi="ar-SA"/>
        </w:rPr>
        <w:t xml:space="preserve">. </w:t>
      </w:r>
      <w:bookmarkStart w:id="599" w:name="pg8033_81288"/>
    </w:p>
    <w:p>
      <w:pPr>
        <w:pStyle w:val="Heading3"/>
        <w:numPr>
          <w:ilvl w:val="2"/>
          <w:numId w:val="1"/>
        </w:numPr>
        <w:rPr/>
      </w:pPr>
      <w:bookmarkStart w:id="600" w:name="__RefHeading___Toc7368609_1051229030"/>
      <w:bookmarkStart w:id="601" w:name="_Toc215"/>
      <w:bookmarkEnd w:id="599"/>
      <w:bookmarkEnd w:id="600"/>
      <w:r>
        <w:rPr>
          <w:rtl w:val="true"/>
        </w:rPr>
        <w:t>الفصل الخامس</w:t>
      </w:r>
      <w:r>
        <w:rPr>
          <w:rtl w:val="true"/>
        </w:rPr>
        <w:t xml:space="preserve">: </w:t>
      </w:r>
      <w:r>
        <w:rPr>
          <w:rtl w:val="true"/>
        </w:rPr>
        <w:t>في العلم الإجمالي</w:t>
      </w:r>
      <w:bookmarkEnd w:id="601"/>
    </w:p>
    <w:p>
      <w:pPr>
        <w:pStyle w:val="Heading4"/>
        <w:numPr>
          <w:ilvl w:val="3"/>
          <w:numId w:val="1"/>
        </w:numPr>
        <w:rPr/>
      </w:pPr>
      <w:bookmarkStart w:id="602" w:name="__RefHeading___Toc7368611_1051229030"/>
      <w:bookmarkStart w:id="603" w:name="_Toc216"/>
      <w:bookmarkEnd w:id="602"/>
      <w:r>
        <w:rPr>
          <w:rtl w:val="true"/>
        </w:rPr>
        <w:t>في العلم الإجمالي</w:t>
      </w:r>
      <w:bookmarkEnd w:id="603"/>
    </w:p>
    <w:p>
      <w:pPr>
        <w:pStyle w:val="BookText"/>
        <w:rPr/>
      </w:pPr>
      <w:r>
        <w:rPr>
          <w:rFonts w:ascii="Amiri" w:hAnsi="Amiri" w:eastAsia="Amiri" w:cs="Amiri"/>
          <w:color w:val="111111"/>
          <w:sz w:val="28"/>
          <w:sz w:val="28"/>
          <w:szCs w:val="28"/>
          <w:rtl w:val="true"/>
          <w:lang w:bidi="ar-SA"/>
        </w:rPr>
        <w:t xml:space="preserve">هل العلم الإجمالي كالتفصيلي مطلقاً ، أو لا مطلقاً ، أو فيه تفصيل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التكليف به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إسقاطه </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7368613_1051229030"/>
      <w:bookmarkStart w:id="605" w:name="_Toc217"/>
      <w:bookmarkEnd w:id="604"/>
      <w:r>
        <w:rPr>
          <w:rtl w:val="true"/>
        </w:rPr>
        <w:t xml:space="preserve">المقام الأوّل </w:t>
      </w:r>
      <w:r>
        <w:rPr>
          <w:rtl w:val="true"/>
        </w:rPr>
        <w:t xml:space="preserve">: </w:t>
      </w:r>
      <w:r>
        <w:rPr>
          <w:rtl w:val="true"/>
        </w:rPr>
        <w:t>في إثبات التكليف بالعلم الإجمالي</w:t>
      </w:r>
      <w:bookmarkEnd w:id="605"/>
    </w:p>
    <w:p>
      <w:pPr>
        <w:pStyle w:val="BookText"/>
        <w:rPr/>
      </w:pPr>
      <w:r>
        <w:rPr>
          <w:rFonts w:ascii="Amiri" w:hAnsi="Amiri" w:eastAsia="Amiri" w:cs="Amiri"/>
          <w:color w:val="111111"/>
          <w:sz w:val="28"/>
          <w:sz w:val="28"/>
          <w:szCs w:val="28"/>
          <w:rtl w:val="true"/>
          <w:lang w:bidi="ar-SA"/>
        </w:rPr>
        <w:t xml:space="preserve">والأقوال المعروفة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كالشكّ البدوي ، وهو منسوب إلى المحقّقَين الخوانساري والقمّي رحمهما اللّه </w:t>
      </w:r>
      <w:r>
        <w:rPr>
          <w:rStyle w:val="FootnoteAnchor"/>
          <w:rtl w:val="true"/>
        </w:rPr>
        <w:footnoteReference w:id="515"/>
      </w:r>
      <w:r>
        <w:rPr>
          <w:rFonts w:ascii="Amiri" w:hAnsi="Amiri" w:eastAsia="Amiri" w:cs="Amiri"/>
          <w:color w:val="111111"/>
          <w:sz w:val="28"/>
          <w:sz w:val="28"/>
          <w:szCs w:val="28"/>
          <w:rtl w:val="true"/>
          <w:lang w:bidi="ar-SA"/>
        </w:rPr>
        <w:t>وسيجيء حال النسبة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كالقطع التفصيلي بالنسبة إلى المخالفة القطعية ؛ أي كونه علّة تامّة بالنسبة إليها ، دون الموافقة القطعية ، فإنّه بالنسبة إليها بنحو الاقتضاء </w:t>
      </w:r>
    </w:p>
    <w:p>
      <w:pPr>
        <w:pStyle w:val="BookText"/>
        <w:rPr/>
      </w:pPr>
      <w:r>
        <w:rPr>
          <w:rFonts w:ascii="Amiri" w:hAnsi="Amiri" w:eastAsia="Amiri" w:cs="Amiri"/>
          <w:color w:val="111111"/>
          <w:sz w:val="28"/>
          <w:sz w:val="28"/>
          <w:szCs w:val="28"/>
          <w:rtl w:val="true"/>
          <w:lang w:bidi="ar-SA"/>
        </w:rPr>
        <w:t xml:space="preserve">لا العلّية ، فمع عروض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ترخيص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منجّزاً للواقع ، وهو مختار الشيخ الأنصاري قدّس سرّه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بنحو الاقتضاء لا العلّية مطلقاً ، وهو مختار المحقّق الخراساني رحمه الله علیه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احتمالات اُخر لا يعلم لها قائل ، ولا بدّ أوّلاً من تنقيح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يقع الكلام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يحتمل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الحجّة الإجمالية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العلم الإجمالي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البحث ما إذا تعلّق العلم بتكليف متعلّق بأمرٍ واقعي معيّن واقعاً ، ومردّد لدى المكلّف ، كعلمه بوجوب صلاة في يوم الجمعة ، إمّا الظهر ، وإمّا الجمعة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منجّزية هذا العلم الذي لا يحتمل خلافه ، للتكليف الواقعي ؛ لأنّ معنى تنجّز التكليف ، أن يصير بحيث يستحقّ المكلّف العقوبة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منجّزية العلم أن يصير التكليف بسبب تعلّقه به كذلك ، فلو علم المكلّف بتكليف أكيد لا يرضى المولى بتركه ، متعلّق بصلاة معيّنة واقعاً ، وتردّدت بين الظهر والجمعة فتركها ، يكون عند العقل مستحقّاً للعقوبة على التكليف المعيّن الواقعي ، فإذا ترك إحداهما ، فصادفت المتروكة التكليفَ الواقعي ، يكون مستحقّاً للعقاب عليها ، من غير فرق بين الصورتين ؛ لأنّ استحقاق العقوبة في </w:t>
      </w:r>
    </w:p>
    <w:p>
      <w:pPr>
        <w:pStyle w:val="BookText"/>
        <w:rPr/>
      </w:pPr>
      <w:r>
        <w:rPr>
          <w:rFonts w:ascii="Amiri" w:hAnsi="Amiri" w:eastAsia="Amiri" w:cs="Amiri"/>
          <w:color w:val="111111"/>
          <w:sz w:val="28"/>
          <w:sz w:val="28"/>
          <w:szCs w:val="28"/>
          <w:rtl w:val="true"/>
          <w:lang w:bidi="ar-SA"/>
        </w:rPr>
        <w:t xml:space="preserve">صورة ترك المشتبهين ، ليس لأجل ترك مجموعهما ، ولا لترك كلٍّ منهما ، بل إنّما يكون لأجل ترك التكليف الواقعي المنجّز ، وهو حاصل في الصورة الثانية ؛ أي ترك إحداهما المصادفة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الجازم بالتكليف الفعلي الذي لا يرضى المولى بتركه ، منجّز للواقع ، ومعنى تنجّزه صحّة العقوبة على تركه ، سواء تركه في ضمن ترك المجموع ، أو ترك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جعل البدل</w:t>
      </w:r>
      <w:r>
        <w:rPr>
          <w:rStyle w:val="FootnoteAnchor"/>
          <w:rtl w:val="true"/>
        </w:rPr>
        <w:footnoteReference w:id="519"/>
      </w:r>
      <w:r>
        <w:rPr>
          <w:rFonts w:ascii="Amiri" w:hAnsi="Amiri" w:eastAsia="Amiri" w:cs="Amiri"/>
          <w:color w:val="111111"/>
          <w:sz w:val="28"/>
          <w:sz w:val="28"/>
          <w:szCs w:val="28"/>
          <w:rtl w:val="true"/>
          <w:lang w:bidi="ar-SA"/>
        </w:rPr>
        <w:t xml:space="preserve">فإن كان المراد منه جعله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عدل للتكليف الواقعي في ظرف عروض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الفرض ؛ لأنّه يرجع إلى التكليف التخييري بأحد المشتبهين ، والمفروض في العلم الإجمالي أن يكون التكليف الواقعي معيّناً بحسب الواقع ، ومردّداً عند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جعل البدل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التكليف الظاهري عند اشتباه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يمكن ؛ لأنّ التكليف الواقعي المتعلّق للعلم الإجمالي ، فعلي لا شأني ؛ لأنّ معنى الفعلية هو صيرورة التكليف بحيث يكون باعثاً وزاجراً نحو المتعلّق ، وهو حاصل مع العلم الإجمالي ، كالتفصيلي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بعثية كانت أو زجرية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تتقيّد بالعلم بها ، بل إنّما تتعلّق بمتعلّقاتها ، من غير تقييدٍ بعلم المكلّف وجهله ، ولكن مع ذلك تكون إرادة المولى قاصرة عن بعث الجاهل ، وكذا تكاليفه تكون </w:t>
      </w:r>
    </w:p>
    <w:p>
      <w:pPr>
        <w:pStyle w:val="BookText"/>
        <w:rPr/>
      </w:pPr>
      <w:r>
        <w:rPr>
          <w:rFonts w:ascii="Amiri" w:hAnsi="Amiri" w:eastAsia="Amiri" w:cs="Amiri"/>
          <w:color w:val="111111"/>
          <w:sz w:val="28"/>
          <w:sz w:val="28"/>
          <w:szCs w:val="28"/>
          <w:rtl w:val="true"/>
          <w:lang w:bidi="ar-SA"/>
        </w:rPr>
        <w:t xml:space="preserve">قاصرة عنه ، لا لكونها متقيّدة بحال العلم ، بل لعدم إمكان بعث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إنّما ينشئ التكاليف ؛ ليعلم بها المكلّف ، وينبعث منها نحو متعلّقاتها ، أو ينزجر عنها ، فإذا كانت التكاليف الواقعية غير قابلة للتأثير في المكلّف بعثاً أو زجراً ، تكون شأنية ، وحينئذٍ يمكن للمولى جعل الترخيص والحكم الظاهري ؛ من الاحتياط والترخيص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الواقعي غير صالحٍ للباعثية ، وأنّ احتمال التكليف وإن كان أحياناً باعثاً ، لكن بما أ نّه نفس الاحتمال ؛ فإنّ وجود التكليف الواقعي وعدمه بالنسبة إليه سواء ، فالاحتمال باعث ، سواء كان المحتمل واقعاً أو لا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بالتكليف أيضاً كذلك ؛ فإنّه مع عدم مطابقته للواقع يكون أيضاً باعثاً ، فوجود التكليف الواقعي وعدمه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ننكر باعثية القطع ولو مع عدم مطابقته للواقع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إذا صار معلوماً يكون هو الباعث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بانحصار الباعث في التكليف حتّى يرد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الواقعي غير قابل للبعث والزجر بوجوده الواقعي مع الشكّ فيه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 إن أراد المولى حفظ تكليفه الواقعي لأجل أهمّيته ، فلا بدّ له من جعل تكليفٍ طريقي ؛ هو إيجاب الاحتياط لحفظ الواقع ، حتّى يعلم المكلّف هذا </w:t>
      </w:r>
    </w:p>
    <w:p>
      <w:pPr>
        <w:pStyle w:val="BookText"/>
        <w:rPr/>
      </w:pPr>
      <w:r>
        <w:rPr>
          <w:rFonts w:ascii="Amiri" w:hAnsi="Amiri" w:eastAsia="Amiri" w:cs="Amiri"/>
          <w:color w:val="111111"/>
          <w:sz w:val="28"/>
          <w:sz w:val="28"/>
          <w:szCs w:val="28"/>
          <w:rtl w:val="true"/>
          <w:lang w:bidi="ar-SA"/>
        </w:rPr>
        <w:t xml:space="preserve">التكليف الظاهري بالاحتياط ، فيعمل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بنظره بهذه المثابة من الأهمّية ، أو كانت مصلحة التوسعة على المكلّف أهمّ من حفظ الواقع ، يجوز له الترخيص في إتيان المشتبه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فيما إذا لم يكن التكليف الواقعي باعثاً فعلياً أو زاجراً كذلك ، ومع كونه كذلك فلا يمكن جعل الترخيص ، ولا جعل البدل ، ولا جعل حكم ظاهري آخر ، والمفروض أنّ التكليف الواقعي المعلوم بالإجمال ، يكون منجّزاً وباعثاً وزاجراً فعلياً ، ويكون التكليف الفعلي المتعلّق بموضوعه ، معلوماً لا يحتمل خلافه ، وفي مثله لا معنى للحكم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مورده بين الموافقة والمخالفة القطعيتين ؛ لأنّ المخالفة إنّما هي بترك الواجب الواقعي وإتيان المحرّم الواقعي ، سواء في ضمن المخالفة القطعية أو الاحتمالية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المخالفة الاحتمالية يكون المكلّف متجرّياً مع عدم المصادفة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الركعة المفصولة في الشكّ في عدد الركعات ، وجواز المضيّ في الشكّ بعد التجاوز والفراغ والوقت ، من قبيل جعل البدل ، فما تلتزم به في تلك الموارد ، نلتزم به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فإنّه فيها لا يكون من قبيل جعل البدل ، ولا ربط بينها وبين ما نحن فيه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الركعة المفصولة في الشكّ في عدد الركعات ، فالإتيان بها من قبيل كيفية مصداق المأمور به بحسب حال المكلّف ؛ فإنّ الأمر بالصلاة إنّما تعلّق بطبيعتها ، فإذا عرض للمكلّف عارض ، ودلّ الدليل على إتيان الصلاة في هذه الحالة </w:t>
      </w:r>
    </w:p>
    <w:p>
      <w:pPr>
        <w:pStyle w:val="BookText"/>
        <w:rPr/>
      </w:pPr>
      <w:r>
        <w:rPr>
          <w:rFonts w:ascii="Amiri" w:hAnsi="Amiri" w:eastAsia="Amiri" w:cs="Amiri"/>
          <w:color w:val="111111"/>
          <w:sz w:val="28"/>
          <w:sz w:val="28"/>
          <w:szCs w:val="28"/>
          <w:rtl w:val="true"/>
          <w:lang w:bidi="ar-SA"/>
        </w:rPr>
        <w:t xml:space="preserve">بكيفية كذائية ، يستفاد منه أنّ المصداق الكذائي مصداق للطبيعة في هذه الحالة ، فالصلاة مع الطهارة الترابية في حال فقدان الماء ، عين الطبيعة مع المائية في حال وجدانه ، لا أنّ المولى رفع اليد عن الصلاة مع المائية ، وجعل الصلاة مع الترابية بدلها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الصلاة مع الركعة المفصولة حال الشكّ ، عين الطبيعة المأمور بها ، لا بدلها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إتيان الطبيعة في حال عروض العارض بكيفية خاصّة ، حاكم على الأدلّة الأوّلية ، ومعيّن لمصداق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الحال في الشكّ بعد التجاوز والفراغ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بعد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إتيان الصلاة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المضيّ وعدم الاعتناء به ليس من قبيل جعل البدل ، وإلاّ لزم أن يكون عدم الصلاة بدلاً منها ، وهو كما ترى ، بل هو لأجل الإرفاق بالمكلّفين ، ورفع اليد عن التكليف الواقعي ؛ فإنّه مع عدمه يقع المكلّف في الحرج والعسر ؛ لأنّ عروض الشكّ مع مضيّ الأزمنة المتطاولة نوعي أكثري ، قلّما يتّفق عدم عروضه ، فشرعت قاعدة الشكّ بعد الوقت ؛ لرفع الحرج عن المكلّف ، وصرف النظر عن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البدل ممّا لا معنى له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قرين المعلوم بالإجمال لا يصلح للبدلية عن المعلوم ، ومجرّد كونه قريناً له في تعلّق الشكّ به ، لا يوجب صلاحيته للبدلية ، فترك الماء المشكوك فيه بدلاً عن الخمر ، ممّا لا معنى له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فرق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الجازم الذي لا يحتمل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الشبهة المحصورة وغيرها ، فمع فرض تعلّق العلم بالتكليف الفعلي الذي لا يرضى المولى بمخالفته ، يحكم العقل بوجوب الاجتناب عن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الحجّة الإجمالية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قامت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أو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الخمر حتّى في أطراف الشبهة ، ودلّت أدلّة أصالة الحلّ على حلّية كلّ مشكوك فيه ، فيتعارض الدليلان في الموضوع المشكوك فيه ، فوقع الكلام والنقض والإبرام في تقديم إطلاق دليل حرمة الخمر ، أو إطلاق دليل حلّية كلّ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مورد بحث المحقّقَين القمّي والخوانساري ، لا العلم الإجمالي ؛ لتصريحهما بلزوم الموافقة القطعية في العلم الإجمالي</w:t>
      </w:r>
      <w:r>
        <w:rPr>
          <w:rStyle w:val="FootnoteAnchor"/>
          <w:rtl w:val="true"/>
        </w:rPr>
        <w:footnoteReference w:id="521"/>
      </w:r>
      <w:r>
        <w:rPr>
          <w:rFonts w:ascii="Amiri" w:hAnsi="Amiri" w:eastAsia="Amiri" w:cs="Amiri"/>
          <w:color w:val="111111"/>
          <w:sz w:val="28"/>
          <w:sz w:val="28"/>
          <w:szCs w:val="28"/>
          <w:rtl w:val="true"/>
          <w:lang w:bidi="ar-SA"/>
        </w:rPr>
        <w:t xml:space="preserve">فكلامهما في الحجّة الإجمالية ، لا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الشيخ الأنصاري في هذا المقام مضطربة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عقد البحث في العلم الإجمالي ، مع أنّ غالب الأمثلة التي أوردها من قبيل الحجّة الإجمالية ، لا العلم الإجمالي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العلم هو ما ذكرنا ، وأمّا في الحجّة الإجمالية فموكول إلى باب البراءة والاشتغال ؛ فإنّ المناسب هنا هو البحث عن العلم ، لا عن الحجّة </w:t>
      </w:r>
      <w:r>
        <w:rPr>
          <w:rFonts w:eastAsia="Amiri" w:cs="Amiri" w:ascii="Amiri" w:hAnsi="Amiri"/>
          <w:color w:val="111111"/>
          <w:sz w:val="28"/>
          <w:szCs w:val="28"/>
          <w:rtl w:val="true"/>
          <w:lang w:bidi="ar-SA"/>
        </w:rPr>
        <w:t xml:space="preserve">. </w:t>
      </w:r>
      <w:bookmarkStart w:id="606" w:name="pg8033_81302"/>
    </w:p>
    <w:p>
      <w:pPr>
        <w:pStyle w:val="Heading4"/>
        <w:numPr>
          <w:ilvl w:val="3"/>
          <w:numId w:val="1"/>
        </w:numPr>
        <w:rPr/>
      </w:pPr>
      <w:bookmarkStart w:id="607" w:name="__RefHeading___Toc7368615_1051229030"/>
      <w:bookmarkStart w:id="608" w:name="_Toc218"/>
      <w:bookmarkEnd w:id="606"/>
      <w:bookmarkEnd w:id="607"/>
      <w:r>
        <w:rPr>
          <w:rtl w:val="true"/>
        </w:rPr>
        <w:t xml:space="preserve">المقام الثاني </w:t>
      </w:r>
      <w:r>
        <w:rPr>
          <w:rtl w:val="true"/>
        </w:rPr>
        <w:t xml:space="preserve">: </w:t>
      </w:r>
      <w:r>
        <w:rPr>
          <w:rtl w:val="true"/>
        </w:rPr>
        <w:t>في إسقاط التكليف</w:t>
      </w:r>
      <w:bookmarkEnd w:id="608"/>
    </w:p>
    <w:p>
      <w:pPr>
        <w:pStyle w:val="BookText"/>
        <w:rPr/>
      </w:pPr>
      <w:r>
        <w:rPr>
          <w:rFonts w:ascii="Amiri" w:hAnsi="Amiri" w:eastAsia="Amiri" w:cs="Amiri"/>
          <w:color w:val="111111"/>
          <w:sz w:val="28"/>
          <w:sz w:val="28"/>
          <w:szCs w:val="28"/>
          <w:rtl w:val="true"/>
          <w:lang w:bidi="ar-SA"/>
        </w:rPr>
        <w:t>والأولى صرف عنان القلم إلى ما تعرّض له الشيخ في الامتثال الإجمالي ، وهو المقام الثاني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جواز الامتثال الإجمالي ، ليس في المحرّمات ، ولا في الواجبات التوصّلية ، ولا في الواجبات التعبّدية مع عدم إمكان تحصيل العلم التفصيلي أو الحجّة التفصيلية ، والامتثال على الوجه المعيّن ؛ فإنّ المطلوب في المحرّمات ليس إلاّ صرف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مع ترك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التوصّليات إلاّ التحقّق بأيّ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مع 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يمكن الامتثال في التعبّديات إلاّ على نحو الإجمال ، فلا كلام في جوازه ؛ فإنّه غاية قدرة المكلّف في امتثال 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والإشكال في التعبّديات مع إمكان رفع الإجمال علماً أو بطريق معتبر ، فيقع الكلام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الجزء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المشكوك فيه مردّداً بين كونه جزءاً واجباً أو مستحبّاً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مردّداً بين الجزئية وعدمها مع عدم احتمال المانعية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الترديد بين الأقلّ والأكثر في الجزء ، مع الترديد في كونه واجباً أو مستحبّاً ، فلا إشكال في جواز الاحتياط بإتيانه ، وعدم لزوم رفع الإجمال ؛ </w:t>
      </w:r>
    </w:p>
    <w:p>
      <w:pPr>
        <w:pStyle w:val="BookText"/>
        <w:rPr/>
      </w:pPr>
      <w:r>
        <w:rPr>
          <w:rFonts w:ascii="Amiri" w:hAnsi="Amiri" w:eastAsia="Amiri" w:cs="Amiri"/>
          <w:color w:val="111111"/>
          <w:sz w:val="28"/>
          <w:sz w:val="28"/>
          <w:szCs w:val="28"/>
          <w:rtl w:val="true"/>
          <w:lang w:bidi="ar-SA"/>
        </w:rPr>
        <w:t xml:space="preserve">لعدم الإخلال مع إتيانه بشيءٍ ممّا يعتبر أو قيل باعتباره في العبادة ، حتّى قصد الوجه والتميّز والتقرّب ؛ لما عرفت في مبحث الصحيح والأعمّ من أنّ الصلاة ليست عبارة عن نفس الأجزاء بالأسر ؛ ضرورة أ نّه مع كونها كذلك ، لا يمكن صدقها على الأفراد المختلفة بحسب الأجزاء والشرائط ، والاشتراك اللفظي معلوم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عبارة عن عنوان عرضي مقول بالتشكيك ، صادق على الأفراد المتفاوتة في النقص والزيادة والكمال وغيره ، نحو صدق كلّ طبيعة مقولة بالتشكيك على أفرادها ، فالمصداق التامّ الكامل للمختار الحاضر صلاة ، والناقص الذي يشتمل على أربع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المصداق الناقص من حيث الأجزاء والشرائط ، ناقص في الصلاتية ؛ إذ قد يكون الناقص من هذه الجهة ، أتمّ من المشتمل على جميع الأجزاء والشرائط ؛ لأنّ الميزان في النقص والتمام في الصلاتية ، هو تمامية هذا العنوان العرضي الصادق على الأفراد ونقصه ، مثل عنوان المتوجّه الخاصّ إلى المولى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المستحبّة ليست خارجة عن الصلاة ، ولكن اُتي بها فيها ، بل هي موجبة لتمامية المصداق وكماله ، فالقنوت إذا جيء به يكون متمّماً لمصداق الصلاة ، وتصدق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الواجد له ، وتتّحد الطبيعة مع الفرد الواجد اتّحاد الطبيعي مع أفراده ، فالمصداق الواجد للجزء المستحبّ ، مصداق للصلاة الواجبة ، لكنّه مصداق أتمّ من الفاقد له ، لا أنّ الصلاة شيء ، والجزء المستحبّي 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فمعنى استحباب الجزء أو الجزء المستحبّي ، أنّ الصلاة مع عدم الإتيان به تكون صحيحة ، لكنّها أنقص من الواجدة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الآتي بالجزء المشكوك فيه ، آتياً بالمأمور به على وجهه ، متقرّباً إلى اللّه ، ممتازاً عمّا عداه ، لأنّ الأمر الصلاتي متعلّق بالطبيعة ، ولا تكون الأجزاء أو كلّ واحدٍ منها متعلّقة للأمر ووجهاً للوجوب ، وإن كان المصداق فرداً كاملاً للواجب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حال الشرط أيضاً ، فإنّ الشرائط الاستحبابية أيضاً من مكمِّلات الصلاة ، كالأجزاء المستحبّة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المردّد بين كون شيء جزءاً أو لا ، أو شرطاً أو لا ، مع القطع بعدم المانعية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التقرّب متعذّر في هذا الجزء أو الشرط ؛ فإنّ قصد التقرّب عبارة عن كون الأمر داعياً إلى إتيان المأمور به ، والفرض أنّ تعلّق الأمر الضمني بهما مشكوك فيه ، فلا يمكن قصد التقرّب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التقرّب إنّما يكون بالأمر المتعلّق بالطبيعة المأمور بها ، لا الأوامر الضمنية ، والفرض أ نّه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المكلّف ليس له داعٍ في إتيان الجزء أو الشرط إلاّ احتمال أمر المولى ، فهو قاصد للأمر الاحتمالي على فرضه ، ولا يعتبر في قصد التقرّب شيء 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في المشكوك فيه من هذه الجهة أيضاً لا مانع منه ؛ أي أنّ الإتيان بهما احتياط لإتيان كلّ ما يحتمل أن يكون دخيلاً في المأمور به ؛ من قصد التقرّب وغيره ، فيكون جائزاً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المتباينين فيما يستلزم الاحتياط فيه تكرار مجموع العبادة ، </w:t>
      </w:r>
    </w:p>
    <w:p>
      <w:pPr>
        <w:pStyle w:val="BookText"/>
        <w:rPr/>
      </w:pPr>
      <w:r>
        <w:rPr>
          <w:rFonts w:ascii="Amiri" w:hAnsi="Amiri" w:eastAsia="Amiri" w:cs="Amiri"/>
          <w:color w:val="111111"/>
          <w:sz w:val="28"/>
          <w:sz w:val="28"/>
          <w:szCs w:val="28"/>
          <w:rtl w:val="true"/>
          <w:lang w:bidi="ar-SA"/>
        </w:rPr>
        <w:t xml:space="preserve">كتردّد الواجب بين كونه ظهراً أو جمعة ، وتردّد القبلة بين الجهات ، فالأقوى فيه أيضاً أنّ الإتيان بهما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إتيان للمأمور به الواقعي بجميع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الإتيان بهما من باب الاحتياط ؛ لأنّ الإشكال إن كان من باب قصد التقرّب المعتبر في العبادة ، فلا إشكال في حصوله ؛ لأنّ المكلّف لم يأتِ بهما إلاّ لأجل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لحصول المأمور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متقرّب به بما هو في الواقع مأمور به ، وإن لم يعلم حين الإتيان أنّ القرب بأيّهما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يحتمل أن يعتبر في العبادة العلم التفصيلي بالمأمور به حين الإتيان به ، ولا يمكن رفعه بالتمسّك بأصالة الإطلاق ؛ لأنّها إنّما يتمسّك بها فيما يمكن أخذه في المتعلّق ، والعلم بالأمر متأخّر عنه ، فلا يمكن أخذه فيه ، وما لا يمكن التقييد به لا يمكن فيه التمسّك بالإطلاق ؛ لأنّ معنى أصالة الإطلاق أ نّه لو كان</w:t>
      </w:r>
    </w:p>
    <w:p>
      <w:pPr>
        <w:pStyle w:val="BookText"/>
        <w:rPr/>
      </w:pPr>
      <w:r>
        <w:rPr>
          <w:rFonts w:ascii="Amiri" w:hAnsi="Amiri" w:eastAsia="Amiri" w:cs="Amiri"/>
          <w:color w:val="111111"/>
          <w:sz w:val="28"/>
          <w:sz w:val="28"/>
          <w:szCs w:val="28"/>
          <w:rtl w:val="true"/>
          <w:lang w:bidi="ar-SA"/>
        </w:rPr>
        <w:t xml:space="preserve">القيد معتبراً في المأمور به ، فعلى المولى أن يقيّده به ، فعدم التقيّد يكشف عن عدم الدخالة ، ومع امتناع التقييد يحتمل أن يكون عدم الأخذ لامتناعه ، لا لعدم دخالته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أصالة البراءة العقلية والنقلية جارية ؛ لأنّه على المولى بيان القيد ، ومع عدمه يكون العقاب عليه بلا بيانٍ ، فالإشكال مرتفع من جهة قصد التقرّب ، وكذا من جهة احتمال دخالة العلم التفصيلي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التكرار لعباً بأمر المولى فممنوع ؛ لأنّ المفروض أنّ الآتي بهما إنّما يأتي احتياطاً ، لا لعباً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الإجماع على عدم جواز التكرار وبطلان الاحتياط</w:t>
      </w:r>
      <w:r>
        <w:rPr>
          <w:rStyle w:val="FootnoteAnchor"/>
          <w:rtl w:val="true"/>
        </w:rPr>
        <w:footnoteReference w:id="523"/>
      </w:r>
      <w:r>
        <w:rPr>
          <w:rFonts w:ascii="Amiri" w:hAnsi="Amiri" w:eastAsia="Amiri" w:cs="Amiri"/>
          <w:color w:val="111111"/>
          <w:sz w:val="28"/>
          <w:sz w:val="28"/>
          <w:szCs w:val="28"/>
          <w:rtl w:val="true"/>
          <w:lang w:bidi="ar-SA"/>
        </w:rPr>
        <w:t xml:space="preserve">ممنوعة ؛ لأنّ المسألة عقلية أوّلاً ، وغير معنونة لدى القدماء ثانياً ، ومع ذلك كيف يمكن دعواه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فيما لا يستلزم التكرار ، بل هو أولى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الاحتياط في الشبهة البدوية الغير المقرونة بالعلم الإجمالي مع إمكان رفعها بالفحص والاجتهاد أيضاً لا مانع منه ، لا من جهة قصد التقرّب ، ولا من جهة اُخرى ، كما يظهر بالتأمّل فيما ذكرنا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صرف عنان القلم فيما هو المهمّ من مباحث الأمارات الغير العلمية </w:t>
      </w:r>
      <w:r>
        <w:rPr>
          <w:rFonts w:eastAsia="Amiri" w:cs="Amiri" w:ascii="Amiri" w:hAnsi="Amiri"/>
          <w:color w:val="111111"/>
          <w:sz w:val="28"/>
          <w:szCs w:val="28"/>
          <w:rtl w:val="true"/>
          <w:lang w:bidi="ar-SA"/>
        </w:rPr>
        <w:t xml:space="preserve">. </w:t>
      </w:r>
      <w:bookmarkStart w:id="609" w:name="pg8033_81312"/>
    </w:p>
    <w:p>
      <w:pPr>
        <w:pStyle w:val="Heading3"/>
        <w:numPr>
          <w:ilvl w:val="2"/>
          <w:numId w:val="1"/>
        </w:numPr>
        <w:rPr/>
      </w:pPr>
      <w:bookmarkStart w:id="610" w:name="__RefHeading___Toc7368617_1051229030"/>
      <w:bookmarkStart w:id="611" w:name="_Toc219"/>
      <w:bookmarkEnd w:id="609"/>
      <w:bookmarkEnd w:id="610"/>
      <w:r>
        <w:rPr>
          <w:rtl w:val="true"/>
        </w:rPr>
        <w:t>الفصل السادس</w:t>
      </w:r>
      <w:r>
        <w:rPr>
          <w:rtl w:val="true"/>
        </w:rPr>
        <w:t xml:space="preserve">: </w:t>
      </w:r>
      <w:r>
        <w:rPr>
          <w:rtl w:val="true"/>
        </w:rPr>
        <w:t>الأمارات الغير العلمية</w:t>
      </w:r>
      <w:bookmarkEnd w:id="611"/>
    </w:p>
    <w:p>
      <w:pPr>
        <w:pStyle w:val="Heading4"/>
        <w:numPr>
          <w:ilvl w:val="3"/>
          <w:numId w:val="1"/>
        </w:numPr>
        <w:rPr/>
      </w:pPr>
      <w:bookmarkStart w:id="612" w:name="__RefHeading___Toc7368619_1051229030"/>
      <w:bookmarkStart w:id="613" w:name="_Toc220"/>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368621_1051229030"/>
      <w:bookmarkStart w:id="615" w:name="_Toc221"/>
      <w:bookmarkEnd w:id="614"/>
      <w:r>
        <w:rPr>
          <w:rtl w:val="true"/>
        </w:rPr>
        <w:t xml:space="preserve">المبحث الأوّل </w:t>
      </w:r>
      <w:r>
        <w:rPr>
          <w:rtl w:val="true"/>
        </w:rPr>
        <w:t xml:space="preserve">: </w:t>
      </w:r>
      <w:r>
        <w:rPr>
          <w:rtl w:val="true"/>
        </w:rPr>
        <w:t>في إمكان التعبّد بها</w:t>
      </w:r>
      <w:bookmarkEnd w:id="615"/>
    </w:p>
    <w:p>
      <w:pPr>
        <w:pStyle w:val="Heading5"/>
        <w:numPr>
          <w:ilvl w:val="4"/>
          <w:numId w:val="1"/>
        </w:numPr>
        <w:rPr/>
      </w:pPr>
      <w:bookmarkStart w:id="616" w:name="__RefHeading___Toc7368623_1051229030"/>
      <w:bookmarkStart w:id="617" w:name="_Toc222"/>
      <w:bookmarkEnd w:id="616"/>
      <w:r>
        <w:rPr>
          <w:rtl w:val="true"/>
        </w:rPr>
        <w:t>المراد بالإمكان</w:t>
      </w:r>
      <w:bookmarkEnd w:id="61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العلوم العقلية على معانٍ</w:t>
      </w:r>
      <w:r>
        <w:rPr>
          <w:rStyle w:val="FootnoteAnchor"/>
          <w:rtl w:val="true"/>
        </w:rPr>
        <w:footnoteReference w:id="524"/>
      </w:r>
      <w:r>
        <w:rPr>
          <w:rFonts w:ascii="Amiri" w:hAnsi="Amiri" w:eastAsia="Amiri" w:cs="Amiri"/>
          <w:color w:val="111111"/>
          <w:sz w:val="28"/>
          <w:sz w:val="28"/>
          <w:szCs w:val="28"/>
          <w:rtl w:val="true"/>
          <w:lang w:bidi="ar-SA"/>
        </w:rPr>
        <w:t xml:space="preserve">، لا يهمّنا التعرّض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هاهنا غيرها ، بل يطلق هاهنا باصطلاحٍ خاصّ بالاُصولي ؛ وهو الإمكان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يلزم من وقوعه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الإمكان الوقوعي باصطلاح أهل المعقول ؛ فإنّه مرادف للإمكان الاستعدادي كما عرّفوه به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في المقام ، أنّ التعبّد بالأمارات أو بمطلق الأحكام </w:t>
      </w:r>
      <w:bookmarkStart w:id="618" w:name="pg8033_81314"/>
    </w:p>
    <w:p>
      <w:pPr>
        <w:pStyle w:val="BookText"/>
        <w:rPr/>
      </w:pPr>
      <w:bookmarkEnd w:id="618"/>
      <w:r>
        <w:rPr>
          <w:rFonts w:ascii="Amiri" w:hAnsi="Amiri" w:eastAsia="Amiri" w:cs="Amiri"/>
          <w:color w:val="111111"/>
          <w:sz w:val="28"/>
          <w:sz w:val="28"/>
          <w:szCs w:val="28"/>
          <w:rtl w:val="true"/>
          <w:lang w:bidi="ar-SA"/>
        </w:rPr>
        <w:t xml:space="preserve">الظاهرية ، هل يلزم من وقوعه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ليس مقتضى أصل عقلي أو عقلائي ، ليرجع إليه عند الشكّ ، ولكن لو لم يدلّ دليل عقلي على امتناع التعبّد بالأحكام الظاهرية ، فلا محيص عن أخذ ظواهر الأدلّة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الامتناع وعدم الدليل على الإمكان ، لا يوجب جواز رفع اليد عن الحجج الظاهرية والأدلّة المعتبرة الدالّة على حجّية الأمارات والاُصول ولزوم التعبّد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 دليل على الإمكان هو الوقوع ، فوقوع التعبّد بها شرعاً يكشف عن الإمكان</w:t>
      </w:r>
      <w:r>
        <w:rPr>
          <w:rStyle w:val="FootnoteAnchor"/>
          <w:rtl w:val="true"/>
        </w:rPr>
        <w:footnoteReference w:id="526"/>
      </w:r>
      <w:r>
        <w:rPr>
          <w:rFonts w:ascii="Amiri" w:hAnsi="Amiri" w:eastAsia="Amiri" w:cs="Amiri"/>
          <w:color w:val="111111"/>
          <w:sz w:val="28"/>
          <w:sz w:val="28"/>
          <w:szCs w:val="28"/>
          <w:rtl w:val="true"/>
          <w:lang w:bidi="ar-SA"/>
        </w:rPr>
        <w:t xml:space="preserve">، فهو صحيح لو كان وقوع التعبّد بها قطعياً ، وليس كذلك ؛ لأنّ الأدلّة الدالّة عليه ظنّيات سنداً ، أو دلالة ، أو كليهما ، ومثلها لا تدلّ على الإمكان ، ولا تكشف عنه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الإمكان أمراً يمكن التعبّد به شرعاً ؛ فإنّه أمر عقلي ، لا أثر عملي </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7368625_1051229030"/>
      <w:bookmarkStart w:id="620" w:name="_Toc223"/>
      <w:bookmarkEnd w:id="619"/>
      <w:r>
        <w:rPr>
          <w:rtl w:val="true"/>
        </w:rPr>
        <w:t>استدلال ابن قبة لامتناع التعبّد بالأمارات</w:t>
      </w:r>
      <w:bookmarkEnd w:id="620"/>
    </w:p>
    <w:p>
      <w:pPr>
        <w:pStyle w:val="BookText"/>
        <w:rPr/>
      </w:pPr>
      <w:r>
        <w:rPr>
          <w:rFonts w:ascii="Amiri" w:hAnsi="Amiri" w:eastAsia="Amiri" w:cs="Amiri"/>
          <w:color w:val="111111"/>
          <w:sz w:val="28"/>
          <w:sz w:val="28"/>
          <w:szCs w:val="28"/>
          <w:rtl w:val="true"/>
          <w:lang w:bidi="ar-SA"/>
        </w:rPr>
        <w:t>ثمّ إنّ ابن قبة قد استدلّ على الامتناع بدليلين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التعبّد بخبر الواحد في الإخبار عن النبي صلی الله علیه و آله وسلم ، لجاز التعبّد به في الإخبار عن اللّه تعالى ، والثاني باطل إجماعاً ، فكذا الأوّل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إخبار المُتنبّي عن اللّه تعالى بأحكام شريعته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لو كان قبول قول المتنبّي تعبّداً من غير دليل ، فنمنع الملازمة ؛ لعدم الملازمة بين جواز التعبّد بخبر الواحد في الإخبار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قيام 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جواز التعبّد في الإخبار عن اللّه مع فقد الدليل على 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المقصود قبول قوله مع قيام دليل قطعي عليه ، فنمنع بطلان التالي ، وليست المسألة بكلا شقّيها إجماعية ، بل هي أمر عقلي ، يدلّ على عدم قبول قول المتنبّي بلا دليل ، وقبول قوله مع الدليل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التعبّد في الإخبار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التعبّد من قِبَل النبي الثابت النبوّة بالنسبة لإخبار شخصٍ مدّعٍ للنبوّة ، أو شخصٍ غير مدّعٍ لها ، بل مخبر عنه بواسطة صفاء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الفرض الأوّل ، فعدم وقوعه لقيام الضرورة على ختم النبوّة ، فلا ملازمة بين التعبّد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عقلاً وإن لم يثبت وقوعه ، ولا ملازمة أيضاً بين عدم وقوعه أو عدم ثبوت وقوعه ، مع عدم وقوع التعبّد بالأمارات أو مطلق الأحكام الظاهرية ، فهذا الدليل لا يرجع إلى محصّل معتدٍّ به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التعبّد بها تفويت المصلحة ، والإيقاع في المفسدة ، والجمع بين المثلين والضدّين ، والجمع بين الإرادتين المتضادّتين ، وهذه كلّها مفاسد تحليل الحرام ، وتحريم الحلال المذكورين في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تفويت المصلحة والإيقاع في المفسدة ؛ أمّا على طريقية الأمارات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تأسيسية ، بل هي اُمور عقلائية أمضاها الشارع ، ومعلوم أنّ الأمارات عند العقلاء ليست إلاّ طريقاً إلى الواقع ، وكاشفات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إيجاب العمل بالأمارات والتعبّد بها ، إنّما هو فيما إذا فوّتت الأمارة المصلحة ، أو أوقعت في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جهل المكلّف بالأحكام الواقعية ؛ بحيث لو تركه الشارع على جهله يرى وقوعه في خلاف الواقع كثيراً ، ويرى أنّ في جعل الأمارة على الواقع إيصالاً له إليه ، أكثر ممّا لو تركه على حاله ، فلا قبح فيه ، وتخلّف الأمارة عن الواقع إذا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الإصابة ، وفي مقابل جعل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قليل ، في قبال الخير الكثير ، ولا يترك الخير الكثير لأجل الشرّ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وقوعه في الخلاف أيضاً ، من تبعات جهله ، لا من تبعات التعبّد بالأمارة ، وعدم القبح في هذه الصورة إنّما هو بحسب تشخيص الشارع كثرة الإصابة وقلّة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المكلّف يرى انفتاح باب علمه إلى الواقع ، وتوهّم أنّ التعبّد بالأمارة موجب لصرفه عن علمه بالواقع ، ورأى الشارع أ نّه جاهل مركّب ، فلا يكون تعبّده بالأمارة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انفتاح باب العلم حقيقة ، وأنّ التعبّد بالأمارات موجب لتفويت المصلحة ، والإيقاع في المفسدة ، يكون التعبّد بها قبيحاً ، لكنّه فرضٌ صِرفٌ لا واقع له ، هذا كلّه على الطريقية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الموضوعية والسببية ، فهي على 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حكم مشترك بين الجاهل والعالم متعلّق بالعناوين الواقعية ، وكون الحكم تابعاً لقيام الأمارة لأجل مصلحة حاصلة للمتعلّق بواسطة قيامها ، وهذا تصويب باطل مجمع على بطلانه ، والأخبار متواترة على بطلانه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الواقع ذا حكمٍ مشتركٍ بين المكلّفين ، مع تقيّده بعدم قيام الأمارة على خلافه ، وأمّا مع قيامها فيكون الحكم تابعاً للأمارة ؛ لغلبة مصلحة مؤدّى الأمارة على مصلحة الواقع ، وهذا أيضاً تصويب باطل بالأخبار والإجماع ، وإن لم يكن وضوحه كالأوّل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لقيام الأمارة تأثير في الفعل ، ولا تحدث فيه مصلحة بقيامها ، بل يكون لسلوك الأمارة أو الأمر بسلوكها مصلحة ، يتدارك بها ما فوّت على المكلّف من مصلحة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في هذا المقام المذكور ، فإنّ في النسخة المطبوعة أوّلاً في حدود سنة مائتين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سلوك الأمارة مصلحةً كذائية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النسخة المطبوعة في حدود سنة ثمانين قريباً من وفاة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الأمر بالعمل على طبق الأمارة مصلحةً كذائية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مسلك الشيخ كان أوّلاً مطابقاً للنسخة الاُولى ، فأشكل بعض تلامذته عليه ، فأمر بتغيير العبارة بما في النسخة الثانية ، ووجه الإشكال غير معلوم ولا مذكور في كلامه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نناقش في كلا المسلكين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الأمر بالسلوك ذا مصلحة جابرة ، من غير أن تكون في المأمور به مصلحة ، كما تكرّر نظيره في كلمات المحقّق الخراساني</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غير معقولٍ ؛ فإنّ الأمر وِزانه وزان الإرادة التكوينية في عدم النفسية له ، وكونِه فانياً في المأمور به ، ويتوسّل به إليه ، من غير أن يكون ملحوظاً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الإرادة بالنسبة إلى المراد كذلك ، فلا يمكن أن تتحقّق الإرادة لمصلحة في نفسها ؛ لعدم النفسية لها ، وكذا لا يمكن أن يتحقّق الأمر لمصلحة فيه ، وهكذا النهي ، فإذا انسلخ الأمر عن كونه آلة للتوسّل إلى المأمور به ، وكانت له نفسية ملحوظة ، يخرج عن كونه أمراً ، وكذلك النهي ، فلا يعقل أن يكون الأمر أو النهي لمصلحة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يمكن أن تكون تلك المصلحة القائمة بنفس الأمر الغير المربوطة بالمكلّف ، جابرة للمصلحة الفائتة عليه ، فأيّة مناسبة بين المصلحة في الأمر ، والمصلحة في الواقع حتّى تكون الاُولى جابرة للثانية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نفس سلوك الأمارة ذا مصلحة 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سلوكها ليس إلاّ العمل بمؤدّاها على أ نّه مؤدّى الأمارة ، فلو فرض وجوب شيءٍ ، فأدّت الأمارة إلى حرمته ، فلازم هذا المبنى أن يكون في ترك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جابرة لمصلحة الواقع ، مع عدم تعقّل كون العدم ذا مصلحة أو مفسدة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النهي عن الشيء ، إنّما ينشأ عن مفسدة العمل ، والنهي هو الزجر عن العمل لمفسدة فيه ، لا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Style w:val="FootnoteAnchor"/>
          <w:rtl w:val="true"/>
        </w:rPr>
        <w:footnoteReference w:id="531"/>
      </w:r>
      <w:r>
        <w:rPr>
          <w:rFonts w:ascii="Amiri" w:hAnsi="Amiri" w:eastAsia="Amiri" w:cs="Amiri"/>
          <w:color w:val="111111"/>
          <w:sz w:val="28"/>
          <w:sz w:val="28"/>
          <w:szCs w:val="28"/>
          <w:rtl w:val="true"/>
          <w:lang w:bidi="ar-SA"/>
        </w:rPr>
        <w:t xml:space="preserve">ولازم ذلك أن تجتمع في الفعل مصلحة ومفسدة ، ويكون ترك المفسدة جابراً لمصلحة الفعل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أدّت الأمارة إلى استحباب ما هو واجب واقعاً ، فلازم هذا المسلك أن يصير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المصلحة الغير التامّة العائدة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لرفع الوجوب ، مع عدم تعقّل أن يصير الواجب لأجل تزايد المصلحة الغير الملزمة ، خارجاً عن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أدّت إلى كراهة ما هو الواجب ، يلزم أن يخرج الواجب عن وجوبه ؛ لأجل مفسدة غير 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أدّت إلى إباحته ، يلزم أن يكون عدم اشتمال الفعل على المصلحة والمفسدة ، جابراً لمفسدة ترك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ما ذكر ما لو فرض كون الواقع حراماً ، وأدّت الأمارة إلى أمثال ما ذكر ، فتصحيح جعل الأمارات بمثل ذلك ممّا لا يمكن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الجمع بين المثلين ، فليست بمحذورٍ ؛ فإنّ التحقيق أنّ الأحكام ليس لها وجود خارجي في الموضوع ، حتّى يقرّر محذور اجتماع المثلين في الحكمين المتوجّهين إلى موضوعٍ واحد ؛ بأنّ المثلين مشتركان في الماهية ولوازمها ، واختلافهما إنّما يكون باختلاف الموضوع ، ومع عدم اختلافه لا تعدّد ، </w:t>
      </w:r>
    </w:p>
    <w:p>
      <w:pPr>
        <w:pStyle w:val="BookText"/>
        <w:rPr/>
      </w:pPr>
      <w:r>
        <w:rPr>
          <w:rFonts w:ascii="Amiri" w:hAnsi="Amiri" w:eastAsia="Amiri" w:cs="Amiri"/>
          <w:color w:val="111111"/>
          <w:sz w:val="28"/>
          <w:sz w:val="28"/>
          <w:szCs w:val="28"/>
          <w:rtl w:val="true"/>
          <w:lang w:bidi="ar-SA"/>
        </w:rPr>
        <w:t xml:space="preserve">حتّى تصحّح المثلية والامتياز ، ومع الامتياز يخرج عن اجتماع المثلين ؛ فإنّ كلّ ذلك للعرضين الحالّيْن في موضوعٍ ، والأحكام ليست من عوارض المتعلّقات بما أ نّها موجودات خارجية ؛ فإنّ الخارج ظرف سقوط الحكم ، ولا يعقل بقاؤه في الوجود الخارجي ؛ لأنّ البعث والتحريك إنّما هما لإتيان المتعلّق وإيجاده ، ولا يعقل بقاؤهما بعد الإتيان والإيجاد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الضدّين لأجل أنّ الأحكام متضادّات ، ليس بمحذورٍ أيضاً ؛ لعين ما ذكرنا في المثلين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المحذور الذي لا بدّ من جوابه ؛ هو لزوم اجتماع الإرادتين المتضادّتين في متعلّق واحد ؛ ضرورة امتناع تعلّق الإرادة الحتمية الوجوبية مع الإرادة الحتمية التحريمية ، أو الراجحة الاستحبابية ، أو التنزيهية ، أو الترخيصية ، على موضوعٍ واحد ، من مريدٍ واحد ، متوجّهة إلى مكلّف واحد ، في زمان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تصدّى بعض الأعاظم للجواب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يظهر من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الخراساني رحمه الله علیه في دفعه طرق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مراتب الأحكام ؛ أي الشأنية ، والإنشائية ، والفعلية ، والتنجيزية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التضادّ إنّما هو بين الأحكام الفعلية ، دون الإنشائية والشأنية ، وأنّ الأحكام الواقعية في مورد مخالفتها مع الأمارات ، إنّما تصير شأنية وإنشائية ، ويكون الحكم الفعلي ما أدّت إليه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لزوم التصويب وبطلانه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كما قام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حكمٍ مشتركٍ بين العالم والجاهل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قام الإجماع بل الضرورة على </w:t>
      </w:r>
    </w:p>
    <w:p>
      <w:pPr>
        <w:pStyle w:val="BookText"/>
        <w:rPr/>
      </w:pPr>
      <w:r>
        <w:rPr>
          <w:rFonts w:ascii="Amiri" w:hAnsi="Amiri" w:eastAsia="Amiri" w:cs="Amiri"/>
          <w:color w:val="111111"/>
          <w:sz w:val="28"/>
          <w:sz w:val="28"/>
          <w:szCs w:val="28"/>
          <w:rtl w:val="true"/>
          <w:lang w:bidi="ar-SA"/>
        </w:rPr>
        <w:t>عدم فعلية الأحكام الواقعية لكلّ من يشترك في الحكم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وجوب اتّباع الأمارة إذا كانت موافقة للحكم الواقعي لا يكون إلاّ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التخلّف يكون حكماً صورياً ، لا بعثاً وزجراً فعلياً ، فاختلف الحكمان بحسب الفعلية والإنشائية ، ورفع التضادّ بينهما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أيضاً ؛ وهو أنّ التعبّد بالأمارات إنّما هو بجعل الحجّية ، وليست الحجّية مستتبعة لأحكام تكليفية بحسب ما أدّى إليه الطريق ، بل لا تكون الأمارات إلاّ منجّزة للواقع في صورة الإصابة ، وموجبة لصحّة الاعتذار في صورة المخالفة ، فلا يلزم اجتماع الضدّين أو المثلين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 الإشكال بعض</w:t>
      </w:r>
      <w:r>
        <w:rPr>
          <w:rStyle w:val="FootnoteAnchor"/>
          <w:rtl w:val="true"/>
        </w:rPr>
        <w:footnoteReference w:id="535"/>
      </w:r>
      <w:r>
        <w:rPr>
          <w:rFonts w:ascii="Amiri" w:hAnsi="Amiri" w:eastAsia="Amiri" w:cs="Amiri"/>
          <w:color w:val="111111"/>
          <w:sz w:val="28"/>
          <w:sz w:val="28"/>
          <w:szCs w:val="28"/>
          <w:rtl w:val="true"/>
          <w:lang w:bidi="ar-SA"/>
        </w:rPr>
        <w:t xml:space="preserve">أعاظم تلامذة العلاّمة الميرزا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منه قدّس سرّه وقد شيّد أركانه هذا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الواقعية المتعلّقة بالموضوعات الواقعية ، لا يمكن إطلاقها بالنسبة إلى حال الشكّ في الحكم ؛ فإنّه من الحالات الطارئة للموضوع والمكلّفِ بعد تعلّق الحكم ، فلا يمكن الإطلاق والتقييد بالنسبة إليها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فموضوع الحكم الواقعي ، هو الذي لا يمكن فيه لحاظ الإطلاق والتقييد </w:t>
      </w:r>
    </w:p>
    <w:p>
      <w:pPr>
        <w:pStyle w:val="BookText"/>
        <w:rPr/>
      </w:pPr>
      <w:r>
        <w:rPr>
          <w:rFonts w:ascii="Amiri" w:hAnsi="Amiri" w:eastAsia="Amiri" w:cs="Amiri"/>
          <w:color w:val="111111"/>
          <w:sz w:val="28"/>
          <w:sz w:val="28"/>
          <w:szCs w:val="28"/>
          <w:rtl w:val="true"/>
          <w:lang w:bidi="ar-SA"/>
        </w:rPr>
        <w:t xml:space="preserve">بالنسبة إلى الحالات اللاحقة المتأخّرة عنه ، وموضوع الحكم الظاهري هو مشكوك الحكم بما هو مشكوك ، وهو متأخّر رتبة عن الذات ، ولا يمكن الجمع بينهما في اللحاظ ؛ فإنّ أحدهما ممّا يمتنع تقييده وإطلاقه بالنسبة إلى الشكّ ، والآخر ما يكون الشكّ موضوعاً له ، فتختلف رتبتهما ، ويرتفع التضادّ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الصواب في باب الترتّب ورفع التضادّ فيه ، هو اختلاف الرتبة ؛ فإنّ الأمر بالأهمّ لا يمكن إطلاقه بالنسبة إلى حال العصيان ؛ فإنّه من الحالات اللاحقة للحكم ، ولا يمكن تقييد الموضوع به ، ولا إطلاقه بالنسبة إليه ، والأمر بالمهمّ يكون متقيّداً بعصيان الأهمّ ، فهو متأخّر رتبة عن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رفع التضادّ في باب الضدّين باختلاف الرتبة ، فكذلك فيما نحن فيه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ولا يخفى ما فيه ؛ فإنّ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ذكره</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عبارة عن جعل الماهية آلة للحاظ الخصوصيات والحالات ، حتّى تكون ملحوظة ودخيلة في تعلّق الحكم ، بل حقيقته عبارة عن جعل الطبيعة تمام الموضوع للحكم ، خاليةً عن كافّة القيود والحالات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فموضوع وجوب الحجّ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ليس إلاّ المستطيع ، من غير دخالة شيءٍ من الحالات السابقة على تعلّق الحكم به ، أو اللاحقة له ، ومن غير لحاظ شيءٍ سوى نفس طبيعة المستطيع في موضوع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ليس آلة للحاظ شيءٍ من الحالات أو الخصوصيات ، بل معنى إطلاقه أ نّه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للحلّية ، ويكون تمام الموضوع لها هو البيع بما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عليه ، يكون الحكم المتعلّق بالموضوع المطلق ، محفوظاً مع الحالات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صلاة الجمعة ثابت لها مع الشكّ في وجوبها ، ومع العلم به ، كما أ نّه ثابت لها مع الحالات السابقة على تعلّق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فالإطلاق محفوظ مع الطوارئ السابقة على تعلّق الحكم واللاحقة له ؛ لما عرفت من أنّ معنى الإطلاق ليس عبارة عن لحاظ القيود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لحاظ الحالات المتأخّرة عن تعلّق الحكم ، بل هو عبارة عن كون الشيء موضوعاً للحكم ، من غير دخالة قيدٍ من القيود أو لحاظه ، والذات الموضوعة للحكم محفوظة مع كافّة الحالات السابقة واللاحقة ، من غير دخالتها في الحكم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الرتبة لا يرفع التضادّ ؛ لا فيما نحن فيه ، ولا في باب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صار اختلاف الرتبة مسبِّباً لدفع التضادّ ، لجاز فيما نحن فيه أن يتعلّق الوجوب بالموضوع ، والحرمة بمعلوم الوجوب ؛ لأنّ الشكّ في الحكم والعلم به كليهما من الحالات المتأخّرة ، ولجاز في باب الضدّين تقييد الأمر بالمهمّ بإطاعة أمر الأهمّ ؛ لأنّ الطاعة والمعصية أيضاً كلتيهما متأخّرتان عن تعلّق الحكم بالموضوع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الجواب عن إشكال التضادّ في باب الضدّين ، هو ما عرفت سابقاً</w:t>
      </w:r>
      <w:r>
        <w:rPr>
          <w:rStyle w:val="FootnoteAnchor"/>
          <w:rtl w:val="true"/>
        </w:rPr>
        <w:footnoteReference w:id="541"/>
      </w:r>
      <w:r>
        <w:rPr>
          <w:rFonts w:ascii="Amiri" w:hAnsi="Amiri" w:eastAsia="Amiri" w:cs="Amiri"/>
          <w:color w:val="111111"/>
          <w:sz w:val="28"/>
          <w:sz w:val="28"/>
          <w:szCs w:val="28"/>
          <w:rtl w:val="true"/>
          <w:lang w:bidi="ar-SA"/>
        </w:rPr>
        <w:t xml:space="preserve">وسيأتي الجواب عنه فيما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أجاب به المحقّق الخراساني رحمه الله علیه في تعليقته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شأنية الحكم الواقعي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تسليم انتزاع الحجّية عن الحكم التكليفي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حكم الأمارة لمّا كان طريقياً للتوسّل إلى الحكم الواقعي ، فمع المصادفة لا يكون إلاّ الحكم الواقعي ، ومع المخالفة يكون حكماً صورياً ، وإنّما حكم به لأجل عدم الامتياز بين صورة المصادفة وغيرها ، وإلاّ لا يحكم إلاّ على طبق ما هو المصادف لا 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فيمكن تصحيحهما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روح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تعلّقت بوجود الواجب الواقعي ، أو عدم المحرّم الواقعي ، وهذه الإرادة صارت سبباً للخطاب الواقعي ؛ ليتوسّل به إلى المطلوب ، أو إلى رفع المكروه ؛ أي أراد المولى بالخطاب انبعاث المكلّف نحو المطلوب ، أو انزجاره عن المكروه ، إلاّ أنّ الخطاب لا يمكن أن يؤثّر إلاّ في حال العلم به ؛ ضرورة عدم باعثيته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بمعنى أنّ إرادة وجود الفعل أو عدمه ناقصة ، بل بمعنى أنّ الخطاب مع كونه متعلّقاً بذات الفعل من غير تقييدٍ بالعلم والجهل ، ناقص عن بعث الجاهل ، لكنّ الإرادة متحقّقة في هذا الحال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قد يكون المطلوب بوجهٍ لا يرضى المولى بتركه مطلقاً ، فيأمر </w:t>
      </w:r>
    </w:p>
    <w:p>
      <w:pPr>
        <w:pStyle w:val="BookText"/>
        <w:rPr/>
      </w:pPr>
      <w:r>
        <w:rPr>
          <w:rFonts w:ascii="Amiri" w:hAnsi="Amiri" w:eastAsia="Amiri" w:cs="Amiri"/>
          <w:color w:val="111111"/>
          <w:sz w:val="28"/>
          <w:sz w:val="28"/>
          <w:szCs w:val="28"/>
          <w:rtl w:val="true"/>
          <w:lang w:bidi="ar-SA"/>
        </w:rPr>
        <w:t xml:space="preserve">بالاحتياط ؛ ليعلم المكلّف بالخطاب الاحتياطي ، ويتوسّل المولى لأجله إلى المطلوب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كذلك ، أو يرى في إيجاب الاحتياط محذوراً ، فيتوسّل إلى مراده بخطابٍ آخر غير إيجاب الاحتياط ؛ وهو جعل أمارة أو أمارات للتوسّل بها إلى المطلوب الواقعي ، فيأمر بمتابعة خبر الثقة أو أمارة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أيضاً خطاب طريقي توسّلي ، يتوسّل به إلى المطلوب الواقعي ، فإذا طابقت الأمارة الواقع ، لا يكون إلاّ الحكم الواقعي والإرادة الواقعية ، التي يكون الخطاب الأوّلي والخطاب الثانوي وسيلةً إلى تحصيل متعلّقها ، وإذا خالفته لا يكون الخطاب إلاّ صورياً ، كالقصد الضروري في الإرادة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لوحظت الإرادة المتوسّلة بالخطاب الواقعي لتحريك العبد نحو المطلوب ،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التي تتسبّب بالخطاب الواقعي الأوّلي لتحريك المكلّف ، شأنية في حال الجهل ، لا لقصور فيها ، بل لقصورٍ في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لوحظت الإرادة مطلقة ، وكان نطاق النظر أوسع من غير تقييدٍ بالخطاب الواقعي ،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الواقعية التي هي روح الحكم فعلية ، علم المكلّف بالخطاب الواقعي أو لا ، ولأجل فعليتها توسّل بالخطاب الثانوي ، وجعل الأمارة وسيلة إلى مراده الواقعي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التقريبين كليهما صحيحان ، وإن 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وأصحّ ؛ ضرورة عدم موجبٍ للحاظ الإرادة الواقعية متقيّدة بتسبّبها الخطاب الأوّلي ؛ لعدم دخالته فيها ، ضرورة عدم تقيّد الإرادة الواقعية التي صارت </w:t>
      </w:r>
      <w:bookmarkStart w:id="621" w:name="pg8033_81337"/>
    </w:p>
    <w:p>
      <w:pPr>
        <w:pStyle w:val="BookText"/>
        <w:rPr/>
      </w:pPr>
      <w:bookmarkEnd w:id="621"/>
      <w:r>
        <w:rPr>
          <w:rFonts w:ascii="Amiri" w:hAnsi="Amiri" w:eastAsia="Amiri" w:cs="Amiri"/>
          <w:color w:val="111111"/>
          <w:sz w:val="28"/>
          <w:sz w:val="28"/>
          <w:szCs w:val="28"/>
          <w:rtl w:val="true"/>
          <w:lang w:bidi="ar-SA"/>
        </w:rPr>
        <w:t xml:space="preserve">منشأً للخطاب ، بالتوسّل إلى تحصيل المراد بالخطاب ؛ فإنّ العلّة لا يعقل أن تتقيّد بمعلولها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من ترجيح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الحكم الواقعي على فعليته ، وعدم صيرورته شأنياً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إذا علم المكلّف بالأمارة المؤدّية إليه ، وأمّا مع جهله بالحكم الواقعي وبالخطاب الأوّلي والثانوي المتعلّق بالأمارة ، فلا تعقل فعليته ؛ ضرورة امتناع توجّه الإرادة ا لفعلية والحكم الفعلي لغاية بعث الجاهل المطلق </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7368627_1051229030"/>
      <w:bookmarkStart w:id="623" w:name="_Toc224"/>
      <w:bookmarkEnd w:id="622"/>
      <w:r>
        <w:rPr>
          <w:rtl w:val="true"/>
        </w:rPr>
        <w:t>في بيان ما هو المجعول في الأمارات الشرعية</w:t>
      </w:r>
      <w:bookmarkEnd w:id="623"/>
    </w:p>
    <w:p>
      <w:pPr>
        <w:pStyle w:val="BookText"/>
        <w:rPr/>
      </w:pPr>
      <w:r>
        <w:rPr>
          <w:rFonts w:ascii="Amiri" w:hAnsi="Amiri" w:eastAsia="Amiri" w:cs="Amiri"/>
          <w:color w:val="111111"/>
          <w:sz w:val="28"/>
          <w:sz w:val="28"/>
          <w:szCs w:val="28"/>
          <w:rtl w:val="true"/>
          <w:lang w:bidi="ar-SA"/>
        </w:rPr>
        <w:t xml:space="preserve">ثمّ إنّ ما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الحجّية</w:t>
      </w:r>
      <w:r>
        <w:rPr>
          <w:rStyle w:val="FootnoteAnchor"/>
          <w:rtl w:val="true"/>
        </w:rPr>
        <w:footnoteReference w:id="542"/>
      </w:r>
      <w:r>
        <w:rPr>
          <w:rFonts w:ascii="Amiri" w:hAnsi="Amiri" w:eastAsia="Amiri" w:cs="Amiri"/>
          <w:color w:val="111111"/>
          <w:sz w:val="28"/>
          <w:sz w:val="28"/>
          <w:szCs w:val="28"/>
          <w:rtl w:val="true"/>
          <w:lang w:bidi="ar-SA"/>
        </w:rPr>
        <w:t>وكذا ما ادّعى بعض الأعاظم من جعل الطريقية والوسطية في الإثبات والمحرزية</w:t>
      </w:r>
      <w:r>
        <w:rPr>
          <w:rStyle w:val="FootnoteAnchor"/>
          <w:rtl w:val="true"/>
        </w:rPr>
        <w:footnoteReference w:id="543"/>
      </w:r>
      <w:r>
        <w:rPr>
          <w:rFonts w:ascii="Amiri" w:hAnsi="Amiri" w:eastAsia="Amiri" w:cs="Amiri"/>
          <w:color w:val="111111"/>
          <w:sz w:val="28"/>
          <w:sz w:val="28"/>
          <w:szCs w:val="28"/>
          <w:rtl w:val="true"/>
          <w:lang w:bidi="ar-SA"/>
        </w:rPr>
        <w:t xml:space="preserve">ممّا لا يرجع شيء منها إلى محصّل ؛ فإنّ الحجّية وقاطعية العذر ، ليست إلاّ حكم العقل والعقلاء باستحقاق المكلّف للعقوبة في صورة مصادفة الطرق للواقع إذا ترك مؤدّاها ، وحكمهما بقبح مؤاخذته وعقوبته في صورة عدم المصادفة إذا عمل بها ، ومثله ليس بيد الجاعل ، ولا من الأحكام الوضعية القابلة للجعل ، كالولاية ، والحكومة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الطريقية والمحرزية والوسطية في الإثبات ، ليست قابلة للجعل ؛ فإنّ الظنّ كاشف ذاتاً عن الواقع كشفاً ناقصاً ، ولا يمكن جعل هذه الكاشفية </w:t>
      </w:r>
      <w:bookmarkStart w:id="624" w:name="pg8033_81339"/>
    </w:p>
    <w:p>
      <w:pPr>
        <w:pStyle w:val="BookText"/>
        <w:rPr/>
      </w:pPr>
      <w:bookmarkEnd w:id="624"/>
      <w:r>
        <w:rPr>
          <w:rFonts w:ascii="Amiri" w:hAnsi="Amiri" w:eastAsia="Amiri" w:cs="Amiri"/>
          <w:color w:val="111111"/>
          <w:sz w:val="28"/>
          <w:sz w:val="28"/>
          <w:szCs w:val="28"/>
          <w:rtl w:val="true"/>
          <w:lang w:bidi="ar-SA"/>
        </w:rPr>
        <w:t xml:space="preserve">الذاتية له ، ولا إعطاء كشفٍ آخر فوق هذا الكشف الذاتي له ، كما لا يمكن جعل الكاشفية 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ذكرنا في أوّل القطع</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الوسطية في الإثبات أجنبيّة عن باب حجّية الأمارات ، وأنّ الحجّية التي فيما نحن فيه غير الحجّية المنطقية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أصرّ على أنّ الأمارات التي بأيدينا كلّها عقلائية أمضاها الشارع</w:t>
      </w:r>
      <w:r>
        <w:rPr>
          <w:rStyle w:val="FootnoteAnchor"/>
          <w:rtl w:val="true"/>
        </w:rPr>
        <w:footnoteReference w:id="545"/>
      </w:r>
      <w:r>
        <w:rPr>
          <w:rFonts w:ascii="Amiri" w:hAnsi="Amiri" w:eastAsia="Amiri" w:cs="Amiri"/>
          <w:color w:val="111111"/>
          <w:sz w:val="28"/>
          <w:sz w:val="28"/>
          <w:szCs w:val="28"/>
          <w:rtl w:val="true"/>
          <w:lang w:bidi="ar-SA"/>
        </w:rPr>
        <w:t xml:space="preserve">ومع ذلك ذهب إلى جعل ما ذكر ممّا لا معنى معقول لها </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7368629_1051229030"/>
      <w:bookmarkStart w:id="626" w:name="_Toc225"/>
      <w:bookmarkEnd w:id="625"/>
      <w:r>
        <w:rPr>
          <w:rtl w:val="true"/>
        </w:rPr>
        <w:t>ظهور دليل الحكم الظاهري في الإجزاء</w:t>
      </w:r>
      <w:bookmarkEnd w:id="626"/>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الأحكام الظاهرية والواقعية ، إنّما هو في الوجوب والحرمة الواقعيين مع قيام دليل الحكم الظاهري على خلافهما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أدلّة الأحكام الظاهرية الحاكمة على أدلّة الأحكام الواقعية ، والموسّعة لنطاق المأمور به ، فقد مرّ الكلام فيها في مباحث الإجزاء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 نّه قذرٌ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حاكم على الأدلّة الدالّة على مانعية نجاسة ثوب المصلّي وبدنه من الصلاة ، أو الأدلّة الدالّة على شرطية الطهارة لها ، وهو ظاهر عرفاً في أنّ الصلاة مع الطهارة الظاهرية ، </w:t>
      </w:r>
    </w:p>
    <w:p>
      <w:pPr>
        <w:pStyle w:val="BookText"/>
        <w:rPr/>
      </w:pPr>
      <w:r>
        <w:rPr>
          <w:rFonts w:ascii="Amiri" w:hAnsi="Amiri" w:eastAsia="Amiri" w:cs="Amiri"/>
          <w:color w:val="111111"/>
          <w:sz w:val="28"/>
          <w:sz w:val="28"/>
          <w:szCs w:val="28"/>
          <w:rtl w:val="true"/>
          <w:lang w:bidi="ar-SA"/>
        </w:rPr>
        <w:t xml:space="preserve">مصداق للمأمور به ، ومسقطة لأمرها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صحيح مع عدم كشف الخلاف ، وأمّا معه فإطلاق أدلّة شرطية الطهارة الواقعية يحكم بوجوب الصلاة معها ؛ وذلك لأنّ المفروض أنّ دليل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المأتيّ به مصداقاً للمأمور به ، فبعد الإتيان بمصداقه لا يعقل بقاء الأمر ، ولا تجب على المكلّف في كلّ يومٍ إلاّ صلاة واحدة ، فالإعادة ممّا لا وجه لها ، بل المكشوف خلافه إنّما هو نفس الطهارة ، لا الآثار المترتّبة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ظهور الأدلّة في كون المأتيّ به مع الطهارة الظاهرية ، مصداقاً للمأمور به ، لا يعقل كشف خلاف ذلك ، فهو مصداق للمأمور به حتّى مع كشف كون الثوب أو البدن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الواقعي في طول الظاهري ، ورتبته مقدّمة عليه ، ولا يعقل تقييده به وتوسعته لأجله ؛ لأنّ الحاكم والمحكوم لا بدّ وأن يكونا في مرتبة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إطلاق دليل الحكم الظاهري ، وتسليم ظهوره في الإجزاء ، لا محيص من التصرّف في دليل الحكم الواقعي ، وتوسعة دائرة المأمور به ، وإلاّ لزم رفع اليد عن الحكم الظاهري ، أو إطلاقه بلا موجبٍ يوجبه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مفاد دليل الحكم الظاهري ، هو المعذورية لدى المخالفة ، فلا يفيد الإجزاء بعد الانكشاف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لجعل العذر فيما نحن فيه ؛ لأنّه لو انكشف الخلاف في الوقت ، فلم تتحقّق المخالفة بعدُ ، حتّى يكون الحكم الظاهري عذراً ؛ لبقاء وقت إطاعة </w:t>
      </w:r>
    </w:p>
    <w:p>
      <w:pPr>
        <w:pStyle w:val="BookText"/>
        <w:rPr/>
      </w:pPr>
      <w:r>
        <w:rPr>
          <w:rFonts w:ascii="Amiri" w:hAnsi="Amiri" w:eastAsia="Amiri" w:cs="Amiri"/>
          <w:color w:val="111111"/>
          <w:sz w:val="28"/>
          <w:sz w:val="28"/>
          <w:szCs w:val="28"/>
          <w:rtl w:val="true"/>
          <w:lang w:bidi="ar-SA"/>
        </w:rPr>
        <w:t xml:space="preserve">الحكم الواقعي ، والمفروض أنّ دليل الحكم الظاهري مطلق ؛ انكشف الخلاف في الوقت أو لا ، بل لا معنى لتقييده بعدم انكشاف الخلاف ؛ للزوم لغويته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ينكشف الخلاف إلى ما بعد الوقت ، فلا معنى لكون مفاده جعل العذر أيضاً ؛ لأنّ نفس دليل الحكم الظاهري أوقع المكلّف في المخالفة ؛ إذ لولا دليله لَحصّل المكلّف الطهارة الواقعية ، فلا معنى لكونه معذّراً بعد كونه موقعاً في المخالفة ، فلا يمكن الجمع بين الحكم الواقعي والظاهري ؛ بحمل الحكم الظاهري على جعل العذر أو جعل الحجّية ، فإنّه أيضاً ممّا لا معنى له فيما نحن فيه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التصرّف في الحكم الواقعي ؛ بحمله على الشأنية ، لكن فرق بين الالتزام بالشأنية في باب الإجزاء ، وفيما ذكرنا في الجمع بين الحكم الواقعي والظاهري ؛ فإنّ المكلّف في الثاني لمّا كان جاهلاً بالحكم الواقعي والخطاب المتعلّق به ، لا يعقل كون الخطاب باعثاً له ؛ لتوقّف باعثيته على العلم به ، فلا بدّ وأن يكون شأنياً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الأوّل ، فإنّ المكلّف يعلم بشرطية الطهارة في الصلاة ، ويمكن له تحصيل الطهارة الواقعية ، ومع ذلك جعل المولى الحكم الظاهري ، وأجاز الصلاة مع الطهارة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يقع الإشكال في جعل الحكم الظاهري مع إمكان تحصيل الشرط الواقعي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الواقعي وإن كان موجوداً ، فيكون اشتراط الصلاة بالطهارة الواقعية عن اقتضاء وملاك ، لكن مع الشكّ في الطهارة </w:t>
      </w:r>
    </w:p>
    <w:p>
      <w:pPr>
        <w:pStyle w:val="BookText"/>
        <w:rPr/>
      </w:pPr>
      <w:r>
        <w:rPr>
          <w:rFonts w:ascii="Amiri" w:hAnsi="Amiri" w:eastAsia="Amiri" w:cs="Amiri"/>
          <w:color w:val="111111"/>
          <w:sz w:val="28"/>
          <w:sz w:val="28"/>
          <w:szCs w:val="28"/>
          <w:rtl w:val="true"/>
          <w:lang w:bidi="ar-SA"/>
        </w:rPr>
        <w:t xml:space="preserve">يكون تحصيلها ملازماً لمشقّة زائدة على أصل التكليف ، فمصلحة التوسعة ورفع المشقّة عن العبد ، صارت مزاحمة لمصلحة التكليف بالطهارة الواقعية ، ولأجل رجحانها عليها رخّص في الصلاة مع الطهارة الظاهرية ، فمصلحة التسهيل على المكلّف صارت موجبة لجعل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الداعي إلى جعل الحكمين ، إذ لو جعل المانع عدم العلم بالنجاسة لكفى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ظهور الأدلّة في جعل الحكمين ، حتّى أنّ أدلّة الأحكام الظاهرية أيضاً دالّة على اشتراط الصلاة بالطهارة الواقعية ؛ لمكان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وبعد عدم إمكان رفع اليد عن الحكم الظاهري ، لا لمكان رواية عمّار الساباطي ، بل للسيرة المستمرّة القطعية القائمة على ترتيب آثار الطهارة على المشكوك فيه ؛ بحيث توجب القطع بكون هذا الحكم ثابتاً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الجواب عن هذا الإشكال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الممكن أن يكون إذن الشارع وأمره ، دخيلاً في الملاكات والمصالح الواقعية ، فالصلاة إنّما صارت معراج المؤمن ومقرّبة للعبد ، لا لاشتمالها ذاتاً على تلك الخصوصية أمر بها الشارع أو لا ، بل لأمر الشارع ، وكونها إطاعة لأمره ، ومحصّلة للعبودية ، فأمر الشارع وإذنه دخيل في الملاك والمصلحة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تعلّق الأمر بالأركان المخصوصة وبهذه الكيفية الخاصّة ؛ لترجيح وملاك </w:t>
      </w:r>
    </w:p>
    <w:p>
      <w:pPr>
        <w:pStyle w:val="BookText"/>
        <w:rPr/>
      </w:pPr>
      <w:r>
        <w:rPr>
          <w:rFonts w:ascii="Amiri" w:hAnsi="Amiri" w:eastAsia="Amiri" w:cs="Amiri"/>
          <w:color w:val="111111"/>
          <w:sz w:val="28"/>
          <w:sz w:val="28"/>
          <w:szCs w:val="28"/>
          <w:rtl w:val="true"/>
          <w:lang w:bidi="ar-SA"/>
        </w:rPr>
        <w:t xml:space="preserve">ومصلحة كائنة فيها ، لكنّها لم تكن تمام الملاك ، فالشارع أمر بتلك الأركان لرجحان ما فيها ، وأراد بأمره تمكين العبد من تحصيل تمام الملاك والمصلحة التامّة الملزمة الموجبة لقرب العبد ، وعروجه معراج الكمال ، فأمر أوّلاً بالصلاة ، وجعل شرطها الطهارة الواقعية ؛ لملاك 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مع الشرط الكذائي ، مكّن المكلّف من تحصيل المصلحة التامّة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المكلّف في طهارة لباسه ، صار موضوعاً لإذنه بإتيانها مع اللباس المشكوك فيه ؛ لملاك التسهيل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الإذن في هذا الموضوع ، يمكن أن يكون دخيلاً في تحصيل المصلحة التامّة ، ويكون الإذن ممكّناً للعبد من تحصيلها ، وقبل الشكّ لا يكون الموضوع محقّقاً ، بل يكون الحكم الواقعي ممكّناً له ، ومع الشكّ يكون الإذن وجعل الطهارة الظاهرية كذلك ، فجعل الحكمين الظاهري والواقعي ، ممّا لا مانع عقلي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وإن لم تكن مقرونة بدليل مثبت لها ، لكن مجرّد الإمكان كافٍ في لزوم الأخذ بظهور دليلي الحكم الواقعي والظاهري ؛ إذ لا ترفع اليد عن الظهور الحجّة إلاّ بدليل قاطع عقلي أو نقلي ، ومع هذا الاحتمال ترفع دعوى الامتناع ، فيجب الأخذ به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دليل الحكم الظاهري في الإجزاء ، يأتي في أدلّة الأمارات أيضاً طابق النعل بالنعل ؛ فإنّ ظاهر ما دلّ على وجوب العمل بقول الثقة أو جوازه ، هو صيرورة الصلاة مع الطهارة الظاهرية المخبر بها ، مصداقاً للصلاة المأمور بها ، فدليل حجّية الأمارات يوجب التوسعة في مصاديق </w:t>
      </w:r>
    </w:p>
    <w:p>
      <w:pPr>
        <w:pStyle w:val="BookText"/>
        <w:rPr/>
      </w:pPr>
      <w:r>
        <w:rPr>
          <w:rFonts w:ascii="Amiri" w:hAnsi="Amiri" w:eastAsia="Amiri" w:cs="Amiri"/>
          <w:color w:val="111111"/>
          <w:sz w:val="28"/>
          <w:sz w:val="28"/>
          <w:szCs w:val="28"/>
          <w:rtl w:val="true"/>
          <w:lang w:bidi="ar-SA"/>
        </w:rPr>
        <w:t xml:space="preserve">المأمور به ، كدليل الأصل من غير فرقٍ بينهما من هذه الجهة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العمل على طبق الحالة السابقة لدى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العمل على طبق 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دلالتهما على أنّ المأتيّ به مصداق للمأمور به ، وأنّ المكلّف مع الإتيان بمصداق المأمور به مع الطهارة الظاهرية ، ينال جميع الآثار المتوقّعة من إتيان المأمور به ؛ من المثوبات الاُخروية ، وعدم وجوب القضاء والإعادة ، كما ذكرناه مفصّلاً في مبحث الإجزاء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627" w:name="pg8033_81352"/>
    </w:p>
    <w:p>
      <w:pPr>
        <w:pStyle w:val="Heading2"/>
        <w:numPr>
          <w:ilvl w:val="1"/>
          <w:numId w:val="1"/>
        </w:numPr>
        <w:rPr/>
      </w:pPr>
      <w:bookmarkStart w:id="628" w:name="__RefHeading___Toc7368631_1051229030"/>
      <w:bookmarkStart w:id="629" w:name="_Toc226"/>
      <w:bookmarkEnd w:id="627"/>
      <w:bookmarkEnd w:id="628"/>
      <w:r>
        <w:rPr>
          <w:rtl w:val="true"/>
        </w:rPr>
        <w:t>الفهارس العامّة</w:t>
      </w:r>
      <w:bookmarkEnd w:id="629"/>
    </w:p>
    <w:p>
      <w:pPr>
        <w:pStyle w:val="Heading3"/>
        <w:numPr>
          <w:ilvl w:val="2"/>
          <w:numId w:val="1"/>
        </w:numPr>
        <w:rPr/>
      </w:pPr>
      <w:bookmarkStart w:id="630" w:name="__RefHeading___Toc7368633_1051229030"/>
      <w:bookmarkStart w:id="631" w:name="_Toc227"/>
      <w:bookmarkEnd w:id="630"/>
      <w:r>
        <w:rPr>
          <w:rtl w:val="true"/>
        </w:rPr>
        <w:t>الفهارس العامّة</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8033_81355"/>
      <w:bookmarkStart w:id="633" w:name="pg8033_81355"/>
      <w:bookmarkEnd w:id="633"/>
    </w:p>
    <w:p>
      <w:pPr>
        <w:pStyle w:val="Heading3"/>
        <w:numPr>
          <w:ilvl w:val="2"/>
          <w:numId w:val="1"/>
        </w:numPr>
        <w:rPr/>
      </w:pPr>
      <w:bookmarkStart w:id="634" w:name="pg8033_81355"/>
      <w:bookmarkStart w:id="635" w:name="__RefHeading___Toc7368635_1051229030"/>
      <w:bookmarkStart w:id="636" w:name="_Toc228"/>
      <w:bookmarkEnd w:id="634"/>
      <w:bookmarkEnd w:id="635"/>
      <w:r>
        <w:rPr/>
        <w:t>1</w:t>
      </w:r>
      <w:r>
        <w:rPr>
          <w:rtl w:val="true"/>
        </w:rPr>
        <w:t xml:space="preserve"> - </w:t>
      </w:r>
      <w:r>
        <w:rPr>
          <w:rtl w:val="true"/>
        </w:rPr>
        <w:t>فهرس الآيات الكريمة</w:t>
      </w:r>
      <w:bookmarkEnd w:id="636"/>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w:t>
      </w:r>
    </w:p>
    <w:p>
      <w:pPr>
        <w:pStyle w:val="BookText"/>
        <w:rPr/>
      </w:pP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w:t>
      </w:r>
    </w:p>
    <w:p>
      <w:pPr>
        <w:pStyle w:val="BookText"/>
        <w:rPr/>
      </w:pP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w:t>
      </w:r>
    </w:p>
    <w:p>
      <w:pPr>
        <w:pStyle w:val="BookText"/>
        <w:rPr/>
      </w:pPr>
      <w:r>
        <w:rPr>
          <w:rFonts w:ascii="Amiri" w:hAnsi="Amiri" w:eastAsia="Amiri" w:cs="Amiri"/>
          <w:color w:val="111111"/>
          <w:sz w:val="28"/>
          <w:sz w:val="28"/>
          <w:szCs w:val="28"/>
          <w:rtl w:val="true"/>
          <w:lang w:bidi="ar-SA"/>
        </w:rPr>
        <w:t>اسْتَطَاعَ إِلَيْهِ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لِلْمَلاَئِكَةِ اسْجُدُوا لاِدَمَ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لاَ تَسْجُدَ إِذْ أَمَرْتُكَ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فِى أَيْدِيهِمْ وَرَأَوْا أَ نَّهُمْ</w:t>
      </w:r>
    </w:p>
    <w:p>
      <w:pPr>
        <w:pStyle w:val="BookText"/>
        <w:rPr/>
      </w:pP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فِى أَيْدِيهِمْ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w:t>
      </w:r>
    </w:p>
    <w:p>
      <w:pPr>
        <w:pStyle w:val="BookText"/>
        <w:rPr/>
      </w:pPr>
      <w:r>
        <w:rPr>
          <w:rFonts w:ascii="Amiri" w:hAnsi="Amiri" w:eastAsia="Amiri" w:cs="Amiri"/>
          <w:color w:val="111111"/>
          <w:sz w:val="28"/>
          <w:sz w:val="28"/>
          <w:szCs w:val="28"/>
          <w:rtl w:val="true"/>
          <w:lang w:bidi="ar-SA"/>
        </w:rPr>
        <w:t>لِيَتَفَقَّهُوا فِى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p>
    <w:p>
      <w:pPr>
        <w:pStyle w:val="BookText"/>
        <w:rPr/>
      </w:pPr>
      <w:r>
        <w:rPr>
          <w:rFonts w:ascii="Amiri" w:hAnsi="Amiri" w:eastAsia="Amiri" w:cs="Amiri"/>
          <w:color w:val="111111"/>
          <w:sz w:val="28"/>
          <w:sz w:val="28"/>
          <w:szCs w:val="28"/>
          <w:rtl w:val="true"/>
          <w:lang w:bidi="ar-SA"/>
        </w:rPr>
        <w:t>لِتَكُونَ مِنَ الْمُنْذِرِينَ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أَقْصَى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 حِينٌ مِنَ</w:t>
      </w:r>
    </w:p>
    <w:p>
      <w:pPr>
        <w:pStyle w:val="BookText"/>
        <w:rPr/>
      </w:pPr>
      <w:r>
        <w:rPr>
          <w:rFonts w:ascii="Amiri" w:hAnsi="Amiri" w:eastAsia="Amiri" w:cs="Amiri"/>
          <w:color w:val="111111"/>
          <w:sz w:val="28"/>
          <w:sz w:val="28"/>
          <w:szCs w:val="28"/>
          <w:rtl w:val="true"/>
          <w:lang w:bidi="ar-SA"/>
        </w:rPr>
        <w:t xml:space="preserve">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خَلَقْنَا الاْءِنْسَانَ مِنْ نُطْفَةٍ أَمْشَاجٍ</w:t>
      </w:r>
    </w:p>
    <w:p>
      <w:pPr>
        <w:pStyle w:val="BookText"/>
        <w:rPr/>
      </w:pPr>
      <w:r>
        <w:rPr>
          <w:rFonts w:ascii="Amiri" w:hAnsi="Amiri" w:eastAsia="Amiri" w:cs="Amiri"/>
          <w:color w:val="111111"/>
          <w:sz w:val="28"/>
          <w:sz w:val="28"/>
          <w:szCs w:val="28"/>
          <w:rtl w:val="true"/>
          <w:lang w:bidi="ar-SA"/>
        </w:rPr>
        <w:t xml:space="preserve">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هَدَيْنَاهُ السَّبِيلَ إِمَّا شَاكِراً وَإِمَّا كَفُوراً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w:t>
      </w:r>
    </w:p>
    <w:p>
      <w:pPr>
        <w:pStyle w:val="BookText"/>
        <w:rPr/>
      </w:pP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637" w:name="pg8033_81363"/>
    </w:p>
    <w:p>
      <w:pPr>
        <w:pStyle w:val="Heading3"/>
        <w:numPr>
          <w:ilvl w:val="2"/>
          <w:numId w:val="1"/>
        </w:numPr>
        <w:rPr/>
      </w:pPr>
      <w:bookmarkStart w:id="638" w:name="__RefHeading___Toc7368637_1051229030"/>
      <w:bookmarkStart w:id="639" w:name="_Toc229"/>
      <w:bookmarkEnd w:id="637"/>
      <w:bookmarkEnd w:id="638"/>
      <w:r>
        <w:rPr/>
        <w:t>2</w:t>
      </w:r>
      <w:r>
        <w:rPr>
          <w:rtl w:val="true"/>
        </w:rPr>
        <w:t xml:space="preserve"> - </w:t>
      </w:r>
      <w:r>
        <w:rPr>
          <w:rtl w:val="true"/>
        </w:rPr>
        <w:t>فهرس الأحاديث الشريفة</w:t>
      </w:r>
      <w:bookmarkEnd w:id="639"/>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اُفطر يوماً من شهر رمضان أحبّ إليّ من أن يضرب عنقي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إنّ المرأة ترى الدم إلى خمسين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 كلّ ما أقوله فهو ممّا حدّثني أبي ، عن أبيه ، عن أبيه ، عن أبيه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إنّما أتى شيئاً حلالاً ، وليس بعاصٍ للّه ، إنّما عصى سيّده ، ولم يعصِ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حتّى تعلم أنّه قذرٌ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 بل أنا شافع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الماء الجاري لا ينجّسه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فاتته فريضة فليقضها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يبني على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يضرب على الجدار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640" w:name="pg8033_81367"/>
    </w:p>
    <w:p>
      <w:pPr>
        <w:pStyle w:val="Heading3"/>
        <w:numPr>
          <w:ilvl w:val="2"/>
          <w:numId w:val="1"/>
        </w:numPr>
        <w:rPr/>
      </w:pPr>
      <w:bookmarkStart w:id="641" w:name="__RefHeading___Toc7368639_1051229030"/>
      <w:bookmarkStart w:id="642" w:name="_Toc230"/>
      <w:bookmarkEnd w:id="640"/>
      <w:bookmarkEnd w:id="641"/>
      <w:r>
        <w:rPr/>
        <w:t>3</w:t>
      </w:r>
      <w:r>
        <w:rPr>
          <w:rtl w:val="true"/>
        </w:rPr>
        <w:t xml:space="preserve"> - </w:t>
      </w:r>
      <w:r>
        <w:rPr>
          <w:rtl w:val="true"/>
        </w:rPr>
        <w:t>فهرس أسماء المعصومين علیهم السلام</w:t>
      </w:r>
      <w:bookmarkEnd w:id="642"/>
    </w:p>
    <w:p>
      <w:pPr>
        <w:pStyle w:val="BookText"/>
        <w:rPr/>
      </w:pPr>
      <w:r>
        <w:rPr>
          <w:rFonts w:ascii="IRNazanin" w:hAnsi="IRNazanin" w:eastAsia="IRNazanin"/>
          <w:color w:val="111111"/>
          <w:sz w:val="28"/>
          <w:sz w:val="28"/>
          <w:szCs w:val="28"/>
          <w:rtl w:val="true"/>
          <w:lang w:bidi="fa-IR"/>
        </w:rPr>
        <w:t xml:space="preserve">النبي ، محمّد ، سيّد المرسلين ،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النبي</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إسماعيل،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8033_81371"/>
      <w:bookmarkStart w:id="644" w:name="pg8033_81371"/>
      <w:bookmarkEnd w:id="644"/>
    </w:p>
    <w:p>
      <w:pPr>
        <w:pStyle w:val="Heading3"/>
        <w:numPr>
          <w:ilvl w:val="2"/>
          <w:numId w:val="1"/>
        </w:numPr>
        <w:rPr/>
      </w:pPr>
      <w:bookmarkStart w:id="645" w:name="pg8033_81371"/>
      <w:bookmarkStart w:id="646" w:name="__RefHeading___Toc7368641_1051229030"/>
      <w:bookmarkStart w:id="647" w:name="_Toc231"/>
      <w:bookmarkEnd w:id="645"/>
      <w:bookmarkEnd w:id="646"/>
      <w:r>
        <w:rPr/>
        <w:t>4</w:t>
      </w:r>
      <w:r>
        <w:rPr>
          <w:rtl w:val="true"/>
        </w:rPr>
        <w:t xml:space="preserve"> - </w:t>
      </w:r>
      <w:r>
        <w:rPr>
          <w:rtl w:val="true"/>
        </w:rPr>
        <w:t>فهرس الأعلام</w:t>
      </w:r>
      <w:bookmarkEnd w:id="647"/>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 xml:space="preserve">ابن الشهيد الثاني، الحسن بن زين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ابن مالك،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أبو العبّاس بن سريج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بكر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 هاشم، عبدالسلام الجبّائي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اُسامة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الأصفهاني،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الأصفهاني، محمّد حسين بن عبدالرحيم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البصري،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بعض أساتيذنا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النهاوندي النجفي، علي بن فتح اللّه</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بعض أعاظم تلامذة العلاّمة الميرزا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الفشاركي، محمّد باقر بن محمّد جعفر</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الأعاظم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المتأخّرين من أعاظم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المحشّين على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علي بن إسماعيل</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المحقّقين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محمّد بن الحسين</w:t>
      </w:r>
    </w:p>
    <w:p>
      <w:pPr>
        <w:pStyle w:val="BookText"/>
        <w:rPr/>
      </w:pPr>
      <w:r>
        <w:rPr>
          <w:rFonts w:ascii="Amiri" w:hAnsi="Amiri" w:eastAsia="Amiri" w:cs="Amiri"/>
          <w:color w:val="111111"/>
          <w:sz w:val="28"/>
          <w:sz w:val="28"/>
          <w:szCs w:val="28"/>
          <w:rtl w:val="true"/>
          <w:lang w:bidi="ar-SA"/>
        </w:rPr>
        <w:t>التفتازاني، سعد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 مسعود بن عمر</w:t>
      </w:r>
    </w:p>
    <w:p>
      <w:pPr>
        <w:pStyle w:val="BookText"/>
        <w:rPr/>
      </w:pPr>
      <w:r>
        <w:rPr>
          <w:rFonts w:ascii="Amiri" w:hAnsi="Amiri" w:eastAsia="Amiri" w:cs="Amiri"/>
          <w:color w:val="111111"/>
          <w:sz w:val="28"/>
          <w:sz w:val="28"/>
          <w:szCs w:val="28"/>
          <w:rtl w:val="true"/>
          <w:lang w:bidi="ar-SA"/>
        </w:rPr>
        <w:t xml:space="preserve">التفتازاني، مسعود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الخواجه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محمّد بن محمّد</w:t>
      </w:r>
    </w:p>
    <w:p>
      <w:pPr>
        <w:pStyle w:val="BookText"/>
        <w:rPr/>
      </w:pP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الخوانساري، الحسين بن محمّد</w:t>
      </w:r>
    </w:p>
    <w:p>
      <w:pPr>
        <w:pStyle w:val="BookText"/>
        <w:rPr/>
      </w:pPr>
      <w:r>
        <w:rPr>
          <w:rFonts w:ascii="Amiri" w:hAnsi="Amiri" w:eastAsia="Amiri" w:cs="Amiri"/>
          <w:color w:val="111111"/>
          <w:sz w:val="28"/>
          <w:sz w:val="28"/>
          <w:szCs w:val="28"/>
          <w:rtl w:val="true"/>
          <w:lang w:bidi="ar-SA"/>
        </w:rPr>
        <w:t xml:space="preserve">الرشتي، حبيب اللّه بن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رضي الدين الأسترآبادي،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السبزواري، هادي بن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علي بن محمّد</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 البهائي،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محمّدتقي</w:t>
      </w:r>
    </w:p>
    <w:p>
      <w:pPr>
        <w:pStyle w:val="BookText"/>
        <w:rPr/>
      </w:pPr>
      <w:r>
        <w:rPr>
          <w:rFonts w:ascii="Amiri" w:hAnsi="Amiri" w:eastAsia="Amiri" w:cs="Amiri"/>
          <w:color w:val="111111"/>
          <w:sz w:val="28"/>
          <w:sz w:val="28"/>
          <w:szCs w:val="28"/>
          <w:rtl w:val="true"/>
          <w:lang w:bidi="ar-SA"/>
        </w:rPr>
        <w:t>صاحب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 بن عبدالرحيم</w:t>
      </w:r>
    </w:p>
    <w:p>
      <w:pPr>
        <w:pStyle w:val="BookText"/>
        <w:rPr/>
      </w:pPr>
      <w:r>
        <w:rPr>
          <w:rFonts w:ascii="Amiri" w:hAnsi="Amiri" w:eastAsia="Amiri" w:cs="Amiri"/>
          <w:color w:val="111111"/>
          <w:sz w:val="28"/>
          <w:sz w:val="28"/>
          <w:szCs w:val="28"/>
          <w:rtl w:val="true"/>
          <w:lang w:bidi="ar-SA"/>
        </w:rPr>
        <w:t>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الثاني، الحسن بن زين الدين</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ضياء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الفشاركي، محمّد باقر بن محمّد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القاضي عبدالجبّار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القزويني، علي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المحقّق الخوانساري، 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المحقّق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الأسترآبادي، محمّد بن حسن</w:t>
      </w:r>
    </w:p>
    <w:p>
      <w:pPr>
        <w:pStyle w:val="BookText"/>
        <w:rPr/>
      </w:pP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هادي بن مهدي</w:t>
      </w:r>
    </w:p>
    <w:p>
      <w:pPr>
        <w:pStyle w:val="BookText"/>
        <w:rPr/>
      </w:pPr>
      <w:r>
        <w:rPr>
          <w:rFonts w:ascii="Amiri" w:hAnsi="Amiri" w:eastAsia="Amiri" w:cs="Amiri"/>
          <w:color w:val="111111"/>
          <w:sz w:val="28"/>
          <w:sz w:val="28"/>
          <w:szCs w:val="28"/>
          <w:rtl w:val="true"/>
          <w:lang w:bidi="ar-SA"/>
        </w:rPr>
        <w:t xml:space="preserve">موسى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الميرزا الشيرازي، محمّد حسن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الميرزا القمّي، أبو القاسم بن محمّد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النهاوندي النجفي، علي بن فتح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8033_81382"/>
      <w:bookmarkStart w:id="649" w:name="pg8033_81382"/>
      <w:bookmarkEnd w:id="649"/>
    </w:p>
    <w:p>
      <w:pPr>
        <w:pStyle w:val="Heading3"/>
        <w:numPr>
          <w:ilvl w:val="2"/>
          <w:numId w:val="1"/>
        </w:numPr>
        <w:rPr/>
      </w:pPr>
      <w:bookmarkStart w:id="650" w:name="pg8033_81382"/>
      <w:bookmarkStart w:id="651" w:name="__RefHeading___Toc7368643_1051229030"/>
      <w:bookmarkStart w:id="652" w:name="_Toc232"/>
      <w:bookmarkEnd w:id="650"/>
      <w:bookmarkEnd w:id="651"/>
      <w:r>
        <w:rPr/>
        <w:t>5</w:t>
      </w:r>
      <w:r>
        <w:rPr>
          <w:rtl w:val="true"/>
        </w:rPr>
        <w:t xml:space="preserve"> - </w:t>
      </w:r>
      <w:r>
        <w:rPr>
          <w:rtl w:val="true"/>
        </w:rPr>
        <w:t>فهرس الكتب الواردة في المتن</w:t>
      </w:r>
      <w:bookmarkEnd w:id="652"/>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تعليقة المحقّق الخراساني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تقريرات بحث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الأنظار</w:t>
      </w:r>
    </w:p>
    <w:p>
      <w:pPr>
        <w:pStyle w:val="BookText"/>
        <w:rPr/>
      </w:pPr>
      <w:r>
        <w:rPr>
          <w:rFonts w:ascii="Amiri" w:hAnsi="Amiri" w:eastAsia="Amiri" w:cs="Amiri"/>
          <w:color w:val="111111"/>
          <w:sz w:val="28"/>
          <w:sz w:val="28"/>
          <w:szCs w:val="28"/>
          <w:rtl w:val="true"/>
          <w:lang w:bidi="ar-SA"/>
        </w:rPr>
        <w:t>تقريرات بحث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للمحقّق الحائري</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درر الفوائد للمحقّق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الذريعة إلى اُصول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الرسالة الشافعية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رسالة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الاُصول</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الاُصول</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للسيبويه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653" w:name="pg8033_81386"/>
    </w:p>
    <w:p>
      <w:pPr>
        <w:pStyle w:val="Heading3"/>
        <w:numPr>
          <w:ilvl w:val="2"/>
          <w:numId w:val="1"/>
        </w:numPr>
        <w:rPr/>
      </w:pPr>
      <w:bookmarkStart w:id="654" w:name="__RefHeading___Toc7368645_1051229030"/>
      <w:bookmarkStart w:id="655" w:name="_Toc233"/>
      <w:bookmarkEnd w:id="653"/>
      <w:bookmarkEnd w:id="654"/>
      <w:r>
        <w:rPr/>
        <w:t>6</w:t>
      </w:r>
      <w:r>
        <w:rPr>
          <w:rtl w:val="true"/>
        </w:rPr>
        <w:t xml:space="preserve"> - </w:t>
      </w:r>
      <w:r>
        <w:rPr>
          <w:rtl w:val="true"/>
        </w:rPr>
        <w:t>فهرس مصادر التحقيق</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مكتبة آية اللّه العظمى المرعشي النجفي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النائيني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ستارة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محمّد إبراهيم بن محمّد حسن الكافي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 مجلّدان ، طهران ، مكتبة المعتمدية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شيعة واُصولها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الإمام علي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أبي الوفاء الأفغاني ، الطبعة الاُولى ، مجلّدان ، بيروت ، دار الكتاب العلمية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الأمين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التعارف للمطبوعات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مالك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قم ، دفتر نشر نويد إسلام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محمّد بن النعمان العكبري البغدادي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الحسين اُستاد ولي وعلي أكبر الغفّاري ، قم ، الطبعة الثانية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الملكوت في شرح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نجمي الزنجاني ، الطبعة الثانية ، قم ، الرضيّ وبيدار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 الطبعة الحجرية ، مكتبة آية اللّه المرعشي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حبيب اللّه الرشتي ، الطبعة الحجرية ، مؤسّسة آل البيت علیهم السلام لإحياء التراث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النصيرية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بن سهلان الساوجي ، قم ، مدرسة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تعليق مصطفى الحسيني الدشتي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مرتضى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منشورات دار مكتبة الحياة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مولى علي بن مولى فتح اللّه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 دار الخلافة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قم ، مكتب الإعلام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 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النضيد في شرح منطق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شهاب الدين الحسيني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العاشرة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فرائد الاُصول أو الفوائد الرضوية على الفرائد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رضا بن محمّد هادي الهمداني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محمّد رضا الأنصاري القميّ ، الطبعة الاُولى ، قم ،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السبزواري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اُصول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الموسوي المعروف بالشريف المرتضى وعلم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أبو القاسم گرجي ، مجلّدان ، الطبعة الاُولى ، طهران ، مؤسّسه انتشارات و چاپ دانشگاه طهران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صادق آل بحر العلوم ، قم ، منشورات الشريف الرضيّ ، بالاُفست عن طبعة النجف الأشرف ، المطبعة الحيدرية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محمّد شاكر ، بيروت ، المكتبة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الموسوي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إسماعيليان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بهاء الدين محمّد بن الحسين بن عبد الصمد الحارثي العاملي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فارس حسون كريم ، الطبعة الاُولى ، مدرسة وليّ العصر علیه السلام العلمية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 الرحمان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بيروت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عقيل على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العقيلي الهمداني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الرابعة عشرة ، القاهرة ، المكتبة التجارية الكبرى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يوسف حسن عمر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تهران ، منشورات مؤسّسة الصادق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محمود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 انتشارات علميه إسلامية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العضدي على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الرحمان بن أحمد بن عبد الغفّار ، تصحيح أحمد رامز الشهير بشهري المدرّس بدار الخلافة ، إسلامبول ، مطبعة العالم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الكتبي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الرحمان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الشريف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بدرالدين النسعاني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قم ، منشورات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مصلح المشهور بقطب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الإلهام في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 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أكبر أسد عليزاده ، الطبعة الاُولى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القمّي ، الطبعة الاُولى ، مجلّدان ، 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دكتر عجيل جاسم النشمي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وزارة الأوقاف والشؤون الإسلامية دولة الكويت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شمس الدين ، الطبعة الاُولى ، طهران ، مؤسّسة الطبع والنشر ، وزارة الإرشاد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محمّد شريف الأخباري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رحمة اللّه الرحمتي الأراكي ، الطبعة الاُولى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من علم الاُصول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إسحاق ،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الشيخ إبراهيم رمضان ، الطبعة الثانية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أبو الحسن علي بن عبيداللّه بن بابويه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جلال الدين المحدّث اُرموي ، قم ، مكتبة آية اللّه المرعشي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الهادي الحكيم ، الطبعة الثانية ، مجلّدان ، قم ، مكتبة المفيد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والمجلّد الثاني ، طهران ،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عمرو بن عثمان بن قنبر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قم ، نشر أدب الحوزة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الأعلمي للمطبوعات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إسحاق إبراهيم بن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بيروت ، عالم الكتب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مصنّفات شيخ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هنرى كربن و سيد حسين نصر ، چاپ دوم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طهران ، مؤسسه مطالعات و تحقيقات فرهنگى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عادل أحمد عبد الموجود وعلي محمّد معوض ، 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المكتبة العصرية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مجلّدان ، قم ، انتشارات دار الذخائر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الرحموت شرح مسلم الثبوت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العلى محمّد بن نظام الدين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القاسم جعفر بن الحسن بن سعيد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الاُستادي ، الطبعة الثانية ، مشهد ، مجمع البحوث الإسلامية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بن جمال الدين محمّد الخوانساري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الاُولى ، جزءان في 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 قم ، مكتب الإعلام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الكلانتري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مجلّدان ، قم ، مجمع الفكر الإسلامي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المطوّل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الهروي مسعود بن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وبهامشه حاشية المير سيّد شريف ، قم ، مكتبة آية اللّه المرعشي النجفى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محمّد حسين الرضوي ، الطبعة الاُولى ، قم ، مؤسّسة آل البيت علیهم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جمال الدين الحسن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التحقيق ، الطبعة الحادي عشر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 الحجري مع حواشي سلطان العلماء وغيره ، قم ، منشورات الرضيّ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بن الطيّب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بيروت ، دار الكتب العلمية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مغني اللبيب عن كتب الأعاريب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أبو محمّد عبداللّه بن يوسف بن هشام الأنصاري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العلماء ، الطبعة الخامسة ، قم ، مكتبة سيّد الشهداء علیه 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صدر حتّى الآن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 الطبعة الاُولى ، مجلّدان ، قم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المنقذ من التقليد والمرشد إلى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الحمصّي ، تحقيق مؤسّسة النشر الإسلامي ، الطبعة الاُولى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بيروت ، دار 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حسينعلي المنتظري ، الطبعة الاُولى ، قم ، نشر تفكّر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النهاية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الإيرواني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الاُولى ، مجلّدان ، قم ، مكتب الإعلام الإسلامي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الوصول إلى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يوسف بن المطهّر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الإمام الصادق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قم ، مجمع الفكر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مكتبة آية 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وقاية الأذهان مع رسالتي سمطا اللآل في مسألتي الوضع والاستعمال وإماطة الغين عن استعمال العين في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المجد محمّد رضا بن محمّد حسين النجفي الأصفهاني ،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8033_81418"/>
      <w:bookmarkStart w:id="657" w:name="pg8033_81418"/>
      <w:bookmarkEnd w:id="657"/>
    </w:p>
    <w:p>
      <w:pPr>
        <w:pStyle w:val="Heading3"/>
        <w:numPr>
          <w:ilvl w:val="2"/>
          <w:numId w:val="1"/>
        </w:numPr>
        <w:rPr/>
      </w:pPr>
      <w:bookmarkStart w:id="658" w:name="pg8033_81418"/>
      <w:bookmarkStart w:id="659" w:name="__RefHeading___Toc7368647_1051229030"/>
      <w:bookmarkStart w:id="660" w:name="_Toc234"/>
      <w:bookmarkEnd w:id="658"/>
      <w:bookmarkEnd w:id="659"/>
      <w:r>
        <w:rPr/>
        <w:t>7</w:t>
      </w:r>
      <w:r>
        <w:rPr>
          <w:rtl w:val="true"/>
        </w:rPr>
        <w:t xml:space="preserve"> - </w:t>
      </w:r>
      <w:r>
        <w:rPr>
          <w:rtl w:val="true"/>
        </w:rPr>
        <w:t>فهرس الموضوعات</w:t>
      </w:r>
      <w:bookmarkEnd w:id="660"/>
    </w:p>
    <w:p>
      <w:pPr>
        <w:pStyle w:val="BookText"/>
        <w:rPr/>
      </w:pPr>
      <w:r>
        <w:rPr>
          <w:rFonts w:ascii="Amiri" w:hAnsi="Amiri" w:eastAsia="Amiri" w:cs="Amiri"/>
          <w:color w:val="111111"/>
          <w:sz w:val="28"/>
          <w:sz w:val="28"/>
          <w:szCs w:val="28"/>
          <w:rtl w:val="true"/>
          <w:lang w:bidi="ar-SA"/>
        </w:rPr>
        <w:t xml:space="preserve">مقدّمة بقلم آية اللّه العظمى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تحقيق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علم الاُصول وتعريفه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تمايز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تمايز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التحقيق في موضوع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حول أقسام الوضع والموضوع 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pStyle w:val="BookText"/>
        <w:rPr/>
      </w:pPr>
      <w:r>
        <w:rPr>
          <w:rFonts w:ascii="Amiri" w:hAnsi="Amiri" w:eastAsia="Amiri" w:cs="Amiri"/>
          <w:color w:val="111111"/>
          <w:sz w:val="28"/>
          <w:sz w:val="28"/>
          <w:szCs w:val="28"/>
          <w:rtl w:val="true"/>
          <w:lang w:bidi="ar-SA"/>
        </w:rPr>
        <w:t xml:space="preserve">و فيه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دليلا الأشاعرة على ثبوت الطلب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إذا كان مطلقاً هل يحمل على الوجوب أو الندب؟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ولابدّ قبل تحقيق المقام من تقديم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معنى الطلب الندبي والوجوبي وبيان ما به الافتراق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الطلب الندبي والوجوبي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الطلب على الإرادة دلالة 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فيما ينشأ به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استعمال الأمر في الندب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السلطانية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هاهنا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قصد التقرّب في متعلّق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تفصّيات عن عويصة أخذ قصد التقرّب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التحقيق في التفصّي عن عويصة أخذ قصد التقرّب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لابدّ لتوضيحه من تمهيد مقدّمات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أنحاء أخذ القصد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مقرّبية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الباعث نحو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في التعبّدية والتوصّلية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الواقعة عقيب الحظر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وقبل الخوض في المقصود لابدّ من تمهيد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فارق المسألة عن المرّة والتكرار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إذا عرفت ماذكرنا فالكلام يقع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مطلقاً عن التعبّد به ثانياً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الاضطرارية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وحدة الأمر أو تعدّده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الإتيان بالفرد الاضطراري يقتضي الإجزاء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 خارج عن مورد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بالمأمور به الظاهري هل يقتضي الإجزاء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يتمّ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بالمأمور به حسبما تقتضيه الاُصول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بالمأمور به حسبما تقتضيه الأمارات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تذييل استطرادي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الأحكام الواقعية والظاهرية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وقبل الخوض في المقصود نقدّم اُموراً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المسألة 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الداخلية والخارجية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مقدّمة الوجوب ، والواجب ، والصحّة ،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السبب ، والشرط ، وعدم المانع ، والمُعدّ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المقارن والمتقدّم والمتأخّر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المطلق والمشروط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المعلّق والمنجّز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فذلكة مرام صاحب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الأصلي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حكم الشكّ في النفسية والغيرية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المثوبات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التهيّئي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الواجب في باب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النزاع في 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الأصل عند الشكّ في الملازمة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حول استدلال القائلين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تحقيق الحال سيدعي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المسألة من المبادئ الأحكامية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التحقيق في مسألة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نقل كلام لتحقيق 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الآمر مع علمه بانتفاء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التخيير بين الأقلّ 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المطلب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بقي 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بالإطلاق فيما إذا شكّ في العينية والكفائية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أتى عدّة من المكلّفين بالمأمور به في عرض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الواجب باعتبارٍ إلى المطلق والموقّت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كون القضاء بأمر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متعلّق الأوامر والنواهي الطبائع أو الأفراد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 xml:space="preserve">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اختلاف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يتفرّع على كون النهي هو الزجر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قبل الخوض في المقصود لابدّ من تمهيد مقدّمات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المسألة من المبادئ الأحكامية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ابتناء النزاع على تعلّق الأحكام بالطبائع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الأساس لتقييد مورد النزاع بإحراز المناط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فيما استدلّ به للقول بالامتناع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دليل جواز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الملازمة بين القول بجواز الاجتماع وصحّة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جريان النزاع في العامّين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النزاع عند كون المنهيّ عنه أخصّ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النزاع بين أقسام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المجوّزين بوقوع العبادات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توسّط الأرض المغصوبة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الخروجية مقدّمة للكون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النهي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بيان معنى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الاتّصاف بالصحّة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بيان مسلكين في إثبات دلالة النهي على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النهي المتعلّق بالمعاملات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الفساد بفهم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دلالة النهي على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الدلالة على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معنى المفهوم عند القدماء والمتأخّرين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دلالة الكلام على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مجرّد التقييد لا يدلّ على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حول تعريفي المحقّقين الخراساني والنائيني للمفهوم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الجملة الشرطية على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بقي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المعنى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المفهوم انتفاء سنخ الحكم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الشرط واتّحاد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مفهوم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باقي المفاهيم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 xml:space="preserve">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النكرة واسم الجنس في سياق النفي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العامّ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سراية إجمال الخاصّ إلى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بقي هاهنا اُمور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بالعامّ إذا كان الخاصّ معلّلاً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العامّين من وجه المتنافيي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إحراز المصداق بالأصل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وهم وإزاحة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بأصالة العموم عند الشكّ بين التخصيص والتخصّص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التخصيص والتخصّص لإجمال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فتوى المشهور بالضمان في اليد المشكوكة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بالعامّ قبل الفحص عن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الخطابات الشفاهية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بالضمير الراجع إلى بعض أفراده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الكتاب بالخبر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w:t>
      </w:r>
    </w:p>
    <w:p>
      <w:pPr>
        <w:pStyle w:val="BookText"/>
        <w:rPr/>
      </w:pPr>
      <w:r>
        <w:rPr>
          <w:rFonts w:ascii="Amiri" w:hAnsi="Amiri" w:eastAsia="Amiri" w:cs="Amiri"/>
          <w:color w:val="111111"/>
          <w:sz w:val="28"/>
          <w:sz w:val="28"/>
          <w:szCs w:val="28"/>
          <w:rtl w:val="true"/>
          <w:lang w:bidi="ar-SA"/>
        </w:rPr>
        <w:t xml:space="preserve">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الإطلاق والتقييد ثبوتاً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إحراز الإطلاق في مقام الإثبات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الاستدلال على الإطلاق بدليل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ملخّص ما حقّقناه في معنى الإطلاق والتقييد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مقالة سلطان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إحراز كون المتكلّم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الاحتياج إلى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المقصد السادس</w:t>
      </w:r>
    </w:p>
    <w:p>
      <w:pPr>
        <w:pStyle w:val="BookText"/>
        <w:rPr/>
      </w:pPr>
      <w:r>
        <w:rPr>
          <w:rFonts w:ascii="Amiri" w:hAnsi="Amiri" w:eastAsia="Amiri" w:cs="Amiri"/>
          <w:color w:val="111111"/>
          <w:sz w:val="28"/>
          <w:sz w:val="28"/>
          <w:szCs w:val="28"/>
          <w:rtl w:val="true"/>
          <w:lang w:bidi="ar-SA"/>
        </w:rPr>
        <w:t>في بيان الأمارات المعتبرة عقلاً أو شرعاً</w:t>
      </w:r>
    </w:p>
    <w:p>
      <w:pPr>
        <w:pStyle w:val="BookText"/>
        <w:rPr/>
      </w:pPr>
      <w:r>
        <w:rPr>
          <w:rFonts w:ascii="Amiri" w:hAnsi="Amiri" w:eastAsia="Amiri" w:cs="Amiri"/>
          <w:color w:val="111111"/>
          <w:sz w:val="28"/>
          <w:sz w:val="28"/>
          <w:szCs w:val="28"/>
          <w:rtl w:val="true"/>
          <w:lang w:bidi="ar-SA"/>
        </w:rPr>
        <w:t xml:space="preserve">وقبل الخوض فيما هو المهمّ ، لا بأس بتقديم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تمهيدات لمباحث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يذكر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اُصولية مبحث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الشيخ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الحكم إلى الواقعي والظاهري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حالات المكلّف باعتبار وجود المنجّز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حجّية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الأمارة مقام القطع الموضوعي والطريقي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فيما استدلّ على قبح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مقالة المحقّق الخراساني في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صاحب الفصول رحمه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التكليف بالعلم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إسقاط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الغير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التعبّد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المراد بالإمكان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استدلال ابن قبة لامتناع التعبّد بالأمارات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بيان ما هو المجعول في الأمارات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ظهور دليل الحكم الظاهري في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واُصولها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باُصول الفقه ، 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 نّه توفّي في السفر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تأمّل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المنقذ من التقليد ، مقدّمة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بنسخة منها في مكتبة مؤسّسة الإمام الصادق عليه‌السلام في قم المقدّسة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بنسخة من هذا الكتاب في مكتبة مؤسّسة الإمام الصادق عليه‌السلام في قم المقدّسة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البصائر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نفس المحقّق القمّي رحمه‌الله في أسفل الصفحة ،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والمفروض أ نّا نتكلّم بعد فرض كونها أدلّة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قدس‌سره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يؤيّد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عمّا أفاده الاُستاذ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ما قبل الأخير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سيّدنا الاُستاذ في درسه ، ولكن الذي يخطر بالبال ، أنّ الحيثية المشتركةالذاتية السارية في جميع المسائل ، وإن كانت ممّا لا تنكر كما أفاده دام ظلّه ، إلاّ أنّه من الممكن فرض حيثية مشتركة ذاتية ، تكون أعمّ من الاُولى ؛ فإنّ حيثية الإنسان مثلاً في علم الإنسان ، تكون حيثية مشتركة ذاتية ، لازمة للحيثية الحيوانية ، ويدوّن العلم لأجلها كما في علم الحيوان ، فتكون الحيثية الإنسانية من المسائل ، فهذا الاختلاف الذي يجعل الحيثية تارة من المسائل ، واُخرى يجعلها موضوعاً للعلم ، إنّما نشأ من قِبَل أغراض المدوّنين الداعية للتدوين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رسالة الشافعي على تصريحه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بحث الشافعي عن حجّية الحجج ا لشرعية من الكتاب والسنّة وغيرهما ، ومنه يعلم أنّ موضوع علم الاُصول هو الحجّة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 الإمام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 المحقّق الرشتي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 حاشية السيّد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السيّد علي القزويني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أصل النسخة الخطّية 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أصل النسخة الخطّية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عمر خيّام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عرّبه السيّد الصافي النجفي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درى اللّه قِدماً بارتشافي للطِّلافإن أجتنبها ينقلب علمه جهلاً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فلاسفة الإشراق ، اُنظر مجموعة مصنّفات شيخ الإشراق ، المطارحات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ما قبل الأخير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 المحقّق الرشتي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الاُستاذ هذا التقرير من مجلس بحث صاحب الكفاية رحمه‌الله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فواتح الرحموت ، المطبوع بذيل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تقريرات المحقّق النائيني 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ووقت الإمساك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وما يناسبه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وما يناسبه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السيّد علي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المطارح إلى التفتازاني والمحقّق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ووقت الإمساك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ما بين المعقوفتين تتميماً للبحث من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في شرح الياقوت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اُصول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بدائع الأفكار ، المحقّق الرشتي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مابين المعقوفتين تتميماً للبحث من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بدائع الأفكار ، المحقّق الرشتي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الاثنا عشرية في الصلاة اليومية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المستصفى من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أبواب الصوم المندوب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الصوم المندوب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مواقيت الصلاة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اُنظر شرح العضدي على مختصر ابن 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مشهد مقدس ، روز آخر صيام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هامش الكتاب بخطّ المصنّف قدس‌سره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المستصفى من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سيأتي في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الماء المطلق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الطهارة، أبواب الماء المطلق،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المعتمد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تشريح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قسم المنطق ، الفنّ الثالث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وَلْيُوفُوا نُذُورَهُمْ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النذر والعهد ، أبواب النذر والعهد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المواقيت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المواقيت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اللمع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المعتمد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وكذاك عمر كواكب الأسحار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قصيدة للشاعر أبي الحسن التهامي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السيّد الشريف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ما قبل الأخير ،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الأخير ؛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 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 نّه جمع بين الدليلين</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درر الفوائد ،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 القوشجي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البارع السيّد محمّد الفشاركي طاب ثراه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3.jpeg"/><Relationship Id="rId42" Type="http://schemas.openxmlformats.org/officeDocument/2006/relationships/image" Target="media/image3.jpeg"/><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495.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66490</Words>
  <Characters>264903</Characters>
  <CharactersWithSpaces>329576</CharactersWithSpaces>
  <Paragraphs>2153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2026-08-27T13:57:44Z</dcterms:created>
  <dc:creator>ghaemiyeh.com</dc:creator>
  <dc:description/>
  <dc:language>en-US</dc:language>
  <cp:lastModifiedBy/>
  <dcterms:modified xsi:type="dcterms:W3CDTF">2026-08-27T17:27:58Z</dcterms:modified>
  <cp:revision>1</cp:revision>
  <dc:subject/>
  <dc:title>موسوعة الامام الخمینی قدس سرة الشریف المجلد 7 لمحات الاصول</dc:title>
</cp:coreProperties>
</file>

<file path=docProps/custom.xml><?xml version="1.0" encoding="utf-8"?>
<Properties xmlns="http://schemas.openxmlformats.org/officeDocument/2006/custom-properties" xmlns:vt="http://schemas.openxmlformats.org/officeDocument/2006/docPropsVTypes"/>
</file>