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استدلالیة فی کتاب شرائع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02863_105122903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50286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502867_1051229030">
            <w:r>
              <w:rPr>
                <w:webHidden/>
                <w:rStyle w:val="IndexLink"/>
                <w:rtl w:val="true"/>
              </w:rPr>
              <w:t>مقدمة المعهد</w:t>
            </w:r>
            <w:r>
              <w:rPr>
                <w:rStyle w:val="IndexLink"/>
                <w:rtl w:val="true"/>
              </w:rPr>
              <w:t>:</w:t>
              <w:tab/>
            </w:r>
            <w:r>
              <w:rPr>
                <w:rStyle w:val="IndexLink"/>
              </w:rPr>
              <w:t>9</w:t>
            </w:r>
          </w:hyperlink>
        </w:p>
        <w:p>
          <w:pPr>
            <w:pStyle w:val="Contents2"/>
            <w:tabs>
              <w:tab w:val="clear" w:pos="8743"/>
              <w:tab w:val="right" w:pos="9026" w:leader="dot"/>
            </w:tabs>
            <w:rPr/>
          </w:pPr>
          <w:hyperlink w:anchor="__RefHeading___Toc6502869_1051229030">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6502871_1051229030">
            <w:r>
              <w:rPr>
                <w:webHidden/>
                <w:rStyle w:val="IndexLink"/>
                <w:rtl w:val="true"/>
              </w:rPr>
              <w:t>مقدمة المؤلف</w:t>
            </w:r>
            <w:r>
              <w:rPr>
                <w:rStyle w:val="IndexLink"/>
                <w:rtl w:val="true"/>
              </w:rPr>
              <w:t>:</w:t>
              <w:tab/>
            </w:r>
            <w:r>
              <w:rPr>
                <w:rStyle w:val="IndexLink"/>
              </w:rPr>
              <w:t>13</w:t>
            </w:r>
          </w:hyperlink>
        </w:p>
        <w:p>
          <w:pPr>
            <w:pStyle w:val="Contents3"/>
            <w:tabs>
              <w:tab w:val="clear" w:pos="8459"/>
              <w:tab w:val="right" w:pos="9026" w:leader="dot"/>
            </w:tabs>
            <w:rPr/>
          </w:pPr>
          <w:hyperlink w:anchor="__RefHeading___Toc6502873_105122903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502875_1051229030">
            <w:r>
              <w:rPr>
                <w:webHidden/>
                <w:rStyle w:val="IndexLink"/>
                <w:rtl w:val="true"/>
              </w:rPr>
              <w:t>سيرة حياة المُحقَّق الحلّي قُدس سره وديباجة الكتاب</w:t>
            </w:r>
            <w:r>
              <w:rPr>
                <w:rStyle w:val="IndexLink"/>
                <w:rtl w:val="true"/>
              </w:rPr>
              <w:t>:</w:t>
              <w:tab/>
            </w:r>
            <w:r>
              <w:rPr>
                <w:rStyle w:val="IndexLink"/>
              </w:rPr>
              <w:t>19</w:t>
            </w:r>
          </w:hyperlink>
        </w:p>
        <w:p>
          <w:pPr>
            <w:pStyle w:val="Contents3"/>
            <w:tabs>
              <w:tab w:val="clear" w:pos="8459"/>
              <w:tab w:val="right" w:pos="9026" w:leader="dot"/>
            </w:tabs>
            <w:rPr/>
          </w:pPr>
          <w:hyperlink w:anchor="__RefHeading___Toc6502877_1051229030">
            <w:r>
              <w:rPr>
                <w:webHidden/>
                <w:rStyle w:val="IndexLink"/>
                <w:rtl w:val="true"/>
              </w:rPr>
              <w:t>القسم الأول</w:t>
            </w:r>
            <w:r>
              <w:rPr>
                <w:rStyle w:val="IndexLink"/>
                <w:rtl w:val="true"/>
              </w:rPr>
              <w:t xml:space="preserve">: </w:t>
            </w:r>
            <w:r>
              <w:rPr>
                <w:rStyle w:val="IndexLink"/>
                <w:rtl w:val="true"/>
              </w:rPr>
              <w:t>في العبادات</w:t>
            </w:r>
            <w:r>
              <w:rPr>
                <w:rStyle w:val="IndexLink"/>
                <w:rtl w:val="true"/>
              </w:rPr>
              <w:t>:</w:t>
              <w:tab/>
            </w:r>
            <w:r>
              <w:rPr>
                <w:rStyle w:val="IndexLink"/>
              </w:rPr>
              <w:t>27</w:t>
            </w:r>
          </w:hyperlink>
        </w:p>
        <w:p>
          <w:pPr>
            <w:pStyle w:val="Contents3"/>
            <w:tabs>
              <w:tab w:val="clear" w:pos="8459"/>
              <w:tab w:val="right" w:pos="9026" w:leader="dot"/>
            </w:tabs>
            <w:rPr/>
          </w:pPr>
          <w:hyperlink w:anchor="__RefHeading___Toc6502879_1051229030">
            <w:r>
              <w:rPr>
                <w:webHidden/>
                <w:rStyle w:val="IndexLink"/>
                <w:rtl w:val="true"/>
              </w:rPr>
              <w:t>كتاب الطهارة</w:t>
            </w:r>
            <w:r>
              <w:rPr>
                <w:rStyle w:val="IndexLink"/>
                <w:rtl w:val="true"/>
              </w:rPr>
              <w:tab/>
            </w:r>
            <w:r>
              <w:rPr>
                <w:rStyle w:val="IndexLink"/>
              </w:rPr>
              <w:t>31</w:t>
            </w:r>
          </w:hyperlink>
        </w:p>
        <w:p>
          <w:pPr>
            <w:pStyle w:val="Contents3"/>
            <w:tabs>
              <w:tab w:val="clear" w:pos="8459"/>
              <w:tab w:val="right" w:pos="9026" w:leader="dot"/>
            </w:tabs>
            <w:rPr/>
          </w:pPr>
          <w:hyperlink w:anchor="__RefHeading___Toc6502881_1051229030">
            <w:r>
              <w:rPr>
                <w:webHidden/>
                <w:rStyle w:val="IndexLink"/>
                <w:rtl w:val="true"/>
              </w:rPr>
              <w:t>توضيح التعريف</w:t>
            </w:r>
            <w:r>
              <w:rPr>
                <w:rStyle w:val="IndexLink"/>
                <w:rtl w:val="true"/>
              </w:rPr>
              <w:t>:</w:t>
              <w:tab/>
            </w:r>
            <w:r>
              <w:rPr>
                <w:rStyle w:val="IndexLink"/>
              </w:rPr>
              <w:t>33</w:t>
            </w:r>
          </w:hyperlink>
        </w:p>
        <w:p>
          <w:pPr>
            <w:pStyle w:val="Contents3"/>
            <w:tabs>
              <w:tab w:val="clear" w:pos="8459"/>
              <w:tab w:val="right" w:pos="9026" w:leader="dot"/>
            </w:tabs>
            <w:rPr/>
          </w:pPr>
          <w:hyperlink w:anchor="__RefHeading___Toc6502883_1051229030">
            <w:r>
              <w:rPr>
                <w:webHidden/>
                <w:rStyle w:val="IndexLink"/>
                <w:rtl w:val="true"/>
              </w:rPr>
              <w:t>أقسام الطهارة الشرعية</w:t>
            </w:r>
            <w:r>
              <w:rPr>
                <w:rStyle w:val="IndexLink"/>
                <w:rtl w:val="true"/>
              </w:rPr>
              <w:tab/>
            </w:r>
            <w:r>
              <w:rPr>
                <w:rStyle w:val="IndexLink"/>
              </w:rPr>
              <w:t>45</w:t>
            </w:r>
          </w:hyperlink>
        </w:p>
        <w:p>
          <w:pPr>
            <w:pStyle w:val="Contents3"/>
            <w:tabs>
              <w:tab w:val="clear" w:pos="8459"/>
              <w:tab w:val="right" w:pos="9026" w:leader="dot"/>
            </w:tabs>
            <w:rPr/>
          </w:pPr>
          <w:hyperlink w:anchor="__RefHeading___Toc6502885_1051229030">
            <w:r>
              <w:rPr>
                <w:webHidden/>
                <w:rStyle w:val="IndexLink"/>
                <w:rtl w:val="true"/>
              </w:rPr>
              <w:t>القسم الأول الوضوء</w:t>
            </w:r>
            <w:r>
              <w:rPr>
                <w:rStyle w:val="IndexLink"/>
                <w:rtl w:val="true"/>
              </w:rPr>
              <w:tab/>
            </w:r>
            <w:r>
              <w:rPr>
                <w:rStyle w:val="IndexLink"/>
              </w:rPr>
              <w:t>48</w:t>
            </w:r>
          </w:hyperlink>
        </w:p>
        <w:p>
          <w:pPr>
            <w:pStyle w:val="Contents3"/>
            <w:tabs>
              <w:tab w:val="clear" w:pos="8459"/>
              <w:tab w:val="right" w:pos="9026" w:leader="dot"/>
            </w:tabs>
            <w:rPr/>
          </w:pPr>
          <w:hyperlink w:anchor="__RefHeading___Toc6502887_1051229030">
            <w:r>
              <w:rPr>
                <w:webHidden/>
                <w:rStyle w:val="IndexLink"/>
                <w:rtl w:val="true"/>
              </w:rPr>
              <w:t>الأول</w:t>
            </w:r>
            <w:r>
              <w:rPr>
                <w:rStyle w:val="IndexLink"/>
                <w:rtl w:val="true"/>
              </w:rPr>
              <w:t xml:space="preserve">: </w:t>
            </w:r>
            <w:r>
              <w:rPr>
                <w:rStyle w:val="IndexLink"/>
                <w:rtl w:val="true"/>
              </w:rPr>
              <w:t>ما يجب لأجله الوضوء</w:t>
            </w:r>
            <w:r>
              <w:rPr>
                <w:rStyle w:val="IndexLink"/>
                <w:rtl w:val="true"/>
              </w:rPr>
              <w:t>:</w:t>
              <w:tab/>
            </w:r>
            <w:r>
              <w:rPr>
                <w:rStyle w:val="IndexLink"/>
              </w:rPr>
              <w:t>48</w:t>
            </w:r>
          </w:hyperlink>
        </w:p>
        <w:p>
          <w:pPr>
            <w:pStyle w:val="Contents3"/>
            <w:tabs>
              <w:tab w:val="clear" w:pos="8459"/>
              <w:tab w:val="right" w:pos="9026" w:leader="dot"/>
            </w:tabs>
            <w:rPr/>
          </w:pPr>
          <w:hyperlink w:anchor="__RefHeading___Toc6502889_1051229030">
            <w:r>
              <w:rPr>
                <w:webHidden/>
                <w:rStyle w:val="IndexLink"/>
                <w:rtl w:val="true"/>
              </w:rPr>
              <w:t>ما يجب لأجله الوضوء</w:t>
            </w:r>
            <w:r>
              <w:rPr>
                <w:rStyle w:val="IndexLink"/>
                <w:rtl w:val="true"/>
              </w:rPr>
              <w:t>:</w:t>
            </w:r>
            <w:r>
              <w:rPr>
                <w:rStyle w:val="IndexLink"/>
                <w:rtl w:val="true"/>
              </w:rPr>
              <w:t>أولاً</w:t>
            </w:r>
            <w:r>
              <w:rPr>
                <w:rStyle w:val="IndexLink"/>
                <w:rtl w:val="true"/>
              </w:rPr>
              <w:t xml:space="preserve">: </w:t>
            </w:r>
            <w:r>
              <w:rPr>
                <w:rStyle w:val="IndexLink"/>
                <w:rtl w:val="true"/>
              </w:rPr>
              <w:t>الصلاة الواجبة</w:t>
            </w:r>
            <w:r>
              <w:rPr>
                <w:rStyle w:val="IndexLink"/>
                <w:rtl w:val="true"/>
              </w:rPr>
              <w:t>:</w:t>
              <w:tab/>
            </w:r>
            <w:r>
              <w:rPr>
                <w:rStyle w:val="IndexLink"/>
              </w:rPr>
              <w:t>49</w:t>
            </w:r>
          </w:hyperlink>
        </w:p>
        <w:p>
          <w:pPr>
            <w:pStyle w:val="Contents3"/>
            <w:tabs>
              <w:tab w:val="clear" w:pos="8459"/>
              <w:tab w:val="right" w:pos="9026" w:leader="dot"/>
            </w:tabs>
            <w:rPr/>
          </w:pPr>
          <w:hyperlink w:anchor="__RefHeading___Toc6502891_1051229030">
            <w:r>
              <w:rPr>
                <w:webHidden/>
                <w:rStyle w:val="IndexLink"/>
                <w:rtl w:val="true"/>
              </w:rPr>
              <w:t>ثانياً</w:t>
            </w:r>
            <w:r>
              <w:rPr>
                <w:rStyle w:val="IndexLink"/>
                <w:rtl w:val="true"/>
              </w:rPr>
              <w:t xml:space="preserve">: </w:t>
            </w:r>
            <w:r>
              <w:rPr>
                <w:rStyle w:val="IndexLink"/>
                <w:rtl w:val="true"/>
              </w:rPr>
              <w:t>الطواف الواجب</w:t>
            </w:r>
            <w:r>
              <w:rPr>
                <w:rStyle w:val="IndexLink"/>
                <w:rtl w:val="true"/>
              </w:rPr>
              <w:t>:</w:t>
              <w:tab/>
            </w:r>
            <w:r>
              <w:rPr>
                <w:rStyle w:val="IndexLink"/>
              </w:rPr>
              <w:t>50</w:t>
            </w:r>
          </w:hyperlink>
        </w:p>
        <w:p>
          <w:pPr>
            <w:pStyle w:val="Contents3"/>
            <w:tabs>
              <w:tab w:val="clear" w:pos="8459"/>
              <w:tab w:val="right" w:pos="9026" w:leader="dot"/>
            </w:tabs>
            <w:rPr/>
          </w:pPr>
          <w:hyperlink w:anchor="__RefHeading___Toc6502893_1051229030">
            <w:r>
              <w:rPr>
                <w:webHidden/>
                <w:rStyle w:val="IndexLink"/>
                <w:rtl w:val="true"/>
              </w:rPr>
              <w:t>ثالثا</w:t>
            </w:r>
            <w:r>
              <w:rPr>
                <w:rStyle w:val="IndexLink"/>
                <w:rtl w:val="true"/>
              </w:rPr>
              <w:t>: (</w:t>
            </w:r>
            <w:r>
              <w:rPr>
                <w:rStyle w:val="IndexLink"/>
                <w:rtl w:val="true"/>
              </w:rPr>
              <w:t>أو لِمَسِّ كتابةِ القرآنِ إنْ وجب</w:t>
            </w:r>
            <w:r>
              <w:rPr>
                <w:rStyle w:val="IndexLink"/>
                <w:rtl w:val="true"/>
              </w:rPr>
              <w:t>):</w:t>
              <w:tab/>
            </w:r>
            <w:r>
              <w:rPr>
                <w:rStyle w:val="IndexLink"/>
              </w:rPr>
              <w:t>56</w:t>
            </w:r>
          </w:hyperlink>
        </w:p>
        <w:p>
          <w:pPr>
            <w:pStyle w:val="Contents3"/>
            <w:tabs>
              <w:tab w:val="clear" w:pos="8459"/>
              <w:tab w:val="right" w:pos="9026" w:leader="dot"/>
            </w:tabs>
            <w:rPr/>
          </w:pPr>
          <w:hyperlink w:anchor="__RefHeading___Toc6502895_1051229030">
            <w:r>
              <w:rPr>
                <w:webHidden/>
                <w:rStyle w:val="IndexLink"/>
                <w:rtl w:val="true"/>
              </w:rPr>
              <w:t>الثاني</w:t>
            </w:r>
            <w:r>
              <w:rPr>
                <w:rStyle w:val="IndexLink"/>
                <w:rtl w:val="true"/>
              </w:rPr>
              <w:t xml:space="preserve">: </w:t>
            </w:r>
            <w:r>
              <w:rPr>
                <w:rStyle w:val="IndexLink"/>
                <w:rtl w:val="true"/>
              </w:rPr>
              <w:t>ما يُندب لأجله الوضوء</w:t>
            </w:r>
            <w:r>
              <w:rPr>
                <w:rStyle w:val="IndexLink"/>
                <w:rtl w:val="true"/>
              </w:rPr>
              <w:t>:</w:t>
              <w:tab/>
            </w:r>
            <w:r>
              <w:rPr>
                <w:rStyle w:val="IndexLink"/>
              </w:rPr>
              <w:t>57</w:t>
            </w:r>
          </w:hyperlink>
        </w:p>
        <w:p>
          <w:pPr>
            <w:pStyle w:val="Contents3"/>
            <w:tabs>
              <w:tab w:val="clear" w:pos="8459"/>
              <w:tab w:val="right" w:pos="9026" w:leader="dot"/>
            </w:tabs>
            <w:rPr/>
          </w:pPr>
          <w:hyperlink w:anchor="__RefHeading___Toc6502897_1051229030">
            <w:r>
              <w:rPr>
                <w:webHidden/>
                <w:rStyle w:val="IndexLink"/>
                <w:rtl w:val="true"/>
              </w:rPr>
              <w:t>القسم الثاني الغُس</w:t>
            </w:r>
            <w:r>
              <w:rPr>
                <w:rStyle w:val="IndexLink"/>
                <w:rtl w:val="true"/>
              </w:rPr>
              <w:t>----</w:t>
            </w:r>
            <w:r>
              <w:rPr>
                <w:rStyle w:val="IndexLink"/>
                <w:rtl w:val="true"/>
              </w:rPr>
              <w:t>ل</w:t>
            </w:r>
            <w:r>
              <w:rPr>
                <w:rStyle w:val="IndexLink"/>
                <w:rtl w:val="true"/>
              </w:rPr>
              <w:tab/>
            </w:r>
            <w:r>
              <w:rPr>
                <w:rStyle w:val="IndexLink"/>
              </w:rPr>
              <w:t>58</w:t>
            </w:r>
          </w:hyperlink>
        </w:p>
        <w:p>
          <w:pPr>
            <w:pStyle w:val="Contents3"/>
            <w:tabs>
              <w:tab w:val="clear" w:pos="8459"/>
              <w:tab w:val="right" w:pos="9026" w:leader="dot"/>
            </w:tabs>
            <w:rPr/>
          </w:pPr>
          <w:hyperlink w:anchor="__RefHeading___Toc6502899_1051229030">
            <w:r>
              <w:rPr>
                <w:webHidden/>
                <w:rStyle w:val="IndexLink"/>
                <w:rtl w:val="true"/>
              </w:rPr>
              <w:t>الأول</w:t>
            </w:r>
            <w:r>
              <w:rPr>
                <w:rStyle w:val="IndexLink"/>
                <w:rtl w:val="true"/>
              </w:rPr>
              <w:t xml:space="preserve">: </w:t>
            </w:r>
            <w:r>
              <w:rPr>
                <w:rStyle w:val="IndexLink"/>
                <w:rtl w:val="true"/>
              </w:rPr>
              <w:t>الواجب</w:t>
            </w:r>
            <w:r>
              <w:rPr>
                <w:rStyle w:val="IndexLink"/>
                <w:rtl w:val="true"/>
              </w:rPr>
              <w:t>:</w:t>
              <w:tab/>
            </w:r>
            <w:r>
              <w:rPr>
                <w:rStyle w:val="IndexLink"/>
              </w:rPr>
              <w:t>58</w:t>
            </w:r>
          </w:hyperlink>
        </w:p>
        <w:p>
          <w:pPr>
            <w:pStyle w:val="Contents3"/>
            <w:tabs>
              <w:tab w:val="clear" w:pos="8459"/>
              <w:tab w:val="right" w:pos="9026" w:leader="dot"/>
            </w:tabs>
            <w:rPr/>
          </w:pPr>
          <w:hyperlink w:anchor="__RefHeading___Toc6502901_1051229030">
            <w:r>
              <w:rPr>
                <w:webHidden/>
                <w:rStyle w:val="IndexLink"/>
                <w:rtl w:val="true"/>
              </w:rPr>
              <w:t>ما يجب لأجله الغُسل</w:t>
            </w:r>
            <w:r>
              <w:rPr>
                <w:rStyle w:val="IndexLink"/>
                <w:rtl w:val="true"/>
              </w:rPr>
              <w:t>:</w:t>
              <w:tab/>
            </w:r>
            <w:r>
              <w:rPr>
                <w:rStyle w:val="IndexLink"/>
              </w:rPr>
              <w:t>59</w:t>
            </w:r>
          </w:hyperlink>
        </w:p>
        <w:p>
          <w:pPr>
            <w:pStyle w:val="Contents3"/>
            <w:tabs>
              <w:tab w:val="clear" w:pos="8459"/>
              <w:tab w:val="right" w:pos="9026" w:leader="dot"/>
            </w:tabs>
            <w:rPr/>
          </w:pPr>
          <w:hyperlink w:anchor="__RefHeading___Toc6502903_1051229030">
            <w:r>
              <w:rPr>
                <w:webHidden/>
                <w:rStyle w:val="IndexLink"/>
                <w:rtl w:val="true"/>
              </w:rPr>
              <w:t>الأول والثاني الثالث</w:t>
            </w:r>
            <w:r>
              <w:rPr>
                <w:rStyle w:val="IndexLink"/>
                <w:rtl w:val="true"/>
              </w:rPr>
              <w:t xml:space="preserve">: </w:t>
            </w:r>
            <w:r>
              <w:rPr>
                <w:rStyle w:val="IndexLink"/>
                <w:rtl w:val="true"/>
              </w:rPr>
              <w:t>ما كان لأحد الأمور الثلاثة المتقدمة</w:t>
            </w:r>
            <w:r>
              <w:rPr>
                <w:rStyle w:val="IndexLink"/>
                <w:rtl w:val="true"/>
              </w:rPr>
              <w:t>:</w:t>
              <w:tab/>
            </w:r>
            <w:r>
              <w:rPr>
                <w:rStyle w:val="IndexLink"/>
              </w:rPr>
              <w:t>59</w:t>
            </w:r>
          </w:hyperlink>
        </w:p>
        <w:p>
          <w:pPr>
            <w:pStyle w:val="Contents3"/>
            <w:tabs>
              <w:tab w:val="clear" w:pos="8459"/>
              <w:tab w:val="right" w:pos="9026" w:leader="dot"/>
            </w:tabs>
            <w:rPr/>
          </w:pPr>
          <w:hyperlink w:anchor="__RefHeading___Toc6502905_1051229030">
            <w:r>
              <w:rPr>
                <w:webHidden/>
                <w:rStyle w:val="IndexLink"/>
                <w:rtl w:val="true"/>
              </w:rPr>
              <w:t>الرابع</w:t>
            </w:r>
            <w:r>
              <w:rPr>
                <w:rStyle w:val="IndexLink"/>
                <w:rtl w:val="true"/>
              </w:rPr>
              <w:t xml:space="preserve">: </w:t>
            </w:r>
            <w:r>
              <w:rPr>
                <w:rStyle w:val="IndexLink"/>
                <w:rtl w:val="true"/>
              </w:rPr>
              <w:t>لدخول المساجد</w:t>
            </w:r>
            <w:r>
              <w:rPr>
                <w:rStyle w:val="IndexLink"/>
                <w:rtl w:val="true"/>
              </w:rPr>
              <w:t>:</w:t>
            </w:r>
            <w:r>
              <w:rPr>
                <w:rStyle w:val="IndexLink"/>
                <w:rtl w:val="true"/>
              </w:rPr>
              <w:t xml:space="preserve">تنقسم المساجدُ </w:t>
            </w:r>
            <w:r>
              <w:rPr>
                <w:rStyle w:val="IndexLink"/>
                <w:rtl w:val="true"/>
              </w:rPr>
              <w:t>-</w:t>
            </w:r>
            <w:r>
              <w:rPr>
                <w:rStyle w:val="IndexLink"/>
                <w:rtl w:val="true"/>
              </w:rPr>
              <w:t>من حيث جواز دخول المحدِث بالأكبر وعدم جوازه</w:t>
            </w:r>
            <w:r>
              <w:rPr>
                <w:rStyle w:val="IndexLink"/>
                <w:rtl w:val="true"/>
              </w:rPr>
              <w:t xml:space="preserve">- </w:t>
            </w:r>
            <w:r>
              <w:rPr>
                <w:rStyle w:val="IndexLink"/>
                <w:rtl w:val="true"/>
              </w:rPr>
              <w:t>إلى قسمين</w:t>
            </w:r>
            <w:r>
              <w:rPr>
                <w:rStyle w:val="IndexLink"/>
                <w:rtl w:val="true"/>
              </w:rPr>
              <w:t>:</w:t>
              <w:tab/>
            </w:r>
            <w:r>
              <w:rPr>
                <w:rStyle w:val="IndexLink"/>
              </w:rPr>
              <w:t>59</w:t>
            </w:r>
          </w:hyperlink>
        </w:p>
        <w:p>
          <w:pPr>
            <w:pStyle w:val="Contents3"/>
            <w:tabs>
              <w:tab w:val="clear" w:pos="8459"/>
              <w:tab w:val="right" w:pos="9026" w:leader="dot"/>
            </w:tabs>
            <w:rPr/>
          </w:pPr>
          <w:hyperlink w:anchor="__RefHeading___Toc6502907_1051229030">
            <w:r>
              <w:rPr>
                <w:webHidden/>
                <w:rStyle w:val="IndexLink"/>
                <w:rtl w:val="true"/>
              </w:rPr>
              <w:t>الخامس</w:t>
            </w:r>
            <w:r>
              <w:rPr>
                <w:rStyle w:val="IndexLink"/>
                <w:rtl w:val="true"/>
              </w:rPr>
              <w:t xml:space="preserve">: </w:t>
            </w:r>
            <w:r>
              <w:rPr>
                <w:rStyle w:val="IndexLink"/>
                <w:rtl w:val="true"/>
              </w:rPr>
              <w:t>لقراءة العزائم</w:t>
            </w:r>
            <w:r>
              <w:rPr>
                <w:rStyle w:val="IndexLink"/>
                <w:rtl w:val="true"/>
              </w:rPr>
              <w:t>:</w:t>
              <w:tab/>
            </w:r>
            <w:r>
              <w:rPr>
                <w:rStyle w:val="IndexLink"/>
              </w:rPr>
              <w:t>60</w:t>
            </w:r>
          </w:hyperlink>
        </w:p>
        <w:p>
          <w:pPr>
            <w:pStyle w:val="Contents3"/>
            <w:tabs>
              <w:tab w:val="clear" w:pos="8459"/>
              <w:tab w:val="right" w:pos="9026" w:leader="dot"/>
            </w:tabs>
            <w:rPr/>
          </w:pPr>
          <w:hyperlink w:anchor="__RefHeading___Toc6502909_1051229030">
            <w:r>
              <w:rPr>
                <w:webHidden/>
                <w:rStyle w:val="IndexLink"/>
                <w:rtl w:val="true"/>
              </w:rPr>
              <w:t>السادس</w:t>
            </w:r>
            <w:r>
              <w:rPr>
                <w:rStyle w:val="IndexLink"/>
                <w:rtl w:val="true"/>
              </w:rPr>
              <w:t xml:space="preserve">: </w:t>
            </w:r>
            <w:r>
              <w:rPr>
                <w:rStyle w:val="IndexLink"/>
                <w:rtl w:val="true"/>
              </w:rPr>
              <w:t>إذا بقي من الوقت قبل طلوع الفجر بمقدار ما يغتسلُ به المُجنبُ من يومٍ يجبُ صومُه</w:t>
            </w:r>
            <w:r>
              <w:rPr>
                <w:rStyle w:val="IndexLink"/>
                <w:rtl w:val="true"/>
              </w:rPr>
              <w:t>:</w:t>
              <w:tab/>
            </w:r>
            <w:r>
              <w:rPr>
                <w:rStyle w:val="IndexLink"/>
              </w:rPr>
              <w:t>61</w:t>
            </w:r>
          </w:hyperlink>
        </w:p>
        <w:p>
          <w:pPr>
            <w:pStyle w:val="Contents3"/>
            <w:tabs>
              <w:tab w:val="clear" w:pos="8459"/>
              <w:tab w:val="right" w:pos="9026" w:leader="dot"/>
            </w:tabs>
            <w:rPr/>
          </w:pPr>
          <w:hyperlink w:anchor="__RefHeading___Toc6502911_1051229030">
            <w:r>
              <w:rPr>
                <w:webHidden/>
                <w:rStyle w:val="IndexLink"/>
                <w:rtl w:val="true"/>
              </w:rPr>
              <w:t>السابع</w:t>
            </w:r>
            <w:r>
              <w:rPr>
                <w:rStyle w:val="IndexLink"/>
                <w:rtl w:val="true"/>
              </w:rPr>
              <w:t xml:space="preserve">: </w:t>
            </w:r>
            <w:r>
              <w:rPr>
                <w:rStyle w:val="IndexLink"/>
                <w:rtl w:val="true"/>
              </w:rPr>
              <w:t>لصوم المستحاضة إذا غمسَ دمُها القطنةَ</w:t>
            </w:r>
            <w:r>
              <w:rPr>
                <w:rStyle w:val="IndexLink"/>
                <w:rtl w:val="true"/>
              </w:rPr>
              <w:t>:</w:t>
              <w:tab/>
            </w:r>
            <w:r>
              <w:rPr>
                <w:rStyle w:val="IndexLink"/>
              </w:rPr>
              <w:t>64</w:t>
            </w:r>
          </w:hyperlink>
        </w:p>
        <w:p>
          <w:pPr>
            <w:pStyle w:val="Contents3"/>
            <w:tabs>
              <w:tab w:val="clear" w:pos="8459"/>
              <w:tab w:val="right" w:pos="9026" w:leader="dot"/>
            </w:tabs>
            <w:rPr/>
          </w:pPr>
          <w:hyperlink w:anchor="__RefHeading___Toc6502913_1051229030">
            <w:r>
              <w:rPr>
                <w:webHidden/>
                <w:rStyle w:val="IndexLink"/>
                <w:rtl w:val="true"/>
              </w:rPr>
              <w:t>الثاني</w:t>
            </w:r>
            <w:r>
              <w:rPr>
                <w:rStyle w:val="IndexLink"/>
                <w:rtl w:val="true"/>
              </w:rPr>
              <w:t xml:space="preserve">: </w:t>
            </w:r>
            <w:r>
              <w:rPr>
                <w:rStyle w:val="IndexLink"/>
                <w:rtl w:val="true"/>
              </w:rPr>
              <w:t>ما يُندب لأجله الغسل</w:t>
            </w:r>
            <w:r>
              <w:rPr>
                <w:rStyle w:val="IndexLink"/>
                <w:rtl w:val="true"/>
              </w:rPr>
              <w:t>:</w:t>
              <w:tab/>
            </w:r>
            <w:r>
              <w:rPr>
                <w:rStyle w:val="IndexLink"/>
              </w:rPr>
              <w:t>65</w:t>
            </w:r>
          </w:hyperlink>
        </w:p>
        <w:p>
          <w:pPr>
            <w:pStyle w:val="Contents3"/>
            <w:tabs>
              <w:tab w:val="clear" w:pos="8459"/>
              <w:tab w:val="right" w:pos="9026" w:leader="dot"/>
            </w:tabs>
            <w:rPr/>
          </w:pPr>
          <w:hyperlink w:anchor="__RefHeading___Toc6502915_1051229030">
            <w:r>
              <w:rPr>
                <w:webHidden/>
                <w:rStyle w:val="IndexLink"/>
                <w:rtl w:val="true"/>
              </w:rPr>
              <w:t>القسم الثالث التيمم</w:t>
            </w:r>
            <w:r>
              <w:rPr>
                <w:rStyle w:val="IndexLink"/>
                <w:rtl w:val="true"/>
              </w:rPr>
              <w:tab/>
            </w:r>
            <w:r>
              <w:rPr>
                <w:rStyle w:val="IndexLink"/>
              </w:rPr>
              <w:t>66</w:t>
            </w:r>
          </w:hyperlink>
        </w:p>
        <w:p>
          <w:pPr>
            <w:pStyle w:val="Contents3"/>
            <w:tabs>
              <w:tab w:val="clear" w:pos="8459"/>
              <w:tab w:val="right" w:pos="9026" w:leader="dot"/>
            </w:tabs>
            <w:rPr/>
          </w:pPr>
          <w:hyperlink w:anchor="__RefHeading___Toc6502917_1051229030">
            <w:r>
              <w:rPr>
                <w:webHidden/>
                <w:rStyle w:val="IndexLink"/>
                <w:rtl w:val="true"/>
              </w:rPr>
              <w:t>الأول</w:t>
            </w:r>
            <w:r>
              <w:rPr>
                <w:rStyle w:val="IndexLink"/>
                <w:rtl w:val="true"/>
              </w:rPr>
              <w:t xml:space="preserve">: </w:t>
            </w:r>
            <w:r>
              <w:rPr>
                <w:rStyle w:val="IndexLink"/>
                <w:rtl w:val="true"/>
              </w:rPr>
              <w:t>الواجب</w:t>
            </w:r>
            <w:r>
              <w:rPr>
                <w:rStyle w:val="IndexLink"/>
                <w:rtl w:val="true"/>
              </w:rPr>
              <w:t>:</w:t>
              <w:tab/>
            </w:r>
            <w:r>
              <w:rPr>
                <w:rStyle w:val="IndexLink"/>
              </w:rPr>
              <w:t>66</w:t>
            </w:r>
          </w:hyperlink>
        </w:p>
        <w:p>
          <w:pPr>
            <w:pStyle w:val="Contents3"/>
            <w:tabs>
              <w:tab w:val="clear" w:pos="8459"/>
              <w:tab w:val="right" w:pos="9026" w:leader="dot"/>
            </w:tabs>
            <w:rPr/>
          </w:pPr>
          <w:hyperlink w:anchor="__RefHeading___Toc6502919_1051229030">
            <w:r>
              <w:rPr>
                <w:webHidden/>
                <w:rStyle w:val="IndexLink"/>
                <w:rtl w:val="true"/>
              </w:rPr>
              <w:t>الغايةُ الأولى</w:t>
            </w:r>
            <w:r>
              <w:rPr>
                <w:rStyle w:val="IndexLink"/>
                <w:rtl w:val="true"/>
              </w:rPr>
              <w:t xml:space="preserve">: </w:t>
            </w:r>
            <w:r>
              <w:rPr>
                <w:rStyle w:val="IndexLink"/>
                <w:rtl w:val="true"/>
              </w:rPr>
              <w:t>الصلاةُ الواجبةُ عندَ تضيّقِ وقتِها</w:t>
            </w:r>
            <w:r>
              <w:rPr>
                <w:rStyle w:val="IndexLink"/>
                <w:rtl w:val="true"/>
              </w:rPr>
              <w:t>:</w:t>
              <w:tab/>
            </w:r>
            <w:r>
              <w:rPr>
                <w:rStyle w:val="IndexLink"/>
              </w:rPr>
              <w:t>66</w:t>
            </w:r>
          </w:hyperlink>
        </w:p>
        <w:p>
          <w:pPr>
            <w:pStyle w:val="Contents3"/>
            <w:tabs>
              <w:tab w:val="clear" w:pos="8459"/>
              <w:tab w:val="right" w:pos="9026" w:leader="dot"/>
            </w:tabs>
            <w:rPr/>
          </w:pPr>
          <w:hyperlink w:anchor="__RefHeading___Toc6502921_1051229030">
            <w:r>
              <w:rPr>
                <w:webHidden/>
                <w:rStyle w:val="IndexLink"/>
                <w:rtl w:val="true"/>
              </w:rPr>
              <w:t>الغاية الثانية</w:t>
            </w:r>
            <w:r>
              <w:rPr>
                <w:rStyle w:val="IndexLink"/>
                <w:rtl w:val="true"/>
              </w:rPr>
              <w:t xml:space="preserve">: </w:t>
            </w:r>
            <w:r>
              <w:rPr>
                <w:rStyle w:val="IndexLink"/>
                <w:rtl w:val="true"/>
              </w:rPr>
              <w:t>للجنب في أحدِ المسجدين ليخرج به</w:t>
            </w:r>
            <w:r>
              <w:rPr>
                <w:rStyle w:val="IndexLink"/>
                <w:rtl w:val="true"/>
              </w:rPr>
              <w:t>:</w:t>
              <w:tab/>
            </w:r>
            <w:r>
              <w:rPr>
                <w:rStyle w:val="IndexLink"/>
              </w:rPr>
              <w:t>66</w:t>
            </w:r>
          </w:hyperlink>
        </w:p>
        <w:p>
          <w:pPr>
            <w:pStyle w:val="Contents3"/>
            <w:tabs>
              <w:tab w:val="clear" w:pos="8459"/>
              <w:tab w:val="right" w:pos="9026" w:leader="dot"/>
            </w:tabs>
            <w:rPr/>
          </w:pPr>
          <w:hyperlink w:anchor="__RefHeading___Toc6502923_1051229030">
            <w:r>
              <w:rPr>
                <w:webHidden/>
                <w:rStyle w:val="IndexLink"/>
                <w:rtl w:val="true"/>
              </w:rPr>
              <w:t>غايات أخرى</w:t>
            </w:r>
            <w:r>
              <w:rPr>
                <w:rStyle w:val="IndexLink"/>
                <w:rtl w:val="true"/>
              </w:rPr>
              <w:t>:</w:t>
              <w:tab/>
            </w:r>
            <w:r>
              <w:rPr>
                <w:rStyle w:val="IndexLink"/>
              </w:rPr>
              <w:t>69</w:t>
            </w:r>
          </w:hyperlink>
        </w:p>
        <w:p>
          <w:pPr>
            <w:pStyle w:val="Contents3"/>
            <w:tabs>
              <w:tab w:val="clear" w:pos="8459"/>
              <w:tab w:val="right" w:pos="9026" w:leader="dot"/>
            </w:tabs>
            <w:rPr/>
          </w:pPr>
          <w:hyperlink w:anchor="__RefHeading___Toc6502925_1051229030">
            <w:r>
              <w:rPr>
                <w:webHidden/>
                <w:rStyle w:val="IndexLink"/>
              </w:rPr>
              <w:t>1</w:t>
            </w:r>
            <w:r>
              <w:rPr>
                <w:rStyle w:val="IndexLink"/>
                <w:rtl w:val="true"/>
              </w:rPr>
              <w:t xml:space="preserve">- </w:t>
            </w:r>
            <w:r>
              <w:rPr>
                <w:rStyle w:val="IndexLink"/>
                <w:rtl w:val="true"/>
              </w:rPr>
              <w:t>الطوافُ الواجبُ مع اليأسِ من الحصولِ على الطهارةِ المائية</w:t>
            </w:r>
            <w:r>
              <w:rPr>
                <w:rStyle w:val="IndexLink"/>
                <w:rtl w:val="true"/>
              </w:rPr>
              <w:t>:</w:t>
              <w:tab/>
            </w:r>
            <w:r>
              <w:rPr>
                <w:rStyle w:val="IndexLink"/>
              </w:rPr>
              <w:t>70</w:t>
            </w:r>
          </w:hyperlink>
        </w:p>
        <w:p>
          <w:pPr>
            <w:pStyle w:val="Contents3"/>
            <w:tabs>
              <w:tab w:val="clear" w:pos="8459"/>
              <w:tab w:val="right" w:pos="9026" w:leader="dot"/>
            </w:tabs>
            <w:rPr/>
          </w:pPr>
          <w:hyperlink w:anchor="__RefHeading___Toc6502927_1051229030">
            <w:r>
              <w:rPr>
                <w:webHidden/>
                <w:rStyle w:val="IndexLink"/>
              </w:rPr>
              <w:t>2</w:t>
            </w:r>
            <w:r>
              <w:rPr>
                <w:rStyle w:val="IndexLink"/>
                <w:rtl w:val="true"/>
              </w:rPr>
              <w:t xml:space="preserve"> - </w:t>
            </w:r>
            <w:r>
              <w:rPr>
                <w:rStyle w:val="IndexLink"/>
                <w:rtl w:val="true"/>
              </w:rPr>
              <w:t>ما لو وجبَ مسُّ كتابةِ القرآنِ بنذرٍ أو شبهه</w:t>
            </w:r>
            <w:r>
              <w:rPr>
                <w:rStyle w:val="IndexLink"/>
                <w:rtl w:val="true"/>
              </w:rPr>
              <w:t>:</w:t>
              <w:tab/>
            </w:r>
            <w:r>
              <w:rPr>
                <w:rStyle w:val="IndexLink"/>
              </w:rPr>
              <w:t>70</w:t>
            </w:r>
          </w:hyperlink>
        </w:p>
        <w:p>
          <w:pPr>
            <w:pStyle w:val="Contents3"/>
            <w:tabs>
              <w:tab w:val="clear" w:pos="8459"/>
              <w:tab w:val="right" w:pos="9026" w:leader="dot"/>
            </w:tabs>
            <w:rPr/>
          </w:pPr>
          <w:hyperlink w:anchor="__RefHeading___Toc6502929_1051229030">
            <w:r>
              <w:rPr>
                <w:webHidden/>
                <w:rStyle w:val="IndexLink"/>
              </w:rPr>
              <w:t>3</w:t>
            </w:r>
            <w:r>
              <w:rPr>
                <w:rStyle w:val="IndexLink"/>
                <w:rtl w:val="true"/>
              </w:rPr>
              <w:t xml:space="preserve"> - </w:t>
            </w:r>
            <w:r>
              <w:rPr>
                <w:rStyle w:val="IndexLink"/>
                <w:rtl w:val="true"/>
              </w:rPr>
              <w:t>بل كُلُّ الغاياتِ التي وجبَت لها الطهارة المائية</w:t>
            </w:r>
            <w:r>
              <w:rPr>
                <w:rStyle w:val="IndexLink"/>
                <w:rtl w:val="true"/>
              </w:rPr>
              <w:t>:</w:t>
              <w:tab/>
            </w:r>
            <w:r>
              <w:rPr>
                <w:rStyle w:val="IndexLink"/>
              </w:rPr>
              <w:t>70</w:t>
            </w:r>
          </w:hyperlink>
        </w:p>
        <w:p>
          <w:pPr>
            <w:pStyle w:val="Contents3"/>
            <w:tabs>
              <w:tab w:val="clear" w:pos="8459"/>
              <w:tab w:val="right" w:pos="9026" w:leader="dot"/>
            </w:tabs>
            <w:rPr/>
          </w:pPr>
          <w:hyperlink w:anchor="__RefHeading___Toc6502931_1051229030">
            <w:r>
              <w:rPr>
                <w:webHidden/>
                <w:rStyle w:val="IndexLink"/>
                <w:rtl w:val="true"/>
              </w:rPr>
              <w:t>الثاني</w:t>
            </w:r>
            <w:r>
              <w:rPr>
                <w:rStyle w:val="IndexLink"/>
                <w:rtl w:val="true"/>
              </w:rPr>
              <w:t xml:space="preserve">: </w:t>
            </w:r>
            <w:r>
              <w:rPr>
                <w:rStyle w:val="IndexLink"/>
                <w:rtl w:val="true"/>
              </w:rPr>
              <w:t>الندب</w:t>
            </w:r>
            <w:r>
              <w:rPr>
                <w:rStyle w:val="IndexLink"/>
                <w:rtl w:val="true"/>
              </w:rPr>
              <w:t>:</w:t>
              <w:tab/>
            </w:r>
            <w:r>
              <w:rPr>
                <w:rStyle w:val="IndexLink"/>
              </w:rPr>
              <w:t>70</w:t>
            </w:r>
          </w:hyperlink>
        </w:p>
        <w:p>
          <w:pPr>
            <w:pStyle w:val="Contents3"/>
            <w:tabs>
              <w:tab w:val="clear" w:pos="8459"/>
              <w:tab w:val="right" w:pos="9026" w:leader="dot"/>
            </w:tabs>
            <w:rPr/>
          </w:pPr>
          <w:hyperlink w:anchor="__RefHeading___Toc6502933_1051229030">
            <w:r>
              <w:rPr>
                <w:webHidden/>
                <w:rStyle w:val="IndexLink"/>
                <w:rtl w:val="true"/>
              </w:rPr>
              <w:t>أركان الطهارة</w:t>
            </w:r>
            <w:r>
              <w:rPr>
                <w:rStyle w:val="IndexLink"/>
                <w:rtl w:val="true"/>
              </w:rPr>
              <w:tab/>
            </w:r>
            <w:r>
              <w:rPr>
                <w:rStyle w:val="IndexLink"/>
              </w:rPr>
              <w:t>73</w:t>
            </w:r>
          </w:hyperlink>
        </w:p>
        <w:p>
          <w:pPr>
            <w:pStyle w:val="Contents3"/>
            <w:tabs>
              <w:tab w:val="clear" w:pos="8459"/>
              <w:tab w:val="right" w:pos="9026" w:leader="dot"/>
            </w:tabs>
            <w:rPr/>
          </w:pPr>
          <w:hyperlink w:anchor="__RefHeading___Toc6502935_1051229030">
            <w:r>
              <w:rPr>
                <w:webHidden/>
                <w:rStyle w:val="IndexLink"/>
                <w:rtl w:val="true"/>
              </w:rPr>
              <w:t>الركن الأول</w:t>
            </w:r>
            <w:r>
              <w:rPr>
                <w:rStyle w:val="IndexLink"/>
                <w:rtl w:val="true"/>
              </w:rPr>
              <w:t xml:space="preserve">: </w:t>
            </w:r>
            <w:r>
              <w:rPr>
                <w:rStyle w:val="IndexLink"/>
                <w:rtl w:val="true"/>
              </w:rPr>
              <w:t>في المياه</w:t>
            </w:r>
            <w:r>
              <w:rPr>
                <w:rStyle w:val="IndexLink"/>
                <w:rtl w:val="true"/>
              </w:rPr>
              <w:t>:</w:t>
              <w:tab/>
            </w:r>
            <w:r>
              <w:rPr>
                <w:rStyle w:val="IndexLink"/>
              </w:rPr>
              <w:t>75</w:t>
            </w:r>
          </w:hyperlink>
        </w:p>
        <w:p>
          <w:pPr>
            <w:pStyle w:val="Contents3"/>
            <w:tabs>
              <w:tab w:val="clear" w:pos="8459"/>
              <w:tab w:val="right" w:pos="9026" w:leader="dot"/>
            </w:tabs>
            <w:rPr/>
          </w:pPr>
          <w:hyperlink w:anchor="__RefHeading___Toc6502937_1051229030">
            <w:r>
              <w:rPr>
                <w:webHidden/>
                <w:rStyle w:val="IndexLink"/>
                <w:rtl w:val="true"/>
              </w:rPr>
              <w:t>الطرف الأول</w:t>
            </w:r>
            <w:r>
              <w:rPr>
                <w:rStyle w:val="IndexLink"/>
                <w:rtl w:val="true"/>
              </w:rPr>
              <w:t>:</w:t>
            </w:r>
            <w:r>
              <w:rPr>
                <w:rStyle w:val="IndexLink"/>
                <w:rtl w:val="true"/>
              </w:rPr>
              <w:t>في الماء المطلق</w:t>
            </w:r>
            <w:r>
              <w:rPr>
                <w:rStyle w:val="IndexLink"/>
                <w:rtl w:val="true"/>
              </w:rPr>
              <w:tab/>
            </w:r>
            <w:r>
              <w:rPr>
                <w:rStyle w:val="IndexLink"/>
              </w:rPr>
              <w:t>78</w:t>
            </w:r>
          </w:hyperlink>
        </w:p>
        <w:p>
          <w:pPr>
            <w:pStyle w:val="Contents3"/>
            <w:tabs>
              <w:tab w:val="clear" w:pos="8459"/>
              <w:tab w:val="right" w:pos="9026" w:leader="dot"/>
            </w:tabs>
            <w:rPr/>
          </w:pPr>
          <w:hyperlink w:anchor="__RefHeading___Toc6502939_1051229030">
            <w:r>
              <w:rPr>
                <w:webHidden/>
                <w:rStyle w:val="IndexLink"/>
                <w:rtl w:val="true"/>
              </w:rPr>
              <w:t>معنى الحدث</w:t>
            </w:r>
            <w:r>
              <w:rPr>
                <w:rStyle w:val="IndexLink"/>
                <w:rtl w:val="true"/>
              </w:rPr>
              <w:t>:</w:t>
              <w:tab/>
            </w:r>
            <w:r>
              <w:rPr>
                <w:rStyle w:val="IndexLink"/>
              </w:rPr>
              <w:t>83</w:t>
            </w:r>
          </w:hyperlink>
        </w:p>
        <w:p>
          <w:pPr>
            <w:pStyle w:val="Contents3"/>
            <w:tabs>
              <w:tab w:val="clear" w:pos="8459"/>
              <w:tab w:val="right" w:pos="9026" w:leader="dot"/>
            </w:tabs>
            <w:rPr/>
          </w:pPr>
          <w:hyperlink w:anchor="__RefHeading___Toc6502941_1051229030">
            <w:r>
              <w:rPr>
                <w:webHidden/>
                <w:rStyle w:val="IndexLink"/>
                <w:rtl w:val="true"/>
              </w:rPr>
              <w:t>معنى الخبث</w:t>
            </w:r>
            <w:r>
              <w:rPr>
                <w:rStyle w:val="IndexLink"/>
                <w:rtl w:val="true"/>
              </w:rPr>
              <w:t>:</w:t>
              <w:tab/>
            </w:r>
            <w:r>
              <w:rPr>
                <w:rStyle w:val="IndexLink"/>
              </w:rPr>
              <w:t>84</w:t>
            </w:r>
          </w:hyperlink>
        </w:p>
        <w:p>
          <w:pPr>
            <w:pStyle w:val="Contents3"/>
            <w:tabs>
              <w:tab w:val="clear" w:pos="8459"/>
              <w:tab w:val="right" w:pos="9026" w:leader="dot"/>
            </w:tabs>
            <w:rPr/>
          </w:pPr>
          <w:hyperlink w:anchor="__RefHeading___Toc6502943_1051229030">
            <w:r>
              <w:rPr>
                <w:webHidden/>
                <w:rStyle w:val="IndexLink"/>
                <w:rtl w:val="true"/>
              </w:rPr>
              <w:t>الفرق بين الحدث والخبث</w:t>
            </w:r>
            <w:r>
              <w:rPr>
                <w:rStyle w:val="IndexLink"/>
                <w:rtl w:val="true"/>
              </w:rPr>
              <w:t>:</w:t>
              <w:tab/>
            </w:r>
            <w:r>
              <w:rPr>
                <w:rStyle w:val="IndexLink"/>
              </w:rPr>
              <w:t>84</w:t>
            </w:r>
          </w:hyperlink>
        </w:p>
        <w:p>
          <w:pPr>
            <w:pStyle w:val="Contents3"/>
            <w:tabs>
              <w:tab w:val="clear" w:pos="8459"/>
              <w:tab w:val="right" w:pos="9026" w:leader="dot"/>
            </w:tabs>
            <w:rPr/>
          </w:pPr>
          <w:hyperlink w:anchor="__RefHeading___Toc6502945_1051229030">
            <w:r>
              <w:rPr>
                <w:webHidden/>
                <w:rStyle w:val="IndexLink"/>
                <w:rtl w:val="true"/>
              </w:rPr>
              <w:t>القسمُ الأول</w:t>
            </w:r>
            <w:r>
              <w:rPr>
                <w:rStyle w:val="IndexLink"/>
                <w:rtl w:val="true"/>
              </w:rPr>
              <w:t xml:space="preserve">: </w:t>
            </w:r>
            <w:r>
              <w:rPr>
                <w:rStyle w:val="IndexLink"/>
                <w:rtl w:val="true"/>
              </w:rPr>
              <w:t>الماء الجاري</w:t>
            </w:r>
            <w:r>
              <w:rPr>
                <w:rStyle w:val="IndexLink"/>
                <w:rtl w:val="true"/>
              </w:rPr>
              <w:t>:</w:t>
              <w:tab/>
            </w:r>
            <w:r>
              <w:rPr>
                <w:rStyle w:val="IndexLink"/>
              </w:rPr>
              <w:t>87</w:t>
            </w:r>
          </w:hyperlink>
        </w:p>
        <w:p>
          <w:pPr>
            <w:pStyle w:val="Contents3"/>
            <w:tabs>
              <w:tab w:val="clear" w:pos="8459"/>
              <w:tab w:val="right" w:pos="9026" w:leader="dot"/>
            </w:tabs>
            <w:rPr/>
          </w:pPr>
          <w:hyperlink w:anchor="__RefHeading___Toc6502947_1051229030">
            <w:r>
              <w:rPr>
                <w:webHidden/>
                <w:rStyle w:val="IndexLink"/>
                <w:rtl w:val="true"/>
              </w:rPr>
              <w:t>الأمر الأول</w:t>
            </w:r>
            <w:r>
              <w:rPr>
                <w:rStyle w:val="IndexLink"/>
                <w:rtl w:val="true"/>
              </w:rPr>
              <w:t xml:space="preserve">: </w:t>
            </w:r>
            <w:r>
              <w:rPr>
                <w:rStyle w:val="IndexLink"/>
                <w:rtl w:val="true"/>
              </w:rPr>
              <w:t>تعريف الماء الجاري</w:t>
            </w:r>
            <w:r>
              <w:rPr>
                <w:rStyle w:val="IndexLink"/>
                <w:rtl w:val="true"/>
              </w:rPr>
              <w:t>:</w:t>
              <w:tab/>
            </w:r>
            <w:r>
              <w:rPr>
                <w:rStyle w:val="IndexLink"/>
              </w:rPr>
              <w:t>87</w:t>
            </w:r>
          </w:hyperlink>
        </w:p>
        <w:p>
          <w:pPr>
            <w:pStyle w:val="Contents3"/>
            <w:tabs>
              <w:tab w:val="clear" w:pos="8459"/>
              <w:tab w:val="right" w:pos="9026" w:leader="dot"/>
            </w:tabs>
            <w:rPr/>
          </w:pPr>
          <w:hyperlink w:anchor="__RefHeading___Toc6502949_1051229030">
            <w:r>
              <w:rPr>
                <w:webHidden/>
                <w:rStyle w:val="IndexLink"/>
                <w:rtl w:val="true"/>
              </w:rPr>
              <w:t>الأمر الثاني</w:t>
            </w:r>
            <w:r>
              <w:rPr>
                <w:rStyle w:val="IndexLink"/>
                <w:rtl w:val="true"/>
              </w:rPr>
              <w:t xml:space="preserve">: </w:t>
            </w:r>
            <w:r>
              <w:rPr>
                <w:rStyle w:val="IndexLink"/>
                <w:rtl w:val="true"/>
              </w:rPr>
              <w:t>كيف ينفعل الماء الجاري بالنجاسة؟</w:t>
            </w:r>
            <w:r>
              <w:rPr>
                <w:rStyle w:val="IndexLink"/>
                <w:rtl w:val="true"/>
              </w:rPr>
              <w:tab/>
            </w:r>
            <w:r>
              <w:rPr>
                <w:rStyle w:val="IndexLink"/>
              </w:rPr>
              <w:t>87</w:t>
            </w:r>
          </w:hyperlink>
        </w:p>
        <w:p>
          <w:pPr>
            <w:pStyle w:val="Contents3"/>
            <w:tabs>
              <w:tab w:val="clear" w:pos="8459"/>
              <w:tab w:val="right" w:pos="9026" w:leader="dot"/>
            </w:tabs>
            <w:rPr/>
          </w:pPr>
          <w:hyperlink w:anchor="__RefHeading___Toc6502951_1051229030">
            <w:r>
              <w:rPr>
                <w:webHidden/>
                <w:rStyle w:val="IndexLink"/>
                <w:rtl w:val="true"/>
              </w:rPr>
              <w:t>نكتة رجالية</w:t>
            </w:r>
            <w:r>
              <w:rPr>
                <w:rStyle w:val="IndexLink"/>
                <w:rtl w:val="true"/>
              </w:rPr>
              <w:t xml:space="preserve">: </w:t>
            </w:r>
            <w:r>
              <w:rPr>
                <w:rStyle w:val="IndexLink"/>
                <w:rtl w:val="true"/>
              </w:rPr>
              <w:t>معنى الأخبار المُستفيضة</w:t>
            </w:r>
            <w:r>
              <w:rPr>
                <w:rStyle w:val="IndexLink"/>
                <w:rtl w:val="true"/>
              </w:rPr>
              <w:t>:</w:t>
              <w:tab/>
            </w:r>
            <w:r>
              <w:rPr>
                <w:rStyle w:val="IndexLink"/>
              </w:rPr>
              <w:t>90</w:t>
            </w:r>
          </w:hyperlink>
        </w:p>
        <w:p>
          <w:pPr>
            <w:pStyle w:val="Contents3"/>
            <w:tabs>
              <w:tab w:val="clear" w:pos="8459"/>
              <w:tab w:val="right" w:pos="9026" w:leader="dot"/>
            </w:tabs>
            <w:rPr/>
          </w:pPr>
          <w:hyperlink w:anchor="__RefHeading___Toc6502953_1051229030">
            <w:r>
              <w:rPr>
                <w:webHidden/>
                <w:rStyle w:val="IndexLink"/>
                <w:rtl w:val="true"/>
              </w:rPr>
              <w:t>مراتب الخبر</w:t>
            </w:r>
            <w:r>
              <w:rPr>
                <w:rStyle w:val="IndexLink"/>
                <w:rtl w:val="true"/>
              </w:rPr>
              <w:t>:</w:t>
              <w:tab/>
            </w:r>
            <w:r>
              <w:rPr>
                <w:rStyle w:val="IndexLink"/>
              </w:rPr>
              <w:t>91</w:t>
            </w:r>
          </w:hyperlink>
        </w:p>
        <w:p>
          <w:pPr>
            <w:pStyle w:val="Contents3"/>
            <w:tabs>
              <w:tab w:val="clear" w:pos="8459"/>
              <w:tab w:val="right" w:pos="9026" w:leader="dot"/>
            </w:tabs>
            <w:rPr/>
          </w:pPr>
          <w:hyperlink w:anchor="__RefHeading___Toc6502955_1051229030">
            <w:r>
              <w:rPr>
                <w:webHidden/>
                <w:rStyle w:val="IndexLink"/>
                <w:rtl w:val="true"/>
              </w:rPr>
              <w:t>الأمر الثالث</w:t>
            </w:r>
            <w:r>
              <w:rPr>
                <w:rStyle w:val="IndexLink"/>
                <w:rtl w:val="true"/>
              </w:rPr>
              <w:t xml:space="preserve">: </w:t>
            </w:r>
            <w:r>
              <w:rPr>
                <w:rStyle w:val="IndexLink"/>
                <w:rtl w:val="true"/>
              </w:rPr>
              <w:t>كيف يطهر الماء الجاري بعد تنجُسه؟</w:t>
            </w:r>
            <w:r>
              <w:rPr>
                <w:rStyle w:val="IndexLink"/>
                <w:rtl w:val="true"/>
              </w:rPr>
              <w:tab/>
            </w:r>
            <w:r>
              <w:rPr>
                <w:rStyle w:val="IndexLink"/>
              </w:rPr>
              <w:t>94</w:t>
            </w:r>
          </w:hyperlink>
        </w:p>
        <w:p>
          <w:pPr>
            <w:pStyle w:val="Contents3"/>
            <w:tabs>
              <w:tab w:val="clear" w:pos="8459"/>
              <w:tab w:val="right" w:pos="9026" w:leader="dot"/>
            </w:tabs>
            <w:rPr/>
          </w:pPr>
          <w:hyperlink w:anchor="__RefHeading___Toc6502957_1051229030">
            <w:r>
              <w:rPr>
                <w:webHidden/>
                <w:rStyle w:val="IndexLink"/>
                <w:rtl w:val="true"/>
              </w:rPr>
              <w:t>الأمر الرابع</w:t>
            </w:r>
            <w:r>
              <w:rPr>
                <w:rStyle w:val="IndexLink"/>
                <w:rtl w:val="true"/>
              </w:rPr>
              <w:t xml:space="preserve">: </w:t>
            </w:r>
            <w:r>
              <w:rPr>
                <w:rStyle w:val="IndexLink"/>
                <w:rtl w:val="true"/>
              </w:rPr>
              <w:t xml:space="preserve">يُلحَقُ بحكم ماء الجاري </w:t>
            </w:r>
            <w:r>
              <w:rPr>
                <w:rStyle w:val="IndexLink"/>
                <w:rtl w:val="true"/>
              </w:rPr>
              <w:t>(</w:t>
            </w:r>
            <w:r>
              <w:rPr>
                <w:rStyle w:val="IndexLink"/>
                <w:rtl w:val="true"/>
              </w:rPr>
              <w:t>وهو الاعتصام</w:t>
            </w:r>
            <w:r>
              <w:rPr>
                <w:rStyle w:val="IndexLink"/>
                <w:rtl w:val="true"/>
              </w:rPr>
              <w:t xml:space="preserve">) </w:t>
            </w:r>
            <w:r>
              <w:rPr>
                <w:rStyle w:val="IndexLink"/>
                <w:rtl w:val="true"/>
              </w:rPr>
              <w:t>ماء الحمام</w:t>
            </w:r>
            <w:r>
              <w:rPr>
                <w:rStyle w:val="IndexLink"/>
                <w:rtl w:val="true"/>
              </w:rPr>
              <w:t>:</w:t>
              <w:tab/>
            </w:r>
            <w:r>
              <w:rPr>
                <w:rStyle w:val="IndexLink"/>
              </w:rPr>
              <w:t>98</w:t>
            </w:r>
          </w:hyperlink>
        </w:p>
        <w:p>
          <w:pPr>
            <w:pStyle w:val="Contents3"/>
            <w:tabs>
              <w:tab w:val="clear" w:pos="8459"/>
              <w:tab w:val="right" w:pos="9026" w:leader="dot"/>
            </w:tabs>
            <w:rPr/>
          </w:pPr>
          <w:hyperlink w:anchor="__RefHeading___Toc6502959_1051229030">
            <w:r>
              <w:rPr>
                <w:webHidden/>
                <w:rStyle w:val="IndexLink"/>
                <w:rtl w:val="true"/>
              </w:rPr>
              <w:t>الأمر الخامس</w:t>
            </w:r>
            <w:r>
              <w:rPr>
                <w:rStyle w:val="IndexLink"/>
                <w:rtl w:val="true"/>
              </w:rPr>
              <w:t xml:space="preserve">: </w:t>
            </w:r>
            <w:r>
              <w:rPr>
                <w:rStyle w:val="IndexLink"/>
                <w:rtl w:val="true"/>
              </w:rPr>
              <w:t>التغيُّر بملاقاة الطاهر، والتغيُّر من تلقاء نفسه</w:t>
            </w:r>
            <w:r>
              <w:rPr>
                <w:rStyle w:val="IndexLink"/>
                <w:rtl w:val="true"/>
              </w:rPr>
              <w:t>:</w:t>
              <w:tab/>
            </w:r>
            <w:r>
              <w:rPr>
                <w:rStyle w:val="IndexLink"/>
              </w:rPr>
              <w:t>103</w:t>
            </w:r>
          </w:hyperlink>
        </w:p>
        <w:p>
          <w:pPr>
            <w:pStyle w:val="Contents3"/>
            <w:tabs>
              <w:tab w:val="clear" w:pos="8459"/>
              <w:tab w:val="right" w:pos="9026" w:leader="dot"/>
            </w:tabs>
            <w:rPr/>
          </w:pPr>
          <w:hyperlink w:anchor="__RefHeading___Toc6502961_1051229030">
            <w:r>
              <w:rPr>
                <w:webHidden/>
                <w:rStyle w:val="IndexLink"/>
                <w:rtl w:val="true"/>
              </w:rPr>
              <w:t>القسم الثاني</w:t>
            </w:r>
            <w:r>
              <w:rPr>
                <w:rStyle w:val="IndexLink"/>
                <w:rtl w:val="true"/>
              </w:rPr>
              <w:t xml:space="preserve">: </w:t>
            </w:r>
            <w:r>
              <w:rPr>
                <w:rStyle w:val="IndexLink"/>
                <w:rtl w:val="true"/>
              </w:rPr>
              <w:t>الماء المحقون</w:t>
            </w:r>
            <w:r>
              <w:rPr>
                <w:rStyle w:val="IndexLink"/>
                <w:rtl w:val="true"/>
              </w:rPr>
              <w:t>:</w:t>
              <w:tab/>
            </w:r>
            <w:r>
              <w:rPr>
                <w:rStyle w:val="IndexLink"/>
              </w:rPr>
              <w:t>105</w:t>
            </w:r>
          </w:hyperlink>
        </w:p>
        <w:p>
          <w:pPr>
            <w:pStyle w:val="Contents3"/>
            <w:tabs>
              <w:tab w:val="clear" w:pos="8459"/>
              <w:tab w:val="right" w:pos="9026" w:leader="dot"/>
            </w:tabs>
            <w:rPr/>
          </w:pPr>
          <w:hyperlink w:anchor="__RefHeading___Toc6502963_1051229030">
            <w:r>
              <w:rPr>
                <w:webHidden/>
                <w:rStyle w:val="IndexLink"/>
                <w:rtl w:val="true"/>
              </w:rPr>
              <w:t>أقسام الماء المحقون</w:t>
            </w:r>
            <w:r>
              <w:rPr>
                <w:rStyle w:val="IndexLink"/>
                <w:rtl w:val="true"/>
              </w:rPr>
              <w:t>:</w:t>
              <w:tab/>
            </w:r>
            <w:r>
              <w:rPr>
                <w:rStyle w:val="IndexLink"/>
              </w:rPr>
              <w:t>105</w:t>
            </w:r>
          </w:hyperlink>
        </w:p>
        <w:p>
          <w:pPr>
            <w:pStyle w:val="Contents3"/>
            <w:tabs>
              <w:tab w:val="clear" w:pos="8459"/>
              <w:tab w:val="right" w:pos="9026" w:leader="dot"/>
            </w:tabs>
            <w:rPr/>
          </w:pPr>
          <w:hyperlink w:anchor="__RefHeading___Toc6502965_1051229030">
            <w:r>
              <w:rPr>
                <w:webHidden/>
                <w:rStyle w:val="IndexLink"/>
                <w:rtl w:val="true"/>
              </w:rPr>
              <w:t>القسم الأول</w:t>
            </w:r>
            <w:r>
              <w:rPr>
                <w:rStyle w:val="IndexLink"/>
                <w:rtl w:val="true"/>
              </w:rPr>
              <w:t xml:space="preserve">: </w:t>
            </w:r>
            <w:r>
              <w:rPr>
                <w:rStyle w:val="IndexLink"/>
                <w:rtl w:val="true"/>
              </w:rPr>
              <w:t>ما كان أقلَّ من الكُر</w:t>
            </w:r>
            <w:r>
              <w:rPr>
                <w:rStyle w:val="IndexLink"/>
                <w:rtl w:val="true"/>
              </w:rPr>
              <w:t>:</w:t>
              <w:tab/>
            </w:r>
            <w:r>
              <w:rPr>
                <w:rStyle w:val="IndexLink"/>
              </w:rPr>
              <w:t>106</w:t>
            </w:r>
          </w:hyperlink>
        </w:p>
        <w:p>
          <w:pPr>
            <w:pStyle w:val="Contents3"/>
            <w:tabs>
              <w:tab w:val="clear" w:pos="8459"/>
              <w:tab w:val="right" w:pos="9026" w:leader="dot"/>
            </w:tabs>
            <w:rPr/>
          </w:pPr>
          <w:hyperlink w:anchor="__RefHeading___Toc6502967_1051229030">
            <w:r>
              <w:rPr>
                <w:webHidden/>
                <w:rStyle w:val="IndexLink"/>
                <w:rtl w:val="true"/>
              </w:rPr>
              <w:t>كيف يطهر الماء المحقون القليل لو تنجس؟</w:t>
            </w:r>
            <w:r>
              <w:rPr>
                <w:rStyle w:val="IndexLink"/>
                <w:rtl w:val="true"/>
              </w:rPr>
              <w:tab/>
            </w:r>
            <w:r>
              <w:rPr>
                <w:rStyle w:val="IndexLink"/>
              </w:rPr>
              <w:t>108</w:t>
            </w:r>
          </w:hyperlink>
        </w:p>
        <w:p>
          <w:pPr>
            <w:pStyle w:val="Contents3"/>
            <w:tabs>
              <w:tab w:val="clear" w:pos="8459"/>
              <w:tab w:val="right" w:pos="9026" w:leader="dot"/>
            </w:tabs>
            <w:rPr/>
          </w:pPr>
          <w:hyperlink w:anchor="__RefHeading___Toc6502969_1051229030">
            <w:r>
              <w:rPr>
                <w:webHidden/>
                <w:rStyle w:val="IndexLink"/>
                <w:rtl w:val="true"/>
              </w:rPr>
              <w:t>القسم الثاني</w:t>
            </w:r>
            <w:r>
              <w:rPr>
                <w:rStyle w:val="IndexLink"/>
                <w:rtl w:val="true"/>
              </w:rPr>
              <w:t xml:space="preserve">: </w:t>
            </w:r>
            <w:r>
              <w:rPr>
                <w:rStyle w:val="IndexLink"/>
                <w:rtl w:val="true"/>
              </w:rPr>
              <w:t>قوله قُدس سره</w:t>
            </w:r>
            <w:r>
              <w:rPr>
                <w:rStyle w:val="IndexLink"/>
                <w:rtl w:val="true"/>
              </w:rPr>
              <w:t xml:space="preserve">: </w:t>
            </w:r>
            <w:r>
              <w:rPr>
                <w:rStyle w:val="IndexLink"/>
                <w:rtl w:val="true"/>
              </w:rPr>
              <w:t>وما كان منه كرًا فصاعدًا</w:t>
            </w:r>
            <w:r>
              <w:rPr>
                <w:rStyle w:val="IndexLink"/>
                <w:rtl w:val="true"/>
              </w:rPr>
              <w:t>...</w:t>
              <w:tab/>
            </w:r>
            <w:r>
              <w:rPr>
                <w:rStyle w:val="IndexLink"/>
              </w:rPr>
              <w:t>111</w:t>
            </w:r>
          </w:hyperlink>
        </w:p>
        <w:p>
          <w:pPr>
            <w:pStyle w:val="Contents3"/>
            <w:tabs>
              <w:tab w:val="clear" w:pos="8459"/>
              <w:tab w:val="right" w:pos="9026" w:leader="dot"/>
            </w:tabs>
            <w:rPr/>
          </w:pPr>
          <w:hyperlink w:anchor="__RefHeading___Toc6502971_1051229030">
            <w:r>
              <w:rPr>
                <w:webHidden/>
                <w:rStyle w:val="IndexLink"/>
                <w:rtl w:val="true"/>
              </w:rPr>
              <w:t>التحديد الأول</w:t>
            </w:r>
            <w:r>
              <w:rPr>
                <w:rStyle w:val="IndexLink"/>
                <w:rtl w:val="true"/>
              </w:rPr>
              <w:t xml:space="preserve">: </w:t>
            </w:r>
            <w:r>
              <w:rPr>
                <w:rStyle w:val="IndexLink"/>
                <w:rtl w:val="true"/>
              </w:rPr>
              <w:t>التحديدُ بالوزن</w:t>
            </w:r>
            <w:r>
              <w:rPr>
                <w:rStyle w:val="IndexLink"/>
                <w:rtl w:val="true"/>
              </w:rPr>
              <w:t>:</w:t>
              <w:tab/>
            </w:r>
            <w:r>
              <w:rPr>
                <w:rStyle w:val="IndexLink"/>
              </w:rPr>
              <w:t>116</w:t>
            </w:r>
          </w:hyperlink>
        </w:p>
        <w:p>
          <w:pPr>
            <w:pStyle w:val="Contents3"/>
            <w:tabs>
              <w:tab w:val="clear" w:pos="8459"/>
              <w:tab w:val="right" w:pos="9026" w:leader="dot"/>
            </w:tabs>
            <w:rPr/>
          </w:pPr>
          <w:hyperlink w:anchor="__RefHeading___Toc6502973_1051229030">
            <w:r>
              <w:rPr>
                <w:webHidden/>
                <w:rStyle w:val="IndexLink"/>
                <w:rtl w:val="true"/>
              </w:rPr>
              <w:t>التحديد الثاني</w:t>
            </w:r>
            <w:r>
              <w:rPr>
                <w:rStyle w:val="IndexLink"/>
                <w:rtl w:val="true"/>
              </w:rPr>
              <w:t xml:space="preserve">: </w:t>
            </w:r>
            <w:r>
              <w:rPr>
                <w:rStyle w:val="IndexLink"/>
                <w:rtl w:val="true"/>
              </w:rPr>
              <w:t>التحديد بالمساحة</w:t>
            </w:r>
            <w:r>
              <w:rPr>
                <w:rStyle w:val="IndexLink"/>
                <w:rtl w:val="true"/>
              </w:rPr>
              <w:t>:</w:t>
              <w:tab/>
            </w:r>
            <w:r>
              <w:rPr>
                <w:rStyle w:val="IndexLink"/>
              </w:rPr>
              <w:t>123</w:t>
            </w:r>
          </w:hyperlink>
        </w:p>
        <w:p>
          <w:pPr>
            <w:pStyle w:val="Contents3"/>
            <w:tabs>
              <w:tab w:val="clear" w:pos="8459"/>
              <w:tab w:val="right" w:pos="9026" w:leader="dot"/>
            </w:tabs>
            <w:rPr/>
          </w:pPr>
          <w:hyperlink w:anchor="__RefHeading___Toc6502975_1051229030">
            <w:r>
              <w:rPr>
                <w:webHidden/>
                <w:rStyle w:val="IndexLink"/>
                <w:rtl w:val="true"/>
              </w:rPr>
              <w:t>نكتة رجالية</w:t>
            </w:r>
            <w:r>
              <w:rPr>
                <w:rStyle w:val="IndexLink"/>
                <w:rtl w:val="true"/>
              </w:rPr>
              <w:t xml:space="preserve">: </w:t>
            </w:r>
            <w:r>
              <w:rPr>
                <w:rStyle w:val="IndexLink"/>
                <w:rtl w:val="true"/>
              </w:rPr>
              <w:t>كيف نتعاملُ مع الراوي الواقفي؟</w:t>
            </w:r>
            <w:r>
              <w:rPr>
                <w:rStyle w:val="IndexLink"/>
                <w:rtl w:val="true"/>
              </w:rPr>
              <w:tab/>
            </w:r>
            <w:r>
              <w:rPr>
                <w:rStyle w:val="IndexLink"/>
              </w:rPr>
              <w:t>125</w:t>
            </w:r>
          </w:hyperlink>
        </w:p>
        <w:p>
          <w:pPr>
            <w:pStyle w:val="Contents3"/>
            <w:tabs>
              <w:tab w:val="clear" w:pos="8459"/>
              <w:tab w:val="right" w:pos="9026" w:leader="dot"/>
            </w:tabs>
            <w:rPr/>
          </w:pPr>
          <w:hyperlink w:anchor="__RefHeading___Toc6502977_1051229030">
            <w:r>
              <w:rPr>
                <w:webHidden/>
                <w:rStyle w:val="IndexLink"/>
                <w:rtl w:val="true"/>
              </w:rPr>
              <w:t>معنى العلم الإجمالي</w:t>
            </w:r>
            <w:r>
              <w:rPr>
                <w:rStyle w:val="IndexLink"/>
                <w:rtl w:val="true"/>
              </w:rPr>
              <w:t>:</w:t>
              <w:tab/>
            </w:r>
            <w:r>
              <w:rPr>
                <w:rStyle w:val="IndexLink"/>
              </w:rPr>
              <w:t>131</w:t>
            </w:r>
          </w:hyperlink>
        </w:p>
        <w:p>
          <w:pPr>
            <w:pStyle w:val="Contents3"/>
            <w:tabs>
              <w:tab w:val="clear" w:pos="8459"/>
              <w:tab w:val="right" w:pos="9026" w:leader="dot"/>
            </w:tabs>
            <w:rPr/>
          </w:pPr>
          <w:hyperlink w:anchor="__RefHeading___Toc6502979_1051229030">
            <w:r>
              <w:rPr>
                <w:webHidden/>
                <w:rStyle w:val="IndexLink"/>
                <w:rtl w:val="true"/>
              </w:rPr>
              <w:t>الطرف الثاني</w:t>
            </w:r>
            <w:r>
              <w:rPr>
                <w:rStyle w:val="IndexLink"/>
                <w:rtl w:val="true"/>
              </w:rPr>
              <w:t xml:space="preserve">: </w:t>
            </w:r>
            <w:r>
              <w:rPr>
                <w:rStyle w:val="IndexLink"/>
                <w:rtl w:val="true"/>
              </w:rPr>
              <w:t>الماء المضاف</w:t>
            </w:r>
            <w:r>
              <w:rPr>
                <w:rStyle w:val="IndexLink"/>
                <w:rtl w:val="true"/>
              </w:rPr>
              <w:tab/>
            </w:r>
            <w:r>
              <w:rPr>
                <w:rStyle w:val="IndexLink"/>
              </w:rPr>
              <w:t>134</w:t>
            </w:r>
          </w:hyperlink>
        </w:p>
        <w:p>
          <w:pPr>
            <w:pStyle w:val="Contents3"/>
            <w:tabs>
              <w:tab w:val="clear" w:pos="8459"/>
              <w:tab w:val="right" w:pos="9026" w:leader="dot"/>
            </w:tabs>
            <w:rPr/>
          </w:pPr>
          <w:hyperlink w:anchor="__RefHeading___Toc6502981_1051229030">
            <w:r>
              <w:rPr>
                <w:webHidden/>
                <w:rStyle w:val="IndexLink"/>
                <w:rtl w:val="true"/>
              </w:rPr>
              <w:t>أحكام الماء المُضاف</w:t>
            </w:r>
            <w:r>
              <w:rPr>
                <w:rStyle w:val="IndexLink"/>
                <w:rtl w:val="true"/>
              </w:rPr>
              <w:t>:</w:t>
              <w:tab/>
            </w:r>
            <w:r>
              <w:rPr>
                <w:rStyle w:val="IndexLink"/>
              </w:rPr>
              <w:t>136</w:t>
            </w:r>
          </w:hyperlink>
        </w:p>
        <w:p>
          <w:pPr>
            <w:pStyle w:val="Contents3"/>
            <w:tabs>
              <w:tab w:val="clear" w:pos="8459"/>
              <w:tab w:val="right" w:pos="9026" w:leader="dot"/>
            </w:tabs>
            <w:rPr/>
          </w:pPr>
          <w:hyperlink w:anchor="__RefHeading___Toc6502983_1051229030">
            <w:r>
              <w:rPr>
                <w:webHidden/>
                <w:rStyle w:val="IndexLink"/>
                <w:rtl w:val="true"/>
              </w:rPr>
              <w:t>تنبيهان</w:t>
            </w:r>
            <w:r>
              <w:rPr>
                <w:rStyle w:val="IndexLink"/>
                <w:rtl w:val="true"/>
              </w:rPr>
              <w:t>:</w:t>
              <w:tab/>
            </w:r>
            <w:r>
              <w:rPr>
                <w:rStyle w:val="IndexLink"/>
              </w:rPr>
              <w:t>156</w:t>
            </w:r>
          </w:hyperlink>
        </w:p>
        <w:p>
          <w:pPr>
            <w:pStyle w:val="Contents3"/>
            <w:tabs>
              <w:tab w:val="clear" w:pos="8459"/>
              <w:tab w:val="right" w:pos="9026" w:leader="dot"/>
            </w:tabs>
            <w:rPr/>
          </w:pPr>
          <w:hyperlink w:anchor="__RefHeading___Toc6502985_1051229030">
            <w:r>
              <w:rPr>
                <w:webHidden/>
                <w:rStyle w:val="IndexLink"/>
                <w:rtl w:val="true"/>
              </w:rPr>
              <w:t>حكم الماء المضاف من حيث انفعاله بالنجاسة</w:t>
            </w:r>
            <w:r>
              <w:rPr>
                <w:rStyle w:val="IndexLink"/>
                <w:rtl w:val="true"/>
              </w:rPr>
              <w:t>:</w:t>
              <w:tab/>
            </w:r>
            <w:r>
              <w:rPr>
                <w:rStyle w:val="IndexLink"/>
              </w:rPr>
              <w:t>157</w:t>
            </w:r>
          </w:hyperlink>
        </w:p>
        <w:p>
          <w:pPr>
            <w:pStyle w:val="Contents3"/>
            <w:tabs>
              <w:tab w:val="clear" w:pos="8459"/>
              <w:tab w:val="right" w:pos="9026" w:leader="dot"/>
            </w:tabs>
            <w:rPr/>
          </w:pPr>
          <w:hyperlink w:anchor="__RefHeading___Toc6502987_1051229030">
            <w:r>
              <w:rPr>
                <w:webHidden/>
                <w:rStyle w:val="IndexLink"/>
                <w:rtl w:val="true"/>
              </w:rPr>
              <w:t xml:space="preserve">أقسام الإجماع </w:t>
            </w:r>
            <w:r>
              <w:rPr>
                <w:rStyle w:val="IndexLink"/>
                <w:rtl w:val="true"/>
              </w:rPr>
              <w:t>:</w:t>
              <w:tab/>
            </w:r>
            <w:r>
              <w:rPr>
                <w:rStyle w:val="IndexLink"/>
              </w:rPr>
              <w:t>158</w:t>
            </w:r>
          </w:hyperlink>
        </w:p>
        <w:p>
          <w:pPr>
            <w:pStyle w:val="Contents3"/>
            <w:tabs>
              <w:tab w:val="clear" w:pos="8459"/>
              <w:tab w:val="right" w:pos="9026" w:leader="dot"/>
            </w:tabs>
            <w:rPr/>
          </w:pPr>
          <w:hyperlink w:anchor="__RefHeading___Toc6502989_1051229030">
            <w:r>
              <w:rPr>
                <w:webHidden/>
                <w:rStyle w:val="IndexLink"/>
                <w:rtl w:val="true"/>
              </w:rPr>
              <w:t>هل يطهر الماء المضاف؟ وكيف؟</w:t>
            </w:r>
            <w:r>
              <w:rPr>
                <w:rStyle w:val="IndexLink"/>
                <w:rtl w:val="true"/>
              </w:rPr>
              <w:tab/>
            </w:r>
            <w:r>
              <w:rPr>
                <w:rStyle w:val="IndexLink"/>
              </w:rPr>
              <w:t>163</w:t>
            </w:r>
          </w:hyperlink>
        </w:p>
        <w:p>
          <w:pPr>
            <w:pStyle w:val="Contents3"/>
            <w:tabs>
              <w:tab w:val="clear" w:pos="8459"/>
              <w:tab w:val="right" w:pos="9026" w:leader="dot"/>
            </w:tabs>
            <w:rPr/>
          </w:pPr>
          <w:hyperlink w:anchor="__RefHeading___Toc6502991_1051229030">
            <w:r>
              <w:rPr>
                <w:webHidden/>
                <w:rStyle w:val="IndexLink"/>
                <w:rtl w:val="true"/>
              </w:rPr>
              <w:t>إش</w:t>
            </w:r>
            <w:r>
              <w:rPr>
                <w:rStyle w:val="IndexLink"/>
                <w:rtl w:val="true"/>
              </w:rPr>
              <w:t>----</w:t>
            </w:r>
            <w:r>
              <w:rPr>
                <w:rStyle w:val="IndexLink"/>
                <w:rtl w:val="true"/>
              </w:rPr>
              <w:t>ارات</w:t>
            </w:r>
            <w:r>
              <w:rPr>
                <w:rStyle w:val="IndexLink"/>
                <w:rtl w:val="true"/>
              </w:rPr>
              <w:t>:</w:t>
              <w:tab/>
            </w:r>
            <w:r>
              <w:rPr>
                <w:rStyle w:val="IndexLink"/>
              </w:rPr>
              <w:t>168</w:t>
            </w:r>
          </w:hyperlink>
        </w:p>
        <w:p>
          <w:pPr>
            <w:pStyle w:val="Contents3"/>
            <w:tabs>
              <w:tab w:val="clear" w:pos="8459"/>
              <w:tab w:val="right" w:pos="9026" w:leader="dot"/>
            </w:tabs>
            <w:rPr/>
          </w:pPr>
          <w:hyperlink w:anchor="__RefHeading___Toc6502993_1051229030">
            <w:r>
              <w:rPr>
                <w:webHidden/>
                <w:rStyle w:val="IndexLink"/>
                <w:rtl w:val="true"/>
              </w:rPr>
              <w:t>الإشارة الأولى</w:t>
            </w:r>
            <w:r>
              <w:rPr>
                <w:rStyle w:val="IndexLink"/>
                <w:rtl w:val="true"/>
              </w:rPr>
              <w:t xml:space="preserve">: </w:t>
            </w:r>
            <w:r>
              <w:rPr>
                <w:rStyle w:val="IndexLink"/>
                <w:rtl w:val="true"/>
              </w:rPr>
              <w:t>قاعدة التسامح في أدلة السنن</w:t>
            </w:r>
            <w:r>
              <w:rPr>
                <w:rStyle w:val="IndexLink"/>
                <w:rtl w:val="true"/>
              </w:rPr>
              <w:t>:</w:t>
              <w:tab/>
            </w:r>
            <w:r>
              <w:rPr>
                <w:rStyle w:val="IndexLink"/>
              </w:rPr>
              <w:t>169</w:t>
            </w:r>
          </w:hyperlink>
        </w:p>
        <w:p>
          <w:pPr>
            <w:pStyle w:val="Contents3"/>
            <w:tabs>
              <w:tab w:val="clear" w:pos="8459"/>
              <w:tab w:val="right" w:pos="9026" w:leader="dot"/>
            </w:tabs>
            <w:rPr/>
          </w:pPr>
          <w:hyperlink w:anchor="__RefHeading___Toc6502995_1051229030">
            <w:r>
              <w:rPr>
                <w:webHidden/>
                <w:rStyle w:val="IndexLink"/>
                <w:rtl w:val="true"/>
              </w:rPr>
              <w:t>الإشارة الثانية</w:t>
            </w:r>
            <w:r>
              <w:rPr>
                <w:rStyle w:val="IndexLink"/>
                <w:rtl w:val="true"/>
              </w:rPr>
              <w:t xml:space="preserve">: </w:t>
            </w:r>
            <w:r>
              <w:rPr>
                <w:rStyle w:val="IndexLink"/>
                <w:rtl w:val="true"/>
              </w:rPr>
              <w:t>الحالات التي تكره فيها الطهارة الشرعية بالماء المسخن بالشمس</w:t>
            </w:r>
            <w:r>
              <w:rPr>
                <w:rStyle w:val="IndexLink"/>
                <w:rtl w:val="true"/>
              </w:rPr>
              <w:t>:</w:t>
              <w:tab/>
            </w:r>
            <w:r>
              <w:rPr>
                <w:rStyle w:val="IndexLink"/>
              </w:rPr>
              <w:t>171</w:t>
            </w:r>
          </w:hyperlink>
        </w:p>
        <w:p>
          <w:pPr>
            <w:pStyle w:val="Contents3"/>
            <w:tabs>
              <w:tab w:val="clear" w:pos="8459"/>
              <w:tab w:val="right" w:pos="9026" w:leader="dot"/>
            </w:tabs>
            <w:rPr/>
          </w:pPr>
          <w:hyperlink w:anchor="__RefHeading___Toc6502997_1051229030">
            <w:r>
              <w:rPr>
                <w:webHidden/>
                <w:rStyle w:val="IndexLink"/>
                <w:rtl w:val="true"/>
              </w:rPr>
              <w:t>الإشارة الثالثة</w:t>
            </w:r>
            <w:r>
              <w:rPr>
                <w:rStyle w:val="IndexLink"/>
                <w:rtl w:val="true"/>
              </w:rPr>
              <w:t xml:space="preserve">: </w:t>
            </w:r>
            <w:r>
              <w:rPr>
                <w:rStyle w:val="IndexLink"/>
                <w:rtl w:val="true"/>
              </w:rPr>
              <w:t>معنى المكروه</w:t>
            </w:r>
            <w:r>
              <w:rPr>
                <w:rStyle w:val="IndexLink"/>
                <w:rtl w:val="true"/>
              </w:rPr>
              <w:t>:</w:t>
              <w:tab/>
            </w:r>
            <w:r>
              <w:rPr>
                <w:rStyle w:val="IndexLink"/>
              </w:rPr>
              <w:t>172</w:t>
            </w:r>
          </w:hyperlink>
        </w:p>
        <w:p>
          <w:pPr>
            <w:pStyle w:val="Contents3"/>
            <w:tabs>
              <w:tab w:val="clear" w:pos="8459"/>
              <w:tab w:val="right" w:pos="9026" w:leader="dot"/>
            </w:tabs>
            <w:rPr/>
          </w:pPr>
          <w:hyperlink w:anchor="__RefHeading___Toc6502999_1051229030">
            <w:r>
              <w:rPr>
                <w:webHidden/>
                <w:rStyle w:val="IndexLink"/>
                <w:rtl w:val="true"/>
              </w:rPr>
              <w:t>الإشارة الرابعة</w:t>
            </w:r>
            <w:r>
              <w:rPr>
                <w:rStyle w:val="IndexLink"/>
                <w:rtl w:val="true"/>
              </w:rPr>
              <w:t>:</w:t>
              <w:tab/>
            </w:r>
            <w:r>
              <w:rPr>
                <w:rStyle w:val="IndexLink"/>
              </w:rPr>
              <w:t>174</w:t>
            </w:r>
          </w:hyperlink>
        </w:p>
        <w:p>
          <w:pPr>
            <w:pStyle w:val="Contents3"/>
            <w:tabs>
              <w:tab w:val="clear" w:pos="8459"/>
              <w:tab w:val="right" w:pos="9026" w:leader="dot"/>
            </w:tabs>
            <w:rPr/>
          </w:pPr>
          <w:hyperlink w:anchor="__RefHeading___Toc6503001_1051229030">
            <w:r>
              <w:rPr>
                <w:webHidden/>
                <w:rStyle w:val="IndexLink"/>
                <w:rtl w:val="true"/>
              </w:rPr>
              <w:t>الإشارة الخامسة</w:t>
            </w:r>
            <w:r>
              <w:rPr>
                <w:rStyle w:val="IndexLink"/>
                <w:rtl w:val="true"/>
              </w:rPr>
              <w:t>:</w:t>
              <w:tab/>
            </w:r>
            <w:r>
              <w:rPr>
                <w:rStyle w:val="IndexLink"/>
              </w:rPr>
              <w:t>174</w:t>
            </w:r>
          </w:hyperlink>
        </w:p>
        <w:p>
          <w:pPr>
            <w:pStyle w:val="Contents3"/>
            <w:tabs>
              <w:tab w:val="clear" w:pos="8459"/>
              <w:tab w:val="right" w:pos="9026" w:leader="dot"/>
            </w:tabs>
            <w:rPr/>
          </w:pPr>
          <w:hyperlink w:anchor="__RefHeading___Toc6503003_1051229030">
            <w:r>
              <w:rPr>
                <w:webHidden/>
                <w:rStyle w:val="IndexLink"/>
                <w:rtl w:val="true"/>
              </w:rPr>
              <w:t>إشاراتٌ</w:t>
            </w:r>
            <w:r>
              <w:rPr>
                <w:rStyle w:val="IndexLink"/>
                <w:rtl w:val="true"/>
              </w:rPr>
              <w:t>:</w:t>
              <w:tab/>
            </w:r>
            <w:r>
              <w:rPr>
                <w:rStyle w:val="IndexLink"/>
              </w:rPr>
              <w:t>175</w:t>
            </w:r>
          </w:hyperlink>
        </w:p>
        <w:p>
          <w:pPr>
            <w:pStyle w:val="Contents3"/>
            <w:tabs>
              <w:tab w:val="clear" w:pos="8459"/>
              <w:tab w:val="right" w:pos="9026" w:leader="dot"/>
            </w:tabs>
            <w:rPr/>
          </w:pPr>
          <w:hyperlink w:anchor="__RefHeading___Toc6503005_1051229030">
            <w:r>
              <w:rPr>
                <w:webHidden/>
                <w:rStyle w:val="IndexLink"/>
                <w:rtl w:val="true"/>
              </w:rPr>
              <w:t>القسم الأول</w:t>
            </w:r>
            <w:r>
              <w:rPr>
                <w:rStyle w:val="IndexLink"/>
                <w:rtl w:val="true"/>
              </w:rPr>
              <w:t xml:space="preserve">: </w:t>
            </w:r>
            <w:r>
              <w:rPr>
                <w:rStyle w:val="IndexLink"/>
                <w:rtl w:val="true"/>
              </w:rPr>
              <w:t>ماء الغُسالة</w:t>
            </w:r>
            <w:r>
              <w:rPr>
                <w:rStyle w:val="IndexLink"/>
                <w:rtl w:val="true"/>
              </w:rPr>
              <w:t>:</w:t>
              <w:tab/>
            </w:r>
            <w:r>
              <w:rPr>
                <w:rStyle w:val="IndexLink"/>
              </w:rPr>
              <w:t>183</w:t>
            </w:r>
          </w:hyperlink>
        </w:p>
        <w:p>
          <w:pPr>
            <w:pStyle w:val="Contents3"/>
            <w:tabs>
              <w:tab w:val="clear" w:pos="8459"/>
              <w:tab w:val="right" w:pos="9026" w:leader="dot"/>
            </w:tabs>
            <w:rPr/>
          </w:pPr>
          <w:hyperlink w:anchor="__RefHeading___Toc6503007_1051229030">
            <w:r>
              <w:rPr>
                <w:webHidden/>
                <w:rStyle w:val="IndexLink"/>
                <w:rtl w:val="true"/>
              </w:rPr>
              <w:t>القسم الثاني</w:t>
            </w:r>
            <w:r>
              <w:rPr>
                <w:rStyle w:val="IndexLink"/>
                <w:rtl w:val="true"/>
              </w:rPr>
              <w:t xml:space="preserve">: </w:t>
            </w:r>
            <w:r>
              <w:rPr>
                <w:rStyle w:val="IndexLink"/>
                <w:rtl w:val="true"/>
              </w:rPr>
              <w:t>ماء الاستنجاء</w:t>
            </w:r>
            <w:r>
              <w:rPr>
                <w:rStyle w:val="IndexLink"/>
                <w:rtl w:val="true"/>
              </w:rPr>
              <w:t>:</w:t>
              <w:tab/>
            </w:r>
            <w:r>
              <w:rPr>
                <w:rStyle w:val="IndexLink"/>
              </w:rPr>
              <w:t>185</w:t>
            </w:r>
          </w:hyperlink>
        </w:p>
        <w:p>
          <w:pPr>
            <w:pStyle w:val="Contents3"/>
            <w:tabs>
              <w:tab w:val="clear" w:pos="8459"/>
              <w:tab w:val="right" w:pos="9026" w:leader="dot"/>
            </w:tabs>
            <w:rPr/>
          </w:pPr>
          <w:hyperlink w:anchor="__RefHeading___Toc6503009_1051229030">
            <w:r>
              <w:rPr>
                <w:webHidden/>
                <w:rStyle w:val="IndexLink"/>
                <w:rtl w:val="true"/>
              </w:rPr>
              <w:t>إشارات</w:t>
            </w:r>
            <w:r>
              <w:rPr>
                <w:rStyle w:val="IndexLink"/>
                <w:rtl w:val="true"/>
              </w:rPr>
              <w:t>:</w:t>
              <w:tab/>
            </w:r>
            <w:r>
              <w:rPr>
                <w:rStyle w:val="IndexLink"/>
              </w:rPr>
              <w:t>187</w:t>
            </w:r>
          </w:hyperlink>
        </w:p>
        <w:p>
          <w:pPr>
            <w:pStyle w:val="Contents3"/>
            <w:tabs>
              <w:tab w:val="clear" w:pos="8459"/>
              <w:tab w:val="right" w:pos="9026" w:leader="dot"/>
            </w:tabs>
            <w:rPr/>
          </w:pPr>
          <w:hyperlink w:anchor="__RefHeading___Toc6503011_1051229030">
            <w:r>
              <w:rPr>
                <w:webHidden/>
                <w:rStyle w:val="IndexLink"/>
                <w:rtl w:val="true"/>
              </w:rPr>
              <w:t>ظاهرة الترددات في كتاب الشرائع</w:t>
            </w:r>
            <w:r>
              <w:rPr>
                <w:rStyle w:val="IndexLink"/>
                <w:rtl w:val="true"/>
              </w:rPr>
              <w:t>:</w:t>
              <w:tab/>
            </w:r>
            <w:r>
              <w:rPr>
                <w:rStyle w:val="IndexLink"/>
              </w:rPr>
              <w:t>194</w:t>
            </w:r>
          </w:hyperlink>
        </w:p>
        <w:p>
          <w:pPr>
            <w:pStyle w:val="Contents3"/>
            <w:tabs>
              <w:tab w:val="clear" w:pos="8459"/>
              <w:tab w:val="right" w:pos="9026" w:leader="dot"/>
            </w:tabs>
            <w:rPr/>
          </w:pPr>
          <w:hyperlink w:anchor="__RefHeading___Toc6503013_1051229030">
            <w:r>
              <w:rPr>
                <w:webHidden/>
                <w:rStyle w:val="IndexLink"/>
                <w:rtl w:val="true"/>
              </w:rPr>
              <w:t>استطراد</w:t>
            </w:r>
            <w:r>
              <w:rPr>
                <w:rStyle w:val="IndexLink"/>
                <w:rtl w:val="true"/>
              </w:rPr>
              <w:t xml:space="preserve">: </w:t>
            </w:r>
            <w:r>
              <w:rPr>
                <w:rStyle w:val="IndexLink"/>
                <w:rtl w:val="true"/>
              </w:rPr>
              <w:t>في لزوم تعظيم العلماء</w:t>
            </w:r>
            <w:r>
              <w:rPr>
                <w:rStyle w:val="IndexLink"/>
                <w:rtl w:val="true"/>
              </w:rPr>
              <w:t>:</w:t>
              <w:tab/>
            </w:r>
            <w:r>
              <w:rPr>
                <w:rStyle w:val="IndexLink"/>
              </w:rPr>
              <w:t>195</w:t>
            </w:r>
          </w:hyperlink>
        </w:p>
        <w:p>
          <w:pPr>
            <w:pStyle w:val="Contents3"/>
            <w:tabs>
              <w:tab w:val="clear" w:pos="8459"/>
              <w:tab w:val="right" w:pos="9026" w:leader="dot"/>
            </w:tabs>
            <w:rPr/>
          </w:pPr>
          <w:hyperlink w:anchor="__RefHeading___Toc6503015_1051229030">
            <w:r>
              <w:rPr>
                <w:webHidden/>
                <w:rStyle w:val="IndexLink"/>
                <w:rtl w:val="true"/>
              </w:rPr>
              <w:t>نكتة تربوية</w:t>
            </w:r>
            <w:r>
              <w:rPr>
                <w:rStyle w:val="IndexLink"/>
                <w:rtl w:val="true"/>
              </w:rPr>
              <w:t xml:space="preserve">: </w:t>
            </w:r>
            <w:r>
              <w:rPr>
                <w:rStyle w:val="IndexLink"/>
                <w:rtl w:val="true"/>
              </w:rPr>
              <w:t>ملاك القبول هو الإخلاص</w:t>
            </w:r>
            <w:r>
              <w:rPr>
                <w:rStyle w:val="IndexLink"/>
                <w:rtl w:val="true"/>
              </w:rPr>
              <w:t>:</w:t>
              <w:tab/>
            </w:r>
            <w:r>
              <w:rPr>
                <w:rStyle w:val="IndexLink"/>
              </w:rPr>
              <w:t>201</w:t>
            </w:r>
          </w:hyperlink>
        </w:p>
        <w:p>
          <w:pPr>
            <w:pStyle w:val="Contents3"/>
            <w:tabs>
              <w:tab w:val="clear" w:pos="8459"/>
              <w:tab w:val="right" w:pos="9026" w:leader="dot"/>
            </w:tabs>
            <w:rPr/>
          </w:pPr>
          <w:hyperlink w:anchor="__RefHeading___Toc6503017_1051229030">
            <w:r>
              <w:rPr>
                <w:webHidden/>
                <w:rStyle w:val="IndexLink"/>
                <w:rtl w:val="true"/>
              </w:rPr>
              <w:t>تنبيه</w:t>
            </w:r>
            <w:r>
              <w:rPr>
                <w:rStyle w:val="IndexLink"/>
                <w:rtl w:val="true"/>
              </w:rPr>
              <w:t xml:space="preserve">: </w:t>
            </w:r>
            <w:r>
              <w:rPr>
                <w:rStyle w:val="IndexLink"/>
                <w:rtl w:val="true"/>
              </w:rPr>
              <w:t>الاختلاف في رفع الحدث لا في إزالة الخبث</w:t>
            </w:r>
            <w:r>
              <w:rPr>
                <w:rStyle w:val="IndexLink"/>
                <w:rtl w:val="true"/>
              </w:rPr>
              <w:t>:</w:t>
              <w:tab/>
            </w:r>
            <w:r>
              <w:rPr>
                <w:rStyle w:val="IndexLink"/>
              </w:rPr>
              <w:t>205</w:t>
            </w:r>
          </w:hyperlink>
        </w:p>
        <w:p>
          <w:pPr>
            <w:pStyle w:val="Contents3"/>
            <w:tabs>
              <w:tab w:val="clear" w:pos="8459"/>
              <w:tab w:val="right" w:pos="9026" w:leader="dot"/>
            </w:tabs>
            <w:rPr/>
          </w:pPr>
          <w:hyperlink w:anchor="__RefHeading___Toc6503019_1051229030">
            <w:r>
              <w:rPr>
                <w:webHidden/>
                <w:rStyle w:val="IndexLink"/>
                <w:rtl w:val="true"/>
              </w:rPr>
              <w:t>الطرف الثالث</w:t>
            </w:r>
            <w:r>
              <w:rPr>
                <w:rStyle w:val="IndexLink"/>
                <w:rtl w:val="true"/>
              </w:rPr>
              <w:t>:</w:t>
            </w:r>
            <w:r>
              <w:rPr>
                <w:rStyle w:val="IndexLink"/>
                <w:rtl w:val="true"/>
              </w:rPr>
              <w:t>في الأسئار</w:t>
            </w:r>
            <w:r>
              <w:rPr>
                <w:rStyle w:val="IndexLink"/>
                <w:rtl w:val="true"/>
              </w:rPr>
              <w:tab/>
            </w:r>
            <w:r>
              <w:rPr>
                <w:rStyle w:val="IndexLink"/>
              </w:rPr>
              <w:t>206</w:t>
            </w:r>
          </w:hyperlink>
        </w:p>
        <w:p>
          <w:pPr>
            <w:pStyle w:val="Contents3"/>
            <w:tabs>
              <w:tab w:val="clear" w:pos="8459"/>
              <w:tab w:val="right" w:pos="9026" w:leader="dot"/>
            </w:tabs>
            <w:rPr/>
          </w:pPr>
          <w:hyperlink w:anchor="__RefHeading___Toc6503021_1051229030">
            <w:r>
              <w:rPr>
                <w:webHidden/>
                <w:rStyle w:val="IndexLink"/>
                <w:rtl w:val="true"/>
              </w:rPr>
              <w:t>الفرع الأول</w:t>
            </w:r>
            <w:r>
              <w:rPr>
                <w:rStyle w:val="IndexLink"/>
                <w:rtl w:val="true"/>
              </w:rPr>
              <w:t xml:space="preserve">: </w:t>
            </w:r>
            <w:r>
              <w:rPr>
                <w:rStyle w:val="IndexLink"/>
                <w:rtl w:val="true"/>
              </w:rPr>
              <w:t>حكم السؤر من حيث الطهارة والنجاسة</w:t>
            </w:r>
            <w:r>
              <w:rPr>
                <w:rStyle w:val="IndexLink"/>
                <w:rtl w:val="true"/>
              </w:rPr>
              <w:t>:</w:t>
              <w:tab/>
            </w:r>
            <w:r>
              <w:rPr>
                <w:rStyle w:val="IndexLink"/>
              </w:rPr>
              <w:t>207</w:t>
            </w:r>
          </w:hyperlink>
        </w:p>
        <w:p>
          <w:pPr>
            <w:pStyle w:val="Contents3"/>
            <w:tabs>
              <w:tab w:val="clear" w:pos="8459"/>
              <w:tab w:val="right" w:pos="9026" w:leader="dot"/>
            </w:tabs>
            <w:rPr/>
          </w:pPr>
          <w:hyperlink w:anchor="__RefHeading___Toc6503023_1051229030">
            <w:r>
              <w:rPr>
                <w:webHidden/>
                <w:rStyle w:val="IndexLink"/>
                <w:rtl w:val="true"/>
              </w:rPr>
              <w:t>إشارات</w:t>
            </w:r>
            <w:r>
              <w:rPr>
                <w:rStyle w:val="IndexLink"/>
                <w:rtl w:val="true"/>
              </w:rPr>
              <w:t>:</w:t>
              <w:tab/>
            </w:r>
            <w:r>
              <w:rPr>
                <w:rStyle w:val="IndexLink"/>
              </w:rPr>
              <w:t>213</w:t>
            </w:r>
          </w:hyperlink>
        </w:p>
        <w:p>
          <w:pPr>
            <w:pStyle w:val="Contents3"/>
            <w:tabs>
              <w:tab w:val="clear" w:pos="8459"/>
              <w:tab w:val="right" w:pos="9026" w:leader="dot"/>
            </w:tabs>
            <w:rPr/>
          </w:pPr>
          <w:hyperlink w:anchor="__RefHeading___Toc6503025_1051229030">
            <w:r>
              <w:rPr>
                <w:webHidden/>
                <w:rStyle w:val="IndexLink"/>
                <w:rtl w:val="true"/>
              </w:rPr>
              <w:t>الفرع الثاني</w:t>
            </w:r>
            <w:r>
              <w:rPr>
                <w:rStyle w:val="IndexLink"/>
                <w:rtl w:val="true"/>
              </w:rPr>
              <w:t xml:space="preserve">: </w:t>
            </w:r>
            <w:r>
              <w:rPr>
                <w:rStyle w:val="IndexLink"/>
                <w:rtl w:val="true"/>
              </w:rPr>
              <w:t>ما يُكره سؤره</w:t>
            </w:r>
            <w:r>
              <w:rPr>
                <w:rStyle w:val="IndexLink"/>
                <w:rtl w:val="true"/>
              </w:rPr>
              <w:t>:</w:t>
              <w:tab/>
            </w:r>
            <w:r>
              <w:rPr>
                <w:rStyle w:val="IndexLink"/>
              </w:rPr>
              <w:t>214</w:t>
            </w:r>
          </w:hyperlink>
        </w:p>
        <w:p>
          <w:pPr>
            <w:pStyle w:val="Contents3"/>
            <w:tabs>
              <w:tab w:val="clear" w:pos="8459"/>
              <w:tab w:val="right" w:pos="9026" w:leader="dot"/>
            </w:tabs>
            <w:rPr/>
          </w:pPr>
          <w:hyperlink w:anchor="__RefHeading___Toc6503027_1051229030">
            <w:r>
              <w:rPr>
                <w:webHidden/>
                <w:rStyle w:val="IndexLink"/>
                <w:rtl w:val="true"/>
              </w:rPr>
              <w:t>الفرع الثالث</w:t>
            </w:r>
            <w:r>
              <w:rPr>
                <w:rStyle w:val="IndexLink"/>
                <w:rtl w:val="true"/>
              </w:rPr>
              <w:t xml:space="preserve">: </w:t>
            </w:r>
            <w:r>
              <w:rPr>
                <w:rStyle w:val="IndexLink"/>
                <w:rtl w:val="true"/>
              </w:rPr>
              <w:t>حالات ينجس فيها الماء</w:t>
            </w:r>
            <w:r>
              <w:rPr>
                <w:rStyle w:val="IndexLink"/>
                <w:rtl w:val="true"/>
              </w:rPr>
              <w:t>:</w:t>
              <w:tab/>
            </w:r>
            <w:r>
              <w:rPr>
                <w:rStyle w:val="IndexLink"/>
              </w:rPr>
              <w:t>221</w:t>
            </w:r>
          </w:hyperlink>
        </w:p>
        <w:p>
          <w:pPr>
            <w:pStyle w:val="Contents3"/>
            <w:tabs>
              <w:tab w:val="clear" w:pos="8459"/>
              <w:tab w:val="right" w:pos="9026" w:leader="dot"/>
            </w:tabs>
            <w:rPr/>
          </w:pPr>
          <w:hyperlink w:anchor="__RefHeading___Toc6503029_1051229030">
            <w:r>
              <w:rPr>
                <w:webHidden/>
                <w:rStyle w:val="IndexLink"/>
                <w:rtl w:val="true"/>
              </w:rPr>
              <w:t>إشارات</w:t>
            </w:r>
            <w:r>
              <w:rPr>
                <w:rStyle w:val="IndexLink"/>
                <w:rtl w:val="true"/>
              </w:rPr>
              <w:t>:</w:t>
              <w:tab/>
            </w:r>
            <w:r>
              <w:rPr>
                <w:rStyle w:val="IndexLink"/>
              </w:rPr>
              <w:t>224</w:t>
            </w:r>
          </w:hyperlink>
        </w:p>
        <w:p>
          <w:pPr>
            <w:pStyle w:val="Contents3"/>
            <w:tabs>
              <w:tab w:val="clear" w:pos="8459"/>
              <w:tab w:val="right" w:pos="9026" w:leader="dot"/>
            </w:tabs>
            <w:rPr/>
          </w:pPr>
          <w:hyperlink w:anchor="__RefHeading___Toc6503031_1051229030">
            <w:r>
              <w:rPr>
                <w:webHidden/>
                <w:rStyle w:val="IndexLink"/>
                <w:rtl w:val="true"/>
              </w:rPr>
              <w:t>الركن الثاني</w:t>
            </w:r>
            <w:r>
              <w:rPr>
                <w:rStyle w:val="IndexLink"/>
                <w:rtl w:val="true"/>
              </w:rPr>
              <w:t xml:space="preserve">: </w:t>
            </w:r>
            <w:r>
              <w:rPr>
                <w:rStyle w:val="IndexLink"/>
                <w:rtl w:val="true"/>
              </w:rPr>
              <w:t>في الطهارة المائية</w:t>
            </w:r>
            <w:r>
              <w:rPr>
                <w:rStyle w:val="IndexLink"/>
                <w:rtl w:val="true"/>
              </w:rPr>
              <w:tab/>
            </w:r>
            <w:r>
              <w:rPr>
                <w:rStyle w:val="IndexLink"/>
              </w:rPr>
              <w:t>231</w:t>
            </w:r>
          </w:hyperlink>
        </w:p>
        <w:p>
          <w:pPr>
            <w:pStyle w:val="Contents3"/>
            <w:tabs>
              <w:tab w:val="clear" w:pos="8459"/>
              <w:tab w:val="right" w:pos="9026" w:leader="dot"/>
            </w:tabs>
            <w:rPr/>
          </w:pPr>
          <w:hyperlink w:anchor="__RefHeading___Toc6503033_1051229030">
            <w:r>
              <w:rPr>
                <w:webHidden/>
                <w:rStyle w:val="IndexLink"/>
                <w:rtl w:val="true"/>
              </w:rPr>
              <w:t>الفصل الأول</w:t>
            </w:r>
            <w:r>
              <w:rPr>
                <w:rStyle w:val="IndexLink"/>
                <w:rtl w:val="true"/>
              </w:rPr>
              <w:tab/>
            </w:r>
            <w:r>
              <w:rPr>
                <w:rStyle w:val="IndexLink"/>
              </w:rPr>
              <w:t>233</w:t>
            </w:r>
          </w:hyperlink>
        </w:p>
        <w:p>
          <w:pPr>
            <w:pStyle w:val="Contents3"/>
            <w:tabs>
              <w:tab w:val="clear" w:pos="8459"/>
              <w:tab w:val="right" w:pos="9026" w:leader="dot"/>
            </w:tabs>
            <w:rPr/>
          </w:pPr>
          <w:hyperlink w:anchor="__RefHeading___Toc6503035_1051229030">
            <w:r>
              <w:rPr>
                <w:webHidden/>
                <w:rStyle w:val="IndexLink"/>
                <w:rtl w:val="true"/>
              </w:rPr>
              <w:t>الفرع الأول</w:t>
            </w:r>
            <w:r>
              <w:rPr>
                <w:rStyle w:val="IndexLink"/>
                <w:rtl w:val="true"/>
              </w:rPr>
              <w:t xml:space="preserve">: </w:t>
            </w:r>
            <w:r>
              <w:rPr>
                <w:rStyle w:val="IndexLink"/>
                <w:rtl w:val="true"/>
              </w:rPr>
              <w:t>في أسباب الوضوء</w:t>
            </w:r>
            <w:r>
              <w:rPr>
                <w:rStyle w:val="IndexLink"/>
                <w:rtl w:val="true"/>
              </w:rPr>
              <w:t>:</w:t>
              <w:tab/>
            </w:r>
            <w:r>
              <w:rPr>
                <w:rStyle w:val="IndexLink"/>
              </w:rPr>
              <w:t>233</w:t>
            </w:r>
          </w:hyperlink>
        </w:p>
        <w:p>
          <w:pPr>
            <w:pStyle w:val="Contents3"/>
            <w:tabs>
              <w:tab w:val="clear" w:pos="8459"/>
              <w:tab w:val="right" w:pos="9026" w:leader="dot"/>
            </w:tabs>
            <w:rPr/>
          </w:pPr>
          <w:hyperlink w:anchor="__RefHeading___Toc6503037_1051229030">
            <w:r>
              <w:rPr>
                <w:webHidden/>
                <w:rStyle w:val="IndexLink"/>
                <w:rtl w:val="true"/>
              </w:rPr>
              <w:t>وهنا عدة تنبيهات</w:t>
            </w:r>
            <w:r>
              <w:rPr>
                <w:rStyle w:val="IndexLink"/>
                <w:rtl w:val="true"/>
              </w:rPr>
              <w:t>:</w:t>
              <w:tab/>
            </w:r>
            <w:r>
              <w:rPr>
                <w:rStyle w:val="IndexLink"/>
              </w:rPr>
              <w:t>237</w:t>
            </w:r>
          </w:hyperlink>
        </w:p>
        <w:p>
          <w:pPr>
            <w:pStyle w:val="Contents3"/>
            <w:tabs>
              <w:tab w:val="clear" w:pos="8459"/>
              <w:tab w:val="right" w:pos="9026" w:leader="dot"/>
            </w:tabs>
            <w:rPr/>
          </w:pPr>
          <w:hyperlink w:anchor="__RefHeading___Toc6503039_1051229030">
            <w:r>
              <w:rPr>
                <w:webHidden/>
                <w:rStyle w:val="IndexLink"/>
                <w:rtl w:val="true"/>
              </w:rPr>
              <w:t>ملحوظات</w:t>
            </w:r>
            <w:r>
              <w:rPr>
                <w:rStyle w:val="IndexLink"/>
                <w:rtl w:val="true"/>
              </w:rPr>
              <w:t>:</w:t>
              <w:tab/>
            </w:r>
            <w:r>
              <w:rPr>
                <w:rStyle w:val="IndexLink"/>
              </w:rPr>
              <w:t>243</w:t>
            </w:r>
          </w:hyperlink>
        </w:p>
        <w:p>
          <w:pPr>
            <w:pStyle w:val="Contents3"/>
            <w:tabs>
              <w:tab w:val="clear" w:pos="8459"/>
              <w:tab w:val="right" w:pos="9026" w:leader="dot"/>
            </w:tabs>
            <w:rPr/>
          </w:pPr>
          <w:hyperlink w:anchor="__RefHeading___Toc6503041_1051229030">
            <w:r>
              <w:rPr>
                <w:webHidden/>
                <w:rStyle w:val="IndexLink"/>
                <w:rtl w:val="true"/>
              </w:rPr>
              <w:t>فائدة رجالية</w:t>
            </w:r>
            <w:r>
              <w:rPr>
                <w:rStyle w:val="IndexLink"/>
                <w:rtl w:val="true"/>
              </w:rPr>
              <w:t xml:space="preserve">: </w:t>
            </w:r>
            <w:r>
              <w:rPr>
                <w:rStyle w:val="IndexLink"/>
                <w:rtl w:val="true"/>
              </w:rPr>
              <w:t>الرواية المضمرة والآراء فيها</w:t>
            </w:r>
            <w:r>
              <w:rPr>
                <w:rStyle w:val="IndexLink"/>
                <w:rtl w:val="true"/>
              </w:rPr>
              <w:t>:</w:t>
              <w:tab/>
            </w:r>
            <w:r>
              <w:rPr>
                <w:rStyle w:val="IndexLink"/>
              </w:rPr>
              <w:t>245</w:t>
            </w:r>
          </w:hyperlink>
        </w:p>
        <w:p>
          <w:pPr>
            <w:pStyle w:val="Contents3"/>
            <w:tabs>
              <w:tab w:val="clear" w:pos="8459"/>
              <w:tab w:val="right" w:pos="9026" w:leader="dot"/>
            </w:tabs>
            <w:rPr/>
          </w:pPr>
          <w:hyperlink w:anchor="__RefHeading___Toc6503043_1051229030">
            <w:r>
              <w:rPr>
                <w:webHidden/>
                <w:rStyle w:val="IndexLink"/>
                <w:rtl w:val="true"/>
              </w:rPr>
              <w:t>الفرع الثاني</w:t>
            </w:r>
            <w:r>
              <w:rPr>
                <w:rStyle w:val="IndexLink"/>
                <w:rtl w:val="true"/>
              </w:rPr>
              <w:t xml:space="preserve">: </w:t>
            </w:r>
            <w:r>
              <w:rPr>
                <w:rStyle w:val="IndexLink"/>
                <w:rtl w:val="true"/>
              </w:rPr>
              <w:t>أمورٌ لا تنقض الوضوء</w:t>
            </w:r>
            <w:r>
              <w:rPr>
                <w:rStyle w:val="IndexLink"/>
                <w:rtl w:val="true"/>
              </w:rPr>
              <w:t>:</w:t>
              <w:tab/>
            </w:r>
            <w:r>
              <w:rPr>
                <w:rStyle w:val="IndexLink"/>
              </w:rPr>
              <w:t>250</w:t>
            </w:r>
          </w:hyperlink>
        </w:p>
        <w:p>
          <w:pPr>
            <w:pStyle w:val="Contents3"/>
            <w:tabs>
              <w:tab w:val="clear" w:pos="8459"/>
              <w:tab w:val="right" w:pos="9026" w:leader="dot"/>
            </w:tabs>
            <w:rPr/>
          </w:pPr>
          <w:hyperlink w:anchor="__RefHeading___Toc6503045_1051229030">
            <w:r>
              <w:rPr>
                <w:webHidden/>
                <w:rStyle w:val="IndexLink"/>
                <w:rtl w:val="true"/>
              </w:rPr>
              <w:t>الفصل الثاني في أحكام الخلوة</w:t>
            </w:r>
            <w:r>
              <w:rPr>
                <w:rStyle w:val="IndexLink"/>
                <w:rtl w:val="true"/>
              </w:rPr>
              <w:tab/>
            </w:r>
            <w:r>
              <w:rPr>
                <w:rStyle w:val="IndexLink"/>
              </w:rPr>
              <w:t>258</w:t>
            </w:r>
          </w:hyperlink>
        </w:p>
        <w:p>
          <w:pPr>
            <w:pStyle w:val="Contents3"/>
            <w:tabs>
              <w:tab w:val="clear" w:pos="8459"/>
              <w:tab w:val="right" w:pos="9026" w:leader="dot"/>
            </w:tabs>
            <w:rPr/>
          </w:pPr>
          <w:hyperlink w:anchor="__RefHeading___Toc6503047_1051229030">
            <w:r>
              <w:rPr>
                <w:webHidden/>
                <w:rStyle w:val="IndexLink"/>
                <w:rtl w:val="true"/>
              </w:rPr>
              <w:t>النوع الأول</w:t>
            </w:r>
            <w:r>
              <w:rPr>
                <w:rStyle w:val="IndexLink"/>
                <w:rtl w:val="true"/>
              </w:rPr>
              <w:t xml:space="preserve">: </w:t>
            </w:r>
            <w:r>
              <w:rPr>
                <w:rStyle w:val="IndexLink"/>
                <w:rtl w:val="true"/>
              </w:rPr>
              <w:t>في كيفية التخلي وأحكامه</w:t>
            </w:r>
            <w:r>
              <w:rPr>
                <w:rStyle w:val="IndexLink"/>
                <w:rtl w:val="true"/>
              </w:rPr>
              <w:t>:</w:t>
              <w:tab/>
            </w:r>
            <w:r>
              <w:rPr>
                <w:rStyle w:val="IndexLink"/>
              </w:rPr>
              <w:t>258</w:t>
            </w:r>
          </w:hyperlink>
        </w:p>
        <w:p>
          <w:pPr>
            <w:pStyle w:val="Contents3"/>
            <w:tabs>
              <w:tab w:val="clear" w:pos="8459"/>
              <w:tab w:val="right" w:pos="9026" w:leader="dot"/>
            </w:tabs>
            <w:rPr/>
          </w:pPr>
          <w:hyperlink w:anchor="__RefHeading___Toc6503049_1051229030">
            <w:r>
              <w:rPr>
                <w:webHidden/>
                <w:rStyle w:val="IndexLink"/>
                <w:rtl w:val="true"/>
              </w:rPr>
              <w:t>النوع الثاني</w:t>
            </w:r>
            <w:r>
              <w:rPr>
                <w:rStyle w:val="IndexLink"/>
                <w:rtl w:val="true"/>
              </w:rPr>
              <w:t xml:space="preserve">: </w:t>
            </w:r>
            <w:r>
              <w:rPr>
                <w:rStyle w:val="IndexLink"/>
                <w:rtl w:val="true"/>
              </w:rPr>
              <w:t>في الاستنجاء</w:t>
            </w:r>
            <w:r>
              <w:rPr>
                <w:rStyle w:val="IndexLink"/>
                <w:rtl w:val="true"/>
              </w:rPr>
              <w:t>:</w:t>
              <w:tab/>
            </w:r>
            <w:r>
              <w:rPr>
                <w:rStyle w:val="IndexLink"/>
              </w:rPr>
              <w:t>271</w:t>
            </w:r>
          </w:hyperlink>
        </w:p>
        <w:p>
          <w:pPr>
            <w:pStyle w:val="Contents3"/>
            <w:tabs>
              <w:tab w:val="clear" w:pos="8459"/>
              <w:tab w:val="right" w:pos="9026" w:leader="dot"/>
            </w:tabs>
            <w:rPr/>
          </w:pPr>
          <w:hyperlink w:anchor="__RefHeading___Toc6503051_1051229030">
            <w:r>
              <w:rPr>
                <w:webHidden/>
                <w:rStyle w:val="IndexLink"/>
                <w:rtl w:val="true"/>
              </w:rPr>
              <w:t>الطريقة الأولى</w:t>
            </w:r>
            <w:r>
              <w:rPr>
                <w:rStyle w:val="IndexLink"/>
                <w:rtl w:val="true"/>
              </w:rPr>
              <w:t xml:space="preserve">: </w:t>
            </w:r>
            <w:r>
              <w:rPr>
                <w:rStyle w:val="IndexLink"/>
                <w:rtl w:val="true"/>
              </w:rPr>
              <w:t>الطريقة التعيينية</w:t>
            </w:r>
            <w:r>
              <w:rPr>
                <w:rStyle w:val="IndexLink"/>
                <w:rtl w:val="true"/>
              </w:rPr>
              <w:t>:</w:t>
              <w:tab/>
            </w:r>
            <w:r>
              <w:rPr>
                <w:rStyle w:val="IndexLink"/>
              </w:rPr>
              <w:t>278</w:t>
            </w:r>
          </w:hyperlink>
        </w:p>
        <w:p>
          <w:pPr>
            <w:pStyle w:val="Contents3"/>
            <w:tabs>
              <w:tab w:val="clear" w:pos="8459"/>
              <w:tab w:val="right" w:pos="9026" w:leader="dot"/>
            </w:tabs>
            <w:rPr/>
          </w:pPr>
          <w:hyperlink w:anchor="__RefHeading___Toc6503053_1051229030">
            <w:r>
              <w:rPr>
                <w:webHidden/>
                <w:rStyle w:val="IndexLink"/>
                <w:rtl w:val="true"/>
              </w:rPr>
              <w:t>الطريقة الثانية</w:t>
            </w:r>
            <w:r>
              <w:rPr>
                <w:rStyle w:val="IndexLink"/>
                <w:rtl w:val="true"/>
              </w:rPr>
              <w:t xml:space="preserve">: </w:t>
            </w:r>
            <w:r>
              <w:rPr>
                <w:rStyle w:val="IndexLink"/>
                <w:rtl w:val="true"/>
              </w:rPr>
              <w:t>الطريقة التخييرية</w:t>
            </w:r>
            <w:r>
              <w:rPr>
                <w:rStyle w:val="IndexLink"/>
                <w:rtl w:val="true"/>
              </w:rPr>
              <w:t>:</w:t>
              <w:tab/>
            </w:r>
            <w:r>
              <w:rPr>
                <w:rStyle w:val="IndexLink"/>
              </w:rPr>
              <w:t>279</w:t>
            </w:r>
          </w:hyperlink>
        </w:p>
        <w:p>
          <w:pPr>
            <w:pStyle w:val="Contents3"/>
            <w:tabs>
              <w:tab w:val="clear" w:pos="8459"/>
              <w:tab w:val="right" w:pos="9026" w:leader="dot"/>
            </w:tabs>
            <w:rPr/>
          </w:pPr>
          <w:hyperlink w:anchor="__RefHeading___Toc6503055_1051229030">
            <w:r>
              <w:rPr>
                <w:webHidden/>
                <w:rStyle w:val="IndexLink"/>
                <w:rtl w:val="true"/>
              </w:rPr>
              <w:t>الأمر الثالث</w:t>
            </w:r>
            <w:r>
              <w:rPr>
                <w:rStyle w:val="IndexLink"/>
                <w:rtl w:val="true"/>
              </w:rPr>
              <w:t xml:space="preserve">: </w:t>
            </w:r>
            <w:r>
              <w:rPr>
                <w:rStyle w:val="IndexLink"/>
                <w:rtl w:val="true"/>
              </w:rPr>
              <w:t>شروط التطهير بالأحجار</w:t>
            </w:r>
            <w:r>
              <w:rPr>
                <w:rStyle w:val="IndexLink"/>
                <w:rtl w:val="true"/>
              </w:rPr>
              <w:t>:</w:t>
              <w:tab/>
            </w:r>
            <w:r>
              <w:rPr>
                <w:rStyle w:val="IndexLink"/>
              </w:rPr>
              <w:t>282</w:t>
            </w:r>
          </w:hyperlink>
        </w:p>
        <w:p>
          <w:pPr>
            <w:pStyle w:val="Contents3"/>
            <w:tabs>
              <w:tab w:val="clear" w:pos="8459"/>
              <w:tab w:val="right" w:pos="9026" w:leader="dot"/>
            </w:tabs>
            <w:rPr/>
          </w:pPr>
          <w:hyperlink w:anchor="__RefHeading___Toc6503057_1051229030">
            <w:r>
              <w:rPr>
                <w:webHidden/>
                <w:rStyle w:val="IndexLink"/>
                <w:rtl w:val="true"/>
              </w:rPr>
              <w:t>النوع الثالث</w:t>
            </w:r>
            <w:r>
              <w:rPr>
                <w:rStyle w:val="IndexLink"/>
                <w:rtl w:val="true"/>
              </w:rPr>
              <w:t xml:space="preserve">: </w:t>
            </w:r>
            <w:r>
              <w:rPr>
                <w:rStyle w:val="IndexLink"/>
                <w:rtl w:val="true"/>
              </w:rPr>
              <w:t xml:space="preserve">في سنن الخلوة </w:t>
            </w:r>
            <w:r>
              <w:rPr>
                <w:rStyle w:val="IndexLink"/>
                <w:rtl w:val="true"/>
              </w:rPr>
              <w:t>(</w:t>
            </w:r>
            <w:r>
              <w:rPr>
                <w:rStyle w:val="IndexLink"/>
                <w:rtl w:val="true"/>
              </w:rPr>
              <w:t>المندوباتٌ والمكروهات</w:t>
            </w:r>
            <w:r>
              <w:rPr>
                <w:rStyle w:val="IndexLink"/>
                <w:rtl w:val="true"/>
              </w:rPr>
              <w:t>):</w:t>
              <w:tab/>
            </w:r>
            <w:r>
              <w:rPr>
                <w:rStyle w:val="IndexLink"/>
              </w:rPr>
              <w:t>287</w:t>
            </w:r>
          </w:hyperlink>
        </w:p>
        <w:p>
          <w:pPr>
            <w:pStyle w:val="Contents3"/>
            <w:tabs>
              <w:tab w:val="clear" w:pos="8459"/>
              <w:tab w:val="right" w:pos="9026" w:leader="dot"/>
            </w:tabs>
            <w:rPr/>
          </w:pPr>
          <w:hyperlink w:anchor="__RefHeading___Toc6503059_1051229030">
            <w:r>
              <w:rPr>
                <w:webHidden/>
                <w:rStyle w:val="IndexLink"/>
                <w:rtl w:val="true"/>
              </w:rPr>
              <w:t>الفصل الثالث في كيفية الوضوء</w:t>
            </w:r>
            <w:r>
              <w:rPr>
                <w:rStyle w:val="IndexLink"/>
                <w:rtl w:val="true"/>
              </w:rPr>
              <w:tab/>
            </w:r>
            <w:r>
              <w:rPr>
                <w:rStyle w:val="IndexLink"/>
              </w:rPr>
              <w:t>306</w:t>
            </w:r>
          </w:hyperlink>
        </w:p>
        <w:p>
          <w:pPr>
            <w:pStyle w:val="Contents3"/>
            <w:tabs>
              <w:tab w:val="clear" w:pos="8459"/>
              <w:tab w:val="right" w:pos="9026" w:leader="dot"/>
            </w:tabs>
            <w:rPr/>
          </w:pPr>
          <w:hyperlink w:anchor="__RefHeading___Toc6503061_1051229030">
            <w:r>
              <w:rPr>
                <w:webHidden/>
                <w:rStyle w:val="IndexLink"/>
                <w:rtl w:val="true"/>
              </w:rPr>
              <w:t>الفرض الأول</w:t>
            </w:r>
            <w:r>
              <w:rPr>
                <w:rStyle w:val="IndexLink"/>
                <w:rtl w:val="true"/>
              </w:rPr>
              <w:t xml:space="preserve">: </w:t>
            </w:r>
            <w:r>
              <w:rPr>
                <w:rStyle w:val="IndexLink"/>
                <w:rtl w:val="true"/>
              </w:rPr>
              <w:t>النية</w:t>
            </w:r>
            <w:r>
              <w:rPr>
                <w:rStyle w:val="IndexLink"/>
                <w:rtl w:val="true"/>
              </w:rPr>
              <w:t>:</w:t>
              <w:tab/>
            </w:r>
            <w:r>
              <w:rPr>
                <w:rStyle w:val="IndexLink"/>
              </w:rPr>
              <w:t>306</w:t>
            </w:r>
          </w:hyperlink>
        </w:p>
        <w:p>
          <w:pPr>
            <w:pStyle w:val="Contents3"/>
            <w:tabs>
              <w:tab w:val="clear" w:pos="8459"/>
              <w:tab w:val="right" w:pos="9026" w:leader="dot"/>
            </w:tabs>
            <w:rPr/>
          </w:pPr>
          <w:hyperlink w:anchor="__RefHeading___Toc6503063_1051229030">
            <w:r>
              <w:rPr>
                <w:webHidden/>
                <w:rStyle w:val="IndexLink"/>
                <w:rtl w:val="true"/>
              </w:rPr>
              <w:t>الأمر الأول</w:t>
            </w:r>
            <w:r>
              <w:rPr>
                <w:rStyle w:val="IndexLink"/>
                <w:rtl w:val="true"/>
              </w:rPr>
              <w:t xml:space="preserve">: </w:t>
            </w:r>
            <w:r>
              <w:rPr>
                <w:rStyle w:val="IndexLink"/>
                <w:rtl w:val="true"/>
              </w:rPr>
              <w:t>في معنى النية</w:t>
            </w:r>
            <w:r>
              <w:rPr>
                <w:rStyle w:val="IndexLink"/>
                <w:rtl w:val="true"/>
              </w:rPr>
              <w:t>:</w:t>
              <w:tab/>
            </w:r>
            <w:r>
              <w:rPr>
                <w:rStyle w:val="IndexLink"/>
              </w:rPr>
              <w:t>306</w:t>
            </w:r>
          </w:hyperlink>
        </w:p>
        <w:p>
          <w:pPr>
            <w:pStyle w:val="Contents3"/>
            <w:tabs>
              <w:tab w:val="clear" w:pos="8459"/>
              <w:tab w:val="right" w:pos="9026" w:leader="dot"/>
            </w:tabs>
            <w:rPr/>
          </w:pPr>
          <w:hyperlink w:anchor="__RefHeading___Toc6503065_1051229030">
            <w:r>
              <w:rPr>
                <w:webHidden/>
                <w:rStyle w:val="IndexLink"/>
                <w:rtl w:val="true"/>
              </w:rPr>
              <w:t>الأمر الثاني</w:t>
            </w:r>
            <w:r>
              <w:rPr>
                <w:rStyle w:val="IndexLink"/>
                <w:rtl w:val="true"/>
              </w:rPr>
              <w:t xml:space="preserve">: </w:t>
            </w:r>
            <w:r>
              <w:rPr>
                <w:rStyle w:val="IndexLink"/>
                <w:rtl w:val="true"/>
              </w:rPr>
              <w:t>في كيفية النية</w:t>
            </w:r>
            <w:r>
              <w:rPr>
                <w:rStyle w:val="IndexLink"/>
                <w:rtl w:val="true"/>
              </w:rPr>
              <w:t>:</w:t>
              <w:tab/>
            </w:r>
            <w:r>
              <w:rPr>
                <w:rStyle w:val="IndexLink"/>
              </w:rPr>
              <w:t>310</w:t>
            </w:r>
          </w:hyperlink>
        </w:p>
        <w:p>
          <w:pPr>
            <w:pStyle w:val="Contents3"/>
            <w:tabs>
              <w:tab w:val="clear" w:pos="8459"/>
              <w:tab w:val="right" w:pos="9026" w:leader="dot"/>
            </w:tabs>
            <w:rPr/>
          </w:pPr>
          <w:hyperlink w:anchor="__RefHeading___Toc6503067_1051229030">
            <w:r>
              <w:rPr>
                <w:webHidden/>
                <w:rStyle w:val="IndexLink"/>
                <w:rtl w:val="true"/>
              </w:rPr>
              <w:t>الأمر الثالث</w:t>
            </w:r>
            <w:r>
              <w:rPr>
                <w:rStyle w:val="IndexLink"/>
                <w:rtl w:val="true"/>
              </w:rPr>
              <w:t xml:space="preserve">: </w:t>
            </w:r>
            <w:r>
              <w:rPr>
                <w:rStyle w:val="IndexLink"/>
                <w:rtl w:val="true"/>
              </w:rPr>
              <w:t>عدم وجوب نية رفع الحدث أو الاستباحة</w:t>
            </w:r>
            <w:r>
              <w:rPr>
                <w:rStyle w:val="IndexLink"/>
                <w:rtl w:val="true"/>
              </w:rPr>
              <w:t>:</w:t>
              <w:tab/>
            </w:r>
            <w:r>
              <w:rPr>
                <w:rStyle w:val="IndexLink"/>
              </w:rPr>
              <w:t>314</w:t>
            </w:r>
          </w:hyperlink>
        </w:p>
        <w:p>
          <w:pPr>
            <w:pStyle w:val="Contents3"/>
            <w:tabs>
              <w:tab w:val="clear" w:pos="8459"/>
              <w:tab w:val="right" w:pos="9026" w:leader="dot"/>
            </w:tabs>
            <w:rPr/>
          </w:pPr>
          <w:hyperlink w:anchor="__RefHeading___Toc6503069_1051229030">
            <w:r>
              <w:rPr>
                <w:webHidden/>
                <w:rStyle w:val="IndexLink"/>
                <w:rtl w:val="true"/>
              </w:rPr>
              <w:t>تنبيهان</w:t>
            </w:r>
            <w:r>
              <w:rPr>
                <w:rStyle w:val="IndexLink"/>
                <w:rtl w:val="true"/>
              </w:rPr>
              <w:t>:</w:t>
              <w:tab/>
            </w:r>
            <w:r>
              <w:rPr>
                <w:rStyle w:val="IndexLink"/>
              </w:rPr>
              <w:t>315</w:t>
            </w:r>
          </w:hyperlink>
        </w:p>
        <w:p>
          <w:pPr>
            <w:pStyle w:val="Contents3"/>
            <w:tabs>
              <w:tab w:val="clear" w:pos="8459"/>
              <w:tab w:val="right" w:pos="9026" w:leader="dot"/>
            </w:tabs>
            <w:rPr/>
          </w:pPr>
          <w:hyperlink w:anchor="__RefHeading___Toc6503071_1051229030">
            <w:r>
              <w:rPr>
                <w:webHidden/>
                <w:rStyle w:val="IndexLink"/>
                <w:rtl w:val="true"/>
              </w:rPr>
              <w:t>الأمر الرابع</w:t>
            </w:r>
            <w:r>
              <w:rPr>
                <w:rStyle w:val="IndexLink"/>
                <w:rtl w:val="true"/>
              </w:rPr>
              <w:t xml:space="preserve">: </w:t>
            </w:r>
            <w:r>
              <w:rPr>
                <w:rStyle w:val="IndexLink"/>
                <w:rtl w:val="true"/>
              </w:rPr>
              <w:t>وقت النية</w:t>
            </w:r>
            <w:r>
              <w:rPr>
                <w:rStyle w:val="IndexLink"/>
                <w:rtl w:val="true"/>
              </w:rPr>
              <w:t>:</w:t>
              <w:tab/>
            </w:r>
            <w:r>
              <w:rPr>
                <w:rStyle w:val="IndexLink"/>
              </w:rPr>
              <w:t>320</w:t>
            </w:r>
          </w:hyperlink>
        </w:p>
        <w:p>
          <w:pPr>
            <w:pStyle w:val="Contents3"/>
            <w:tabs>
              <w:tab w:val="clear" w:pos="8459"/>
              <w:tab w:val="right" w:pos="9026" w:leader="dot"/>
            </w:tabs>
            <w:rPr/>
          </w:pPr>
          <w:hyperlink w:anchor="__RefHeading___Toc6503073_1051229030">
            <w:r>
              <w:rPr>
                <w:webHidden/>
                <w:rStyle w:val="IndexLink"/>
                <w:rtl w:val="true"/>
              </w:rPr>
              <w:t>الأمر الخامس والأخير</w:t>
            </w:r>
            <w:r>
              <w:rPr>
                <w:rStyle w:val="IndexLink"/>
                <w:rtl w:val="true"/>
              </w:rPr>
              <w:t xml:space="preserve">: </w:t>
            </w:r>
            <w:r>
              <w:rPr>
                <w:rStyle w:val="IndexLink"/>
                <w:rtl w:val="true"/>
              </w:rPr>
              <w:t>لزوم استدامة النية</w:t>
            </w:r>
            <w:r>
              <w:rPr>
                <w:rStyle w:val="IndexLink"/>
                <w:rtl w:val="true"/>
              </w:rPr>
              <w:t>:</w:t>
              <w:tab/>
            </w:r>
            <w:r>
              <w:rPr>
                <w:rStyle w:val="IndexLink"/>
              </w:rPr>
              <w:t>323</w:t>
            </w:r>
          </w:hyperlink>
        </w:p>
        <w:p>
          <w:pPr>
            <w:pStyle w:val="Contents3"/>
            <w:tabs>
              <w:tab w:val="clear" w:pos="8459"/>
              <w:tab w:val="right" w:pos="9026" w:leader="dot"/>
            </w:tabs>
            <w:rPr/>
          </w:pPr>
          <w:hyperlink w:anchor="__RefHeading___Toc6503075_1051229030">
            <w:r>
              <w:rPr>
                <w:webHidden/>
                <w:rStyle w:val="IndexLink"/>
                <w:rtl w:val="true"/>
              </w:rPr>
              <w:t>تداخُل الأسباب</w:t>
            </w:r>
            <w:r>
              <w:rPr>
                <w:rStyle w:val="IndexLink"/>
                <w:rtl w:val="true"/>
              </w:rPr>
              <w:t>:</w:t>
              <w:tab/>
            </w:r>
            <w:r>
              <w:rPr>
                <w:rStyle w:val="IndexLink"/>
              </w:rPr>
              <w:t>326</w:t>
            </w:r>
          </w:hyperlink>
        </w:p>
        <w:p>
          <w:pPr>
            <w:pStyle w:val="Contents3"/>
            <w:tabs>
              <w:tab w:val="clear" w:pos="8459"/>
              <w:tab w:val="right" w:pos="9026" w:leader="dot"/>
            </w:tabs>
            <w:rPr/>
          </w:pPr>
          <w:hyperlink w:anchor="__RefHeading___Toc6503077_1051229030">
            <w:r>
              <w:rPr>
                <w:webHidden/>
                <w:rStyle w:val="IndexLink"/>
                <w:rtl w:val="true"/>
              </w:rPr>
              <w:t>فائدة</w:t>
            </w:r>
            <w:r>
              <w:rPr>
                <w:rStyle w:val="IndexLink"/>
                <w:rtl w:val="true"/>
              </w:rPr>
              <w:t xml:space="preserve">: </w:t>
            </w:r>
            <w:r>
              <w:rPr>
                <w:rStyle w:val="IndexLink"/>
                <w:rtl w:val="true"/>
              </w:rPr>
              <w:t>منهجية استنباط الحكم الشرعي</w:t>
            </w:r>
            <w:r>
              <w:rPr>
                <w:rStyle w:val="IndexLink"/>
                <w:rtl w:val="true"/>
              </w:rPr>
              <w:t>:</w:t>
              <w:tab/>
            </w:r>
            <w:r>
              <w:rPr>
                <w:rStyle w:val="IndexLink"/>
              </w:rPr>
              <w:t>327</w:t>
            </w:r>
          </w:hyperlink>
        </w:p>
        <w:p>
          <w:pPr>
            <w:pStyle w:val="Contents3"/>
            <w:tabs>
              <w:tab w:val="clear" w:pos="8459"/>
              <w:tab w:val="right" w:pos="9026" w:leader="dot"/>
            </w:tabs>
            <w:rPr/>
          </w:pPr>
          <w:hyperlink w:anchor="__RefHeading___Toc6503079_1051229030">
            <w:r>
              <w:rPr>
                <w:webHidden/>
                <w:rStyle w:val="IndexLink"/>
                <w:rtl w:val="true"/>
              </w:rPr>
              <w:t>الفرض الثاني</w:t>
            </w:r>
            <w:r>
              <w:rPr>
                <w:rStyle w:val="IndexLink"/>
                <w:rtl w:val="true"/>
              </w:rPr>
              <w:t xml:space="preserve">: </w:t>
            </w:r>
            <w:r>
              <w:rPr>
                <w:rStyle w:val="IndexLink"/>
                <w:rtl w:val="true"/>
              </w:rPr>
              <w:t>غسل الوجه</w:t>
            </w:r>
            <w:r>
              <w:rPr>
                <w:rStyle w:val="IndexLink"/>
                <w:rtl w:val="true"/>
              </w:rPr>
              <w:t>:</w:t>
              <w:tab/>
            </w:r>
            <w:r>
              <w:rPr>
                <w:rStyle w:val="IndexLink"/>
              </w:rPr>
              <w:t>340</w:t>
            </w:r>
          </w:hyperlink>
        </w:p>
        <w:p>
          <w:pPr>
            <w:pStyle w:val="Contents3"/>
            <w:tabs>
              <w:tab w:val="clear" w:pos="8459"/>
              <w:tab w:val="right" w:pos="9026" w:leader="dot"/>
            </w:tabs>
            <w:rPr/>
          </w:pPr>
          <w:hyperlink w:anchor="__RefHeading___Toc6503081_1051229030">
            <w:r>
              <w:rPr>
                <w:webHidden/>
                <w:rStyle w:val="IndexLink"/>
                <w:rtl w:val="true"/>
              </w:rPr>
              <w:t>الفرض الثالث</w:t>
            </w:r>
            <w:r>
              <w:rPr>
                <w:rStyle w:val="IndexLink"/>
                <w:rtl w:val="true"/>
              </w:rPr>
              <w:t xml:space="preserve">: </w:t>
            </w:r>
            <w:r>
              <w:rPr>
                <w:rStyle w:val="IndexLink"/>
                <w:rtl w:val="true"/>
              </w:rPr>
              <w:t>غسل اليدين</w:t>
            </w:r>
            <w:r>
              <w:rPr>
                <w:rStyle w:val="IndexLink"/>
                <w:rtl w:val="true"/>
              </w:rPr>
              <w:t>:</w:t>
              <w:tab/>
            </w:r>
            <w:r>
              <w:rPr>
                <w:rStyle w:val="IndexLink"/>
              </w:rPr>
              <w:t>348</w:t>
            </w:r>
          </w:hyperlink>
        </w:p>
        <w:p>
          <w:pPr>
            <w:pStyle w:val="Contents3"/>
            <w:tabs>
              <w:tab w:val="clear" w:pos="8459"/>
              <w:tab w:val="right" w:pos="9026" w:leader="dot"/>
            </w:tabs>
            <w:rPr/>
          </w:pPr>
          <w:hyperlink w:anchor="__RefHeading___Toc6503083_1051229030">
            <w:r>
              <w:rPr>
                <w:webHidden/>
                <w:rStyle w:val="IndexLink"/>
                <w:rtl w:val="true"/>
              </w:rPr>
              <w:t>الأمر الأول</w:t>
            </w:r>
            <w:r>
              <w:rPr>
                <w:rStyle w:val="IndexLink"/>
                <w:rtl w:val="true"/>
              </w:rPr>
              <w:t xml:space="preserve">: </w:t>
            </w:r>
            <w:r>
              <w:rPr>
                <w:rStyle w:val="IndexLink"/>
                <w:rtl w:val="true"/>
              </w:rPr>
              <w:t>حدُّ غسلِ اليدين</w:t>
            </w:r>
            <w:r>
              <w:rPr>
                <w:rStyle w:val="IndexLink"/>
                <w:rtl w:val="true"/>
              </w:rPr>
              <w:t>:</w:t>
              <w:tab/>
            </w:r>
            <w:r>
              <w:rPr>
                <w:rStyle w:val="IndexLink"/>
              </w:rPr>
              <w:t>348</w:t>
            </w:r>
          </w:hyperlink>
        </w:p>
        <w:p>
          <w:pPr>
            <w:pStyle w:val="Contents3"/>
            <w:tabs>
              <w:tab w:val="clear" w:pos="8459"/>
              <w:tab w:val="right" w:pos="9026" w:leader="dot"/>
            </w:tabs>
            <w:rPr/>
          </w:pPr>
          <w:hyperlink w:anchor="__RefHeading___Toc6503085_1051229030">
            <w:r>
              <w:rPr>
                <w:webHidden/>
                <w:rStyle w:val="IndexLink"/>
                <w:rtl w:val="true"/>
              </w:rPr>
              <w:t>هل الغاية تدخل في المُغيّى أو لا؟</w:t>
            </w:r>
            <w:r>
              <w:rPr>
                <w:rStyle w:val="IndexLink"/>
                <w:rtl w:val="true"/>
              </w:rPr>
              <w:tab/>
            </w:r>
            <w:r>
              <w:rPr>
                <w:rStyle w:val="IndexLink"/>
              </w:rPr>
              <w:t>350</w:t>
            </w:r>
          </w:hyperlink>
        </w:p>
        <w:p>
          <w:pPr>
            <w:pStyle w:val="Contents3"/>
            <w:tabs>
              <w:tab w:val="clear" w:pos="8459"/>
              <w:tab w:val="right" w:pos="9026" w:leader="dot"/>
            </w:tabs>
            <w:rPr/>
          </w:pPr>
          <w:hyperlink w:anchor="__RefHeading___Toc6503087_1051229030">
            <w:r>
              <w:rPr>
                <w:webHidden/>
                <w:rStyle w:val="IndexLink"/>
                <w:rtl w:val="true"/>
              </w:rPr>
              <w:t>الأمر الثاني</w:t>
            </w:r>
            <w:r>
              <w:rPr>
                <w:rStyle w:val="IndexLink"/>
                <w:rtl w:val="true"/>
              </w:rPr>
              <w:t xml:space="preserve">: </w:t>
            </w:r>
            <w:r>
              <w:rPr>
                <w:rStyle w:val="IndexLink"/>
                <w:rtl w:val="true"/>
              </w:rPr>
              <w:t>في كيفية غسل اليدين في الوضوء</w:t>
            </w:r>
            <w:r>
              <w:rPr>
                <w:rStyle w:val="IndexLink"/>
                <w:rtl w:val="true"/>
              </w:rPr>
              <w:t>:</w:t>
              <w:tab/>
            </w:r>
            <w:r>
              <w:rPr>
                <w:rStyle w:val="IndexLink"/>
              </w:rPr>
              <w:t>351</w:t>
            </w:r>
          </w:hyperlink>
        </w:p>
        <w:p>
          <w:pPr>
            <w:pStyle w:val="Contents3"/>
            <w:tabs>
              <w:tab w:val="clear" w:pos="8459"/>
              <w:tab w:val="right" w:pos="9026" w:leader="dot"/>
            </w:tabs>
            <w:rPr/>
          </w:pPr>
          <w:hyperlink w:anchor="__RefHeading___Toc6503089_1051229030">
            <w:r>
              <w:rPr>
                <w:webHidden/>
                <w:rStyle w:val="IndexLink"/>
                <w:rtl w:val="true"/>
              </w:rPr>
              <w:t>الأمر الثالث</w:t>
            </w:r>
            <w:r>
              <w:rPr>
                <w:rStyle w:val="IndexLink"/>
                <w:rtl w:val="true"/>
              </w:rPr>
              <w:t xml:space="preserve">: </w:t>
            </w:r>
            <w:r>
              <w:rPr>
                <w:rStyle w:val="IndexLink"/>
                <w:rtl w:val="true"/>
              </w:rPr>
              <w:t>فروع</w:t>
            </w:r>
            <w:r>
              <w:rPr>
                <w:rStyle w:val="IndexLink"/>
                <w:rtl w:val="true"/>
              </w:rPr>
              <w:t>:</w:t>
              <w:tab/>
            </w:r>
            <w:r>
              <w:rPr>
                <w:rStyle w:val="IndexLink"/>
              </w:rPr>
              <w:t>356</w:t>
            </w:r>
          </w:hyperlink>
        </w:p>
        <w:p>
          <w:pPr>
            <w:pStyle w:val="Contents3"/>
            <w:tabs>
              <w:tab w:val="clear" w:pos="8459"/>
              <w:tab w:val="right" w:pos="9026" w:leader="dot"/>
            </w:tabs>
            <w:rPr/>
          </w:pPr>
          <w:hyperlink w:anchor="__RefHeading___Toc6503091_1051229030">
            <w:r>
              <w:rPr>
                <w:webHidden/>
                <w:rStyle w:val="IndexLink"/>
                <w:rtl w:val="true"/>
              </w:rPr>
              <w:t>الفرض الرابع</w:t>
            </w:r>
            <w:r>
              <w:rPr>
                <w:rStyle w:val="IndexLink"/>
                <w:rtl w:val="true"/>
              </w:rPr>
              <w:t xml:space="preserve">: </w:t>
            </w:r>
            <w:r>
              <w:rPr>
                <w:rStyle w:val="IndexLink"/>
                <w:rtl w:val="true"/>
              </w:rPr>
              <w:t>مسح الرأس</w:t>
            </w:r>
            <w:r>
              <w:rPr>
                <w:rStyle w:val="IndexLink"/>
                <w:rtl w:val="true"/>
              </w:rPr>
              <w:t>:</w:t>
              <w:tab/>
            </w:r>
            <w:r>
              <w:rPr>
                <w:rStyle w:val="IndexLink"/>
              </w:rPr>
              <w:t>361</w:t>
            </w:r>
          </w:hyperlink>
        </w:p>
        <w:p>
          <w:pPr>
            <w:pStyle w:val="Contents3"/>
            <w:tabs>
              <w:tab w:val="clear" w:pos="8459"/>
              <w:tab w:val="right" w:pos="9026" w:leader="dot"/>
            </w:tabs>
            <w:rPr/>
          </w:pPr>
          <w:hyperlink w:anchor="__RefHeading___Toc6503093_1051229030">
            <w:r>
              <w:rPr>
                <w:webHidden/>
                <w:rStyle w:val="IndexLink"/>
                <w:rtl w:val="true"/>
              </w:rPr>
              <w:t>الأمر الأول</w:t>
            </w:r>
            <w:r>
              <w:rPr>
                <w:rStyle w:val="IndexLink"/>
                <w:rtl w:val="true"/>
              </w:rPr>
              <w:t xml:space="preserve">: </w:t>
            </w:r>
            <w:r>
              <w:rPr>
                <w:rStyle w:val="IndexLink"/>
                <w:rtl w:val="true"/>
              </w:rPr>
              <w:t>في بيان مقدار المسح الواجب</w:t>
            </w:r>
            <w:r>
              <w:rPr>
                <w:rStyle w:val="IndexLink"/>
                <w:rtl w:val="true"/>
              </w:rPr>
              <w:t>:</w:t>
              <w:tab/>
            </w:r>
            <w:r>
              <w:rPr>
                <w:rStyle w:val="IndexLink"/>
              </w:rPr>
              <w:t>361</w:t>
            </w:r>
          </w:hyperlink>
        </w:p>
        <w:p>
          <w:pPr>
            <w:pStyle w:val="Contents3"/>
            <w:tabs>
              <w:tab w:val="clear" w:pos="8459"/>
              <w:tab w:val="right" w:pos="9026" w:leader="dot"/>
            </w:tabs>
            <w:rPr/>
          </w:pPr>
          <w:hyperlink w:anchor="__RefHeading___Toc6503095_1051229030">
            <w:r>
              <w:rPr>
                <w:webHidden/>
                <w:rStyle w:val="IndexLink"/>
                <w:rtl w:val="true"/>
              </w:rPr>
              <w:t>الواجب الأول</w:t>
            </w:r>
            <w:r>
              <w:rPr>
                <w:rStyle w:val="IndexLink"/>
                <w:rtl w:val="true"/>
              </w:rPr>
              <w:t xml:space="preserve">: </w:t>
            </w:r>
            <w:r>
              <w:rPr>
                <w:rStyle w:val="IndexLink"/>
                <w:rtl w:val="true"/>
              </w:rPr>
              <w:t>أنْ يتحقّقَ مُسمّى المسح</w:t>
            </w:r>
            <w:r>
              <w:rPr>
                <w:rStyle w:val="IndexLink"/>
                <w:rtl w:val="true"/>
              </w:rPr>
              <w:t>:</w:t>
              <w:tab/>
            </w:r>
            <w:r>
              <w:rPr>
                <w:rStyle w:val="IndexLink"/>
              </w:rPr>
              <w:t>361</w:t>
            </w:r>
          </w:hyperlink>
        </w:p>
        <w:p>
          <w:pPr>
            <w:pStyle w:val="Contents3"/>
            <w:tabs>
              <w:tab w:val="clear" w:pos="8459"/>
              <w:tab w:val="right" w:pos="9026" w:leader="dot"/>
            </w:tabs>
            <w:rPr/>
          </w:pPr>
          <w:hyperlink w:anchor="__RefHeading___Toc6503097_1051229030">
            <w:r>
              <w:rPr>
                <w:webHidden/>
                <w:rStyle w:val="IndexLink"/>
                <w:rtl w:val="true"/>
              </w:rPr>
              <w:t>الواجب الثاني</w:t>
            </w:r>
            <w:r>
              <w:rPr>
                <w:rStyle w:val="IndexLink"/>
                <w:rtl w:val="true"/>
              </w:rPr>
              <w:t xml:space="preserve">: </w:t>
            </w:r>
            <w:r>
              <w:rPr>
                <w:rStyle w:val="IndexLink"/>
                <w:rtl w:val="true"/>
              </w:rPr>
              <w:t>أن يكون المسح على مقدم الرأس</w:t>
            </w:r>
            <w:r>
              <w:rPr>
                <w:rStyle w:val="IndexLink"/>
                <w:rtl w:val="true"/>
              </w:rPr>
              <w:t>:</w:t>
              <w:tab/>
            </w:r>
            <w:r>
              <w:rPr>
                <w:rStyle w:val="IndexLink"/>
              </w:rPr>
              <w:t>364</w:t>
            </w:r>
          </w:hyperlink>
        </w:p>
        <w:p>
          <w:pPr>
            <w:pStyle w:val="Contents3"/>
            <w:tabs>
              <w:tab w:val="clear" w:pos="8459"/>
              <w:tab w:val="right" w:pos="9026" w:leader="dot"/>
            </w:tabs>
            <w:rPr/>
          </w:pPr>
          <w:hyperlink w:anchor="__RefHeading___Toc6503099_1051229030">
            <w:r>
              <w:rPr>
                <w:webHidden/>
                <w:rStyle w:val="IndexLink"/>
                <w:rtl w:val="true"/>
              </w:rPr>
              <w:t>الأمر الثاني</w:t>
            </w:r>
            <w:r>
              <w:rPr>
                <w:rStyle w:val="IndexLink"/>
                <w:rtl w:val="true"/>
              </w:rPr>
              <w:t xml:space="preserve">: </w:t>
            </w:r>
            <w:r>
              <w:rPr>
                <w:rStyle w:val="IndexLink"/>
                <w:rtl w:val="true"/>
              </w:rPr>
              <w:t>الماء المسموح به في المسح</w:t>
            </w:r>
            <w:r>
              <w:rPr>
                <w:rStyle w:val="IndexLink"/>
                <w:rtl w:val="true"/>
              </w:rPr>
              <w:t>:</w:t>
              <w:tab/>
            </w:r>
            <w:r>
              <w:rPr>
                <w:rStyle w:val="IndexLink"/>
              </w:rPr>
              <w:t>365</w:t>
            </w:r>
          </w:hyperlink>
        </w:p>
        <w:p>
          <w:pPr>
            <w:pStyle w:val="Contents3"/>
            <w:tabs>
              <w:tab w:val="clear" w:pos="8459"/>
              <w:tab w:val="right" w:pos="9026" w:leader="dot"/>
            </w:tabs>
            <w:rPr/>
          </w:pPr>
          <w:hyperlink w:anchor="__RefHeading___Toc6503101_1051229030">
            <w:r>
              <w:rPr>
                <w:webHidden/>
                <w:rStyle w:val="IndexLink"/>
                <w:rtl w:val="true"/>
              </w:rPr>
              <w:t>الفرض الخامس</w:t>
            </w:r>
            <w:r>
              <w:rPr>
                <w:rStyle w:val="IndexLink"/>
                <w:rtl w:val="true"/>
              </w:rPr>
              <w:t xml:space="preserve">: </w:t>
            </w:r>
            <w:r>
              <w:rPr>
                <w:rStyle w:val="IndexLink"/>
                <w:rtl w:val="true"/>
              </w:rPr>
              <w:t>مسح الرجلين</w:t>
            </w:r>
            <w:r>
              <w:rPr>
                <w:rStyle w:val="IndexLink"/>
                <w:rtl w:val="true"/>
              </w:rPr>
              <w:t>:</w:t>
              <w:tab/>
            </w:r>
            <w:r>
              <w:rPr>
                <w:rStyle w:val="IndexLink"/>
              </w:rPr>
              <w:t>371</w:t>
            </w:r>
          </w:hyperlink>
        </w:p>
        <w:p>
          <w:pPr>
            <w:pStyle w:val="Contents3"/>
            <w:tabs>
              <w:tab w:val="clear" w:pos="8459"/>
              <w:tab w:val="right" w:pos="9026" w:leader="dot"/>
            </w:tabs>
            <w:rPr/>
          </w:pPr>
          <w:hyperlink w:anchor="__RefHeading___Toc6503103_1051229030">
            <w:r>
              <w:rPr>
                <w:webHidden/>
                <w:rStyle w:val="IndexLink"/>
                <w:rtl w:val="true"/>
              </w:rPr>
              <w:t>سؤالان</w:t>
            </w:r>
            <w:r>
              <w:rPr>
                <w:rStyle w:val="IndexLink"/>
                <w:rtl w:val="true"/>
              </w:rPr>
              <w:t>:</w:t>
              <w:tab/>
            </w:r>
            <w:r>
              <w:rPr>
                <w:rStyle w:val="IndexLink"/>
              </w:rPr>
              <w:t>385</w:t>
            </w:r>
          </w:hyperlink>
        </w:p>
        <w:p>
          <w:pPr>
            <w:pStyle w:val="Contents3"/>
            <w:tabs>
              <w:tab w:val="clear" w:pos="8459"/>
              <w:tab w:val="right" w:pos="9026" w:leader="dot"/>
            </w:tabs>
            <w:rPr/>
          </w:pPr>
          <w:hyperlink w:anchor="__RefHeading___Toc6503105_1051229030">
            <w:r>
              <w:rPr>
                <w:webHidden/>
                <w:rStyle w:val="IndexLink"/>
                <w:rtl w:val="true"/>
              </w:rPr>
              <w:t>مسائلُ ثمان</w:t>
            </w:r>
            <w:r>
              <w:rPr>
                <w:rStyle w:val="IndexLink"/>
                <w:rtl w:val="true"/>
              </w:rPr>
              <w:tab/>
            </w:r>
            <w:r>
              <w:rPr>
                <w:rStyle w:val="IndexLink"/>
              </w:rPr>
              <w:t>390</w:t>
            </w:r>
          </w:hyperlink>
        </w:p>
        <w:p>
          <w:pPr>
            <w:pStyle w:val="Contents3"/>
            <w:tabs>
              <w:tab w:val="clear" w:pos="8459"/>
              <w:tab w:val="right" w:pos="9026" w:leader="dot"/>
            </w:tabs>
            <w:rPr/>
          </w:pPr>
          <w:hyperlink w:anchor="__RefHeading___Toc6503107_1051229030">
            <w:r>
              <w:rPr>
                <w:webHidden/>
                <w:rStyle w:val="IndexLink"/>
                <w:rtl w:val="true"/>
              </w:rPr>
              <w:t>المسألة الأولى</w:t>
            </w:r>
            <w:r>
              <w:rPr>
                <w:rStyle w:val="IndexLink"/>
                <w:rtl w:val="true"/>
              </w:rPr>
              <w:t xml:space="preserve">: </w:t>
            </w:r>
            <w:r>
              <w:rPr>
                <w:rStyle w:val="IndexLink"/>
                <w:rtl w:val="true"/>
              </w:rPr>
              <w:t>في الترتيب</w:t>
            </w:r>
            <w:r>
              <w:rPr>
                <w:rStyle w:val="IndexLink"/>
                <w:rtl w:val="true"/>
              </w:rPr>
              <w:t>:</w:t>
              <w:tab/>
            </w:r>
            <w:r>
              <w:rPr>
                <w:rStyle w:val="IndexLink"/>
              </w:rPr>
              <w:t>390</w:t>
            </w:r>
          </w:hyperlink>
        </w:p>
        <w:p>
          <w:pPr>
            <w:pStyle w:val="Contents3"/>
            <w:tabs>
              <w:tab w:val="clear" w:pos="8459"/>
              <w:tab w:val="right" w:pos="9026" w:leader="dot"/>
            </w:tabs>
            <w:rPr/>
          </w:pPr>
          <w:hyperlink w:anchor="__RefHeading___Toc6503109_1051229030">
            <w:r>
              <w:rPr>
                <w:webHidden/>
                <w:rStyle w:val="IndexLink"/>
                <w:rtl w:val="true"/>
              </w:rPr>
              <w:t>مقدمة</w:t>
            </w:r>
            <w:r>
              <w:rPr>
                <w:rStyle w:val="IndexLink"/>
                <w:rtl w:val="true"/>
              </w:rPr>
              <w:t xml:space="preserve">: </w:t>
            </w:r>
            <w:r>
              <w:rPr>
                <w:rStyle w:val="IndexLink"/>
                <w:rtl w:val="true"/>
              </w:rPr>
              <w:t>بيان الشروط العلمية والواقعية</w:t>
            </w:r>
            <w:r>
              <w:rPr>
                <w:rStyle w:val="IndexLink"/>
                <w:rtl w:val="true"/>
              </w:rPr>
              <w:t>:</w:t>
              <w:tab/>
            </w:r>
            <w:r>
              <w:rPr>
                <w:rStyle w:val="IndexLink"/>
              </w:rPr>
              <w:t>392</w:t>
            </w:r>
          </w:hyperlink>
        </w:p>
        <w:p>
          <w:pPr>
            <w:pStyle w:val="Contents3"/>
            <w:tabs>
              <w:tab w:val="clear" w:pos="8459"/>
              <w:tab w:val="right" w:pos="9026" w:leader="dot"/>
            </w:tabs>
            <w:rPr/>
          </w:pPr>
          <w:hyperlink w:anchor="__RefHeading___Toc6503111_1051229030">
            <w:r>
              <w:rPr>
                <w:webHidden/>
                <w:rStyle w:val="IndexLink"/>
                <w:rtl w:val="true"/>
              </w:rPr>
              <w:t>المسألة الثانية</w:t>
            </w:r>
            <w:r>
              <w:rPr>
                <w:rStyle w:val="IndexLink"/>
                <w:rtl w:val="true"/>
              </w:rPr>
              <w:t xml:space="preserve">: </w:t>
            </w:r>
            <w:r>
              <w:rPr>
                <w:rStyle w:val="IndexLink"/>
                <w:rtl w:val="true"/>
              </w:rPr>
              <w:t>في الموالاة</w:t>
            </w:r>
            <w:r>
              <w:rPr>
                <w:rStyle w:val="IndexLink"/>
                <w:rtl w:val="true"/>
              </w:rPr>
              <w:t>:</w:t>
              <w:tab/>
            </w:r>
            <w:r>
              <w:rPr>
                <w:rStyle w:val="IndexLink"/>
              </w:rPr>
              <w:t>393</w:t>
            </w:r>
          </w:hyperlink>
        </w:p>
        <w:p>
          <w:pPr>
            <w:pStyle w:val="Contents3"/>
            <w:tabs>
              <w:tab w:val="clear" w:pos="8459"/>
              <w:tab w:val="right" w:pos="9026" w:leader="dot"/>
            </w:tabs>
            <w:rPr/>
          </w:pPr>
          <w:hyperlink w:anchor="__RefHeading___Toc6503113_1051229030">
            <w:r>
              <w:rPr>
                <w:webHidden/>
                <w:rStyle w:val="IndexLink"/>
                <w:rtl w:val="true"/>
              </w:rPr>
              <w:t>المسألة الثالثة</w:t>
            </w:r>
            <w:r>
              <w:rPr>
                <w:rStyle w:val="IndexLink"/>
                <w:rtl w:val="true"/>
              </w:rPr>
              <w:t xml:space="preserve">: </w:t>
            </w:r>
            <w:r>
              <w:rPr>
                <w:rStyle w:val="IndexLink"/>
                <w:rtl w:val="true"/>
              </w:rPr>
              <w:t>عدد الغسلات والمسحات</w:t>
            </w:r>
            <w:r>
              <w:rPr>
                <w:rStyle w:val="IndexLink"/>
                <w:rtl w:val="true"/>
              </w:rPr>
              <w:t>:</w:t>
              <w:tab/>
            </w:r>
            <w:r>
              <w:rPr>
                <w:rStyle w:val="IndexLink"/>
              </w:rPr>
              <w:t>398</w:t>
            </w:r>
          </w:hyperlink>
        </w:p>
        <w:p>
          <w:pPr>
            <w:pStyle w:val="Contents3"/>
            <w:tabs>
              <w:tab w:val="clear" w:pos="8459"/>
              <w:tab w:val="right" w:pos="9026" w:leader="dot"/>
            </w:tabs>
            <w:rPr/>
          </w:pPr>
          <w:hyperlink w:anchor="__RefHeading___Toc6503115_1051229030">
            <w:r>
              <w:rPr>
                <w:webHidden/>
                <w:rStyle w:val="IndexLink"/>
                <w:rtl w:val="true"/>
              </w:rPr>
              <w:t>الأمر الأول</w:t>
            </w:r>
            <w:r>
              <w:rPr>
                <w:rStyle w:val="IndexLink"/>
                <w:rtl w:val="true"/>
              </w:rPr>
              <w:t xml:space="preserve">: </w:t>
            </w:r>
            <w:r>
              <w:rPr>
                <w:rStyle w:val="IndexLink"/>
                <w:rtl w:val="true"/>
              </w:rPr>
              <w:t>أن الواجب في غسل الوجه واليدين هي غسلة واحدة فقط</w:t>
            </w:r>
            <w:r>
              <w:rPr>
                <w:rStyle w:val="IndexLink"/>
                <w:rtl w:val="true"/>
              </w:rPr>
              <w:t>:</w:t>
              <w:tab/>
            </w:r>
            <w:r>
              <w:rPr>
                <w:rStyle w:val="IndexLink"/>
              </w:rPr>
              <w:t>398</w:t>
            </w:r>
          </w:hyperlink>
        </w:p>
        <w:p>
          <w:pPr>
            <w:pStyle w:val="Contents3"/>
            <w:tabs>
              <w:tab w:val="clear" w:pos="8459"/>
              <w:tab w:val="right" w:pos="9026" w:leader="dot"/>
            </w:tabs>
            <w:rPr/>
          </w:pPr>
          <w:hyperlink w:anchor="__RefHeading___Toc6503117_1051229030">
            <w:r>
              <w:rPr>
                <w:webHidden/>
                <w:rStyle w:val="IndexLink"/>
                <w:rtl w:val="true"/>
              </w:rPr>
              <w:t>الأمر الثاني</w:t>
            </w:r>
            <w:r>
              <w:rPr>
                <w:rStyle w:val="IndexLink"/>
                <w:rtl w:val="true"/>
              </w:rPr>
              <w:t xml:space="preserve">: </w:t>
            </w:r>
            <w:r>
              <w:rPr>
                <w:rStyle w:val="IndexLink"/>
                <w:rtl w:val="true"/>
              </w:rPr>
              <w:t>استحباب غسل الوجه واليدين مرةً ثانية</w:t>
            </w:r>
            <w:r>
              <w:rPr>
                <w:rStyle w:val="IndexLink"/>
                <w:rtl w:val="true"/>
              </w:rPr>
              <w:t>:</w:t>
              <w:tab/>
            </w:r>
            <w:r>
              <w:rPr>
                <w:rStyle w:val="IndexLink"/>
              </w:rPr>
              <w:t>400</w:t>
            </w:r>
          </w:hyperlink>
        </w:p>
        <w:p>
          <w:pPr>
            <w:pStyle w:val="Contents3"/>
            <w:tabs>
              <w:tab w:val="clear" w:pos="8459"/>
              <w:tab w:val="right" w:pos="9026" w:leader="dot"/>
            </w:tabs>
            <w:rPr/>
          </w:pPr>
          <w:hyperlink w:anchor="__RefHeading___Toc6503119_1051229030">
            <w:r>
              <w:rPr>
                <w:webHidden/>
                <w:rStyle w:val="IndexLink"/>
                <w:rtl w:val="true"/>
              </w:rPr>
              <w:t>الأمر الثالث</w:t>
            </w:r>
            <w:r>
              <w:rPr>
                <w:rStyle w:val="IndexLink"/>
                <w:rtl w:val="true"/>
              </w:rPr>
              <w:t xml:space="preserve">: </w:t>
            </w:r>
            <w:r>
              <w:rPr>
                <w:rStyle w:val="IndexLink"/>
                <w:rtl w:val="true"/>
              </w:rPr>
              <w:t>الغسلة الثالثة بدعةٌ</w:t>
            </w:r>
            <w:r>
              <w:rPr>
                <w:rStyle w:val="IndexLink"/>
                <w:rtl w:val="true"/>
              </w:rPr>
              <w:t>:</w:t>
              <w:tab/>
            </w:r>
            <w:r>
              <w:rPr>
                <w:rStyle w:val="IndexLink"/>
              </w:rPr>
              <w:t>400</w:t>
            </w:r>
          </w:hyperlink>
        </w:p>
        <w:p>
          <w:pPr>
            <w:pStyle w:val="Contents3"/>
            <w:tabs>
              <w:tab w:val="clear" w:pos="8459"/>
              <w:tab w:val="right" w:pos="9026" w:leader="dot"/>
            </w:tabs>
            <w:rPr/>
          </w:pPr>
          <w:hyperlink w:anchor="__RefHeading___Toc6503121_1051229030">
            <w:r>
              <w:rPr>
                <w:webHidden/>
                <w:rStyle w:val="IndexLink"/>
                <w:rtl w:val="true"/>
              </w:rPr>
              <w:t>الأمر الرابع</w:t>
            </w:r>
            <w:r>
              <w:rPr>
                <w:rStyle w:val="IndexLink"/>
                <w:rtl w:val="true"/>
              </w:rPr>
              <w:t xml:space="preserve">: </w:t>
            </w:r>
            <w:r>
              <w:rPr>
                <w:rStyle w:val="IndexLink"/>
                <w:rtl w:val="true"/>
              </w:rPr>
              <w:t>عدم استحباب تكرار المسح</w:t>
            </w:r>
            <w:r>
              <w:rPr>
                <w:rStyle w:val="IndexLink"/>
                <w:rtl w:val="true"/>
              </w:rPr>
              <w:t>:</w:t>
              <w:tab/>
            </w:r>
            <w:r>
              <w:rPr>
                <w:rStyle w:val="IndexLink"/>
              </w:rPr>
              <w:t>401</w:t>
            </w:r>
          </w:hyperlink>
        </w:p>
        <w:p>
          <w:pPr>
            <w:pStyle w:val="Contents3"/>
            <w:tabs>
              <w:tab w:val="clear" w:pos="8459"/>
              <w:tab w:val="right" w:pos="9026" w:leader="dot"/>
            </w:tabs>
            <w:rPr/>
          </w:pPr>
          <w:hyperlink w:anchor="__RefHeading___Toc6503123_1051229030">
            <w:r>
              <w:rPr>
                <w:webHidden/>
                <w:rStyle w:val="IndexLink"/>
                <w:rtl w:val="true"/>
              </w:rPr>
              <w:t>المسألة الرابعة</w:t>
            </w:r>
            <w:r>
              <w:rPr>
                <w:rStyle w:val="IndexLink"/>
                <w:rtl w:val="true"/>
              </w:rPr>
              <w:t xml:space="preserve">: </w:t>
            </w:r>
            <w:r>
              <w:rPr>
                <w:rStyle w:val="IndexLink"/>
                <w:rtl w:val="true"/>
              </w:rPr>
              <w:t>الواجب في الغسل</w:t>
            </w:r>
            <w:r>
              <w:rPr>
                <w:rStyle w:val="IndexLink"/>
                <w:rtl w:val="true"/>
              </w:rPr>
              <w:t>:</w:t>
              <w:tab/>
            </w:r>
            <w:r>
              <w:rPr>
                <w:rStyle w:val="IndexLink"/>
              </w:rPr>
              <w:t>402</w:t>
            </w:r>
          </w:hyperlink>
        </w:p>
        <w:p>
          <w:pPr>
            <w:pStyle w:val="Contents3"/>
            <w:tabs>
              <w:tab w:val="clear" w:pos="8459"/>
              <w:tab w:val="right" w:pos="9026" w:leader="dot"/>
            </w:tabs>
            <w:rPr/>
          </w:pPr>
          <w:hyperlink w:anchor="__RefHeading___Toc6503125_1051229030">
            <w:r>
              <w:rPr>
                <w:webHidden/>
                <w:rStyle w:val="IndexLink"/>
                <w:rtl w:val="true"/>
              </w:rPr>
              <w:t>المسألة الخامسة</w:t>
            </w:r>
            <w:r>
              <w:rPr>
                <w:rStyle w:val="IndexLink"/>
                <w:rtl w:val="true"/>
              </w:rPr>
              <w:t xml:space="preserve">: </w:t>
            </w:r>
            <w:r>
              <w:rPr>
                <w:rStyle w:val="IndexLink"/>
                <w:rtl w:val="true"/>
              </w:rPr>
              <w:t>الوضوء الجبيري</w:t>
            </w:r>
            <w:r>
              <w:rPr>
                <w:rStyle w:val="IndexLink"/>
                <w:rtl w:val="true"/>
              </w:rPr>
              <w:t>:</w:t>
              <w:tab/>
            </w:r>
            <w:r>
              <w:rPr>
                <w:rStyle w:val="IndexLink"/>
              </w:rPr>
              <w:t>405</w:t>
            </w:r>
          </w:hyperlink>
        </w:p>
        <w:p>
          <w:pPr>
            <w:pStyle w:val="Contents3"/>
            <w:tabs>
              <w:tab w:val="clear" w:pos="8459"/>
              <w:tab w:val="right" w:pos="9026" w:leader="dot"/>
            </w:tabs>
            <w:rPr/>
          </w:pPr>
          <w:hyperlink w:anchor="__RefHeading___Toc6503127_1051229030">
            <w:r>
              <w:rPr>
                <w:webHidden/>
                <w:rStyle w:val="IndexLink"/>
                <w:rtl w:val="true"/>
              </w:rPr>
              <w:t>المسألة السادسة</w:t>
            </w:r>
            <w:r>
              <w:rPr>
                <w:rStyle w:val="IndexLink"/>
                <w:rtl w:val="true"/>
              </w:rPr>
              <w:t xml:space="preserve">: </w:t>
            </w:r>
            <w:r>
              <w:rPr>
                <w:rStyle w:val="IndexLink"/>
                <w:rtl w:val="true"/>
              </w:rPr>
              <w:t>المباشرة بالوضوء</w:t>
            </w:r>
            <w:r>
              <w:rPr>
                <w:rStyle w:val="IndexLink"/>
                <w:rtl w:val="true"/>
              </w:rPr>
              <w:t>:</w:t>
              <w:tab/>
            </w:r>
            <w:r>
              <w:rPr>
                <w:rStyle w:val="IndexLink"/>
              </w:rPr>
              <w:t>409</w:t>
            </w:r>
          </w:hyperlink>
        </w:p>
        <w:p>
          <w:pPr>
            <w:pStyle w:val="Contents3"/>
            <w:tabs>
              <w:tab w:val="clear" w:pos="8459"/>
              <w:tab w:val="right" w:pos="9026" w:leader="dot"/>
            </w:tabs>
            <w:rPr/>
          </w:pPr>
          <w:hyperlink w:anchor="__RefHeading___Toc6503129_1051229030">
            <w:r>
              <w:rPr>
                <w:webHidden/>
                <w:rStyle w:val="IndexLink"/>
                <w:rtl w:val="true"/>
              </w:rPr>
              <w:t>المسألة السابعة</w:t>
            </w:r>
            <w:r>
              <w:rPr>
                <w:rStyle w:val="IndexLink"/>
                <w:rtl w:val="true"/>
              </w:rPr>
              <w:t xml:space="preserve">: </w:t>
            </w:r>
            <w:r>
              <w:rPr>
                <w:rStyle w:val="IndexLink"/>
                <w:rtl w:val="true"/>
              </w:rPr>
              <w:t>حكم مسّ المحدث للقرآن الكريم</w:t>
            </w:r>
            <w:r>
              <w:rPr>
                <w:rStyle w:val="IndexLink"/>
                <w:rtl w:val="true"/>
              </w:rPr>
              <w:t>:</w:t>
              <w:tab/>
            </w:r>
            <w:r>
              <w:rPr>
                <w:rStyle w:val="IndexLink"/>
              </w:rPr>
              <w:t>410</w:t>
            </w:r>
          </w:hyperlink>
        </w:p>
        <w:p>
          <w:pPr>
            <w:pStyle w:val="Contents3"/>
            <w:tabs>
              <w:tab w:val="clear" w:pos="8459"/>
              <w:tab w:val="right" w:pos="9026" w:leader="dot"/>
            </w:tabs>
            <w:rPr/>
          </w:pPr>
          <w:hyperlink w:anchor="__RefHeading___Toc6503131_1051229030">
            <w:r>
              <w:rPr>
                <w:webHidden/>
                <w:rStyle w:val="IndexLink"/>
                <w:rtl w:val="true"/>
              </w:rPr>
              <w:t>المسألة الثامنة</w:t>
            </w:r>
            <w:r>
              <w:rPr>
                <w:rStyle w:val="IndexLink"/>
                <w:rtl w:val="true"/>
              </w:rPr>
              <w:t>:</w:t>
              <w:tab/>
            </w:r>
            <w:r>
              <w:rPr>
                <w:rStyle w:val="IndexLink"/>
              </w:rPr>
              <w:t>416</w:t>
            </w:r>
          </w:hyperlink>
        </w:p>
        <w:p>
          <w:pPr>
            <w:pStyle w:val="Contents3"/>
            <w:tabs>
              <w:tab w:val="clear" w:pos="8459"/>
              <w:tab w:val="right" w:pos="9026" w:leader="dot"/>
            </w:tabs>
            <w:rPr/>
          </w:pPr>
          <w:hyperlink w:anchor="__RefHeading___Toc6503133_1051229030">
            <w:r>
              <w:rPr>
                <w:webHidden/>
                <w:rStyle w:val="IndexLink"/>
                <w:rtl w:val="true"/>
              </w:rPr>
              <w:t>سُننُ الوضوء</w:t>
            </w:r>
            <w:r>
              <w:rPr>
                <w:rStyle w:val="IndexLink"/>
                <w:rtl w:val="true"/>
              </w:rPr>
              <w:tab/>
            </w:r>
            <w:r>
              <w:rPr>
                <w:rStyle w:val="IndexLink"/>
              </w:rPr>
              <w:t>420</w:t>
            </w:r>
          </w:hyperlink>
        </w:p>
        <w:p>
          <w:pPr>
            <w:pStyle w:val="Contents3"/>
            <w:tabs>
              <w:tab w:val="clear" w:pos="8459"/>
              <w:tab w:val="right" w:pos="9026" w:leader="dot"/>
            </w:tabs>
            <w:rPr/>
          </w:pPr>
          <w:hyperlink w:anchor="__RefHeading___Toc6503135_1051229030">
            <w:r>
              <w:rPr>
                <w:webHidden/>
                <w:rStyle w:val="IndexLink"/>
                <w:rtl w:val="true"/>
              </w:rPr>
              <w:t>مكروهات الوضوء</w:t>
            </w:r>
            <w:r>
              <w:rPr>
                <w:rStyle w:val="IndexLink"/>
                <w:rtl w:val="true"/>
              </w:rPr>
              <w:t>:</w:t>
              <w:tab/>
            </w:r>
            <w:r>
              <w:rPr>
                <w:rStyle w:val="IndexLink"/>
              </w:rPr>
              <w:t>428</w:t>
            </w:r>
          </w:hyperlink>
        </w:p>
        <w:p>
          <w:pPr>
            <w:pStyle w:val="Contents3"/>
            <w:tabs>
              <w:tab w:val="clear" w:pos="8459"/>
              <w:tab w:val="right" w:pos="9026" w:leader="dot"/>
            </w:tabs>
            <w:rPr/>
          </w:pPr>
          <w:hyperlink w:anchor="__RefHeading___Toc6503137_1051229030">
            <w:r>
              <w:rPr>
                <w:webHidden/>
                <w:rStyle w:val="IndexLink"/>
                <w:rtl w:val="true"/>
              </w:rPr>
              <w:t>الفصل الرابع في بعض أحكام الوضوء</w:t>
            </w:r>
            <w:r>
              <w:rPr>
                <w:rStyle w:val="IndexLink"/>
                <w:rtl w:val="true"/>
              </w:rPr>
              <w:tab/>
            </w:r>
            <w:r>
              <w:rPr>
                <w:rStyle w:val="IndexLink"/>
              </w:rPr>
              <w:t>434</w:t>
            </w:r>
          </w:hyperlink>
        </w:p>
        <w:p>
          <w:pPr>
            <w:pStyle w:val="Contents3"/>
            <w:tabs>
              <w:tab w:val="clear" w:pos="8459"/>
              <w:tab w:val="right" w:pos="9026" w:leader="dot"/>
            </w:tabs>
            <w:rPr/>
          </w:pPr>
          <w:hyperlink w:anchor="__RefHeading___Toc6503139_1051229030">
            <w:r>
              <w:rPr>
                <w:webHidden/>
                <w:rStyle w:val="IndexLink"/>
                <w:rtl w:val="true"/>
              </w:rPr>
              <w:t>قاعدة التجاوز</w:t>
            </w:r>
            <w:r>
              <w:rPr>
                <w:rStyle w:val="IndexLink"/>
                <w:rtl w:val="true"/>
              </w:rPr>
              <w:t>:</w:t>
              <w:tab/>
            </w:r>
            <w:r>
              <w:rPr>
                <w:rStyle w:val="IndexLink"/>
              </w:rPr>
              <w:t>438</w:t>
            </w:r>
          </w:hyperlink>
        </w:p>
        <w:p>
          <w:pPr>
            <w:pStyle w:val="Contents3"/>
            <w:tabs>
              <w:tab w:val="clear" w:pos="8459"/>
              <w:tab w:val="right" w:pos="9026" w:leader="dot"/>
            </w:tabs>
            <w:rPr/>
          </w:pPr>
          <w:hyperlink w:anchor="__RefHeading___Toc6503141_1051229030">
            <w:r>
              <w:rPr>
                <w:webHidden/>
                <w:rStyle w:val="IndexLink"/>
                <w:rtl w:val="true"/>
              </w:rPr>
              <w:t>قاعدة الفراغ</w:t>
            </w:r>
            <w:r>
              <w:rPr>
                <w:rStyle w:val="IndexLink"/>
                <w:rtl w:val="true"/>
              </w:rPr>
              <w:t>:</w:t>
              <w:tab/>
            </w:r>
            <w:r>
              <w:rPr>
                <w:rStyle w:val="IndexLink"/>
              </w:rPr>
              <w:t>439</w:t>
            </w:r>
          </w:hyperlink>
        </w:p>
        <w:p>
          <w:pPr>
            <w:pStyle w:val="Contents3"/>
            <w:tabs>
              <w:tab w:val="clear" w:pos="8459"/>
              <w:tab w:val="right" w:pos="9026" w:leader="dot"/>
            </w:tabs>
            <w:rPr/>
          </w:pPr>
          <w:hyperlink w:anchor="__RefHeading___Toc6503143_1051229030">
            <w:r>
              <w:rPr>
                <w:webHidden/>
                <w:rStyle w:val="IndexLink"/>
                <w:rtl w:val="true"/>
              </w:rPr>
              <w:t>الغُسُل</w:t>
            </w:r>
            <w:r>
              <w:rPr>
                <w:rStyle w:val="IndexLink"/>
                <w:rtl w:val="true"/>
              </w:rPr>
              <w:tab/>
            </w:r>
            <w:r>
              <w:rPr>
                <w:rStyle w:val="IndexLink"/>
              </w:rPr>
              <w:t>458</w:t>
            </w:r>
          </w:hyperlink>
        </w:p>
        <w:p>
          <w:pPr>
            <w:pStyle w:val="Contents3"/>
            <w:tabs>
              <w:tab w:val="clear" w:pos="8459"/>
              <w:tab w:val="right" w:pos="9026" w:leader="dot"/>
            </w:tabs>
            <w:rPr/>
          </w:pPr>
          <w:hyperlink w:anchor="__RefHeading___Toc6503145_1051229030">
            <w:r>
              <w:rPr>
                <w:webHidden/>
                <w:rStyle w:val="IndexLink"/>
                <w:rtl w:val="true"/>
              </w:rPr>
              <w:t>الفصل الأول</w:t>
            </w:r>
            <w:r>
              <w:rPr>
                <w:rStyle w:val="IndexLink"/>
                <w:rtl w:val="true"/>
              </w:rPr>
              <w:t xml:space="preserve">: </w:t>
            </w:r>
            <w:r>
              <w:rPr>
                <w:rStyle w:val="IndexLink"/>
                <w:rtl w:val="true"/>
              </w:rPr>
              <w:t>في الجنابة</w:t>
            </w:r>
            <w:r>
              <w:rPr>
                <w:rStyle w:val="IndexLink"/>
                <w:rtl w:val="true"/>
              </w:rPr>
              <w:t>:</w:t>
              <w:tab/>
            </w:r>
            <w:r>
              <w:rPr>
                <w:rStyle w:val="IndexLink"/>
              </w:rPr>
              <w:t>460</w:t>
            </w:r>
          </w:hyperlink>
        </w:p>
        <w:p>
          <w:pPr>
            <w:pStyle w:val="Contents3"/>
            <w:tabs>
              <w:tab w:val="clear" w:pos="8459"/>
              <w:tab w:val="right" w:pos="9026" w:leader="dot"/>
            </w:tabs>
            <w:rPr/>
          </w:pPr>
          <w:hyperlink w:anchor="__RefHeading___Toc6503147_1051229030">
            <w:r>
              <w:rPr>
                <w:webHidden/>
                <w:rStyle w:val="IndexLink"/>
                <w:rtl w:val="true"/>
              </w:rPr>
              <w:t>الجهة الأولى</w:t>
            </w:r>
            <w:r>
              <w:rPr>
                <w:rStyle w:val="IndexLink"/>
                <w:rtl w:val="true"/>
              </w:rPr>
              <w:t xml:space="preserve">: </w:t>
            </w:r>
            <w:r>
              <w:rPr>
                <w:rStyle w:val="IndexLink"/>
                <w:rtl w:val="true"/>
              </w:rPr>
              <w:t>سبب الجنابة</w:t>
            </w:r>
            <w:r>
              <w:rPr>
                <w:rStyle w:val="IndexLink"/>
                <w:rtl w:val="true"/>
              </w:rPr>
              <w:t>:</w:t>
              <w:tab/>
            </w:r>
            <w:r>
              <w:rPr>
                <w:rStyle w:val="IndexLink"/>
              </w:rPr>
              <w:t>461</w:t>
            </w:r>
          </w:hyperlink>
        </w:p>
        <w:p>
          <w:pPr>
            <w:pStyle w:val="Contents3"/>
            <w:tabs>
              <w:tab w:val="clear" w:pos="8459"/>
              <w:tab w:val="right" w:pos="9026" w:leader="dot"/>
            </w:tabs>
            <w:rPr/>
          </w:pPr>
          <w:hyperlink w:anchor="__RefHeading___Toc6503149_1051229030">
            <w:r>
              <w:rPr>
                <w:webHidden/>
                <w:rStyle w:val="IndexLink"/>
                <w:rtl w:val="true"/>
              </w:rPr>
              <w:t>المسألة الأولى</w:t>
            </w:r>
            <w:r>
              <w:rPr>
                <w:rStyle w:val="IndexLink"/>
                <w:rtl w:val="true"/>
              </w:rPr>
              <w:t xml:space="preserve">: </w:t>
            </w:r>
            <w:r>
              <w:rPr>
                <w:rStyle w:val="IndexLink"/>
                <w:rtl w:val="true"/>
              </w:rPr>
              <w:t>وطئ المرأة الميتة</w:t>
            </w:r>
            <w:r>
              <w:rPr>
                <w:rStyle w:val="IndexLink"/>
                <w:rtl w:val="true"/>
              </w:rPr>
              <w:t>:</w:t>
              <w:tab/>
            </w:r>
            <w:r>
              <w:rPr>
                <w:rStyle w:val="IndexLink"/>
              </w:rPr>
              <w:t>466</w:t>
            </w:r>
          </w:hyperlink>
        </w:p>
        <w:p>
          <w:pPr>
            <w:pStyle w:val="Contents3"/>
            <w:tabs>
              <w:tab w:val="clear" w:pos="8459"/>
              <w:tab w:val="right" w:pos="9026" w:leader="dot"/>
            </w:tabs>
            <w:rPr/>
          </w:pPr>
          <w:hyperlink w:anchor="__RefHeading___Toc6503151_1051229030">
            <w:r>
              <w:rPr>
                <w:webHidden/>
                <w:rStyle w:val="IndexLink"/>
                <w:rtl w:val="true"/>
              </w:rPr>
              <w:t>المسألة الثانية</w:t>
            </w:r>
            <w:r>
              <w:rPr>
                <w:rStyle w:val="IndexLink"/>
                <w:rtl w:val="true"/>
              </w:rPr>
              <w:t xml:space="preserve">: </w:t>
            </w:r>
            <w:r>
              <w:rPr>
                <w:rStyle w:val="IndexLink"/>
                <w:rtl w:val="true"/>
              </w:rPr>
              <w:t>الجماع في الدبر</w:t>
            </w:r>
            <w:r>
              <w:rPr>
                <w:rStyle w:val="IndexLink"/>
                <w:rtl w:val="true"/>
              </w:rPr>
              <w:t>:</w:t>
              <w:tab/>
            </w:r>
            <w:r>
              <w:rPr>
                <w:rStyle w:val="IndexLink"/>
              </w:rPr>
              <w:t>466</w:t>
            </w:r>
          </w:hyperlink>
        </w:p>
        <w:p>
          <w:pPr>
            <w:pStyle w:val="Contents3"/>
            <w:tabs>
              <w:tab w:val="clear" w:pos="8459"/>
              <w:tab w:val="right" w:pos="9026" w:leader="dot"/>
            </w:tabs>
            <w:rPr/>
          </w:pPr>
          <w:hyperlink w:anchor="__RefHeading___Toc6503153_1051229030">
            <w:r>
              <w:rPr>
                <w:webHidden/>
                <w:rStyle w:val="IndexLink"/>
                <w:rtl w:val="true"/>
              </w:rPr>
              <w:t>المسألة الثالثة</w:t>
            </w:r>
            <w:r>
              <w:rPr>
                <w:rStyle w:val="IndexLink"/>
                <w:rtl w:val="true"/>
              </w:rPr>
              <w:t xml:space="preserve">: </w:t>
            </w:r>
            <w:r>
              <w:rPr>
                <w:rStyle w:val="IndexLink"/>
                <w:rtl w:val="true"/>
              </w:rPr>
              <w:t>وطء الغلام</w:t>
            </w:r>
            <w:r>
              <w:rPr>
                <w:rStyle w:val="IndexLink"/>
                <w:rtl w:val="true"/>
              </w:rPr>
              <w:t>:</w:t>
              <w:tab/>
            </w:r>
            <w:r>
              <w:rPr>
                <w:rStyle w:val="IndexLink"/>
              </w:rPr>
              <w:t>468</w:t>
            </w:r>
          </w:hyperlink>
        </w:p>
        <w:p>
          <w:pPr>
            <w:pStyle w:val="Contents3"/>
            <w:tabs>
              <w:tab w:val="clear" w:pos="8459"/>
              <w:tab w:val="right" w:pos="9026" w:leader="dot"/>
            </w:tabs>
            <w:rPr/>
          </w:pPr>
          <w:hyperlink w:anchor="__RefHeading___Toc6503155_1051229030">
            <w:r>
              <w:rPr>
                <w:webHidden/>
                <w:rStyle w:val="IndexLink"/>
                <w:rtl w:val="true"/>
              </w:rPr>
              <w:t>فائدة</w:t>
            </w:r>
            <w:r>
              <w:rPr>
                <w:rStyle w:val="IndexLink"/>
                <w:rtl w:val="true"/>
              </w:rPr>
              <w:t>:</w:t>
            </w:r>
            <w:r>
              <w:rPr>
                <w:rStyle w:val="IndexLink"/>
                <w:rtl w:val="true"/>
              </w:rPr>
              <w:t>معنى الإجماع المركب</w:t>
            </w:r>
            <w:r>
              <w:rPr>
                <w:rStyle w:val="IndexLink"/>
                <w:rtl w:val="true"/>
              </w:rPr>
              <w:tab/>
            </w:r>
            <w:r>
              <w:rPr>
                <w:rStyle w:val="IndexLink"/>
              </w:rPr>
              <w:t>469</w:t>
            </w:r>
          </w:hyperlink>
        </w:p>
        <w:p>
          <w:pPr>
            <w:pStyle w:val="Contents3"/>
            <w:tabs>
              <w:tab w:val="clear" w:pos="8459"/>
              <w:tab w:val="right" w:pos="9026" w:leader="dot"/>
            </w:tabs>
            <w:rPr/>
          </w:pPr>
          <w:hyperlink w:anchor="__RefHeading___Toc6503157_1051229030">
            <w:r>
              <w:rPr>
                <w:webHidden/>
                <w:rStyle w:val="IndexLink"/>
                <w:rtl w:val="true"/>
              </w:rPr>
              <w:t>المسألة الرابعة</w:t>
            </w:r>
            <w:r>
              <w:rPr>
                <w:rStyle w:val="IndexLink"/>
                <w:rtl w:val="true"/>
              </w:rPr>
              <w:t xml:space="preserve">: </w:t>
            </w:r>
            <w:r>
              <w:rPr>
                <w:rStyle w:val="IndexLink"/>
                <w:rtl w:val="true"/>
              </w:rPr>
              <w:t>وطئ البهيمة</w:t>
            </w:r>
            <w:r>
              <w:rPr>
                <w:rStyle w:val="IndexLink"/>
                <w:rtl w:val="true"/>
              </w:rPr>
              <w:t>:</w:t>
              <w:tab/>
            </w:r>
            <w:r>
              <w:rPr>
                <w:rStyle w:val="IndexLink"/>
              </w:rPr>
              <w:t>471</w:t>
            </w:r>
          </w:hyperlink>
        </w:p>
        <w:p>
          <w:pPr>
            <w:pStyle w:val="Contents3"/>
            <w:tabs>
              <w:tab w:val="clear" w:pos="8459"/>
              <w:tab w:val="right" w:pos="9026" w:leader="dot"/>
            </w:tabs>
            <w:rPr/>
          </w:pPr>
          <w:hyperlink w:anchor="__RefHeading___Toc6503159_1051229030">
            <w:r>
              <w:rPr>
                <w:webHidden/>
                <w:rStyle w:val="IndexLink"/>
                <w:rtl w:val="true"/>
              </w:rPr>
              <w:t>تفريع</w:t>
            </w:r>
            <w:r>
              <w:rPr>
                <w:rStyle w:val="IndexLink"/>
                <w:rtl w:val="true"/>
              </w:rPr>
              <w:t>:</w:t>
              <w:tab/>
            </w:r>
            <w:r>
              <w:rPr>
                <w:rStyle w:val="IndexLink"/>
              </w:rPr>
              <w:t>471</w:t>
            </w:r>
          </w:hyperlink>
        </w:p>
        <w:p>
          <w:pPr>
            <w:pStyle w:val="Contents3"/>
            <w:tabs>
              <w:tab w:val="clear" w:pos="8459"/>
              <w:tab w:val="right" w:pos="9026" w:leader="dot"/>
            </w:tabs>
            <w:rPr/>
          </w:pPr>
          <w:hyperlink w:anchor="__RefHeading___Toc6503161_1051229030">
            <w:r>
              <w:rPr>
                <w:webHidden/>
                <w:rStyle w:val="IndexLink"/>
                <w:rtl w:val="true"/>
              </w:rPr>
              <w:t>المسألة الأولى</w:t>
            </w:r>
            <w:r>
              <w:rPr>
                <w:rStyle w:val="IndexLink"/>
                <w:rtl w:val="true"/>
              </w:rPr>
              <w:t xml:space="preserve">: </w:t>
            </w:r>
            <w:r>
              <w:rPr>
                <w:rStyle w:val="IndexLink"/>
                <w:rtl w:val="true"/>
              </w:rPr>
              <w:t>تكليف الكافر</w:t>
            </w:r>
            <w:r>
              <w:rPr>
                <w:rStyle w:val="IndexLink"/>
                <w:rtl w:val="true"/>
              </w:rPr>
              <w:t>:</w:t>
              <w:tab/>
            </w:r>
            <w:r>
              <w:rPr>
                <w:rStyle w:val="IndexLink"/>
              </w:rPr>
              <w:t>471</w:t>
            </w:r>
          </w:hyperlink>
        </w:p>
        <w:p>
          <w:pPr>
            <w:pStyle w:val="Contents3"/>
            <w:tabs>
              <w:tab w:val="clear" w:pos="8459"/>
              <w:tab w:val="right" w:pos="9026" w:leader="dot"/>
            </w:tabs>
            <w:rPr/>
          </w:pPr>
          <w:hyperlink w:anchor="__RefHeading___Toc6503163_1051229030">
            <w:r>
              <w:rPr>
                <w:webHidden/>
                <w:rStyle w:val="IndexLink"/>
                <w:rtl w:val="true"/>
              </w:rPr>
              <w:t>المسألة الثانية</w:t>
            </w:r>
            <w:r>
              <w:rPr>
                <w:rStyle w:val="IndexLink"/>
                <w:rtl w:val="true"/>
              </w:rPr>
              <w:t xml:space="preserve">: </w:t>
            </w:r>
            <w:r>
              <w:rPr>
                <w:rStyle w:val="IndexLink"/>
                <w:rtl w:val="true"/>
              </w:rPr>
              <w:t>غسل من ارتدّ</w:t>
            </w:r>
            <w:r>
              <w:rPr>
                <w:rStyle w:val="IndexLink"/>
                <w:rtl w:val="true"/>
              </w:rPr>
              <w:t>:</w:t>
              <w:tab/>
            </w:r>
            <w:r>
              <w:rPr>
                <w:rStyle w:val="IndexLink"/>
              </w:rPr>
              <w:t>473</w:t>
            </w:r>
          </w:hyperlink>
        </w:p>
        <w:p>
          <w:pPr>
            <w:pStyle w:val="Contents3"/>
            <w:tabs>
              <w:tab w:val="clear" w:pos="8459"/>
              <w:tab w:val="right" w:pos="9026" w:leader="dot"/>
            </w:tabs>
            <w:rPr/>
          </w:pPr>
          <w:hyperlink w:anchor="__RefHeading___Toc6503165_1051229030">
            <w:r>
              <w:rPr>
                <w:webHidden/>
                <w:rStyle w:val="IndexLink"/>
                <w:rtl w:val="true"/>
              </w:rPr>
              <w:t>الجهة الثانية</w:t>
            </w:r>
            <w:r>
              <w:rPr>
                <w:rStyle w:val="IndexLink"/>
                <w:rtl w:val="true"/>
              </w:rPr>
              <w:t xml:space="preserve">: </w:t>
            </w:r>
            <w:r>
              <w:rPr>
                <w:rStyle w:val="IndexLink"/>
                <w:rtl w:val="true"/>
              </w:rPr>
              <w:t>حكم الجُنُب</w:t>
            </w:r>
            <w:r>
              <w:rPr>
                <w:rStyle w:val="IndexLink"/>
                <w:rtl w:val="true"/>
              </w:rPr>
              <w:t>:</w:t>
              <w:tab/>
            </w:r>
            <w:r>
              <w:rPr>
                <w:rStyle w:val="IndexLink"/>
              </w:rPr>
              <w:t>474</w:t>
            </w:r>
          </w:hyperlink>
        </w:p>
        <w:p>
          <w:pPr>
            <w:pStyle w:val="Contents3"/>
            <w:tabs>
              <w:tab w:val="clear" w:pos="8459"/>
              <w:tab w:val="right" w:pos="9026" w:leader="dot"/>
            </w:tabs>
            <w:rPr/>
          </w:pPr>
          <w:hyperlink w:anchor="__RefHeading___Toc6503167_1051229030">
            <w:r>
              <w:rPr>
                <w:webHidden/>
                <w:rStyle w:val="IndexLink"/>
                <w:rtl w:val="true"/>
              </w:rPr>
              <w:t>النوع الأول</w:t>
            </w:r>
            <w:r>
              <w:rPr>
                <w:rStyle w:val="IndexLink"/>
                <w:rtl w:val="true"/>
              </w:rPr>
              <w:t xml:space="preserve">: </w:t>
            </w:r>
            <w:r>
              <w:rPr>
                <w:rStyle w:val="IndexLink"/>
                <w:rtl w:val="true"/>
              </w:rPr>
              <w:t>المحرمات</w:t>
            </w:r>
            <w:r>
              <w:rPr>
                <w:rStyle w:val="IndexLink"/>
                <w:rtl w:val="true"/>
              </w:rPr>
              <w:t>:</w:t>
              <w:tab/>
            </w:r>
            <w:r>
              <w:rPr>
                <w:rStyle w:val="IndexLink"/>
              </w:rPr>
              <w:t>474</w:t>
            </w:r>
          </w:hyperlink>
        </w:p>
        <w:p>
          <w:pPr>
            <w:pStyle w:val="Contents3"/>
            <w:tabs>
              <w:tab w:val="clear" w:pos="8459"/>
              <w:tab w:val="right" w:pos="9026" w:leader="dot"/>
            </w:tabs>
            <w:rPr/>
          </w:pPr>
          <w:hyperlink w:anchor="__RefHeading___Toc6503169_1051229030">
            <w:r>
              <w:rPr>
                <w:webHidden/>
                <w:rStyle w:val="IndexLink"/>
                <w:rtl w:val="true"/>
              </w:rPr>
              <w:t>النوع الثاني</w:t>
            </w:r>
            <w:r>
              <w:rPr>
                <w:rStyle w:val="IndexLink"/>
                <w:rtl w:val="true"/>
              </w:rPr>
              <w:t xml:space="preserve">: </w:t>
            </w:r>
            <w:r>
              <w:rPr>
                <w:rStyle w:val="IndexLink"/>
                <w:rtl w:val="true"/>
              </w:rPr>
              <w:t>المكروهات</w:t>
            </w:r>
            <w:r>
              <w:rPr>
                <w:rStyle w:val="IndexLink"/>
                <w:rtl w:val="true"/>
              </w:rPr>
              <w:t>:</w:t>
              <w:tab/>
            </w:r>
            <w:r>
              <w:rPr>
                <w:rStyle w:val="IndexLink"/>
              </w:rPr>
              <w:t>479</w:t>
            </w:r>
          </w:hyperlink>
        </w:p>
        <w:p>
          <w:pPr>
            <w:pStyle w:val="Contents3"/>
            <w:tabs>
              <w:tab w:val="clear" w:pos="8459"/>
              <w:tab w:val="right" w:pos="9026" w:leader="dot"/>
            </w:tabs>
            <w:rPr/>
          </w:pPr>
          <w:hyperlink w:anchor="__RefHeading___Toc6503171_1051229030">
            <w:r>
              <w:rPr>
                <w:webHidden/>
                <w:rStyle w:val="IndexLink"/>
                <w:rtl w:val="true"/>
              </w:rPr>
              <w:t>الجهة الثالثة</w:t>
            </w:r>
            <w:r>
              <w:rPr>
                <w:rStyle w:val="IndexLink"/>
                <w:rtl w:val="true"/>
              </w:rPr>
              <w:t xml:space="preserve">: </w:t>
            </w:r>
            <w:r>
              <w:rPr>
                <w:rStyle w:val="IndexLink"/>
                <w:rtl w:val="true"/>
              </w:rPr>
              <w:t>الغسل</w:t>
            </w:r>
            <w:r>
              <w:rPr>
                <w:rStyle w:val="IndexLink"/>
                <w:rtl w:val="true"/>
              </w:rPr>
              <w:t>:</w:t>
              <w:tab/>
            </w:r>
            <w:r>
              <w:rPr>
                <w:rStyle w:val="IndexLink"/>
              </w:rPr>
              <w:t>483</w:t>
            </w:r>
          </w:hyperlink>
        </w:p>
        <w:p>
          <w:pPr>
            <w:pStyle w:val="Contents3"/>
            <w:tabs>
              <w:tab w:val="clear" w:pos="8459"/>
              <w:tab w:val="right" w:pos="9026" w:leader="dot"/>
            </w:tabs>
            <w:rPr/>
          </w:pPr>
          <w:hyperlink w:anchor="__RefHeading___Toc6503173_1051229030">
            <w:r>
              <w:rPr>
                <w:webHidden/>
                <w:rStyle w:val="IndexLink"/>
                <w:rtl w:val="true"/>
              </w:rPr>
              <w:t>أولاً</w:t>
            </w:r>
            <w:r>
              <w:rPr>
                <w:rStyle w:val="IndexLink"/>
                <w:rtl w:val="true"/>
              </w:rPr>
              <w:t xml:space="preserve">: </w:t>
            </w:r>
            <w:r>
              <w:rPr>
                <w:rStyle w:val="IndexLink"/>
                <w:rtl w:val="true"/>
              </w:rPr>
              <w:t>واجبات الغسل</w:t>
            </w:r>
            <w:r>
              <w:rPr>
                <w:rStyle w:val="IndexLink"/>
                <w:rtl w:val="true"/>
              </w:rPr>
              <w:t>:</w:t>
              <w:tab/>
            </w:r>
            <w:r>
              <w:rPr>
                <w:rStyle w:val="IndexLink"/>
              </w:rPr>
              <w:t>483</w:t>
            </w:r>
          </w:hyperlink>
        </w:p>
        <w:p>
          <w:pPr>
            <w:pStyle w:val="Contents3"/>
            <w:tabs>
              <w:tab w:val="clear" w:pos="8459"/>
              <w:tab w:val="right" w:pos="9026" w:leader="dot"/>
            </w:tabs>
            <w:rPr/>
          </w:pPr>
          <w:hyperlink w:anchor="__RefHeading___Toc6503175_1051229030">
            <w:r>
              <w:rPr>
                <w:webHidden/>
                <w:rStyle w:val="IndexLink"/>
                <w:rtl w:val="true"/>
              </w:rPr>
              <w:t>ثانيًا</w:t>
            </w:r>
            <w:r>
              <w:rPr>
                <w:rStyle w:val="IndexLink"/>
                <w:rtl w:val="true"/>
              </w:rPr>
              <w:t xml:space="preserve">: </w:t>
            </w:r>
            <w:r>
              <w:rPr>
                <w:rStyle w:val="IndexLink"/>
                <w:rtl w:val="true"/>
              </w:rPr>
              <w:t>سُنن الغسل</w:t>
            </w:r>
            <w:r>
              <w:rPr>
                <w:rStyle w:val="IndexLink"/>
                <w:rtl w:val="true"/>
              </w:rPr>
              <w:t>:</w:t>
              <w:tab/>
            </w:r>
            <w:r>
              <w:rPr>
                <w:rStyle w:val="IndexLink"/>
              </w:rPr>
              <w:t>491</w:t>
            </w:r>
          </w:hyperlink>
        </w:p>
        <w:p>
          <w:pPr>
            <w:pStyle w:val="Contents2"/>
            <w:tabs>
              <w:tab w:val="clear" w:pos="8743"/>
              <w:tab w:val="right" w:pos="9026" w:leader="dot"/>
            </w:tabs>
            <w:rPr/>
          </w:pPr>
          <w:hyperlink w:anchor="__RefHeading___Toc6503177_1051229030">
            <w:r>
              <w:rPr>
                <w:webHidden/>
                <w:rStyle w:val="IndexLink"/>
                <w:rtl w:val="true"/>
              </w:rPr>
              <w:t>المصادر والمراجع</w:t>
            </w:r>
            <w:r>
              <w:rPr>
                <w:rStyle w:val="IndexLink"/>
                <w:rtl w:val="true"/>
              </w:rPr>
              <w:tab/>
            </w:r>
            <w:r>
              <w:rPr>
                <w:rStyle w:val="IndexLink"/>
              </w:rPr>
              <w:t>501</w:t>
            </w:r>
          </w:hyperlink>
        </w:p>
        <w:p>
          <w:pPr>
            <w:pStyle w:val="Contents2"/>
            <w:tabs>
              <w:tab w:val="clear" w:pos="8743"/>
              <w:tab w:val="right" w:pos="9026" w:leader="dot"/>
            </w:tabs>
            <w:rPr/>
          </w:pPr>
          <w:hyperlink w:anchor="__RefHeading___Toc6503179_1051229030">
            <w:r>
              <w:rPr>
                <w:webHidden/>
                <w:rStyle w:val="IndexLink"/>
                <w:rtl w:val="true"/>
              </w:rPr>
              <w:t>الفهرست والموضوعات</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8_84918"/>
      <w:bookmarkStart w:id="1" w:name="pg7928_84918"/>
      <w:bookmarkEnd w:id="1"/>
    </w:p>
    <w:p>
      <w:pPr>
        <w:pStyle w:val="Heading2"/>
        <w:numPr>
          <w:ilvl w:val="1"/>
          <w:numId w:val="1"/>
        </w:numPr>
        <w:rPr/>
      </w:pPr>
      <w:bookmarkStart w:id="2" w:name="pg7928_84918"/>
      <w:bookmarkStart w:id="3" w:name="__RefHeading___Toc650286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استدلالية في كتاب شرائع الإسلام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تراث الأنبياء للدراسات الحوزوية الإلكترونية</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القبانجي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0286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28_84922"/>
      <w:bookmarkStart w:id="8" w:name="pg7928_84922"/>
      <w:bookmarkEnd w:id="8"/>
    </w:p>
    <w:p>
      <w:pPr>
        <w:pStyle w:val="BookText"/>
        <w:rPr/>
      </w:pPr>
      <w:bookmarkStart w:id="9" w:name="pg7928_84922"/>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6502867_1051229030"/>
      <w:bookmarkStart w:id="11" w:name="_Toc3"/>
      <w:bookmarkEnd w:id="10"/>
      <w:r>
        <w:rPr>
          <w:rtl w:val="true"/>
        </w:rPr>
        <w:t>مقدمة المعهد</w:t>
      </w:r>
      <w:r>
        <w:rPr>
          <w:rtl w:val="true"/>
        </w:rPr>
        <w:t>:</w:t>
      </w:r>
      <w:bookmarkEnd w:id="11"/>
    </w:p>
    <w:p>
      <w:pPr>
        <w:pStyle w:val="BookText"/>
        <w:rPr/>
      </w:pPr>
      <w:r>
        <w:rPr>
          <w:rFonts w:ascii="Amiri" w:hAnsi="Amiri" w:eastAsia="Amiri" w:cs="Amiri"/>
          <w:color w:val="111111"/>
          <w:sz w:val="28"/>
          <w:sz w:val="28"/>
          <w:szCs w:val="28"/>
          <w:rtl w:val="true"/>
          <w:lang w:bidi="ar-SA"/>
        </w:rPr>
        <w:t>معهد تراث الأنبياء، مؤسَّسة علمية حوزوية، تابعة للعتبة العباسية المقدّسة،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يساهم المعهد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 عاتقه تأسيس جامعة متخصِّصة في هذا المجال، فتمَّ إنشاء جامعة أُمِّ البنين عَلَيْهِا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فيالعمل التبليغي، بالإضافة إلى فتح التخصصات العقائدية والفقهية والقرآنية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والمعهد يقوم بطباعة ونشر الإنتاج الفكري والعلمي لطلبة العلم، ضمن سلسلة من الإصدارات في مختلف العناوين العقائدية والفقهية والأخلاقية، التي تهدف إلىٰ ترسيخ العقيدة والفكر والأخلاق، بأُسلوب بعيد عن التعقيد، يستقي معلوماته من مدرسة أهل البيت عَلَيْهِم السَّلاَمُ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مجموعة من الدروس الفقهية في كتاب شرائع الإسلام للمحقق الحلي قُدس سره، كتبها أستاذ المادة لعدة أهداف ذكرها في المقدمة، نسأل الله تعالى أن يجعل عملنا في عينه، وأن يتقبَّله بقبوله الحسن، إنَّه سميع مجيب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2" w:name="pg7928_84925"/>
    </w:p>
    <w:p>
      <w:pPr>
        <w:pStyle w:val="Heading2"/>
        <w:numPr>
          <w:ilvl w:val="1"/>
          <w:numId w:val="1"/>
        </w:numPr>
        <w:rPr/>
      </w:pPr>
      <w:bookmarkStart w:id="13" w:name="__RefHeading___Toc6502869_1051229030"/>
      <w:bookmarkStart w:id="14" w:name="_Toc4"/>
      <w:bookmarkEnd w:id="12"/>
      <w:bookmarkEnd w:id="13"/>
      <w:r>
        <w:rPr>
          <w:rtl w:val="true"/>
        </w:rPr>
        <w:t>الإهداء</w:t>
      </w:r>
      <w:bookmarkEnd w:id="14"/>
    </w:p>
    <w:p>
      <w:pPr>
        <w:pStyle w:val="BookText"/>
        <w:rPr/>
      </w:pPr>
      <w:r>
        <w:rPr>
          <w:rFonts w:ascii="Amiri" w:hAnsi="Amiri" w:eastAsia="Amiri" w:cs="Amiri"/>
          <w:color w:val="111111"/>
          <w:sz w:val="28"/>
          <w:sz w:val="28"/>
          <w:szCs w:val="28"/>
          <w:rtl w:val="true"/>
          <w:lang w:bidi="ar-SA"/>
        </w:rPr>
        <w:t>في رحابك يا مولاي تطمئنُّ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يديك تُقضى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قدميك فيضُ ماءٍ يروي الغليل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للحوائج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تكون كذلك وأنت باب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مولاي يا أبا الفضل، فتفضل عليّ بالقبول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928_84928"/>
      <w:bookmarkStart w:id="16" w:name="pg7928_84928"/>
      <w:bookmarkEnd w:id="16"/>
    </w:p>
    <w:p>
      <w:pPr>
        <w:pStyle w:val="BookText"/>
        <w:rPr/>
      </w:pPr>
      <w:bookmarkStart w:id="17" w:name="pg7928_84928"/>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6502871_1051229030"/>
      <w:bookmarkStart w:id="19" w:name="_Toc5"/>
      <w:bookmarkEnd w:id="18"/>
      <w:r>
        <w:rPr>
          <w:rtl w:val="true"/>
        </w:rPr>
        <w:t>مقدمة المؤلف</w:t>
      </w:r>
      <w:r>
        <w:rPr>
          <w:rtl w:val="true"/>
        </w:rPr>
        <w:t>:</w:t>
      </w:r>
      <w:bookmarkEnd w:id="19"/>
    </w:p>
    <w:p>
      <w:pPr>
        <w:pStyle w:val="Heading3"/>
        <w:numPr>
          <w:ilvl w:val="2"/>
          <w:numId w:val="1"/>
        </w:numPr>
        <w:rPr/>
      </w:pPr>
      <w:bookmarkStart w:id="20" w:name="__RefHeading___Toc6502873_105122903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تختلف الكتابة من موضوع إلى آخر، ومن علم إلى آخر، وإن كانت الألفاظ طوع قلم كاتبٍ في علمٍ أو موضوع ما، فلا يعني أنها تطيعه في كل العلوم، وهذا أمر وجداني يشعر به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الفقه، لم يفتح أبواب الإبداع فيه لكل يراع، ولم يتمكن من الغوص في أعماقه لمعرفة دقائقه كلُّ من رام ذلك، وإنما كان له أهله ومتخصصوه، ولذلك تجد الفقهاء الأفذاذ كانوا وما زالوا يُشار إليهم بالبنان وتشرئبّ الأعناق إليهم، ويبقى ذكرهم وما كتبوه على مر الدهور وكرور العصور، فبعد مئات السنين، ما زالت كتب الشيخ الطوسي والصدوق والمحقق والعلامة وأمثالهم غضة طرية غنية بالعلوم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لهذه الحقيقة أسراراً عديدة، ولا شك أن من أهمها التسديد الإلهي وإخلاص الكاتب</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أهم الكتب الفقهية التي استمرت حلقاتها الدراسية في الحوزات العلمية أمس واليوم، هو كتاب شرائع الإسلام للمحققالحلي قُدس سره، حتى باتت دراسته علامة فارقة لطالب العلم، هو ومعه </w:t>
      </w:r>
    </w:p>
    <w:p>
      <w:pPr>
        <w:pStyle w:val="BookText"/>
        <w:rPr/>
      </w:pPr>
      <w:r>
        <w:rPr>
          <w:rFonts w:ascii="Amiri" w:hAnsi="Amiri" w:eastAsia="Amiri" w:cs="Amiri"/>
          <w:color w:val="111111"/>
          <w:sz w:val="28"/>
          <w:sz w:val="28"/>
          <w:szCs w:val="28"/>
          <w:rtl w:val="true"/>
          <w:lang w:bidi="ar-SA"/>
        </w:rPr>
        <w:t>مجموعة من الكتب الأخرى، ولعله من أكثر الكتب شروحاً وتعليقاً في الحوزة العلمية، وما أكثر ما اتخذه أساطين بحوث الخارج متناً لبحوثهم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هذا السِفر الفقهي محطّ أنظار العلماء والشرّاح، فكتبت فيه العديد من الشروح والتعليقات التي عُدّت مصادر مهمة لفهم مطالبه وشرح مقاصده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الأوراق ليست تعليقاً خاصاً، ولا شرحاً مستحدثاً لهذا الكتاب، وإنما هي استفادات من كلمات الشراح، وإفادات من الأساتذة الفضلاء، فما كان فيها من علم ومعرفة فهي منهم، وما كان فيها من نقص وخلل فهي مني بلا أدنى شك، قصوراً أو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كُتبت هذه الدروس بهدف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في مرحلة السطوح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بالجهود التي يبذلها الفقهاء من أجل استنباط الحكم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تعريفه باختلاف الآراء وما تبتني عليه من قواعد وأساسات فقهية وأصولية ورجالية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 على عبارة الفقهاء القديمة وطريقتهم في عرض المطالب والاستدلال عليها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وعي تامٍّ بصعوبة الطريق ووعورته، وتوقف الوصول إلى الهدف منه على عزم ثابت وجهود استثنائية وإخلاص </w:t>
      </w:r>
    </w:p>
    <w:p>
      <w:pPr>
        <w:pStyle w:val="BookText"/>
        <w:rPr/>
      </w:pPr>
      <w:r>
        <w:rPr>
          <w:rFonts w:ascii="Amiri" w:hAnsi="Amiri" w:eastAsia="Amiri" w:cs="Amiri"/>
          <w:color w:val="111111"/>
          <w:sz w:val="28"/>
          <w:sz w:val="28"/>
          <w:szCs w:val="28"/>
          <w:rtl w:val="true"/>
          <w:lang w:bidi="ar-SA"/>
        </w:rPr>
        <w:t>في طلب العلم، ولذا لم يتم شرح كل الكتاب، وإنما أبواب قليلة جداً منه من بدايته، لتحقيق الهدف المنشود، بالإضافة إلى ضيق الوقت المخصص لهذا الدرس في المرحلة التمهيدية للسطوح في معهد تراث الأنبياء للدراسات 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الدروس هي محاولة لفهم شيء من عبارات شرائع الإسلام، وعمق مطالبها، وغزارة معلوماتها، وقد حاولت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المطالب بألفاظ واضحة وإضافة شيء من تراجم الرجال والفوائد الفقهية والأصولية والرجالية في مواضعها المناسبة ولو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تعالى أن يجعله بعينه، ويجزينا بما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لا يسعني إلا أن أدعو الله تعالى بالتوفيق والسداد لكل من ساعدني في إكمال هذه الدروس، مباحثة وكتابة ومراجعة وتدقيقاً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الأشرفصباح يوم الثلاثاء</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البدء باسم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ملحوظات 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رأي لم يُذكر مصدره في الهامش، فمصدره هو كتاب مدارك الأحكام للسيد العاملي، وكان الهدف ذكر الأقوال وكيفية الاستدلال عليها لا القائلين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الهدف الأساسي من هذه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عبارة فقهائنا القدماء، وكيفية استدلالاتهم، وبثِّ بعض المعلومات الأصولية والرجالية التي تفتح أذهان الطلبة في هذه المرحلة على الدقةِ العلمية الموجودة في موضوعة الاستدلال الفقهي، ومن خلالها سيُفهم أنّ قضية الاجتهاد ليست مسألةً سهلةً؛ فالروايات كثيرة، وبعضها يصعب فهمها بسرعة، بل تحتاج إلى الكثير من القواعد الأصولية والفقهية وغيرها، وقبولها يحتاج إلى الكثير من القواعد الرجالية المعرفية وغيرها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وحيث إنَّ المقصود من دراستنا لهذا الكتاب هو الاطلاع على عبارة علمائنا القدماء، وكيف كانوا يصوغون عباراتهم الفقهية،فليس المقصودُ معرفةَ الفتوى العملية لأعمالنا اليومية؛ فالفتوى العملية يرجعُ فيها كُلُّ شخصٍ إلى المرجع الذي يقلده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الهدف من دراستنا لهذا الكتاب، فإننا في هذه الدورة، وبحسب ما يسمح به وقتُ الدرس؛ لا ندخل في الكتاب من بدايته إلى نهايته وندرسه كلمةً كلمة، أو مطلبًا مطلبًا، بل سيكون الدرس من بداية الكتاب إلى نهاية غسل الجنابة، مع استثناء البئر وأحكامه</w:t>
      </w:r>
      <w:r>
        <w:rPr>
          <w:rFonts w:eastAsia="Amiri" w:cs="Amiri" w:ascii="Amiri" w:hAnsi="Amiri"/>
          <w:color w:val="111111"/>
          <w:sz w:val="28"/>
          <w:szCs w:val="28"/>
          <w:rtl w:val="true"/>
          <w:lang w:bidi="ar-SA"/>
        </w:rPr>
        <w:t>.</w:t>
      </w:r>
      <w:bookmarkStart w:id="22" w:name="pg7928_84939"/>
    </w:p>
    <w:p>
      <w:pPr>
        <w:pStyle w:val="Heading3"/>
        <w:numPr>
          <w:ilvl w:val="2"/>
          <w:numId w:val="1"/>
        </w:numPr>
        <w:rPr/>
      </w:pPr>
      <w:bookmarkStart w:id="23" w:name="__RefHeading___Toc6502875_1051229030"/>
      <w:bookmarkStart w:id="24" w:name="_Toc7"/>
      <w:bookmarkEnd w:id="22"/>
      <w:bookmarkEnd w:id="23"/>
      <w:r>
        <w:rPr>
          <w:rtl w:val="true"/>
        </w:rPr>
        <w:t>سيرة حياة المُحقَّق الحلّي قُدس سره وديباجة الكتاب</w:t>
      </w:r>
      <w:r>
        <w:rPr>
          <w:rtl w:val="true"/>
        </w:rPr>
        <w:t>:</w:t>
      </w:r>
      <w:bookmarkEnd w:id="24"/>
    </w:p>
    <w:p>
      <w:pPr>
        <w:pStyle w:val="BookText"/>
        <w:rPr/>
      </w:pPr>
      <w:r>
        <w:rPr>
          <w:rFonts w:ascii="Amiri" w:hAnsi="Amiri" w:eastAsia="Amiri" w:cs="Amiri"/>
          <w:color w:val="111111"/>
          <w:sz w:val="28"/>
          <w:sz w:val="28"/>
          <w:szCs w:val="28"/>
          <w:rtl w:val="true"/>
          <w:lang w:bidi="ar-SA"/>
        </w:rPr>
        <w:t xml:space="preserve">سيرة حياة المُحقِّق الحلّي قُدس سره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الشيخ جعفر بن الحسن بن يحيى بن حسن بن سعيد الهذلي الحلي، يُكنى بأبي القاسم، ويُلقّب بنجم الدين،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عُلماءِ الشيعة في الفقه والأصول، في القرنِ السابع الهجري، وينصرفُ لقبُ المُحقِّقِ إليه إذا ذَكرهُ الفقهاء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خالُ العلّامةِ الحلي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والدُه الشيخُ حسن فاضلًا عظيمَ الشأن، وكذلك جدُّه الشيخُ يحيى كانَ عالمًا مُحقِّقًا، من فقهاءِ عصره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الحلّةِ المعروفة، ونشأ المُحقق الحلي نشأةً علميةً في بيتِ علمٍ وشرفٍ ومجدٍ في مدينةِ الحلّةِ السيفية، وقد كانتِ الحلةُ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القرنِ السابع والثامن وبعضٍ من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 للعلماءِ والفضلاء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أشهرِ 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حسن بن يحيى الحلّي، محمد بن جعفر ابن نما، وتاجُ الدین حسن بن علي بن دربي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أبرز تلامذتُه والمُستفيدين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الحلي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داود الحلّي صاحبُ كتابِ الرجال والمعروف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غياث الدين عبد الكريم بن أحمد بن طاووس صاحب كتاب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جلالُ الدين محمد بن علي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 الدين الحلّي الشاعر المعروف ذو الصيت الذائع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من عصرِ الشيخِ المفيد قُدس سره إلى عصرِ المُحقِّق الحلّي قُدس سره، ويُقصدُ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من بدايةِ عصرِ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 المُحقِّق الكركي، مما يعني أنّ المُحقِّق الحلّي آخرُ عالمٍ من عصرِ المُتقدمين، وتلميذُه العلّامة الحلي هو بدايةُ عصرِ المُتأخرين، مما يُبيّنُ طبيعة ما كان عليه الفقه الاستدلالي من التطوّر؛ حيثُ إنّ المُحقِقَ الحلّي يُنسبُ إلىمدرسةِ المتقدمين والعلّامةَ الحلّي هو بدايةُ مدرسةِ المتأخرين، رغم أنهما متعاصران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فإنَّ مدرسةَ المتقدمين من العلماء انتهت بالمُحقق الحلّي، وبدأتْ مدرسةُ المتأخرين بتلميذه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حقِّه الشيخُ الحرُّ العاملي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الشأن، جليلَ القدر، رفيعَ المنزلة، لا نظيرَ له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جيّدٌ وإنشاءٌ حسنٌ بليغ، وكان مرجعَ أهلِ زمانِه في الفقه وغيره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في حقِّه السيّدُ مُحسنُ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وكفاهُ جلالةَ قدرٍ اشتهارُه بالمُحقِّق؛ فلم يشتهرْ من علماء الإمامية على كثرتِهم في كلِّ عصرٍ بهذا اللقب غيره وغير الشيخ علي بن عبد العالي الكركي، وما أخذ هذا اللقبَ إلا بجدارةٍ واستحقاق، وقد رُزِقَ في مؤلفاته حظًا عظيمًا </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في حقِّه العلامةُ التستري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جعلَ الكتبَ الفقهية بترتيبِ المتأخرين، فجمعَ في شرائعه لُبَّ ما في نهاية الشيخ الذي كان مضامين الأخبار، وما في مبسوطه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المبسوط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الخلاف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كانا على حذوِ كتبِ العامة في جمعِالفروع، وقبله كان بعضهم يكتبُ كالنهاية كسرائر الحلي، وبعضهم كالمبسوط والخلاف كمُهذّب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تحقيقاتٌ أنيقة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للمحقق قُدس سره العديد من المصنفات، في مُختلفِ العلومِ الشرعية كالفقهِ وأصولِه والكلام، وهي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المسلك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النكهة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في أصول الفقه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الوصول إلى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نكت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نهاية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مختصر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مراسم سلّار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أجوبة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العزية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مراسلاته الشعرية التي جرت بينه وبين والده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مراسلاته الشعرية التي جرت بينه وبين صديقه الشيخ محفوظ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شعره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راقدًا والمنايا غيرُ راقدةٍ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وغافلًا وسهامُ الدَّهرِ ترْميهِ</w:t>
      </w:r>
    </w:p>
    <w:p>
      <w:pPr>
        <w:pStyle w:val="BookText"/>
        <w:rPr/>
      </w:pPr>
      <w:r>
        <w:rPr>
          <w:rFonts w:ascii="Amiri" w:hAnsi="Amiri" w:eastAsia="Amiri" w:cs="Amiri"/>
          <w:color w:val="111111"/>
          <w:sz w:val="28"/>
          <w:sz w:val="28"/>
          <w:szCs w:val="28"/>
          <w:rtl w:val="true"/>
          <w:lang w:bidi="ar-SA"/>
        </w:rPr>
        <w:t xml:space="preserve">بِمَ اغترارُكَ والأيامُ مرْصدةٌ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قد ملأَ الأسماعَ داعيهِ</w:t>
      </w:r>
    </w:p>
    <w:p>
      <w:pPr>
        <w:pStyle w:val="BookText"/>
        <w:rPr/>
      </w:pPr>
      <w:r>
        <w:rPr>
          <w:rFonts w:ascii="Amiri" w:hAnsi="Amiri" w:eastAsia="Amiri" w:cs="Amiri"/>
          <w:color w:val="111111"/>
          <w:sz w:val="28"/>
          <w:sz w:val="28"/>
          <w:szCs w:val="28"/>
          <w:rtl w:val="true"/>
          <w:lang w:bidi="ar-SA"/>
        </w:rPr>
        <w:t xml:space="preserve">أما رأتْكَ اللّيالي قُبْحَ 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وغدْرَها بالذي كانت تُصافيهِ</w:t>
      </w:r>
    </w:p>
    <w:p>
      <w:pPr>
        <w:pStyle w:val="BookText"/>
        <w:rPr/>
      </w:pPr>
      <w:r>
        <w:rPr>
          <w:rFonts w:ascii="Amiri" w:hAnsi="Amiri" w:eastAsia="Amiri" w:cs="Amiri"/>
          <w:color w:val="111111"/>
          <w:sz w:val="28"/>
          <w:sz w:val="28"/>
          <w:szCs w:val="28"/>
          <w:rtl w:val="true"/>
          <w:lang w:bidi="ar-SA"/>
        </w:rPr>
        <w:t xml:space="preserve">رفقًا بنفسِكَ يا مغرورُ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تشيبُ النواصي من واهيهِ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وفاة المحقِّق قُدس سره صباحَ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 ونُقِل في سبب وفاته أنّه سقط من أعلى درجةٍ في دارهِ فخرَّ ميتًا لوقته، وحُمِل نعشُه إلى النجف الأشرف، ودُفِن في حرم الإمام علي عَلَيْهِ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المحققُ قُدس سره كتابه شرائع الإسلام إلى أقسام أربعة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يُشترط في أدائها نيّةُ القربة إلى الله تعالى، ولا تصحُّ من دونها، كالصلاة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بعض المباحث التي ذكرها المحققُ قُدس سره في قسم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كتطهير المتنجسات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اشتراط نية القربة فيها؛ وما ذلك إلا لكونِها مقدمةً لبعض العبادات، ولا تصحُّ تلك العباداتُ إلا بها، كالصلاة مثلًا التي لا تصحُّ إلا بالطهارة من الحدثِ والخبث؛ لذلك تناول كتاب الطهارة وما يتعلق بها من الوضوء والغسل والتيمم فيقسم العبادات، مقدِّمًا إيّاها على الصلاة؛ لأنَّ الترتيب الموضوعي يقتضي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يُشترطُ فيها طرفان يتوليان الإيجاب والقبول، وتتوقفُ صحتها عليهما، ففي عقد البيع مثلًا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وفي عقد الزواج، تقول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ويقول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وهكذا في عقد الإجارة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لا تحتاج إلا إلى طرفٍ واحدٍ، هو الذي يقومُ بالإيقاع، كالطلاقِ والوقفِ، فيقولُ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شرائط صحة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فلانة طالق، أو 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كذا في سبيل الله عَزَّوَجَل، فيقع الطلاق أو الوقف من دون حاجةٍ إلى رضا الزوجة أو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فهي ما عدا العبادات والعقود والإيقاعات من الأحكام الشرعية، كالغصب واللقطة والميراث والديّات، أو ما يعبِّر البعض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الحصر بأبواب أربعة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البداية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ليس عقليًا، فلا استحالة عقلية في أنْ يكون عدد تلك الأقسام أقل أو أكثر، فالقسمة استقرائية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بيّنَ البعضُ الوجهَ في جعلِها 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يُبحثُ عنه في الفقه إما أخروي أو دنيوي،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العبادات، ويُشترطُ فيها نية القربة، فلا تصِحُّ من دونها</w:t>
      </w:r>
      <w:r>
        <w:rPr>
          <w:rFonts w:eastAsia="Amiri" w:cs="Amiri" w:ascii="Amiri" w:hAnsi="Amiri"/>
          <w:color w:val="111111"/>
          <w:sz w:val="28"/>
          <w:szCs w:val="28"/>
          <w:rtl w:val="true"/>
          <w:lang w:bidi="ar-SA"/>
        </w:rPr>
        <w:t xml:space="preserve">. </w:t>
      </w:r>
      <w:bookmarkStart w:id="25" w:name="pg7928_84955"/>
    </w:p>
    <w:p>
      <w:pPr>
        <w:pStyle w:val="BookText"/>
        <w:rPr/>
      </w:pPr>
      <w:bookmarkEnd w:id="25"/>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لا يحتاجُ إلى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الأحكامُ كالديّات والميراث والقصاص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يحتاجُ إلى اللفظ، 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يحتاجُ إلى اللفظِ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العقود كالبيع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يحتاجُ إلى اللفظ من طرفٍ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الإيقاعات كالطلاق والوقف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الثاني لا يُشترطُ فيه قصدُ القربة إلى الله تعالى؛ فلا يحتاجُ التاجرُ مثلًا إلى أنْ تكونَ معاملاتُه التجارية قربةً إلى الله تعالى مثلًا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502877_1051229030"/>
      <w:bookmarkStart w:id="27" w:name="_Toc8"/>
      <w:bookmarkEnd w:id="26"/>
      <w:r>
        <w:rPr>
          <w:rtl w:val="true"/>
        </w:rPr>
        <w:t>القسم الأول</w:t>
      </w:r>
      <w:r>
        <w:rPr>
          <w:rtl w:val="true"/>
        </w:rPr>
        <w:t xml:space="preserve">: </w:t>
      </w:r>
      <w:r>
        <w:rPr>
          <w:rtl w:val="true"/>
        </w:rPr>
        <w:t>في العبادات</w:t>
      </w:r>
      <w:r>
        <w:rPr>
          <w:rtl w:val="true"/>
        </w:rPr>
        <w:t>:</w:t>
      </w:r>
      <w:bookmarkEnd w:id="27"/>
    </w:p>
    <w:p>
      <w:pPr>
        <w:pStyle w:val="BookText"/>
        <w:rPr/>
      </w:pPr>
      <w:r>
        <w:rPr>
          <w:rFonts w:ascii="Amiri" w:hAnsi="Amiri" w:eastAsia="Amiri" w:cs="Amiri"/>
          <w:color w:val="111111"/>
          <w:sz w:val="28"/>
          <w:sz w:val="28"/>
          <w:szCs w:val="28"/>
          <w:rtl w:val="true"/>
          <w:lang w:bidi="ar-SA"/>
        </w:rPr>
        <w:t>أي سنشرعُ في تقديم الأحكام الشرعية وفقًا للأهمِّ منها فالأقلُّ منه أهميةً وهكذا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 وأول عبادة ينبغي تقديمها هي الصلاة؛ لما ورد في الأدلة الشرعية من أنّ فضيلتها في ذاتها، وأنّها أشرفُ من باقي العبادات، وأنّها عمودُ الدين إنْ قُبِلتْ قُبِلَ ما سواها وإنْ رُدَّت رُدَّ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فإنَّ المُحققَ قُدس سره قدَّمها على سائر العبادات الأخرى التي تناولها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المشروط لا يصحُّ إلا بتحقُّقِ شرطه، وقد ورد في الروايات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سواءَ أكانت الصلاةُ واجبةً أم مستحبةً، كان لابُدَّ من تناول الشرط أولاً قبل المشروط، فبدأ قُدس سره بكتابِ الطهارةِ، فصارتِ الكتابَ الأول، يليه كتابُ الصلاة وهو الكتابَ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تناول الكتابين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والخمس، وأما وجه تقديمهما على ما تبقّى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الصوم على الرغم من أهميته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فلعلّه لما ورد في الآيات القرآنية من الاقتران الغالبي بين الصلاة والزكاة،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ولم يذكر الصوم إلى جانب الصلاة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كتاب الصوم الكتاب الخامس؛ لأنَّه واجبٌ على كلِّ المسلمين إلا القليل منهم، ولأنّهم مكلَّفون به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خصص الكتاب السادس للاعتكاف؛ لأنَّ الصوم مقدمةٌ له، فيقتضي الترتيب الموضوعي ذكره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 قُدس سره كتابَ الحج عن الصوم ليجعله الكتاب السابع؛ وذلك لأنّ المكلفين به عادةً أقلُّ من المكلفين بالصوم؛ لتوقف وجوب الحج على شرط الاستطاعة من جهةٍ، ولأنه واجبٌ عليهم في العمر مرةًواحدةً وهي حجة الإسلام، ولا يتكرر الوجوب على المكلف إلا بسببٍ عرضي، كالنذر مثلًا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الثامن هو كتاب العمرة، وواضح جداً ارتباطه بكتاب الحج، لما للتقارب الكبير بين أحكامهما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الكتاب التاسع فقد كان كتاب الجهاد؛ لكثرة الشرائط التي ينبغي تحققها وعسرها، ليكون واجبًا على المسلمين، وهناك رأيٌ يقول باشتراط إذنِ الإمامِ عَلَيْهِ السَّلاَمُ في الجهاد الوجوبي الابتدائي الهجومي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يبقَ حينئذٍ إلا كتاب الأمرِ بالمعروف والنهي عن المنكر، وهو الكتاب العاشر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تفسير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ونبدأ منها بالأهمِّ فالأهمِّ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ترتيب الأبواب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الصلاة، الزكاة، الخمس، الصوم، الاعتكاف، الحج، العمرة، الجهاد، الأمر بالمعروف والنهي عن المنكر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928_84964"/>
      <w:bookmarkStart w:id="29" w:name="pg7928_84964"/>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pg7928_84964"/>
      <w:bookmarkStart w:id="31" w:name="__RefHeading___Toc6502879_1051229030"/>
      <w:bookmarkStart w:id="32" w:name="_Toc9"/>
      <w:bookmarkEnd w:id="30"/>
      <w:bookmarkEnd w:id="31"/>
      <w:r>
        <w:rPr>
          <w:rtl w:val="true"/>
        </w:rPr>
        <w:t>كتاب الطهارة</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928_84967"/>
      <w:bookmarkStart w:id="34" w:name="pg7928_84967"/>
      <w:bookmarkEnd w:id="34"/>
    </w:p>
    <w:p>
      <w:pPr>
        <w:pStyle w:val="BookText"/>
        <w:rPr/>
      </w:pPr>
      <w:bookmarkStart w:id="35" w:name="pg7928_84967"/>
      <w:bookmarkEnd w:id="35"/>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502881_1051229030"/>
      <w:bookmarkStart w:id="37" w:name="_Toc10"/>
      <w:bookmarkEnd w:id="36"/>
      <w:r>
        <w:rPr>
          <w:rtl w:val="true"/>
        </w:rPr>
        <w:t>توضيح التعريف</w:t>
      </w:r>
      <w:r>
        <w:rPr>
          <w:rtl w:val="true"/>
        </w:rPr>
        <w:t>:</w:t>
      </w:r>
      <w:bookmarkEnd w:id="37"/>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الطهارة تعريفٌ اسميٌ،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التعريف في علم المنطق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لفظيٌ وحقيقي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الاسمي فهو شرحُ معنى الاسم، وهو عبارةٌ عن استبدالِ اللفظِ بلفظٍ أو بألفاظٍ تكونُ أوضحَ من اللفظِ الأول، أي هو شرحٌ للاسم ليس إلا، وليس تعريفًا حقيقيًا؛ ولذلك لا يُشترط فيه أكثر من كونِ التعريفِ أوضحَ من المُعرَّفِ، ولو بجهةٍ من الجهات، كتعريف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التعريف الحقيقي فيكون وفقَ قواعدَ منطقيةٍ تذكر في كتب المنطق، وهو ينقسم إلى حدٍّ، ورسم، وكلٌّ منهما ينقسم بدوره إلى تامٍ وناقصٍ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أهم الشروط التي يشترطُ توفرها في الحد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أهم التعريفات وأدقها وأكثرها بياناً للمعرَّف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جامعًا لكُلِّ الأفراد، مانعًا من دخول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تعريف المحقق للطهارة ليس تعريفًا حقيقيًا؛ إذ لم يُقصدْ منه بيان الطهارة بحدِّها؛ وإنّما يظهرُ أنّه تعريفٌ اسميٌ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وتعبيره قُدس سره عن الطهارة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إلى أن التعريف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لغويةٌ وشرعية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الطهارةُ ويُرادُ بها تارةً المعنى اللغوي، وأخرى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والطهارةُ اللغوية مجرد النظافة، فتصدقُ على ما تستباحُ به الصلاة –كالوضوء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تصدق على ما لا تُستباح به الصلاة، مثل إزالة النجاسة فهي طهارة لغة، ولكن لا يترتب عليها جواز الدخول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الطهارة الشرعية فهي الطهارة التي يترتب عليها حكم شرعي معين، وهو خصوص ما تُستباحُ به الصلاة، فتشمل الوضوءوالتيمم والغسل، إضافةً إلى طهارة النجاسة المانعة من صحة الصلاة، كطهارة اللباس التي هي شرط في صحة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فالطهارة بالمعنى اللغوي أعم من الطهارة بالمعنى الشرعي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قُدس سره يقصد بالطهارة في تعريفه الطهارة الشرعية لا اللغوية،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ويشمل هذا التعريف بعضاً من أفراد الطهارة اللغوية الذي يكون شرطاً في صحة الصلاة، كإزالة النجاسة المانعةً من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كنجاسة البول على بدنِ المُصلي أو على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عليه أن يُزيلها حتى تستباح له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نحو الدم الأقل من الدرهم، من غير الدماء الثلاثة، كدم جرحٍ في الإصبع مثلًا، فلا يكون مانعاً من صحةِ الصلاة، وتجوز به الصلاة، ومن ثَمَّ، فهو خارج عن حديث المصنف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المحقق قُدس سره يذكر ما تتوقف صحة الصلاة عليه من الطهارة؛ سواء ما كان من العبادة، ويشترط فيها نيةُ القربة كالوضوء والتيمم والغُسل، أم ما ليس من العبادة، ولكن تتوقف عليه صحة الصلاة كطهارة الثياب والبدن المشروطة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مثلُ النجاسة التي لا تخدشُ بصحة الصلاة، فهي وإنْ كانت أمورًا خارجةً عن نطاق الطهارة الشرعية، إلا أنَّ المحقق قُدس سره يذكر بعضها على نحو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قيود التعريف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المحقق قُدس سره الطهارةَ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قيود التعريف يكون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أو الغسل أو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قيدٌ يخرجُ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أفراد الطهارة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إزالة النجاسة مثلًا، فهي وإن كانت طهارةً بالمعنى اللغوي، إلا أنَّها ليست طهارةً شرعية؛ لأنّها ليست وضوءً ولا غُسلًا ولا تيممًا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يُقصد به نية القربة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يشبه بظاهره الوضوء أو الغُسلَ أو التيمم، فضلًا عمّا سواها، فإنّها تخرجُ هي الأخرى بهذا القيد، بمعنى أنه لو توضأ لا بنيةِ القربة لوجه الله تعالى، فهذه طهارةٌ، ولكنّها لُغويةٌ، وليست شرعيةً؛ لأنَّ الطهارة الشرعية لا بُدَّ فيها من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ذكرنا أنَّ بعضاً من أفرادِ الطهارةِ اللغوية يشملها المحقق قُدس سره في تعريفه، وهي بلا شك مما لا يُشترط فيها نية القربة، ولكن سيأتيشمولها بالتعريف لاحقًا؛ وأما لو قصرنا النظر على هذا القيد فقط فإنّها تخرجُ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له تأثيرٌ في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قيدٌ يخرجُ 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يُحقِّق شرطَ صحةِ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Style w:val="FootnoteAnchor"/>
          <w:rtl w:val="true"/>
        </w:rPr>
        <w:footnoteReference w:id="9"/>
      </w:r>
      <w:r>
        <w:rPr>
          <w:rFonts w:ascii="Amiri" w:hAnsi="Amiri" w:eastAsia="Amiri" w:cs="Amiri"/>
          <w:color w:val="111111"/>
          <w:sz w:val="28"/>
          <w:sz w:val="28"/>
          <w:szCs w:val="28"/>
          <w:rtl w:val="true"/>
          <w:lang w:bidi="ar-SA"/>
        </w:rPr>
        <w:t>، فما يُصحّح دخول المكلف في الصلاة هي الطهارة شرعًا، كالوضوء، والغُسل، والتيمم الذي تصحُّ به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القيد خرج مثلُ وضوءِ الحائض للجلوسِ في مُصلاها للذكرِ؛ فقد ورد استحبابُ وضوء المرأة الحائض، وجلوسها في مُصلاها، والاشتغال بذكر الله تعالى وقتَ الصلاة، فهذا الوضوء وإنْ كان مستحبًا، غير أنّه لا يُعدُّ طهارةً بالاصطلاح الشرعي؛ لأنّه لا تُستباحُ به الصلاة، أي لا تصح؛ لعدمِ صحةِ الصلاة من المرأة الحائض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وضوء المجنب لأجل تناول الطعام قبل الغُسل؛ فقد ذكر الفقهاء أنّه يُكرَهُ للمجنب أنْ يتناولَ طعامه وهو على جنابة، فإذا أراد أن يرفع هذه الكراهة فعليه أن يتوضأ؛ فهذا وضوءٌ مستحبٌ، لكنّه لا يُعدُّ طهارة بالاصطلاح الشرعي؛ لنفس السبب، وهو أنه لا تُستباح الصلاة به، أي لا تصح؛ لعدمِ صحةِ الصلاة من المجنب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والغُسل والتيمم من دون قصد نية القربة إلى الله تعالى؛ فإن كلًّا منها عبادة، ومن الأركان الأساسية لكُلِّ عملٍ عبادي النية، أي قصد القربة إلى الله تعالى، فإن هي تجردت عنها لم تكن حينئذٍ من العبادات، ومن ثَمَّ تفقد تأثيرها في استباحة الصلاة للمكلف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وقت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الفقهاء بشروطٍ خاصة في الرسائل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له تأثيرٌ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تام، وناقص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التأثيرُ التام فمثاله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يُريدُ أن يُصلي، وهو مُحدثٌ بالأصغر مثلاً، فلا بُدَّ من الوضوء؛ لأنَّه هو الذي يجعل الصلاةَ مباحةً؛ فهو شرطٌ لا بُدَّ من تحققه لتحقق المشروط، وهو أداءُ الصلاةِ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هنا مؤثرٌ تامٌ في استباحة الصلاة؛ لعدم الحاجة إلى ضمِّ شيءٍ آخر إليه لاستباحةِ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فإنَّ كلًّا من غُسل المجنب والتيمم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أحدِ مسوغاته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تأثيرٌ تامٌ في استباحةِ 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التأثير الناقص، فهو تأثير الطهارة التي لا تكفي لوحدها في استباحة الصلاة، ولا بُدَّ من ضمِّ شيءٍ إليها، ومجموع الشيئين هوالذي يُبيحُ الصلاة للمكلف، كوضوء المستحاضة المتوسطة، فعندما تُريدُ أْن تصلي يجب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نحو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وتتوضأ، فرغم أنَّ غُسلها صحيحٌ، وهو طهارةٌ بالاصطلاح الشرعي، لكنّه يؤثرُ في استباحة الصلاة تأثيرًا ناقصًا؛ وذلك لعدم كفايته في استباحة الصلاة، ولابُدَّ من ضمِّ الوضوء إليه، بخلاف تأثيرِ غُسل المُجنب الذي يكفي في استباحة الصلاة من دون ضمِّ الوضوء إليه، كما أنَّ الوضوء هو الآخر له تأثير ٌ في استباحة الصلاة للمستحاضة، ولكنّه تأثيرٌ ناقصٌ، وبضم الاثنين إلى بعضهما يتحقق التأثير التام لاستباحة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بعض الفقهاء يوجبُ ضمَّ الوضوء إلى غسل المجنبِ فيما إذا أحدث المجنبُ بالحدث الأصغر أثناء الغُسل، وممن قال بذلك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الاحتياط الوجوبي،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بالأصغر في أثناء الغسل من الجنابة فله أن يتمه، والأحوط وجوبًا ضمُّ الوضوءِ إليه حينئذٍ</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تخلَّله حدث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تأثيرٌ في استباحة الصلاة، ولكنّه تأثيرٌ ناقصٌ، ولابُدَّ أنْ يضمَّ معه الوضوء، كما أنَّ الوضوء هوالآخر له تأثيرٌ في استباحة الصلاة ولكنّه تأثيرٌ ناقصٌ أيضًا، وبضم الاثنين إلى بعضهما يتحقق التأثير التام لاستباحة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هذا،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لهُ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كلا النوعين من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التام، والتأثير الناقص؛ فكلاهما طهارةٌ بالاصطلاح الشرعي، كما أنَّ لكليهما تأثيراً في استباحة الصلاة بقطع النظر عن نوع ذلك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الفعلي وشأنية التأثير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لبعض الطهارات الشرعية تأثيرٌ فعلي في استباحة الصلاة، ولبعضها الآخر شأنيةُ التأثير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الطهارة التي ترفع الحدث، أصغراً كان أو أكبراً، بحيث تباح معها الصلاة للمكلف بعد أن لم تكن مباحة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الصلاة متوقفةٌ عليه هو فقط، ولو لم يأتِ به المكلف فلا يمكن أن تُستباحُ له الصلاة من دون الإتيان بطهارةٍ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المحدث بالأصغر، وغُسل المجنب، فإنَّ لكلٍّ منهما تأثيراً فعلياً، أولهما رفَع الحدث الأصغر وأباح بذلك للمكلف الصلاة، وثانيهما رفَع الحدث الأكبر وأباح بذلك للمكلف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كان له شأنيةُ التأثير في استباحة الصلاة من الطهارات، فهي الطهارة التي وإن لم تكن فعلًا هي المؤثرة في استباحة الصلاة، إلا أنّه لها شأنية التأثير في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التجديدي للصلاة؛ فلو كان المكلف محدثًا، وتوضأ مثلًا الساعةَ العاشرة، فهذا الوضوء له تأثيرٌ فعلي في استباحة الصلاة، فإذا دخل الظهر وهو لا يزال على وضوئه، فإنّه ليس بحاجةٍ إلى وضوءٍ آخر؛ لأنّه بحالٍ تستباحُ له معها الصلاة، فإذا توضأ وضوءً تجديديًا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استحبابه في جميع الفرائض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للوضوء الأخير التأثير الفعلي في استباحة الصلاة؛ لأنّه لم يرفع حدثًا، لكنّ له شأنية ذلك التأثير فيما </w:t>
      </w:r>
    </w:p>
    <w:p>
      <w:pPr>
        <w:pStyle w:val="BookText"/>
        <w:rPr/>
      </w:pPr>
      <w:r>
        <w:rPr>
          <w:rFonts w:ascii="Amiri" w:hAnsi="Amiri" w:eastAsia="Amiri" w:cs="Amiri"/>
          <w:color w:val="111111"/>
          <w:sz w:val="28"/>
          <w:sz w:val="28"/>
          <w:szCs w:val="28"/>
          <w:rtl w:val="true"/>
          <w:lang w:bidi="ar-SA"/>
        </w:rPr>
        <w:t>لو كان هو الوضوء الأول مثلًا، بحيث لو فرضنا أنّ المكلف كان محدثًا ولم يكن متوضئًا؛ لكان هذا الوضوء الثاني نفسه مبيحًا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التي لها شأنية التأثير هي الطهارة التي وإن كانت لا تنقل المكلف من حالٍ لا تُستباح له بها الصلاة إلى حالٍ تستباح له بها الصلاة، ولكنّها تؤثر ذلك التأثير فيما لو أتى به المحدث، وهذا معنى ما لها شأنية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المُحقق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هو اسمٌ للوضوء أو الغُسل أو التيمم على وجهٍ يكون له تأثيرٌ في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كلًّا من التأثير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وضوءِ المحدث الرافع للحدث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له شأنية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كالوضوء التجديدي الذي له شأنية رفع الحدث وإباحة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لم يكن هو المبيح للصلاة فعلًا؛ لكنه لا لأجل أنه ليس له هذا التأثير، بل لأنَّ المكلف كان متوضئًا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تخصيص الصلاة في تعريف الطهارة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المحقق قُدس سره الطهارة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الطهارةَ الشرعية لها تأثيرٌ في استباحةِ العديد من العبادات كالصلاة، والصوم لمن أجنب ليلًا، حيث يجب عليه الغسل قبل الفجر؛ ليصح صومه، والمستحاضة المتوسطة على رأي بعض الفقهاء حيثُ قيل بأنه يلزمها الغسل قبل صلاة الفجر، والطواف، ومس كتابة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فلماذا خصَّ المحقق قُدس سره الصلاة بالذكر من دون سائر العبادات الأخرى التي تؤثر الطهارة الشرعية في استباحتها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في مقام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الطهارة، أي إنّ الصلاة في جميع الأحوال متوقفةٌ على الطهارة، أما مثلُ الصوم، فالطهارةُ واجبةٌ فيه في بعض أفراده وأحواله دون جميعها؛ فمثلًا الصوم المندوب لا يُشترطُ فيه الإصباحُ على طهارة؛ ولهذا يصحُّ الصوم المستحب من المجنب ليلًا والذي لم يغتسل حتى طلع الفجر مثلًا، مما يعني أنَّ الطهارةَ لا تدخل في ماهية الصوم، وإلا لما صحَّ الصوم من دون طهارةٍ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الطواف؛ فالطوافُ المُستحبُ لا تُشترطُ فيه الطهارة، فيصحُّ من المُحدث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هناك فرقاً بين الصلاة وبين بقية ما اشترطت فيه الطهارةُ، ويكمنُ ذلك الفرق في أنّ الطهارةَ داخلةٌ في ماهيةِ الصلاة؛ فلا صلاةَ مطلقاً إلا بطهور، أما بقيةُ الواجبات فلا، وقد تبيّن أنَّ بعض أفرادها تُشترطُ فيها الطهارة، وبعض أفرادها لا تُشترطُ فيها الطهارة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 قد يكون خصَّ المُصنفُ الصلاةَ بالذكر في تعريف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هي الفردُ الأكمل لاشتراط الطهارة في جميع حالاتها وأفرادها وأصنافها، وهو قريبٌ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الصلاةِ لا ينفي ما عداها، بمعنى أنّ المصنف وإنْ ذكر الصلاة من دون باقي العبادات، إلا أنَّ هذا لا يعني أنّها لا تؤثر في استباحةِ عبادةٍ أخرى غير الصلاة، بل هو ذكرَ فردًا من الأفراد التي تُبيحها الطهارة وهي الصلاة، أما بقية الأفراد فمسكوتٌ عنها في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ذكر أنّ الطهارات الثلاثة تُبيحُ الصلاة، ولكن هذا لا يعني أنّها تنفي ما عدا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نُضيف إلى هذه التبريرات المتقدمة جوابًا آخر يبرر إفراد ذكر المحقق للصلاة كعبادةٍ تؤثر الطهارة الشرعية في استباحتها، ومفاده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تعريف المحقق للطهارة هو تعريفٌ لفظي واسمي كما تقدم في النقطة الأولى، والتعريف الاسمي لا يُشترطُ فيه أنْ يكون جامعًا لكُلِّ الأفراد مانعًا من كُلِّ الأغيار، فالمصنف في تعريفه الاسمي يُريدُ أنْ يُبيّن معنى الطهارة، ويكفي ما ذكره من أنَّ هذه الطهارات الثلاثة لها تأثيرٌ في استباحةِ الصلاة، نعم، لو كان تعريفه حقيقيًا منطقيًا لأمكن أنْ يُوجّهُ عليه إشكال عدم الجامعية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928_84991"/>
      <w:bookmarkStart w:id="39" w:name="pg7928_84991"/>
      <w:bookmarkEnd w:id="39"/>
    </w:p>
    <w:p>
      <w:pPr>
        <w:pStyle w:val="Heading3"/>
        <w:numPr>
          <w:ilvl w:val="2"/>
          <w:numId w:val="1"/>
        </w:numPr>
        <w:rPr/>
      </w:pPr>
      <w:bookmarkStart w:id="40" w:name="pg7928_84991"/>
      <w:bookmarkStart w:id="41" w:name="__RefHeading___Toc6502883_1051229030"/>
      <w:bookmarkStart w:id="42" w:name="_Toc11"/>
      <w:bookmarkEnd w:id="40"/>
      <w:bookmarkEnd w:id="41"/>
      <w:r>
        <w:rPr>
          <w:rtl w:val="true"/>
        </w:rPr>
        <w:t>أقسام الطهارة الشرعية</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واحدٍ منها ينقسمُ إلى واجبٍ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الشرعية ليست واجبةً لنفسها، وإنّما تتصفُ بصفةِ الوجوب أو الندب تبعًا للغاية من الإتيان بها؛ وعليه، فانقسامُ كُلٍّ من الوضوء أو الغسل أو التيمم إلى واجبٍ ومندوب لا باعتبار نفسه، وإنّما باعتبار غايته، أي إنه يكتسبُ صفةَ الوجوب أو الندب من غايته، فإذا كان الوضوء لأجل عبادةٍ واجبة كان ذلك الوضوء واجبًا، وإنْ لم يكن لأجل عبادة واجبة، كان مندوباً، كما لو كان لأجل عبادةٍ مندوبة، أو كان لأجل الكون على الطهارة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فالمصنفُ رحمة الله يُريدُ أنْ يدخل في بيانِ ما يُعبِّر عنه بعض الفقهاء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الوضوء،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الغُسل،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التيمم، يعني الأهداف والجهات التي تُقصَدُ من الوضوء أو الغُسل أو التيمم، وعلى أساسهايتصفُ الوضوء أو الغُسل أو التيمم بصفةِ الوجوب أو صفة الاستحباب والندب</w:t>
      </w:r>
      <w:r>
        <w:rPr>
          <w:rFonts w:eastAsia="Amiri" w:cs="Amiri" w:ascii="Amiri" w:hAnsi="Amiri"/>
          <w:color w:val="111111"/>
          <w:sz w:val="28"/>
          <w:szCs w:val="28"/>
          <w:rtl w:val="true"/>
          <w:lang w:bidi="ar-SA"/>
        </w:rPr>
        <w:t xml:space="preserve">. </w:t>
      </w:r>
      <w:bookmarkStart w:id="43" w:name="pg7928_84996"/>
    </w:p>
    <w:p>
      <w:pPr>
        <w:pStyle w:val="Heading3"/>
        <w:numPr>
          <w:ilvl w:val="2"/>
          <w:numId w:val="1"/>
        </w:numPr>
        <w:rPr/>
      </w:pPr>
      <w:bookmarkStart w:id="44" w:name="__RefHeading___Toc6502885_1051229030"/>
      <w:bookmarkStart w:id="45" w:name="_Toc12"/>
      <w:bookmarkEnd w:id="43"/>
      <w:bookmarkEnd w:id="44"/>
      <w:r>
        <w:rPr>
          <w:rtl w:val="true"/>
        </w:rPr>
        <w:t>القسم الأول الوضوء</w:t>
      </w:r>
      <w:bookmarkEnd w:id="45"/>
    </w:p>
    <w:p>
      <w:pPr>
        <w:pStyle w:val="BookText"/>
        <w:rPr/>
      </w:pPr>
      <w:r>
        <w:rPr>
          <w:rFonts w:ascii="Amiri" w:hAnsi="Amiri" w:eastAsia="Amiri" w:cs="Amiri"/>
          <w:color w:val="111111"/>
          <w:sz w:val="28"/>
          <w:sz w:val="28"/>
          <w:szCs w:val="28"/>
          <w:rtl w:val="true"/>
          <w:lang w:bidi="ar-SA"/>
        </w:rPr>
        <w:t>وفيه واجب ومندوب</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502887_1051229030"/>
      <w:bookmarkStart w:id="47" w:name="_Toc13"/>
      <w:bookmarkEnd w:id="46"/>
      <w:r>
        <w:rPr>
          <w:rtl w:val="true"/>
        </w:rPr>
        <w:t>الأول</w:t>
      </w:r>
      <w:r>
        <w:rPr>
          <w:rtl w:val="true"/>
        </w:rPr>
        <w:t xml:space="preserve">: </w:t>
      </w:r>
      <w:r>
        <w:rPr>
          <w:rtl w:val="true"/>
        </w:rPr>
        <w:t>ما يجب لأجله الوضوء</w:t>
      </w:r>
      <w:r>
        <w:rPr>
          <w:rtl w:val="true"/>
        </w:rPr>
        <w:t>:</w:t>
      </w:r>
      <w:bookmarkEnd w:id="47"/>
    </w:p>
    <w:p>
      <w:pPr>
        <w:pStyle w:val="BookText"/>
        <w:rPr/>
      </w:pPr>
      <w:r>
        <w:rPr>
          <w:rFonts w:ascii="Amiri" w:hAnsi="Amiri" w:eastAsia="Amiri" w:cs="Amiri"/>
          <w:color w:val="111111"/>
          <w:sz w:val="28"/>
          <w:sz w:val="28"/>
          <w:szCs w:val="28"/>
          <w:rtl w:val="true"/>
          <w:lang w:bidi="ar-SA"/>
        </w:rPr>
        <w:t>بدأ المصنف رحمة الله بالوضوء، فقال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لصلاةٍ واجبة، أو طوافٍ واجب، أو لمس كتابة القرآن إنْ وجب، والمندوب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العبارة يُبين المصنفُ أنَّ الوضوء لا يجبُ لنفسهِ، ولتوضيح ذلك لا بُدّ من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الواجبُ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نفسي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يجبُ لنفسه، وما يُطلَبُ لذاته، أي يُطلبُ تحقيقُه هو، فهو الواجبُ، كالصلاة، فالصلاةُ واجبةٌ بالوجوب النفسي، هي مطلوبةٌ لذاتها</w:t>
      </w:r>
      <w:r>
        <w:rPr>
          <w:rFonts w:eastAsia="Amiri" w:cs="Amiri" w:ascii="Amiri" w:hAnsi="Amiri"/>
          <w:color w:val="111111"/>
          <w:sz w:val="28"/>
          <w:szCs w:val="28"/>
          <w:rtl w:val="true"/>
          <w:lang w:bidi="ar-SA"/>
        </w:rPr>
        <w:t xml:space="preserve">. </w:t>
      </w:r>
      <w:bookmarkStart w:id="48" w:name="pg7928_84998"/>
    </w:p>
    <w:p>
      <w:pPr>
        <w:pStyle w:val="BookText"/>
        <w:rPr/>
      </w:pPr>
      <w:bookmarkEnd w:id="48"/>
      <w:r>
        <w:rPr>
          <w:rFonts w:ascii="Amiri" w:hAnsi="Amiri" w:eastAsia="Amiri" w:cs="Amiri"/>
          <w:color w:val="111111"/>
          <w:sz w:val="28"/>
          <w:sz w:val="28"/>
          <w:szCs w:val="28"/>
          <w:rtl w:val="true"/>
          <w:lang w:bidi="ar-SA"/>
        </w:rPr>
        <w:t>وواجبٌ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يجبُ لغيره لا لنفسه، بمعنى أنه يكتسب الوجوب من غيره؛ لأنه يُطلبُ لغيره، بمعنى أنه ليس واجباً في حدِّ ذاته، وإنّما وجوبُه يأتي من عبادةٍ هو مقدمةٌ لها، كالوضوء؛ فالوضوء ليس واجبًا في حدِّ نفسه، إنّما يكونُ واجبًا إذا صار مقدمةً للصلاة الواجبة، فسمةُ الوجوب هنا جاءت للوضوء بسبب وجوب الصلاة، وإلا فهو ليس واجبًا نفسيًا، وإنّما وجب لوجوب غيره؛ لقاعدةٍ في علم الأصول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واجبةٌ؛ فالوضوء هو مقدمةٌ للصلاة الواجبة، فيكون الوضوءُ لذلك واجبًا؛ ولذا يطلقُ على هذا الواجب بالواجب الغيري، وعلى حكمه بالوجوب الغيري</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502889_1051229030"/>
      <w:bookmarkStart w:id="50" w:name="_Toc14"/>
      <w:bookmarkEnd w:id="49"/>
      <w:r>
        <w:rPr>
          <w:rtl w:val="true"/>
        </w:rPr>
        <w:t>ما يجب لأجله الوضوء</w:t>
      </w:r>
      <w:r>
        <w:rPr>
          <w:rtl w:val="true"/>
        </w:rPr>
        <w:t>:</w:t>
      </w:r>
      <w:r>
        <w:rPr>
          <w:rtl w:val="true"/>
        </w:rPr>
        <w:t>أولاً</w:t>
      </w:r>
      <w:r>
        <w:rPr>
          <w:rtl w:val="true"/>
        </w:rPr>
        <w:t xml:space="preserve">: </w:t>
      </w:r>
      <w:r>
        <w:rPr>
          <w:rtl w:val="true"/>
        </w:rPr>
        <w:t>الصلاة الواجبة</w:t>
      </w:r>
      <w:r>
        <w:rPr>
          <w:rtl w:val="true"/>
        </w:rPr>
        <w:t>:</w:t>
      </w:r>
      <w:bookmarkEnd w:id="50"/>
    </w:p>
    <w:p>
      <w:pPr>
        <w:pStyle w:val="BookText"/>
        <w:rPr/>
      </w:pPr>
      <w:r>
        <w:rPr>
          <w:rFonts w:ascii="Amiri" w:hAnsi="Amiri" w:eastAsia="Amiri" w:cs="Amiri"/>
          <w:color w:val="111111"/>
          <w:sz w:val="28"/>
          <w:sz w:val="28"/>
          <w:szCs w:val="28"/>
          <w:rtl w:val="true"/>
          <w:lang w:bidi="ar-SA"/>
        </w:rPr>
        <w:t>وهذا الذي يُريدُ أنْ يُشير إليه المُصنفُ قُدس سره في هذه العبارة،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من الوضوء ما كان لصلاةٍ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فالوضوء في حدِّ نفسه ليس واجبًا، وإنّما يكتسب وجوبه مما هو مقدمة له، كالصلاة الواجبة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 المحقق قُدس سره الصلاة بالواجبة؛ لأنّ الوضوء لا يكون واجبًا إلا بها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الصلاة المندوبة، فإنها وإنْ كانت لا تصحُّ إلا بالوضوء، بيد أنّها لا تجعل من الوضوء لأجلها واجبًا؛ إذ لا يُتصور وجوب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وجوب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w:t>
      </w:r>
      <w:r>
        <w:rPr>
          <w:rFonts w:eastAsia="Amiri" w:cs="Amiri" w:ascii="Amiri" w:hAnsi="Amiri"/>
          <w:color w:val="111111"/>
          <w:sz w:val="28"/>
          <w:szCs w:val="28"/>
          <w:rtl w:val="true"/>
          <w:lang w:bidi="ar-SA"/>
        </w:rPr>
        <w:t xml:space="preserve">-. </w:t>
      </w:r>
      <w:bookmarkStart w:id="51" w:name="pg7928_85000"/>
    </w:p>
    <w:p>
      <w:pPr>
        <w:pStyle w:val="BookText"/>
        <w:rPr/>
      </w:pPr>
      <w:bookmarkEnd w:id="51"/>
      <w:r>
        <w:rPr>
          <w:rFonts w:ascii="Amiri" w:hAnsi="Amiri" w:eastAsia="Amiri" w:cs="Amiri"/>
          <w:color w:val="111111"/>
          <w:sz w:val="28"/>
          <w:sz w:val="28"/>
          <w:szCs w:val="28"/>
          <w:rtl w:val="true"/>
          <w:lang w:bidi="ar-SA"/>
        </w:rPr>
        <w:t>ثم إنه في الصلاة المندوبة، من أين يكتسب الوضوء الوجوب؟</w:t>
      </w:r>
    </w:p>
    <w:p>
      <w:pPr>
        <w:pStyle w:val="BookText"/>
        <w:rPr/>
      </w:pPr>
      <w:r>
        <w:rPr>
          <w:rFonts w:ascii="Amiri" w:hAnsi="Amiri" w:eastAsia="Amiri" w:cs="Amiri"/>
          <w:color w:val="111111"/>
          <w:sz w:val="28"/>
          <w:sz w:val="28"/>
          <w:szCs w:val="28"/>
          <w:rtl w:val="true"/>
          <w:lang w:bidi="ar-SA"/>
        </w:rPr>
        <w:t>أَ مِن نفسه؟ والفرضُ أنّه ليس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لأنه مقدمةٌ لغيره؟ والفرضُ أنّه مقدمةٌ لعبادةٍ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يحكم عليه بأنّه واجبٌ، وإنْ كان شرطًا في صحةِ الصلاة، فلذلك قيّد المصنف رحمة الله الصلاة بالواجبة؛ لأنّها هي التي تجعل الوضوءَ واجبًا؛ فذو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واجبًا، فمقدمته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واجبةً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يُطلقُ على هذا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شرطٌ في صحةِ الصلاة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مجازًا، والمقصود من وجوبه حينئذٍ ليس الوجوب الشرعي كما في مقدمة الصلاة الواجبة، وإنّما من جهة كونه شرطًا في صحة الصلاة المندوبة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شرطيته في صحة الصلاة هو يشابه الوضوء للصلاة الواجبة؛ فكما أن الوضوء واجبٌ لأنّه شرطٌ في صحة الصلاة الواجبة، كذلك هو واجبٌ مجازًا لأنه شرطٌ في صحة الصلاة المستحبة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6502891_1051229030"/>
      <w:bookmarkStart w:id="53" w:name="_Toc15"/>
      <w:bookmarkEnd w:id="52"/>
      <w:r>
        <w:rPr>
          <w:rtl w:val="true"/>
        </w:rPr>
        <w:t>ثانياً</w:t>
      </w:r>
      <w:r>
        <w:rPr>
          <w:rtl w:val="true"/>
        </w:rPr>
        <w:t xml:space="preserve">: </w:t>
      </w:r>
      <w:r>
        <w:rPr>
          <w:rtl w:val="true"/>
        </w:rPr>
        <w:t>الطواف الواجب</w:t>
      </w:r>
      <w:r>
        <w:rPr>
          <w:rtl w:val="true"/>
        </w:rPr>
        <w:t>:</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قيّد رحمة الله الصلاة بالواجبة منها، كذلك قيّد الطواف بالواجب منه؛ للسبب عينه؛ لأن الذي يجب له الوضوء هو الطواف الواجب دون المندوب، ومن ثَمَّ فهو الذي أضفى على الوضوء حكم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الطواف المستحب لا يُشترط فيه الوضوء، وعليه لا يكون الوضوء لأجله واجبًا ولو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الصلاة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من المحدث بالأصغر الطواف المستحب، فإذا طاف سبعة أشواطٍ مثلًا من دون وضوء، فإنّ طوافه صحيحٌ، نعم، صلاة الطواف المستحب لا تصحُّ إلا بوضوء؛ لأنّه شرطٌ في صحتها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دلَّ على هذا الحكم ما 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أَحَدَهُمَا عَلَيْهِما السَّلاَمُ عَنْ رَجُلٍ طَافَ طَوَافَ الفَرِيضَةِ وهُوَ عَلَى 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ويُعِيدُ طَوَافَه، وإِنْ كَانَ تَطَوُّعاً تَوَضَّأَ وصَلَّى رَكْعَتَيْنِ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البيان الإجمالي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إما الإمام الباقر أو الإمام الصادق عَلَيْهِما السَّلاَمُ؛ لأنّه من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فطوافه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غير 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متوضأ ما هو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 عَلَيْهِ السَّلاَمُ يتوضأ ويعيد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الطواف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وصلى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الوضوء للركعتين وليس للطواف؛ إذ لم يقل يُعيدُ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الرواية نكتتان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الخبر على الأمر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فعلٌ مضارعٌ لا يدلُّ على الأمر، فكيف عرفنا أنّ الإمام يقول بشرطية الوضوء في الطواف؟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الصيغ الخبرية التي لا تدلُّ على الأمر، وما يدلُّ على الأمر هي صيغة الإنشاء كما هو معلوم،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للطوافِ الواجب، لكان الأمر ووجوب الوضوء بيّنًا، فكيف عرفنا أنَّ الإمام أمر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طوافًا واجبًا من دون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ويُعيد طوافه رغم أنه استعمل الخبر لا الإنشاء؟</w:t>
      </w:r>
    </w:p>
    <w:p>
      <w:pPr>
        <w:pStyle w:val="BookText"/>
        <w:rPr/>
      </w:pPr>
      <w:r>
        <w:rPr>
          <w:rFonts w:ascii="Amiri" w:hAnsi="Amiri" w:eastAsia="Amiri" w:cs="Amiri"/>
          <w:color w:val="111111"/>
          <w:sz w:val="28"/>
          <w:sz w:val="28"/>
          <w:szCs w:val="28"/>
          <w:rtl w:val="true"/>
          <w:lang w:bidi="ar-SA"/>
        </w:rPr>
        <w:t xml:space="preserve">فكيف استفدنا الوجوب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الوجوب يستفاد من الإنشاء؟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الأصوليون في علم الاصول بحثًا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أثبتوا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الأمر يدلُّ على الوجوب،فإذا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أو طُف، فإنّه يدلُّ بظاهره على الأمر، ومن ثَمَّ يلزم تنفيذه </w:t>
      </w:r>
      <w:r>
        <w:rPr>
          <w:rStyle w:val="FootnoteAnchor"/>
          <w:rtl w:val="true"/>
        </w:rPr>
        <w:footnoteReference w:id="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حول خصوص الفعل المضارع منها، وهو الوارد في رواية محمد بن مسلم محل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وإن كان مضارعاً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يعيد، يغتسل،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له قوة فعل الأمر، أي الدلالة على الوجوب، ويكمن السرُّ في ذلك، في أن الاندفاع نحو العمل يُستفاد من البعث، أي الدفع نحو الفعل، وإرادة الفعل من المولى، فإذا ثبت أنّ المولى يُريدُ من المكلف فعلَ هذا الفعل، ودفعه إليه، فإنَّ العقلَ يحكم بوجوبه، ولا يُفرق في ذلك نوع اللفظ المستعمل للدلالة على هذا المعنى، بل ولو اُستُفيد ذلك من الإشارة، فالعقلُ يحكمُ بلزومِ الامتثال لأمره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يرى أن الطلب لا يقتصر على التصريح به أو استعمال خصوص فعل الأمر، فمثلًا من كان بحاجةٍ إلى الماء فإنّه يُمكنهالتعبير بفعل الأمر تارةً للدلالة على طلبه،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لي ماءً، كما يُمكنه الدلالة على ذلك من دون استعمال فعل الأمر، بل ومن دون التوسل بالجملة الإنشائية، كما لو استعمل الجملة الخبرية،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الرغم من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خبرية، وتخلو من أي فعلٍ، لكنّها كشفت عن طلب إحضار الماء ودلّت عليه، وحتى الإشارة المُفهِمة يُمكنها أن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عرف العبد أنّ المولى يأمره بالقيام بفعلٍ ما، فما عليه إلا أن يمتثل لذلك الأمر، بقطعِ النظر عن الطريقة التي أوصلت هذا الأمر إلى فهمه، لفظًا كان أو إشارة، إنشاءً كان أو خبرًا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ويُعيدُ الطواف، ونحن نفهم بوجداننا أنَّ الإمامَ عَلَيْهِ السَّلاَمُ أراد من هذين </w:t>
      </w:r>
    </w:p>
    <w:p>
      <w:pPr>
        <w:pStyle w:val="BookText"/>
        <w:rPr/>
      </w:pPr>
      <w:r>
        <w:rPr>
          <w:rFonts w:ascii="Amiri" w:hAnsi="Amiri" w:eastAsia="Amiri" w:cs="Amiri"/>
          <w:color w:val="111111"/>
          <w:sz w:val="28"/>
          <w:sz w:val="28"/>
          <w:szCs w:val="28"/>
          <w:rtl w:val="true"/>
          <w:lang w:bidi="ar-SA"/>
        </w:rPr>
        <w:t>الفعلين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يُعيدُ الوضوء ويُعيد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فهمنا أنّ هذا الأمرَ مطلوبٌ، فالعقلُ يحكمُ بلزومِ تنفيذ أمره، والامتثال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دلالةُ الخبر على الوجوب آكد من دلالة فعل الأمر نفسه، باعتبار أنَّ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يُريدُ أن يُخبرَنا بأنّ وقوع الامتثال من المُكلف أمرٌ مفروغٌ عنه، بمعنى أنّه عَلَيْهِ السَّلاَمُ قد فرغ من أنَّ المكلف سيمتثل هذا الأمر بنسبة مائةبالمائة، فإذا كانت نسبة الامتثال مائة بالمائة، فلا حاجةَ حينئذٍ إلى استعمال فعل الأمر، ويكفي الفعل المضارع والجملة الخبرية في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وللبحث تفصيلٌ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مسلم 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أعاظمِ أصحاب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أربعةٍ وُصِفوا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 الأمناء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 جميل بن دراج،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 </w:t>
      </w:r>
      <w:r>
        <w:rPr>
          <w:rStyle w:val="FootnoteAnchor"/>
          <w:rtl w:val="true"/>
        </w:rPr>
        <w:footnoteReference w:id="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بن مسلم من أعاظمِ أصحابِ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حقِّه العديدُ من الروايات التي تكشفُ عن تعلقهِ بأهلِ </w:t>
      </w:r>
    </w:p>
    <w:p>
      <w:pPr>
        <w:pStyle w:val="BookText"/>
        <w:rPr/>
      </w:pPr>
      <w:r>
        <w:rPr>
          <w:rFonts w:ascii="Amiri" w:hAnsi="Amiri" w:eastAsia="Amiri" w:cs="Amiri"/>
          <w:color w:val="111111"/>
          <w:sz w:val="28"/>
          <w:sz w:val="28"/>
          <w:szCs w:val="28"/>
          <w:rtl w:val="true"/>
          <w:lang w:bidi="ar-SA"/>
        </w:rPr>
        <w:t>البيت عَلَيْهِم السَّلاَمُ، وعن امتثاله لأوامرهم، وعن كونه من الطبقةِ الأولى علمًا وورعًا وعملًا وطاعةً لله عَزَّوَجَل، ولأهل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من المناسب ذكر روايتين مما نُقِلً عنه وفي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كريبة الأزدي ومحمد بن مسلم الثقفي عند شريك بشهادة وهو قاض، فنظر في وجوههما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فاطميان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نسبتنا إلى أقوام لا يرضون بأمثالنا أن يكونوا من إخوانهم، لما يرون من سخف ورعنا، ونسبتنا إلى رجل لا يرضى بأمثالنا أن يكونوا من شيعته، فإنْ تفضّل وقبلنا فله المنُّ علينا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شريك،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الرجال فلتكن أمثالكم، يا وليد، اجزهما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فحججنا فخبّرْنا أبا عبد الله عَلَيْهِ السَّلاَمُ بالقصة،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شركه الله يوم القيامة بشراكين من نار </w:t>
      </w:r>
      <w:r>
        <w:rPr>
          <w:rStyle w:val="FootnoteAnchor"/>
          <w:rtl w:val="true"/>
        </w:rPr>
        <w:footnoteReference w:id="1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مدى تواضع محمد بن مسلم، فهو رغم ما عنده من علمٍ ومعرفةٍ، وهو من الأوتاد على الأرض، ولولاه لضاعت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يعدُّ نفسه أدنى من أنْ يُحسبَ على أهلِ البيت عَلَيْهِم السَّلاَمُ</w:t>
      </w:r>
      <w:r>
        <w:rPr>
          <w:rFonts w:eastAsia="Amiri" w:cs="Amiri" w:ascii="Amiri" w:hAnsi="Amiri"/>
          <w:color w:val="111111"/>
          <w:sz w:val="28"/>
          <w:szCs w:val="28"/>
          <w:rtl w:val="true"/>
          <w:lang w:bidi="ar-SA"/>
        </w:rPr>
        <w:t xml:space="preserve">! </w:t>
      </w:r>
      <w:bookmarkStart w:id="54" w:name="pg7928_85012"/>
    </w:p>
    <w:p>
      <w:pPr>
        <w:pStyle w:val="BookText"/>
        <w:rPr/>
      </w:pPr>
      <w:bookmarkEnd w:id="54"/>
      <w:r>
        <w:rPr>
          <w:rFonts w:ascii="Amiri" w:hAnsi="Amiri" w:eastAsia="Amiri" w:cs="Amiri"/>
          <w:color w:val="111111"/>
          <w:sz w:val="28"/>
          <w:sz w:val="28"/>
          <w:szCs w:val="28"/>
          <w:rtl w:val="true"/>
          <w:lang w:bidi="ar-SA"/>
        </w:rPr>
        <w:t>وهذا درسٌ لنا جميعًا نحن طلبة العلم، فمهما تقدّمنا في دراستنا وتعلمنا من مصطلحات، وتمكّنا من الكلام والأخذ والعطاء، ينبغيأنْ لا نتكبر على غيرِنا، ولا أن ننظر إلى أنفسنا على أنّنا قد وصلنا مراحلَ عالية، ولا يجوز لأحدٍ أن يتكلم معنا، أو ينتقدنا، بل يجب أنْ نضع هؤلاء الأصحاب نصب أعيننا، وكيف أنّهم كانوا ينظرون إلى أنفسهم أقل بكثير من شيعة أهل البيت عَلَيْهِم السَّلاَمُ 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بن مسلم كان رجلاً شريفاً موسراً، 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إلى الكوفة أخذ قوصرّة من تمر مع الميزان، وجلس على باب مسجد الجامع، وجعل ينادي عليه، فأتاه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أمرني بأمرٍ، فلن أخالفه، ولن أبرح حتى أفرغ من بيع باقي هذا القوصرة، 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إلا لتشتغل ببيع وشراء، فاقعد في الطحانين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فهيأ رحىً وجملاً يطحن،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العُبّاد في زمانه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لم يُتعب الإمام نفسه، ولم يذكر له سوى كلمة واحدة، ثم انظر لأثرها على هذا الشيخ العالم الجليل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502893_1051229030"/>
      <w:bookmarkStart w:id="56" w:name="_Toc16"/>
      <w:bookmarkEnd w:id="55"/>
      <w:r>
        <w:rPr>
          <w:rtl w:val="true"/>
        </w:rPr>
        <w:t>ثالثا</w:t>
      </w:r>
      <w:r>
        <w:rPr>
          <w:rtl w:val="true"/>
        </w:rPr>
        <w:t>: (</w:t>
      </w:r>
      <w:r>
        <w:rPr>
          <w:rtl w:val="true"/>
        </w:rPr>
        <w:t>أو لِمَسِّ كتابةِ القرآنِ إنْ وجب</w:t>
      </w:r>
      <w:r>
        <w:rPr>
          <w:rtl w:val="true"/>
        </w:rPr>
        <w:t>):</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الوضوء لأجل مسِّ كتابةِ القرآن الكريم ليس واجبًا في ذاته، لأنَّ مسَّ كتابةِ القرآنِ الكريم نفسه ليس واجبًا في حدّ ذاته؛ فمن أين يكتسب الوضوء الوجوب؟</w:t>
      </w:r>
      <w:r>
        <w:rPr>
          <w:rFonts w:eastAsia="Amiri" w:cs="Amiri" w:ascii="Amiri" w:hAnsi="Amiri"/>
          <w:color w:val="111111"/>
          <w:sz w:val="28"/>
          <w:szCs w:val="28"/>
          <w:rtl w:val="true"/>
          <w:lang w:bidi="ar-SA"/>
        </w:rPr>
        <w:t xml:space="preserve">! </w:t>
      </w:r>
      <w:bookmarkStart w:id="57" w:name="pg7928_85014"/>
    </w:p>
    <w:p>
      <w:pPr>
        <w:pStyle w:val="BookText"/>
        <w:rPr/>
      </w:pPr>
      <w:bookmarkEnd w:id="57"/>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يُصبحُ مسُّ كتابةِ القرآن الكريم واجبًا ولكن بوجوبٍ عرضي، كالنذرِ واليمين مثلًا، وحينئذٍ يكونُ الوضوءُ لأجله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علّق المصنفُ قُدس سره وجوب الوضوء عند مسِّ كتابةِ القرآن على وجوب مسّه،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 كتابةِ القرآنِ إنْ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وجوب الوضوء لمسِّ كتابة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مبنيٌ على لزومِ الطهارةِ عندَ مسِّ كتابةِ القرآنِ الكريم ولو على نحو الاحتياط الوجوبي،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يلزمِ الوضوء عند مسِّ كتابةِ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وجبَ الوضوء، حتى لو وجب مسُّ كتابةِ القرآن الكريم بنذرٍ أو يمين</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502895_1051229030"/>
      <w:bookmarkStart w:id="59" w:name="_Toc17"/>
      <w:bookmarkEnd w:id="58"/>
      <w:r>
        <w:rPr>
          <w:rtl w:val="true"/>
        </w:rPr>
        <w:t>الثاني</w:t>
      </w:r>
      <w:r>
        <w:rPr>
          <w:rtl w:val="true"/>
        </w:rPr>
        <w:t xml:space="preserve">: </w:t>
      </w:r>
      <w:r>
        <w:rPr>
          <w:rtl w:val="true"/>
        </w:rPr>
        <w:t>ما يُندب لأجله الوضوء</w:t>
      </w:r>
      <w:r>
        <w:rPr>
          <w:rtl w:val="true"/>
        </w:rPr>
        <w:t>:</w:t>
      </w:r>
      <w:bookmarkEnd w:id="59"/>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أوضح قُدس سره الموارد التي من أجلها يكون الوضوءُ واجبًا، انتقل إلى حكم الاستحباب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اختزل قُدس سره حالات الوضوء المندوب جميعها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عدا حالات الوجوب، كالوضوء من أجل قراءة القرآن الكريم، أو للكون على الطهارة، أو دخول المساجد وهكذا مما يُذكر في الرسائل العملية من مُفرداتِ الوضوءِ المندوب</w:t>
      </w:r>
      <w:r>
        <w:rPr>
          <w:rFonts w:eastAsia="Amiri" w:cs="Amiri" w:ascii="Amiri" w:hAnsi="Amiri"/>
          <w:color w:val="111111"/>
          <w:sz w:val="28"/>
          <w:szCs w:val="28"/>
          <w:rtl w:val="true"/>
          <w:lang w:bidi="ar-SA"/>
        </w:rPr>
        <w:t>.</w:t>
      </w:r>
      <w:bookmarkStart w:id="60" w:name="pg7928_85015"/>
    </w:p>
    <w:p>
      <w:pPr>
        <w:pStyle w:val="Heading3"/>
        <w:numPr>
          <w:ilvl w:val="2"/>
          <w:numId w:val="1"/>
        </w:numPr>
        <w:rPr/>
      </w:pPr>
      <w:bookmarkStart w:id="61" w:name="__RefHeading___Toc6502897_1051229030"/>
      <w:bookmarkStart w:id="62" w:name="_Toc18"/>
      <w:bookmarkEnd w:id="60"/>
      <w:bookmarkEnd w:id="61"/>
      <w:r>
        <w:rPr>
          <w:rtl w:val="true"/>
        </w:rPr>
        <w:t>القسم الثاني الغُس</w:t>
      </w:r>
      <w:r>
        <w:rPr>
          <w:rtl w:val="true"/>
        </w:rPr>
        <w:t>----</w:t>
      </w:r>
      <w:r>
        <w:rPr>
          <w:rtl w:val="true"/>
        </w:rPr>
        <w:t>ل</w:t>
      </w:r>
      <w:bookmarkEnd w:id="62"/>
    </w:p>
    <w:p>
      <w:pPr>
        <w:pStyle w:val="BookText"/>
        <w:rPr/>
      </w:pPr>
      <w:r>
        <w:rPr>
          <w:rFonts w:ascii="Amiri" w:hAnsi="Amiri" w:eastAsia="Amiri" w:cs="Amiri"/>
          <w:color w:val="111111"/>
          <w:sz w:val="28"/>
          <w:sz w:val="28"/>
          <w:szCs w:val="28"/>
          <w:rtl w:val="true"/>
          <w:lang w:bidi="ar-SA"/>
        </w:rPr>
        <w:t>وفيه واجب وندب أيضًا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502899_1051229030"/>
      <w:bookmarkStart w:id="64" w:name="_Toc19"/>
      <w:bookmarkEnd w:id="63"/>
      <w:r>
        <w:rPr>
          <w:rtl w:val="true"/>
        </w:rPr>
        <w:t>الأول</w:t>
      </w:r>
      <w:r>
        <w:rPr>
          <w:rtl w:val="true"/>
        </w:rPr>
        <w:t xml:space="preserve">: </w:t>
      </w:r>
      <w:r>
        <w:rPr>
          <w:rtl w:val="true"/>
        </w:rPr>
        <w:t>الواجب</w:t>
      </w:r>
      <w:r>
        <w:rPr>
          <w:rtl w:val="true"/>
        </w:rPr>
        <w:t>:</w:t>
      </w:r>
      <w:bookmarkEnd w:id="64"/>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لأحدِ الأمورِ الثلاثة، أو لدخول المساجد، أو لقراءة العزائم إنْ وجبا، وقد يجبُ إذا بقيَ لطلوعِ الفجر من يومٍ يجبُ صومه بقدر ما يغتسل الجنب، ولصوم المستحاضة إذا غمس دمُها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أكمل المُصنف رحمة الله غايات الوضوء، وبيّن متى يجبُ الوضوء، ومتى يُستحب، انتقل إلى الفردِ الثاني من أفرادِ الطهارةِ الشرعيةِ،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من الغُسل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أنّ الغُسلَ ليس واجبًا في حدِّ ذاته، تماماً كالوضوء، فلو فرضنا سقوط وجوب العبادات الموجبة للطهارة عن المكلف، كالصلاة، والطواف الواجب، ومس كتابة القرآن إنْ وجب، فلا يجب الغسل حينها قطعًا، فالغُسل كالوضوء من جهة أنّ كليهما إنما يجب لأجل وجوب ما هما </w:t>
      </w:r>
      <w:bookmarkStart w:id="65" w:name="pg7928_85017"/>
    </w:p>
    <w:p>
      <w:pPr>
        <w:pStyle w:val="BookText"/>
        <w:rPr/>
      </w:pPr>
      <w:bookmarkEnd w:id="65"/>
      <w:r>
        <w:rPr>
          <w:rFonts w:ascii="Amiri" w:hAnsi="Amiri" w:eastAsia="Amiri" w:cs="Amiri"/>
          <w:color w:val="111111"/>
          <w:sz w:val="28"/>
          <w:sz w:val="28"/>
          <w:szCs w:val="28"/>
          <w:rtl w:val="true"/>
          <w:lang w:bidi="ar-SA"/>
        </w:rPr>
        <w:t>مقدمة له، أي لتوقف صحة بعض العبادات عليهما، فلا يكونان واجبين على المكلف إلا إذا وجب عليه أداء عبادةٍ تُشترط فيها الطهارة، كما لو دخل وقت صلاةٍ واجبةٍ، فحينئذٍ يجب على المكلف الوضوء إن كان مُحدِثًا بالأصغر، والغُسل إنْ كان مُحدِثًا بالأكبر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الغُسلَ أو الوضوء إذا كان مقدمةً لعبادةٍ واجبةٍ كان واجبًا؛ فيكتسب الوجوب من ذي المقدمة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502901_1051229030"/>
      <w:bookmarkStart w:id="67" w:name="_Toc20"/>
      <w:bookmarkEnd w:id="66"/>
      <w:r>
        <w:rPr>
          <w:rtl w:val="true"/>
        </w:rPr>
        <w:t>ما يجب لأجله الغُسل</w:t>
      </w:r>
      <w:r>
        <w:rPr>
          <w:rtl w:val="true"/>
        </w:rPr>
        <w:t>:</w:t>
      </w:r>
      <w:bookmarkEnd w:id="67"/>
    </w:p>
    <w:p>
      <w:pPr>
        <w:pStyle w:val="BookText"/>
        <w:rPr/>
      </w:pPr>
      <w:r>
        <w:rPr>
          <w:rFonts w:ascii="Amiri" w:hAnsi="Amiri" w:eastAsia="Amiri" w:cs="Amiri"/>
          <w:color w:val="111111"/>
          <w:sz w:val="28"/>
          <w:sz w:val="28"/>
          <w:szCs w:val="28"/>
          <w:rtl w:val="true"/>
          <w:lang w:bidi="ar-SA"/>
        </w:rPr>
        <w:t>وأما أفراد الغُسل الواجب فهي</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502903_1051229030"/>
      <w:bookmarkStart w:id="69" w:name="_Toc21"/>
      <w:bookmarkEnd w:id="68"/>
      <w:r>
        <w:rPr>
          <w:rtl w:val="true"/>
        </w:rPr>
        <w:t>الأول والثاني الثالث</w:t>
      </w:r>
      <w:r>
        <w:rPr>
          <w:rtl w:val="true"/>
        </w:rPr>
        <w:t xml:space="preserve">: </w:t>
      </w:r>
      <w:r>
        <w:rPr>
          <w:rtl w:val="true"/>
        </w:rPr>
        <w:t>ما كان لأحد الأمور الثلاثة المتقدمة</w:t>
      </w:r>
      <w:r>
        <w:rPr>
          <w:rtl w:val="true"/>
        </w:rPr>
        <w:t>:</w:t>
      </w:r>
      <w:bookmarkEnd w:id="69"/>
    </w:p>
    <w:p>
      <w:pPr>
        <w:pStyle w:val="BookText"/>
        <w:rPr/>
      </w:pPr>
      <w:r>
        <w:rPr>
          <w:rFonts w:ascii="Amiri" w:hAnsi="Amiri" w:eastAsia="Amiri" w:cs="Amiri"/>
          <w:color w:val="111111"/>
          <w:sz w:val="28"/>
          <w:sz w:val="28"/>
          <w:szCs w:val="28"/>
          <w:rtl w:val="true"/>
          <w:lang w:bidi="ar-SA"/>
        </w:rPr>
        <w:t>أي الغُسل الذي تتوقف عليه صحة العبادات الثلاثة المُتقدمُ ذكرها في وجوب الوضوء،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والطوافُ الواجب، ومسُّ كتابةِ القرآنِ الكريمِ 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الثلاثة تُشترطُ فيها الطهارة، كما تقدّم ذلك مُفصلًا في وجوب الوضوء فلا نُعيد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6502905_1051229030"/>
      <w:bookmarkStart w:id="71" w:name="_Toc22"/>
      <w:bookmarkEnd w:id="70"/>
      <w:r>
        <w:rPr>
          <w:rtl w:val="true"/>
        </w:rPr>
        <w:t>الرابع</w:t>
      </w:r>
      <w:r>
        <w:rPr>
          <w:rtl w:val="true"/>
        </w:rPr>
        <w:t xml:space="preserve">: </w:t>
      </w:r>
      <w:r>
        <w:rPr>
          <w:rtl w:val="true"/>
        </w:rPr>
        <w:t>لدخول المساجد</w:t>
      </w:r>
      <w:r>
        <w:rPr>
          <w:rtl w:val="true"/>
        </w:rPr>
        <w:t>:</w:t>
      </w:r>
      <w:r>
        <w:rPr>
          <w:rtl w:val="true"/>
        </w:rPr>
        <w:t xml:space="preserve">تنقسم المساجدُ </w:t>
      </w:r>
      <w:r>
        <w:rPr>
          <w:rtl w:val="true"/>
        </w:rPr>
        <w:t>-</w:t>
      </w:r>
      <w:r>
        <w:rPr>
          <w:rtl w:val="true"/>
        </w:rPr>
        <w:t>من حيث جواز دخول المحدِث بالأكبر وعدم جوازه</w:t>
      </w:r>
      <w:r>
        <w:rPr>
          <w:rtl w:val="true"/>
        </w:rPr>
        <w:t xml:space="preserve">- </w:t>
      </w:r>
      <w:r>
        <w:rPr>
          <w:rtl w:val="true"/>
        </w:rPr>
        <w:t>إلى قسمين</w:t>
      </w:r>
      <w:r>
        <w:rPr>
          <w:rtl w:val="true"/>
        </w:rPr>
        <w:t>:</w:t>
      </w:r>
      <w:bookmarkStart w:id="72" w:name="pg7928_85019"/>
      <w:bookmarkEnd w:id="71"/>
    </w:p>
    <w:p>
      <w:pPr>
        <w:pStyle w:val="BookText"/>
        <w:rPr/>
      </w:pPr>
      <w:bookmarkEnd w:id="72"/>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 الأعظم صَلَّى اَللَّهُ عَلَيْهِ وَ آلِهِ وَ سَلَّمْ في المدينة المنورة، والمسجد الحرام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الطهارة عن الحدث الأكبر في دخولهما فضلًا عن اللبث فيهما، ولو كان الدخول على نحو المرور فيهما، كالدخول من بابٍ والخروج من الأخرى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كان المكلف محدثًا بالأكبر، فلا يجوز له أنْ يدخل في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ومسجد النبي الأكرم صَلَّى اَللَّهُ عَلَيْهِ وَ آلِهِ وَ سَلَّمْ حتى وإن كان دخوله على نحو المرور، فضلًا عمّا إذا أراد اللبث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سواهما من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وتجب الطهارة عن الحدث الأكبر عند إرادة اللبث فيهما، وأما إن كان الدخول على نحو المرور من بابٍ والخروج من الأخرى مثلاً فلا تُشترط الطهارة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502907_1051229030"/>
      <w:bookmarkStart w:id="74" w:name="_Toc23"/>
      <w:bookmarkEnd w:id="73"/>
      <w:r>
        <w:rPr>
          <w:rtl w:val="true"/>
        </w:rPr>
        <w:t>الخامس</w:t>
      </w:r>
      <w:r>
        <w:rPr>
          <w:rtl w:val="true"/>
        </w:rPr>
        <w:t xml:space="preserve">: </w:t>
      </w:r>
      <w:r>
        <w:rPr>
          <w:rtl w:val="true"/>
        </w:rPr>
        <w:t>لقراءة العزائم</w:t>
      </w:r>
      <w:r>
        <w:rPr>
          <w:rtl w:val="true"/>
        </w:rPr>
        <w:t>:</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السور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وفصلت، والنجم، والعلق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توجد فيها آية يجب السجود عند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كلًا من دخول المساجد وقراءةِ سورِ العزائمِ ليسا بواجبين في حدِّ ذاتهما؛ لذلك قيّدهما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أو يمين أو عهد مثلاً، فإن هذه الأمور مما من شأنه أن توجب ما ليس واجباً في حد نفسه</w:t>
      </w:r>
      <w:r>
        <w:rPr>
          <w:rFonts w:eastAsia="Amiri" w:cs="Amiri" w:ascii="Amiri" w:hAnsi="Amiri"/>
          <w:color w:val="111111"/>
          <w:sz w:val="28"/>
          <w:szCs w:val="28"/>
          <w:rtl w:val="true"/>
          <w:lang w:bidi="ar-SA"/>
        </w:rPr>
        <w:t xml:space="preserve">. </w:t>
      </w:r>
      <w:bookmarkStart w:id="75" w:name="pg7928_85021"/>
    </w:p>
    <w:p>
      <w:pPr>
        <w:pStyle w:val="BookText"/>
        <w:rPr/>
      </w:pPr>
      <w:bookmarkEnd w:id="75"/>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الفقهاء من ذهب إلى أنه لا يجوز للمحدث بالأكبر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كالمجنب والحائض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كل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اغتسل، ويظهر من عبارة المحقق الحلي قُدس سره أنه قد ذهب إلى هذا الرأي،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يجب له الغسل ورفع الحدث الأكبر ليست قراءة كل سور العزائم، وإنما هو خصوص آية السجدة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فلو أراد المحدث بالأكبر قراءة بداية سورة النجم مثلًا، حيثُ لا توجد آية السجدة الواجبة، فعلى 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الطهارة، وأما على الرأي الثاني، فلا بأس بقراءتها من المحدث بالحدث الأكبر، لكن إذا وصل إلى آية السجدة الواجبة، فلا يجوز له قراءتها حينئذٍ، إلا إذا رفع الحدث بالغسل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6502909_1051229030"/>
      <w:bookmarkStart w:id="77" w:name="_Toc24"/>
      <w:bookmarkEnd w:id="76"/>
      <w:r>
        <w:rPr>
          <w:rtl w:val="true"/>
        </w:rPr>
        <w:t>السادس</w:t>
      </w:r>
      <w:r>
        <w:rPr>
          <w:rtl w:val="true"/>
        </w:rPr>
        <w:t xml:space="preserve">: </w:t>
      </w:r>
      <w:r>
        <w:rPr>
          <w:rtl w:val="true"/>
        </w:rPr>
        <w:t>إذا بقي من الوقت قبل طلوع الفجر بمقدار ما يغتسلُ به المُجنبُ من يومٍ يجبُ صومُه</w:t>
      </w:r>
      <w:r>
        <w:rPr>
          <w:rtl w:val="true"/>
        </w:rPr>
        <w:t>:</w:t>
      </w:r>
      <w:bookmarkEnd w:id="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أجنب المكلف ليلاً، فمع سعة الوقت فلا يجبُ عليه الغُسل، كما لو أجنب عندَ منتصفِ الليل فلا يجبُ عليه الغُسل؛ لعدم وجوب الغُسل في نفسه، وإنّما يجب لغايةٍ من الغايات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لم يكن مكلفًا بعبادةٍ واجبةٍ في تلك الليلة إلا صلاة الفجر مثلًا، فلا </w:t>
      </w:r>
    </w:p>
    <w:p>
      <w:pPr>
        <w:pStyle w:val="BookText"/>
        <w:rPr/>
      </w:pPr>
      <w:r>
        <w:rPr>
          <w:rFonts w:ascii="Amiri" w:hAnsi="Amiri" w:eastAsia="Amiri" w:cs="Amiri"/>
          <w:color w:val="111111"/>
          <w:sz w:val="28"/>
          <w:sz w:val="28"/>
          <w:szCs w:val="28"/>
          <w:rtl w:val="true"/>
          <w:lang w:bidi="ar-SA"/>
        </w:rPr>
        <w:t>يجب عليه الغُسل إلا إذا تضيّق الوقت لأداء صلاة الفجر، وأما إن كانت تلك الليلة إحدى ليالي شهر رمضان مثلًا، حيثُ يجبُ صومُ اليوم فيه، فهنا لا يجب عليه الغُسل إلا إذا تضيّق الوقتُ بمقدار يسع الطهارة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يجبُ على المكلف الصوم، كما يجب عليه أيضًا الإتيان بمقدمة الصوم ليكون صحيحًا، وتلك المقدمة هي تحصيل الطهارة قبل طلوع الفجر، لعدم جواز البقاء على الجنابة حتى ذلك الوقت، فإذا لم يبقَ من الوقتِ قبل طلوع الفجر إلا مقدار ما يؤدي به المكلف الغسل، فيجبُ عليه الغُسل في هذا الوقت فقط دون ما سبقه من أوقات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التقليل عند دخولها على الفعل المضارع، وتفيد التحقيق عند دخولها على الفعل الماضي،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تحقق قيام الصلاة،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يندم المتأني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تقليل وقوع المتأني في الندم؛ لأنَّ التأني يلازمه عادةً الظفر والسلامة، وقد أدخلالمصنف قُدس سره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المضارع؛ مما يعني أنّه قصد إفادتها التقليل دون التحقيق، فكأنّه يُشيرُ إلى قلّةِ ونُدرةِ هذا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تحقق هذا الفرض فيجبُ على المكلف حينئذٍ الغُسل قبل طلوع الفجر بمقدار ما يكمل معه غسله قبله، وأما قبل ذلك فإنّ الغسل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 أن هناك خلافاً في وجوبِ الإصباحِ على الطهارةٍ في يوم يجب صومه، فمن الفقهاء من يرى وجوبه في كُلِّ صومٍ واجبٍ، سواء أكان صوم شهر رمضان، أم صوم قضاء شهر رمضان إذا تضيّق وقته؛ كمن عليه قضاء ثلاثة أيامٍ من شهر رمضان الفائت، ولم يبقَ سوى أيام ثلاثة لحلول شهر رمضان القادم، والصوم الواجب بالنذر المعين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يرى وجوبه في خصوص صوم شهر رمضان دون سائر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عبارة المُحقَّق الحلي قُدس سره الشمول لكُلِّ يومٍ يجبُ صومُه؛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لطلوعِ الفجرِ من يومٍ يجبُ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الحكم رواياتٌ كثيرة، من قبيلِ ما رويَ عن أحمد بن محمد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من أهلهفي شهر رمضان أو أصابته جنابة، ثم ينام، يُصبح متعمداً؟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ذلك اليوم وعليه قضاؤه </w:t>
      </w:r>
      <w:r>
        <w:rPr>
          <w:rStyle w:val="FootnoteAnchor"/>
          <w:rtl w:val="true"/>
        </w:rPr>
        <w:footnoteReference w:id="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يتبادر إلى الذهن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حكمَ بوجوب الإمساك عليه في ذلك النهار، ولكن إذا كان يجبُ عليه القضاء، فهذا يعني أنّه أفطر، فإذا أفطر فلماذا يجبُ عليه الإمساك؟ وإذا أمسكَ وبقيَ كذلك حتى أذان المغرب، فلماذا يجبُ عليه القضاء؟ </w:t>
      </w:r>
      <w:bookmarkStart w:id="78" w:name="pg7928_85027"/>
    </w:p>
    <w:p>
      <w:pPr>
        <w:pStyle w:val="BookText"/>
        <w:rPr/>
      </w:pPr>
      <w:bookmarkEnd w:id="78"/>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بعض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هو أنْ يبقى ممسكًا، وأما القضاء فهي عقوبةٌ؛ لمخالفتهِ الأمر الشرعي بضرورةِ الاغتسالِ قبلَ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يظهر مما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من أول الليل ثم ينام حتى يصبح في شهر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ذلك اليوم عقوبةً </w:t>
      </w:r>
      <w:r>
        <w:rPr>
          <w:rStyle w:val="FootnoteAnchor"/>
          <w:rtl w:val="true"/>
        </w:rPr>
        <w:footnoteReference w:id="20"/>
      </w:r>
    </w:p>
    <w:p>
      <w:pPr>
        <w:pStyle w:val="Heading3"/>
        <w:numPr>
          <w:ilvl w:val="2"/>
          <w:numId w:val="1"/>
        </w:numPr>
        <w:rPr/>
      </w:pPr>
      <w:bookmarkStart w:id="79" w:name="__RefHeading___Toc6502911_1051229030"/>
      <w:bookmarkStart w:id="80" w:name="_Toc25"/>
      <w:bookmarkEnd w:id="79"/>
      <w:r>
        <w:rPr>
          <w:rtl w:val="true"/>
        </w:rPr>
        <w:t>السابع</w:t>
      </w:r>
      <w:r>
        <w:rPr>
          <w:rtl w:val="true"/>
        </w:rPr>
        <w:t xml:space="preserve">: </w:t>
      </w:r>
      <w:r>
        <w:rPr>
          <w:rtl w:val="true"/>
        </w:rPr>
        <w:t>لصوم المستحاضة إذا غمسَ دمُها القطنةَ</w:t>
      </w:r>
      <w:r>
        <w:rPr>
          <w:rtl w:val="true"/>
        </w:rPr>
        <w:t>:</w:t>
      </w:r>
      <w:bookmarkEnd w:id="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المُستحاضة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ووسطى، وكبرى، أما الصغرى فواضحٌ جدًا عدم وجوب الغسل عليها، وإنّما يجبُ عليهاالوضوءُ لكُلِّ صلاة، فيكون كلامُ المصنفِ عن خصوصِ صومِ المُستحاضةِ إذا غمسَ دمُها القطنة،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 دمُها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المتوسطة والكثيرة؛ إذ كلاهما دمُها يغمسُ القطنةَ، غير أنّه في الوسطى يغمسُها ولا يسيل، وفي الكبرى يغمسُها ويسيلُ، وملاكُ الحكمِ ليس هو سيلان الدم، وإنّما هو غمسُ الدمِ القطنة، فالحكمُ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غمس دمُها القطنةَ يجبُ عليها الغُسل للصلاةِ قبلها، كما تتوقفُ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صومِها، فتجب عليها المبادرة إليه قبل الفجر، وغسل آخر قبل صلاة الظهرين</w:t>
      </w:r>
      <w:r>
        <w:rPr>
          <w:rFonts w:eastAsia="Amiri" w:cs="Amiri" w:ascii="Amiri" w:hAnsi="Amiri"/>
          <w:color w:val="111111"/>
          <w:sz w:val="28"/>
          <w:szCs w:val="28"/>
          <w:rtl w:val="true"/>
          <w:lang w:bidi="ar-SA"/>
        </w:rPr>
        <w:t xml:space="preserve">. </w:t>
      </w:r>
      <w:bookmarkStart w:id="81" w:name="pg7928_85029"/>
    </w:p>
    <w:p>
      <w:pPr>
        <w:pStyle w:val="BookText"/>
        <w:rPr/>
      </w:pPr>
      <w:bookmarkEnd w:id="81"/>
      <w:r>
        <w:rPr>
          <w:rFonts w:ascii="Amiri" w:hAnsi="Amiri" w:eastAsia="Amiri" w:cs="Amiri"/>
          <w:color w:val="111111"/>
          <w:sz w:val="28"/>
          <w:sz w:val="28"/>
          <w:szCs w:val="28"/>
          <w:rtl w:val="true"/>
          <w:lang w:bidi="ar-SA"/>
        </w:rPr>
        <w:t xml:space="preserve">فإنْ لم تغتسلْ قبلَ الفجر، ففي صحةِ صومِها إشكالٌ، وهذه المسألة خلافيةٌ أيضًاً؛ فبعضُ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أنّه حكمٌ وضعي يترتب على عدم الامتثال عدمُ صحة صومها، على حين يرى البعض الآخر من الفقهاء أنّه وجوبٌ تكليفيٌ؛ فلا يترتبُ عليه بطلانُ الصوم، بل يترتب عليها الإثم لمخالفته </w:t>
      </w:r>
      <w:r>
        <w:rPr>
          <w:rStyle w:val="FootnoteAnchor"/>
          <w:rtl w:val="true"/>
        </w:rPr>
        <w:footnoteReference w:id="21"/>
      </w:r>
    </w:p>
    <w:p>
      <w:pPr>
        <w:pStyle w:val="Heading3"/>
        <w:numPr>
          <w:ilvl w:val="2"/>
          <w:numId w:val="1"/>
        </w:numPr>
        <w:rPr/>
      </w:pPr>
      <w:bookmarkStart w:id="82" w:name="__RefHeading___Toc6502913_1051229030"/>
      <w:bookmarkStart w:id="83" w:name="_Toc26"/>
      <w:bookmarkEnd w:id="82"/>
      <w:r>
        <w:rPr>
          <w:rtl w:val="true"/>
        </w:rPr>
        <w:t>الثاني</w:t>
      </w:r>
      <w:r>
        <w:rPr>
          <w:rtl w:val="true"/>
        </w:rPr>
        <w:t xml:space="preserve">: </w:t>
      </w:r>
      <w:r>
        <w:rPr>
          <w:rtl w:val="true"/>
        </w:rPr>
        <w:t>ما يُندب لأجله الغسل</w:t>
      </w:r>
      <w:r>
        <w:rPr>
          <w:rtl w:val="true"/>
        </w:rPr>
        <w:t>:</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تقدّم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الموارد التي يجب الغسل لها سبعة، فما عداها يكونُ الغسلُ مستحبًا مندوباً فيها،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والغسل لزيارة المعصوم عن قرب، وما شابه</w:t>
      </w:r>
      <w:r>
        <w:rPr>
          <w:rFonts w:eastAsia="Amiri" w:cs="Amiri" w:ascii="Amiri" w:hAnsi="Amiri"/>
          <w:color w:val="111111"/>
          <w:sz w:val="28"/>
          <w:szCs w:val="28"/>
          <w:rtl w:val="true"/>
          <w:lang w:bidi="ar-SA"/>
        </w:rPr>
        <w:t>.</w:t>
      </w:r>
      <w:bookmarkStart w:id="84" w:name="pg7928_85031"/>
    </w:p>
    <w:p>
      <w:pPr>
        <w:pStyle w:val="Heading3"/>
        <w:numPr>
          <w:ilvl w:val="2"/>
          <w:numId w:val="1"/>
        </w:numPr>
        <w:rPr/>
      </w:pPr>
      <w:bookmarkStart w:id="85" w:name="__RefHeading___Toc6502915_1051229030"/>
      <w:bookmarkStart w:id="86" w:name="_Toc27"/>
      <w:bookmarkEnd w:id="84"/>
      <w:bookmarkEnd w:id="85"/>
      <w:r>
        <w:rPr>
          <w:rtl w:val="true"/>
        </w:rPr>
        <w:t>القسم الثالث التيمم</w:t>
      </w:r>
      <w:bookmarkEnd w:id="86"/>
    </w:p>
    <w:p>
      <w:pPr>
        <w:pStyle w:val="BookText"/>
        <w:rPr/>
      </w:pPr>
      <w:r>
        <w:rPr>
          <w:rFonts w:ascii="Amiri" w:hAnsi="Amiri" w:eastAsia="Amiri" w:cs="Amiri"/>
          <w:color w:val="111111"/>
          <w:sz w:val="28"/>
          <w:sz w:val="28"/>
          <w:szCs w:val="28"/>
          <w:rtl w:val="true"/>
          <w:lang w:bidi="ar-SA"/>
        </w:rPr>
        <w:t>وفيه واجبٌ وندب</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502917_1051229030"/>
      <w:bookmarkStart w:id="88" w:name="_Toc28"/>
      <w:bookmarkEnd w:id="87"/>
      <w:r>
        <w:rPr>
          <w:rtl w:val="true"/>
        </w:rPr>
        <w:t>الأول</w:t>
      </w:r>
      <w:r>
        <w:rPr>
          <w:rtl w:val="true"/>
        </w:rPr>
        <w:t xml:space="preserve">: </w:t>
      </w:r>
      <w:r>
        <w:rPr>
          <w:rtl w:val="true"/>
        </w:rPr>
        <w:t>الواجب</w:t>
      </w:r>
      <w:r>
        <w:rPr>
          <w:rtl w:val="true"/>
        </w:rPr>
        <w:t>:</w:t>
      </w:r>
      <w:bookmarkEnd w:id="88"/>
    </w:p>
    <w:p>
      <w:pPr>
        <w:pStyle w:val="BookText"/>
        <w:rPr/>
      </w:pPr>
      <w:r>
        <w:rPr>
          <w:rFonts w:ascii="Amiri" w:hAnsi="Amiri" w:eastAsia="Amiri" w:cs="Amiri"/>
          <w:color w:val="111111"/>
          <w:sz w:val="28"/>
          <w:sz w:val="28"/>
          <w:szCs w:val="28"/>
          <w:rtl w:val="true"/>
          <w:lang w:bidi="ar-SA"/>
        </w:rPr>
        <w:t>قال المُحقِّق الحلي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لصلاةٍ واجبةٍ عند تضيُّقِ وقتِها، وللجُنُب في أحد المسجدين؛ ليخرج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قُدس سره غايتين مما يجبُ لها التيمم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502919_1051229030"/>
      <w:bookmarkStart w:id="90" w:name="_Toc29"/>
      <w:bookmarkEnd w:id="89"/>
      <w:r>
        <w:rPr>
          <w:rtl w:val="true"/>
        </w:rPr>
        <w:t>الغايةُ الأولى</w:t>
      </w:r>
      <w:r>
        <w:rPr>
          <w:rtl w:val="true"/>
        </w:rPr>
        <w:t xml:space="preserve">: </w:t>
      </w:r>
      <w:r>
        <w:rPr>
          <w:rtl w:val="true"/>
        </w:rPr>
        <w:t>الصلاةُ الواجبةُ عندَ تضيّقِ وقتِها</w:t>
      </w:r>
      <w:r>
        <w:rPr>
          <w:rtl w:val="true"/>
        </w:rPr>
        <w:t>:</w:t>
      </w:r>
      <w:bookmarkEnd w:id="90"/>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يبقَ من وقتِ الصلاةِ مع الطهارةِ إلا ما يسمحُ للصلاةِ مع التيمُمِ، بحيثُ إذا أراد المكلف أنْ يتطهرَ بالطهارةِ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 وقتُ الصلاة، وحيثُ يجبُ إيقاعُ الصلاةِ في وقتِها مع الطهارة، فيأتي هنا بالبديل، وهو التيمم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502921_1051229030"/>
      <w:bookmarkStart w:id="92" w:name="_Toc30"/>
      <w:bookmarkEnd w:id="91"/>
      <w:r>
        <w:rPr>
          <w:rtl w:val="true"/>
        </w:rPr>
        <w:t>الغاية الثانية</w:t>
      </w:r>
      <w:r>
        <w:rPr>
          <w:rtl w:val="true"/>
        </w:rPr>
        <w:t xml:space="preserve">: </w:t>
      </w:r>
      <w:r>
        <w:rPr>
          <w:rtl w:val="true"/>
        </w:rPr>
        <w:t>للجنب في أحدِ المسجدين ليخرج به</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الغُسلَ يجِبُ على المُحدِثِ بالأكبر قبل دخولِ المساجد، وذكرنا أنَّ هناك تفصيلًا بين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النبي صَلَّى اَللَّهُ عَلَيْهِ وَ آلِهِ وَ سَلَّمْ والمسجد الحرام 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سائرِ المساجدِ الأخرى؛ حيثُ لايجوزُ للمُحدِثِ </w:t>
      </w:r>
    </w:p>
    <w:p>
      <w:pPr>
        <w:pStyle w:val="BookText"/>
        <w:rPr/>
      </w:pPr>
      <w:r>
        <w:rPr>
          <w:rFonts w:ascii="Amiri" w:hAnsi="Amiri" w:eastAsia="Amiri" w:cs="Amiri"/>
          <w:color w:val="111111"/>
          <w:sz w:val="28"/>
          <w:sz w:val="28"/>
          <w:szCs w:val="28"/>
          <w:rtl w:val="true"/>
          <w:lang w:bidi="ar-SA"/>
        </w:rPr>
        <w:t xml:space="preserve">بالحدثِ الأكبر حتى المرور في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ومسجد النبي الأكرم صَلَّى اَللَّهُ عَلَيْهِ وَ آلِهِ وَ سَلَّمْ، على حين يجوز له ذلك في سائر المساجد الأخرى، كما لو كان للمسجدِ بابان، فيدخلُ من بابٍ ويخرجُ من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رجلًا كان نائمًا في المسجد وأصابته جنابةٌ، كما لو احتلم فصار مُجنبًا، فبناءً على التفصيل المتقدم؛ لو كان فيما عدا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ومسجد النبي الأكرم صَلَّى اَللَّهُ عَلَيْهِ وَ آلِهِ وَ سَلَّمْ، فتجب عليه المبادرة إلى الخروج منه؛ لحرمةِ لبثِ المُجنبِ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في أحد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الحرام ومسجد النبي الأكرم صَلَّى اَللَّهُ عَلَيْهِ وَ آلِهِ وَ سَلَّمْ، فإنه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وجوب الخروج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الطهارةِ للخروجِ منه أيضًا؛ لما تقدّم من حرمةِ وجوده في المسجدين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المسجد الحرام ومسجد النبي الأكرم صَلَّى اَللَّهُ عَلَيْهِ وَ آلِهِ وَ سَلَّمْ على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ماشياً، فإنْ هو مشى لأجلِ الخروج وهو مجنبٌ اكتسب إثمًا؛ لمخالفته لحكمٍ تكليفي، فيجب عليه حينها التيمم؛ ليخرج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المسجدين، ولا يرتكب الحرام بمروره في المسجد وهو محدثٌ بالأكبر </w:t>
      </w:r>
      <w:r>
        <w:rPr>
          <w:rStyle w:val="FootnoteAnchor"/>
          <w:rtl w:val="true"/>
        </w:rPr>
        <w:footnoteReference w:id="2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وشبيهٌ بهذا الفرض ما لو فرضنا أنَّ محدثًا بالأكبر دخل المسجد وقد نسيَ جنابته أو غفلَ أنَّ هذا المسجدَ هو أحدُ المسجدين، ثم انتبه إلى ذلك </w:t>
      </w:r>
    </w:p>
    <w:p>
      <w:pPr>
        <w:pStyle w:val="BookText"/>
        <w:rPr/>
      </w:pPr>
      <w:r>
        <w:rPr>
          <w:rFonts w:ascii="Amiri" w:hAnsi="Amiri" w:eastAsia="Amiri" w:cs="Amiri"/>
          <w:color w:val="111111"/>
          <w:sz w:val="28"/>
          <w:sz w:val="28"/>
          <w:szCs w:val="28"/>
          <w:rtl w:val="true"/>
          <w:lang w:bidi="ar-SA"/>
        </w:rPr>
        <w:t>وهو في منتصفِ المسجدِ مثلاً، فهنا أيضًا يجبُ عليه التيمُم؛ ليخرج بهذا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حكمِ لزوم التيمُم لمن كان في المسجدين العديدُ من الروايات،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صَلَّى اَللَّهُ عَلَيْهِ وَ آلِهِ وَ سَلَّمْ، فَاحْتَلَمَ فَأَصَابَتْه جَنَابَةٌ، فَلْيَتَيَمَّمْ، ولَا يَمُرَّ فِي المَسْجِدِ إِلَّا مُتَيَمِّماً حَتَّى يَخْرُجَ مِنْه، ثُمَّ يَغْتَسِلَ، وكَذَلِكَ الحَائِضُ إِذَا أَصَابَهَا الحَيْضُ تَفْعَلُ كَذَلِكَ، ولَا بَأْسَ أَنْ يَمُرَّا فِي سَائِرِ المَسَاجِدِ ولَا يَجْلِسَانِ فِيهَا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حكم وجوب التيمم بمن دخل المسجد ونام وأجنب، فلا يشمل هذا الحكم من نسي كونه مجنبًا ودخل المسجد، أو غفل عن أنّ المسجد الذي يدخله هو أحد المسجدين، فكيف شملتموهما بنفس حكم المجنب خلال نومه في أحد المسجدين؟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للمجنب أثناء نومه قد جاء على نحو الطريقية والمثال، لا الموضوعية والحصر، وعليه فالمقصود هو من كان محدثًا بالحدث الأكبر في أحدِ المسجدين فيجبُ عليه </w:t>
      </w:r>
      <w:bookmarkStart w:id="93" w:name="pg7928_85037"/>
    </w:p>
    <w:p>
      <w:pPr>
        <w:pStyle w:val="BookText"/>
        <w:rPr/>
      </w:pPr>
      <w:bookmarkEnd w:id="93"/>
      <w:r>
        <w:rPr>
          <w:rFonts w:ascii="Amiri" w:hAnsi="Amiri" w:eastAsia="Amiri" w:cs="Amiri"/>
          <w:color w:val="111111"/>
          <w:sz w:val="28"/>
          <w:sz w:val="28"/>
          <w:szCs w:val="28"/>
          <w:rtl w:val="true"/>
          <w:lang w:bidi="ar-SA"/>
        </w:rPr>
        <w:t>أن يتيمم؛ ليخرجَ من المسجدين، ولم يأتِ ذكر الجنابة أثناء النوم في المسجد إلا على نحو المثالية، لا على نحو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مأخوذٌ على نحو الموضوعية من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المسجد الحرام أو في مسجد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أنَّ هذا الحكم خاصٌ فقط بهذين المسجدين، فتمامُ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التيمم للخروج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على المسجد الحرام وعلى مسجد رسول الله صَلَّى اَللَّهُ عَلَيْهِ وَ آلِهِ وَ سَلَّمْ، أما موضوع الحكم –الرجلُ الذي احتلمَ فأصابته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يُحمَلُ الحكم المتقدم عليه بالخصوص؛ لأنه جاء في الرواية على نحو المثال، وعليه يتسّعُ موضوع الحكم المتقدم ليشمل كُلَّ مُحدثٍ بالحدثِ الأكبر، فيشمل المجنب، والحائض التي فاجأها الحيض، ويشمل الناسي، بل والمتعمِّد؛ وإنّما ذُكِرَ خصوصُ هذا كمثالٍ؛ ربما لأنّه أوضحُ الأمثلة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ربما يُقالُ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أنْ يعصيَ إنسانٌ اللهَ عَزَّوَجَل في أحد المسجدين بأنْ يتعمّدَ دخوله مجنبًا، أو ينسى كونه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ثانية، فضلًا عن أنَّ هذا المثال من الأمثلةالابتلائية؛ إذ إنَّ العديد من الحجيجِ والمُعتمرين والزوّار يبيتون في هذين المسجدين، وتعرّضهُم إلى الاحتلام أثناءَ نومِهم أمرٌ واردٌ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502923_1051229030"/>
      <w:bookmarkStart w:id="95" w:name="_Toc31"/>
      <w:bookmarkEnd w:id="94"/>
      <w:r>
        <w:rPr>
          <w:rtl w:val="true"/>
        </w:rPr>
        <w:t>غايات أخرى</w:t>
      </w:r>
      <w:r>
        <w:rPr>
          <w:rtl w:val="true"/>
        </w:rPr>
        <w:t>:</w:t>
      </w:r>
      <w:bookmarkEnd w:id="9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ذكر المُصنِّفُ قُدس سره غايتين واجبتين يجبُ لهما التيمُم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عند تضيّقِ وقتِها، وعدمُ سعتِه للطهارةِ المائية، وخروج الجُنُبِ من أحدِ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يُضافُ إليهما</w:t>
      </w:r>
      <w:r>
        <w:rPr>
          <w:rFonts w:eastAsia="Amiri" w:cs="Amiri" w:ascii="Amiri" w:hAnsi="Amiri"/>
          <w:color w:val="111111"/>
          <w:sz w:val="28"/>
          <w:szCs w:val="28"/>
          <w:rtl w:val="true"/>
          <w:lang w:bidi="ar-SA"/>
        </w:rPr>
        <w:t xml:space="preserve">: </w:t>
      </w:r>
      <w:bookmarkStart w:id="96" w:name="pg7928_85039"/>
    </w:p>
    <w:p>
      <w:pPr>
        <w:pStyle w:val="Heading3"/>
        <w:numPr>
          <w:ilvl w:val="2"/>
          <w:numId w:val="1"/>
        </w:numPr>
        <w:rPr/>
      </w:pPr>
      <w:bookmarkStart w:id="97" w:name="__RefHeading___Toc6502925_1051229030"/>
      <w:bookmarkStart w:id="98" w:name="_Toc32"/>
      <w:bookmarkEnd w:id="96"/>
      <w:bookmarkEnd w:id="97"/>
      <w:r>
        <w:rPr/>
        <w:t>1</w:t>
      </w:r>
      <w:r>
        <w:rPr>
          <w:rtl w:val="true"/>
        </w:rPr>
        <w:t xml:space="preserve">- </w:t>
      </w:r>
      <w:r>
        <w:rPr>
          <w:rtl w:val="true"/>
        </w:rPr>
        <w:t>الطوافُ الواجبُ مع اليأسِ من الحصولِ على الطهارةِ المائية</w:t>
      </w:r>
      <w:r>
        <w:rPr>
          <w:rtl w:val="true"/>
        </w:rPr>
        <w:t>:</w:t>
      </w:r>
      <w:bookmarkEnd w:id="98"/>
    </w:p>
    <w:p>
      <w:pPr>
        <w:pStyle w:val="BookText"/>
        <w:rPr/>
      </w:pPr>
      <w:r>
        <w:rPr>
          <w:rFonts w:ascii="Amiri" w:hAnsi="Amiri" w:eastAsia="Amiri" w:cs="Amiri"/>
          <w:color w:val="111111"/>
          <w:sz w:val="28"/>
          <w:sz w:val="28"/>
          <w:szCs w:val="28"/>
          <w:rtl w:val="true"/>
          <w:lang w:bidi="ar-SA"/>
        </w:rPr>
        <w:t>فقد تقدّمَ ذكر اشتراط الطهارة للطواف الواجب؛ فإذا كان المكلف مُحدثاً، ولم يكن عنده ماءٌ، وتضيّقَ وقتُ الطواف، ويئسَ من الحصولِ على الطهارةِ المائية قبل خروج الوقت المخصص للطوافِ الواجبِ، حينها يُشرَعُ له التيمم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502927_1051229030"/>
      <w:bookmarkStart w:id="100" w:name="_Toc33"/>
      <w:bookmarkEnd w:id="99"/>
      <w:r>
        <w:rPr/>
        <w:t>2</w:t>
      </w:r>
      <w:r>
        <w:rPr>
          <w:rtl w:val="true"/>
        </w:rPr>
        <w:t xml:space="preserve"> - </w:t>
      </w:r>
      <w:r>
        <w:rPr>
          <w:rtl w:val="true"/>
        </w:rPr>
        <w:t>ما لو وجبَ مسُّ كتابةِ القرآنِ بنذرٍ أو شبهه</w:t>
      </w:r>
      <w:r>
        <w:rPr>
          <w:rtl w:val="true"/>
        </w:rPr>
        <w:t>:</w:t>
      </w:r>
      <w:bookmarkEnd w:id="100"/>
    </w:p>
    <w:p>
      <w:pPr>
        <w:pStyle w:val="BookText"/>
        <w:rPr/>
      </w:pPr>
      <w:r>
        <w:rPr>
          <w:rFonts w:ascii="Amiri" w:hAnsi="Amiri" w:eastAsia="Amiri" w:cs="Amiri"/>
          <w:color w:val="111111"/>
          <w:sz w:val="28"/>
          <w:sz w:val="28"/>
          <w:szCs w:val="28"/>
          <w:rtl w:val="true"/>
          <w:lang w:bidi="ar-SA"/>
        </w:rPr>
        <w:t>ولم يتمكنْ من الطهارةِ المائية، فعليهِ أيضًا أنْ يتيمَّمَ ويؤدي ما عليه من واجبٍ</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502929_1051229030"/>
      <w:bookmarkStart w:id="102" w:name="_Toc34"/>
      <w:bookmarkEnd w:id="101"/>
      <w:r>
        <w:rPr/>
        <w:t>3</w:t>
      </w:r>
      <w:r>
        <w:rPr>
          <w:rtl w:val="true"/>
        </w:rPr>
        <w:t xml:space="preserve"> - </w:t>
      </w:r>
      <w:r>
        <w:rPr>
          <w:rtl w:val="true"/>
        </w:rPr>
        <w:t>بل كُلُّ الغاياتِ التي وجبَت لها الطهارة المائية</w:t>
      </w:r>
      <w:r>
        <w:rPr>
          <w:rtl w:val="true"/>
        </w:rPr>
        <w:t>:</w:t>
      </w:r>
      <w:bookmarkEnd w:id="102"/>
    </w:p>
    <w:p>
      <w:pPr>
        <w:pStyle w:val="BookText"/>
        <w:rPr/>
      </w:pPr>
      <w:r>
        <w:rPr>
          <w:rFonts w:ascii="Amiri" w:hAnsi="Amiri" w:eastAsia="Amiri" w:cs="Amiri"/>
          <w:color w:val="111111"/>
          <w:sz w:val="28"/>
          <w:sz w:val="28"/>
          <w:szCs w:val="28"/>
          <w:rtl w:val="true"/>
          <w:lang w:bidi="ar-SA"/>
        </w:rPr>
        <w:t>فإذا وجبَ عليه دخولُ المسجدِ –بنذر أو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وقتُ هذا الوجوبِ مُضيَّقاً، ولم يحصلْ على الطهارةِ المائية، فإنّه يتيمّمُ ويدخلُ، وإذا وجبت عليه قراءةُ العزائمِ وكان وقتُ أدائها مُضيّقًا مثلًا، ولا بُدَّ أنْ يقرأها، وليست عندَه طهارةٌ مائيةٌ، فيجبُ عليهالتيممُ، وكذا إذا ضاقَ وقتُه عن الغسلِ قبلَ فجرِ يومٍ يجبُ صومُه، ولم يكن يستطيعُ أنْ يغتسلَ مثلًا لمرضٍ يتأذّى بسببه من الماء، فإنّه يتيمّمُ أيضًا، وهكذا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502931_1051229030"/>
      <w:bookmarkStart w:id="104" w:name="_Toc35"/>
      <w:bookmarkEnd w:id="103"/>
      <w:r>
        <w:rPr>
          <w:rtl w:val="true"/>
        </w:rPr>
        <w:t>الثاني</w:t>
      </w:r>
      <w:r>
        <w:rPr>
          <w:rtl w:val="true"/>
        </w:rPr>
        <w:t xml:space="preserve">: </w:t>
      </w:r>
      <w:r>
        <w:rPr>
          <w:rtl w:val="true"/>
        </w:rPr>
        <w:t>الندب</w:t>
      </w:r>
      <w:r>
        <w:rPr>
          <w:rtl w:val="true"/>
        </w:rPr>
        <w:t>:</w:t>
      </w:r>
      <w:bookmarkEnd w:id="104"/>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ما ذكرناه من الغاياتِ الواجبةِ للتيمُّمِ، يكونُ التيمُّمُ لأجلها مندوبًا، كالتيمُّمِ لمن يُريدُ أنْ ينامَ، على تفصيلٍ ذُكِرَ في الرسائلِ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تجبُ الطهارةُ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في حدِّ نفسه ليس واجبًا، بل وجوبُه غيريٌ؛ أي يجبُ إنْ كان مقدمةً لواجبٍ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يجِبُ بالعارضِ، كما لو نذر المكلّف ألّا يدرسَ الفقهَ، أو لا ينامَ مثلًا إلا إذا كان على وضوء، فإنَّ هذا النذر ينعقدُ؛ لأنّه أمرٌ راجحٌ شرعًا، فيجِبُ عليه حينئذٍ أنْ يتوضأ للدراسةِ أو النوم؛ لأنّه أصبح واجبًا بالعرض</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 النذر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عاهد المُكلّفُ اللهَ عَزَّوَجَل أو أقسمَ على أنْ يتطهرَ، وجب الوضوءُ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7928_85045"/>
      <w:bookmarkStart w:id="106" w:name="pg7928_85045"/>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pg7928_85045"/>
      <w:bookmarkStart w:id="108" w:name="__RefHeading___Toc6502933_1051229030"/>
      <w:bookmarkStart w:id="109" w:name="_Toc36"/>
      <w:bookmarkEnd w:id="107"/>
      <w:bookmarkEnd w:id="108"/>
      <w:r>
        <w:rPr>
          <w:rtl w:val="true"/>
        </w:rPr>
        <w:t>أركان الطهارة</w:t>
      </w:r>
      <w:bookmarkEnd w:id="10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7928_85048"/>
      <w:bookmarkStart w:id="111" w:name="pg7928_85048"/>
      <w:bookmarkEnd w:id="111"/>
    </w:p>
    <w:p>
      <w:pPr>
        <w:pStyle w:val="BookText"/>
        <w:rPr/>
      </w:pPr>
      <w:bookmarkStart w:id="112" w:name="pg7928_85048"/>
      <w:bookmarkEnd w:id="112"/>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الكتاب يعتمدُ على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والطهارة المائية، والطهارة الترابية، والنجاسات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يعتمدُ على أركانٍ أربعة </w:t>
      </w:r>
      <w:r>
        <w:rPr>
          <w:rStyle w:val="FootnoteAnchor"/>
          <w:rtl w:val="true"/>
        </w:rPr>
        <w:footnoteReference w:id="24"/>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وتكلّم قُدس سره في المياه وأقسامها، وأحكامها، وكيف تتنجس، وكيف تتطهر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المائية، ويذكرُ فيها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الترابية، ويذكرُ فيها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502935_1051229030"/>
      <w:bookmarkStart w:id="114" w:name="_Toc37"/>
      <w:bookmarkEnd w:id="113"/>
      <w:r>
        <w:rPr>
          <w:rtl w:val="true"/>
        </w:rPr>
        <w:t>الركن الأول</w:t>
      </w:r>
      <w:r>
        <w:rPr>
          <w:rtl w:val="true"/>
        </w:rPr>
        <w:t xml:space="preserve">: </w:t>
      </w:r>
      <w:r>
        <w:rPr>
          <w:rtl w:val="true"/>
        </w:rPr>
        <w:t>في المياه</w:t>
      </w:r>
      <w:r>
        <w:rPr>
          <w:rtl w:val="true"/>
        </w:rPr>
        <w:t>:</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المُصنِّفَ قُدس سره قسّمَ كتابَ الطهارة إلى أربعةِ أركانٍ، الركن الأول المياه، والثاني الطهارة المائية، وهي الوضوء والغسل، والثالث الطهارة الترابية وهي التيمم، والرابع النجاسات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بدأ بالرُكنِ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قسّمَ الكلامَ على 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الأولُ في المياه، وفيه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الطرف الأول سيذكر المصنف قُدس سره نقاطاً عديدة،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الماء المطلق؛ ما معنى الماء المطلق؟</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الماء المطلق؟ وهل إنه طاهرٌ في حدِّ نفسِه أو ليس بطاهر، وإذا كان طاهرًا في حدِّ نفسه فهل يُطهِّرُ غيرَه أو إنه لا قدرة له على ذلك؟</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الماء المطلق، وسيذكر له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المحقون، وماء البئر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وستقتصرُ دراستُنا إن شاء الله تعالى على القسمين الأولين، أمّا ماءُ البئر فلا نتعرّضُ له في هذه الدروس؛ لقِلّةِ الابتلاء به، ولكثرةِ تفاصيله غير الابتلائية في زمننا الحاضر، ولأنه أُلحق بالماء الذي له مادة </w:t>
      </w:r>
      <w:r>
        <w:rPr>
          <w:rStyle w:val="FootnoteAnchor"/>
          <w:rtl w:val="true"/>
        </w:rPr>
        <w:footnoteReference w:id="25"/>
      </w:r>
      <w:r>
        <w:rPr>
          <w:rFonts w:ascii="Amiri" w:hAnsi="Amiri" w:eastAsia="Amiri" w:cs="Amiri"/>
          <w:color w:val="111111"/>
          <w:sz w:val="28"/>
          <w:sz w:val="28"/>
          <w:szCs w:val="28"/>
          <w:rtl w:val="true"/>
          <w:lang w:bidi="ar-SA"/>
        </w:rPr>
        <w:t>، فلم تبق موضوعية لبحثه على انفراد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928_85054"/>
      <w:bookmarkStart w:id="116" w:name="pg7928_85054"/>
      <w:bookmarkEnd w:id="116"/>
    </w:p>
    <w:p>
      <w:pPr>
        <w:pStyle w:val="Heading3"/>
        <w:numPr>
          <w:ilvl w:val="2"/>
          <w:numId w:val="1"/>
        </w:numPr>
        <w:rPr/>
      </w:pPr>
      <w:bookmarkStart w:id="117" w:name="pg7928_85054"/>
      <w:bookmarkStart w:id="118" w:name="__RefHeading___Toc6502937_1051229030"/>
      <w:bookmarkStart w:id="119" w:name="_Toc38"/>
      <w:bookmarkEnd w:id="117"/>
      <w:bookmarkEnd w:id="118"/>
      <w:r>
        <w:rPr>
          <w:rtl w:val="true"/>
        </w:rPr>
        <w:t>الطرف الأول</w:t>
      </w:r>
      <w:r>
        <w:rPr>
          <w:rtl w:val="true"/>
        </w:rPr>
        <w:t>:</w:t>
      </w:r>
      <w:r>
        <w:rPr>
          <w:rtl w:val="true"/>
        </w:rPr>
        <w:t>في الماء المطلق</w:t>
      </w:r>
      <w:bookmarkEnd w:id="119"/>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يستحقُّ إطلاق اسمِ الماء عليه من غير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المُصنِّفُ لتعريفِ الماء المُطلق، ولبيانه نتناوله في فرعين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المقصودُ من الإطلاق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إطلاقِ الماء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يصُحَّ أنْ يُطلقَ على السائلِ أنّه ماءٌ، وعندما يُطلَقُ عليه لفظ ماءٍ فقط يكونُ الإطلاقُ صحيحًا، أي يكونُ دالًا على المعنى من دونِ أنْ ينتظرَ السامعُ إكمالَ الكلامِ بقيدٍ إضافي، فمعناهُ التامُ هو أنّه ماءٌ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عرفيةٌ، بمعنى أنَّ الماء المطلق هو السائل الذي يكتفي العرفُ العامُ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فقط، بحيث يكونُ قدحكى كُلَّ المعنى المقصود منه بهذا اللفظ، ودلَّ عليه دلالةً تامةً لا تفتقرُ إلى الإتمامِ بإضافةِ لفظٍ آخر إلى لفظِ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عدا الماء المُطلق هو الماء المضاف،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يدلُّ على معناه دلالةً تامةً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لذا لا بُدَّ من إضافةِ لفظٍ آخر إليه؛ ليُشيرَ إلى المعنى المُراد منه،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الدلالة عليه بالاكتفاء بإطلاقِ لفظ الماء عليه؛ بل لا بُدَّ من تعيينه وتحديده بلفظٍ آخر يكونُ مضافًا إلى اللفظِ الأول؛ ومن هنا نعلم الوجه في تسميته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نضيفُ لفظًا آخر إلى لفظِ الماء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نُقيّدُ أحيانًا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مُعينٍ مثلًا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قُيّدَ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الفرق بين الإطلاقين؟ وكيفَ صار الإطلاقُ الأولُ مُضافًا والإطلاق الثاني مُطلقًا؟</w:t>
      </w:r>
    </w:p>
    <w:p>
      <w:pPr>
        <w:pStyle w:val="BookText"/>
        <w:rPr/>
      </w:pPr>
      <w:r>
        <w:rPr>
          <w:rFonts w:ascii="Amiri" w:hAnsi="Amiri" w:eastAsia="Amiri" w:cs="Amiri"/>
          <w:color w:val="111111"/>
          <w:sz w:val="28"/>
          <w:sz w:val="28"/>
          <w:szCs w:val="28"/>
          <w:rtl w:val="true"/>
          <w:lang w:bidi="ar-SA"/>
        </w:rPr>
        <w:t>للجواب لا بُدَّ من تقديمِ مقدمةٍ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لفظٍ إلى آخر لها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تعيينية أو توضيحية، وإضافةٌ تصحيحية أو احترازية، وهناك فرقٌ بينهما، إذ تتمُّ الأولى بإضافةِ قيدٍ توضيحي، أما الثانية فبإضافةِ قيدٍ احترازي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القيد التوضيحي فإنّ وظيفته تقتصر على بيان المعنى، وكمثالٍ على ذلك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يعدو أن يكون قيدًا توضيحيًا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لتعيين مكانِ الماء،أي كأنّه يوضِّحُ أنّ هذا الماءَ في البحر، فهو من باب إضافةِ المظروفِ إلى ظرفه، أي إن وظيفة هذه الإضافة هي بيان ظرف الشيء المظروف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البحر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ماهيةِ الماء، فالماءُ ماءٌ سواء أكان في الإناء أم في النهر أم في البحر، وقد أراد المتكلم أن يعين ظرفه ليس إلا فأضاف البحر، ومن ثم فهو لا يُشكِّل معرِّفًا أو مُبينًا لماهيته؛ يدلُّ على ذلك إمكانيةُ تجريد الماء منه من دون أن يختلَّ المعنى أو يكون ناقصًا، فلو أخبر المتكلم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فإنَّ السامعَ لا ينتظر منه المزيد؛ ليفهمَ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القيد الاحترازي، فهو قيدٌ يدخلُ في بيان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وظيفته التفريق والتمييز بين المُضاف وغيره ممّا يندرجُ معه تحت نفس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البرتقال أو ماء العنب وما شابه؛ فهو كالفصل في المنطق، ومعلومٌ أنَّ الشيء إنّما يتقوّمُ بجنسه وفصله، ومن ثَمَّ يدخل في ماهية المضاف، ويكونُ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أخبر شخصٌ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لكان مُلامًا في الميزان العلمي؛ لأنّه بإخباره هذا يكونُ قد رسمَ في ذهن السامع غير الواقع الذي يُريدُ الإخبارَ عنه، ففي الوقت الذييُريد إخباره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السامع معنى الماء وشكله وخصائصه، ولم يتصور ماء الرمان البتة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الفرق بين الإطلاقين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فيه توضيحي أو تعييني، وهو قيدٌ لا يدخلُ في ماهية المضاف، ولا يتقوّم المُضاف به، ومن ثَمّ يمكن تجريد المضاف منه من دون أنْ يختلَّ المعنى </w:t>
      </w:r>
    </w:p>
    <w:p>
      <w:pPr>
        <w:pStyle w:val="BookText"/>
        <w:rPr/>
      </w:pPr>
      <w:r>
        <w:rPr>
          <w:rFonts w:ascii="Amiri" w:hAnsi="Amiri" w:eastAsia="Amiri" w:cs="Amiri"/>
          <w:color w:val="111111"/>
          <w:sz w:val="28"/>
          <w:sz w:val="28"/>
          <w:szCs w:val="28"/>
          <w:rtl w:val="true"/>
          <w:lang w:bidi="ar-SA"/>
        </w:rPr>
        <w:t>المقصود، فكلمة الماء ترسم في ذهن السامع صورة الماء؛ ولذا كان مُطلقًا من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احترازي؛ يُحترز به عن ماء البرتقال وماء العنب، وهو كالفصل في المنطق كما تقدّمَ، ومن ثَمّ فهو جزءٌ من المضاف، والمضافُ يتقوَّم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لا مُطلقًا؛ لأنّه لا يُمكِنُ إطلاقه من الإضافةِ، فهي جزءٌ منه، ومقومٌ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اسمي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معلومًا أنَّ التعريف الذي ذكره المُحقِّقُ قُدس سره هو تعريفٌ اسمي لفظي لا حقيقي؛ اقتصر المُحقق فيه على مُجرَّدِ شرحِه بألفاظٍ واضحة، ولا يُريدُ التعريفَ الحقيقي الذي يكونُ بالجنسِ والفصلِ، والذي اشترطوا فيه ألّا يكونَ دوريًا، بمعنى ألّا يلزم منه الدور، كتعريف الشمس بأنّها النجم الذي يطلع في النهار، وتعريف النهار بأنّه الوقت الذي تطلع فيه الشمس، أو كتعريف الإنسان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فالمُصنِّفُ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المُطلقُ هو ما يستحقُ إطلاقَ اسمِ الماءِ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تعريف دوري، لأنّه عرف الماء المطلق بأنه الماء الذي يُطلق عليه الماء، والدورُ باطلٌ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المقصودُ منه التعريفَ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المنطقي،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الإشكالُ صحيحًا وفي محلّه، ولكنَّ المُصنِّفَ عرّفَه تعريفًا لفظيًا أو اسميًا، فلا إشكال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لفظَ الإطلاق وإنْ ذُكِرَ في التعريف ولكنه لا يلزم منه إشكالُ الدور، لما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 طاهرٌ، مزيلٌ للحدثِ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النقطة ثلاثة أمورٍ تتعلّق بحكم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الماء المطلق طاهرٌ في حدّ نفسه؟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مُطهرٌ لغيره؟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مُطهِّرٌ من الحدث والخبث أو من أحدهما دون الآخر؟</w:t>
      </w:r>
    </w:p>
    <w:p>
      <w:pPr>
        <w:pStyle w:val="BookText"/>
        <w:rPr/>
      </w:pPr>
      <w:r>
        <w:rPr>
          <w:rFonts w:ascii="Amiri" w:hAnsi="Amiri" w:eastAsia="Amiri" w:cs="Amiri"/>
          <w:color w:val="111111"/>
          <w:sz w:val="28"/>
          <w:sz w:val="28"/>
          <w:szCs w:val="28"/>
          <w:rtl w:val="true"/>
          <w:lang w:bidi="ar-SA"/>
        </w:rPr>
        <w:t>هذا ما أراد المُصنِّفُ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طاهرٌ في حدِّ نفسه، وحكمه الأولي هي الطهارة؛ ولذلك فعندَ الشك في ماءٍ مطلق ما، هل هو طاهرٌ أو نجس، فحكمه الأولي هي الطهارة، فيُبنى على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الماء المطلق هو طاهرٌ في حد نفسه بكُلِّ أقسامه، سواء أَنَزلَ من السماء كمياه الأمطار، أم نبعَ من الأرض، أم أُذيبَ من الثلج، أم كان ماءَ بئرٍ أو ماء بحرٍ أو ماءَ نهرٍ؛ فكُلُّ ماءٍ في كُلِّ قسمٍ من أقسامِ الماءِ المُطلقِ هو طاهرٌ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أنه مزيلٌ للحدث والخبث أو لأحدهما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رافعٌ للحدثِ، سواء أكان الحدثُ أصغرَ أم كان أكبرَ؛ فالحدثُ الأصغرُ يرفعه الوضوء، والحدث الأكبرُ يرفعه الغُسل</w:t>
      </w:r>
      <w:r>
        <w:rPr>
          <w:rFonts w:eastAsia="Amiri" w:cs="Amiri" w:ascii="Amiri" w:hAnsi="Amiri"/>
          <w:color w:val="111111"/>
          <w:sz w:val="28"/>
          <w:szCs w:val="28"/>
          <w:rtl w:val="true"/>
          <w:lang w:bidi="ar-SA"/>
        </w:rPr>
        <w:t xml:space="preserve">. </w:t>
      </w:r>
      <w:bookmarkStart w:id="120" w:name="pg7928_85064"/>
    </w:p>
    <w:p>
      <w:pPr>
        <w:pStyle w:val="BookText"/>
        <w:rPr/>
      </w:pPr>
      <w:bookmarkEnd w:id="120"/>
      <w:r>
        <w:rPr>
          <w:rFonts w:ascii="Amiri" w:hAnsi="Amiri" w:eastAsia="Amiri" w:cs="Amiri"/>
          <w:color w:val="111111"/>
          <w:sz w:val="28"/>
          <w:sz w:val="28"/>
          <w:szCs w:val="28"/>
          <w:rtl w:val="true"/>
          <w:lang w:bidi="ar-SA"/>
        </w:rPr>
        <w:t>وكذلك هو مطهرٌ من الخبثِ أيضًا، فإذا تنجس الثوب بالبولِ أو بالدم، وتمَّ غسله بالماءِ المُطلق، فقد طَهُرَ؛ لأنَّ الماءَ المطلقَ طاهرٌ في حدِّ نفسه ومطهرٌ لغيره، أي إنه رافعٌ للحدث ومزيلٌ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الحكمان لا خلاف فيهما</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502939_1051229030"/>
      <w:bookmarkStart w:id="122" w:name="_Toc39"/>
      <w:bookmarkEnd w:id="121"/>
      <w:r>
        <w:rPr>
          <w:rtl w:val="true"/>
        </w:rPr>
        <w:t>معنى الحدث</w:t>
      </w:r>
      <w:r>
        <w:rPr>
          <w:rtl w:val="true"/>
        </w:rPr>
        <w:t>:</w:t>
      </w:r>
      <w:bookmarkEnd w:id="122"/>
    </w:p>
    <w:p>
      <w:pPr>
        <w:pStyle w:val="BookText"/>
        <w:rPr/>
      </w:pPr>
      <w:r>
        <w:rPr>
          <w:rFonts w:ascii="Amiri" w:hAnsi="Amiri" w:eastAsia="Amiri" w:cs="Amiri"/>
          <w:color w:val="111111"/>
          <w:sz w:val="28"/>
          <w:sz w:val="28"/>
          <w:szCs w:val="28"/>
          <w:rtl w:val="true"/>
          <w:lang w:bidi="ar-SA"/>
        </w:rPr>
        <w:t>والمرادُ من الحدثِ في عُرف أهلِ الشرعِ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الصلاةِ الذي يتوقفُ رفعُه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 الذي إذا كانَ موجودًا فإنه لا تصحُّ الصلاة معه، فهو يمنعُ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يتوقفُ رفعُه على النيّة؛ فلا يصحُّ رفعه من دون نية القربة، فإذا توضّأ المُكلّفُ من دون نية القربة إلى الله تعالى؛ بأنْ غسل وجهه ويديه من دونها فإنَّ وضوءه غيرُ صحيحٍ، والحدث لم يرتفع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رافعٌ للحدث أيضًا مثل الوضوء والتيمم، لابُدَّ من نية القربة فيه؛ فلا يصحُّ بمجرّد جريان الماء على الرأس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الحدث شرعًا مركبٌ من جزأين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مانعُ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رفعه يتوقفُ على نية القربة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الحدثُ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وأكبر، والأصغرُ هو خروجُ البولِ، والغائط، والنوم، إلى آخر موجباته، وأما الأكبر فكالجنابة، والحيض، والنفاس</w:t>
      </w:r>
      <w:r>
        <w:rPr>
          <w:rFonts w:eastAsia="Amiri" w:cs="Amiri" w:ascii="Amiri" w:hAnsi="Amiri"/>
          <w:color w:val="111111"/>
          <w:sz w:val="28"/>
          <w:szCs w:val="28"/>
          <w:rtl w:val="true"/>
          <w:lang w:bidi="ar-SA"/>
        </w:rPr>
        <w:t xml:space="preserve">. </w:t>
      </w:r>
      <w:bookmarkStart w:id="123" w:name="pg7928_85065"/>
    </w:p>
    <w:p>
      <w:pPr>
        <w:pStyle w:val="Heading3"/>
        <w:numPr>
          <w:ilvl w:val="2"/>
          <w:numId w:val="1"/>
        </w:numPr>
        <w:rPr/>
      </w:pPr>
      <w:bookmarkStart w:id="124" w:name="__RefHeading___Toc6502941_1051229030"/>
      <w:bookmarkStart w:id="125" w:name="_Toc40"/>
      <w:bookmarkEnd w:id="123"/>
      <w:bookmarkEnd w:id="124"/>
      <w:r>
        <w:rPr>
          <w:rtl w:val="true"/>
        </w:rPr>
        <w:t>معنى الخبث</w:t>
      </w:r>
      <w:r>
        <w:rPr>
          <w:rtl w:val="true"/>
        </w:rPr>
        <w:t>:</w:t>
      </w:r>
      <w:bookmarkEnd w:id="125"/>
    </w:p>
    <w:p>
      <w:pPr>
        <w:pStyle w:val="BookText"/>
        <w:rPr/>
      </w:pPr>
      <w:r>
        <w:rPr>
          <w:rFonts w:ascii="Amiri" w:hAnsi="Amiri" w:eastAsia="Amiri" w:cs="Amiri"/>
          <w:color w:val="111111"/>
          <w:sz w:val="28"/>
          <w:sz w:val="28"/>
          <w:szCs w:val="28"/>
          <w:rtl w:val="true"/>
          <w:lang w:bidi="ar-SA"/>
        </w:rPr>
        <w:t>وأمّا الخبثُ فهو نفسُ النجاسةِ؛ فالدمُ نجاسةٌ، ويُسمّى خبثاً، وكذا البول، والغائط، وهكذا بقيةُ النجاسات</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502943_1051229030"/>
      <w:bookmarkStart w:id="127" w:name="_Toc41"/>
      <w:bookmarkEnd w:id="126"/>
      <w:r>
        <w:rPr>
          <w:rtl w:val="true"/>
        </w:rPr>
        <w:t>الفرق بين الحدث والخبث</w:t>
      </w:r>
      <w:r>
        <w:rPr>
          <w:rtl w:val="true"/>
        </w:rPr>
        <w:t>:</w:t>
      </w:r>
      <w:bookmarkEnd w:id="127"/>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لا يُدركُ بالحسِّ، سواءَ أكان حدثًا أصغر أم أكبر، ولا نراه بأعيننا؛ لذلك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نجاسةٌ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الخبثُ فهو يُدركُ بالحسّ، ويُرى بالعين؛ لأنّه نجاسةٌ ماديةٌ، كالدمِ والبولِ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المتوضئَ ينتقضُ وضوؤه بخروج البول؛ لأنَّ خروج البول حدثٌ أصغر، وعليه فكيف تجعلون عدمإمكانية رؤية الحدث كفرقٍ بينه وبين الخبث، والحال أنَّ المرءَ بإمكانه رؤية خروج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رأى البول يخرجُ، والبولُ نجاسةٌ ماديةٌ وهو خبثٌ لا حدث، وأما الحدث فهو نجاسةٌ معنوية لا تُدرَكُ بالحس ولا ترى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يتسببُ الخبث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وهو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الحدث، إلا أنّه ليس هو الحدث نفسه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اثرٌ يحصلُ بفعلِ المُكلّفِ، كالنوم، وخروج الريح، والجنابة، فهذه أفعالٌ يقومُ بها المُكلّفُ بشكلٍ إرادي أو لا إرادي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الخبثُ فهو أثرٌ يطرأُ على المُكلّفِ من الخارج، كالدم الذي يُصيبُ البدنَ، سواء كان من خارج البدن، كدم الذبحِ مثلًا، أو من البدنِ نفسه، كما لو جُرِحَت يده مثلًا، فإذا أصاب الدمُ البدنَ صارَ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الحدثَ مانعٌ من الصلاة مُطلقًا، سواء أكان حدثًا أصغر أم أكبر، وسواء أحدثَ بإرادة المكلف أم لا، وسواء أكان عالمًا به أم ناسيًا أم غافلًا عنه، فبمجرّدِ أنْ يحصلَ الحدثُ فإنه يكونُ مانعًا من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الخبثُ فهو مانعٌ من الصلاة أيضًا، ولكن على تفصيلٍ يُذكر في كتابِ الصلاةِ، فمثلاً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الدم الذي ينجّسَ بدنَ أو ثوبَ المصلي إذا كان أقلَّ من الدرهم، فإنّه لا يكونُ مانعًا من الصلاة، شرطَ أن لا يكون من الدماء الثلاثة، وعليه، فالدمُ لا يُشكِّلُ مانعًا من الصلاة على الدوام وبشكل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ثوب المكلف متنجسًا بنجاسةٍ، ولم يعلم بها حتى أنهى صلاته، فإنّها لا تؤثر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يمنعُ الخبثُ من الصلاةِ مُطلقًا، وإنّما فيه تفصيلٌ، على عكس الحدث الذي يمنع من صحة الصلاة في كلِّ الأحوال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في رفع الحدث نيةُ القربة إلى الله تعالى، فإذا غسل وجهه ويديه ومسح رأس ورجليه من دونِ نيةِ القربة، فإنَّ الحدث لا يرتفعُ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الخبثُ فلا يتوقفُ رفعُه على نيةِ القربة، فلو غُسِل الثوبُ المتنجسُ من دون نية القربة إلى الله تعالى فإنّه يطهر بلا شك، بل إنّه يطهرُ إذا أمطرتِ السماءُ عليه وأزالت عين النجاسة ولو من دون 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يصحُّ تطهير الثوب المتنجس عند غسله في الغسالة الأوتوماتيكية أو الكهربائية، طالما أزيلت عنه عين النجاسة، وغُسِلبالعدد المحدد من الغسلات شرعًا طبقًا لنوع النجاسة، على الرغم من انعدام نية القربة حتمًا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وباعتبارِ وقوعِ النجاسةِ فيه ينقسمُ إلى جارٍ ومحقونٍ وماء 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أقسامُ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والمحقون وماء البئر، وقدّمنا بأننا سنتعرضُ للجاري والمحقون أما ماء البئر فلا نتعرّضُ له في هذه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الماءَ المطلقَ بكُلِّ أقسامه طاهرٌ في حدِّ نفسه، مطهرٌ لغيره، أي إنه رافعٌ للحدثِ الأصغر والأكبر، ومُزيلٌ للخبث، سواء أكان الماء جاريًا أم محقونًا أم ماءَ بئرٍ، إلا أنَّ أقسام الماء المطلق تختلف فيما بينها من جهةِ اختلاف أحكامِه من حيث التنجُس، أي حين وقوع النجاسة فيه، وقد كانت هذه الجهة هي الأساسُ الذي يقومُ عليه تقسيم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ما يريد المحقق تسليط الأضواء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فأقسام الماء المطلق ثلاثة، هي</w:t>
      </w:r>
      <w:r>
        <w:rPr>
          <w:rFonts w:eastAsia="Amiri" w:cs="Amiri" w:ascii="Amiri" w:hAnsi="Amiri"/>
          <w:color w:val="111111"/>
          <w:sz w:val="28"/>
          <w:szCs w:val="28"/>
          <w:rtl w:val="true"/>
          <w:lang w:bidi="ar-SA"/>
        </w:rPr>
        <w:t xml:space="preserve">: </w:t>
      </w:r>
      <w:bookmarkStart w:id="128" w:name="pg7928_85071"/>
    </w:p>
    <w:p>
      <w:pPr>
        <w:pStyle w:val="Heading3"/>
        <w:numPr>
          <w:ilvl w:val="2"/>
          <w:numId w:val="1"/>
        </w:numPr>
        <w:rPr/>
      </w:pPr>
      <w:bookmarkStart w:id="129" w:name="__RefHeading___Toc6502945_1051229030"/>
      <w:bookmarkStart w:id="130" w:name="_Toc42"/>
      <w:bookmarkEnd w:id="128"/>
      <w:bookmarkEnd w:id="129"/>
      <w:r>
        <w:rPr>
          <w:rtl w:val="true"/>
        </w:rPr>
        <w:t>القسمُ الأول</w:t>
      </w:r>
      <w:r>
        <w:rPr>
          <w:rtl w:val="true"/>
        </w:rPr>
        <w:t xml:space="preserve">: </w:t>
      </w:r>
      <w:r>
        <w:rPr>
          <w:rtl w:val="true"/>
        </w:rPr>
        <w:t>الماء الجاري</w:t>
      </w:r>
      <w:r>
        <w:rPr>
          <w:rtl w:val="true"/>
        </w:rPr>
        <w:t>:</w:t>
      </w:r>
      <w:bookmarkEnd w:id="130"/>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 فلا ينجسُ إلا باستيلاءِ النجاسةِ على أحدِ أوصافهِ، ويطهرُ بكثرةِ الماءِ الطاهرِ عليه مُتدافعًا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في الماء الجاري عدّةَ أمورٍ توضيحية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502947_1051229030"/>
      <w:bookmarkStart w:id="132" w:name="_Toc43"/>
      <w:bookmarkEnd w:id="131"/>
      <w:r>
        <w:rPr>
          <w:rtl w:val="true"/>
        </w:rPr>
        <w:t>الأمر الأول</w:t>
      </w:r>
      <w:r>
        <w:rPr>
          <w:rtl w:val="true"/>
        </w:rPr>
        <w:t xml:space="preserve">: </w:t>
      </w:r>
      <w:r>
        <w:rPr>
          <w:rtl w:val="true"/>
        </w:rPr>
        <w:t>تعريف الماء الجاري</w:t>
      </w:r>
      <w:r>
        <w:rPr>
          <w:rtl w:val="true"/>
        </w:rPr>
        <w:t>:</w:t>
      </w:r>
      <w:bookmarkEnd w:id="132"/>
    </w:p>
    <w:p>
      <w:pPr>
        <w:pStyle w:val="BookText"/>
        <w:rPr/>
      </w:pPr>
      <w:r>
        <w:rPr>
          <w:rFonts w:ascii="Amiri" w:hAnsi="Amiri" w:eastAsia="Amiri" w:cs="Amiri"/>
          <w:color w:val="111111"/>
          <w:sz w:val="28"/>
          <w:sz w:val="28"/>
          <w:szCs w:val="28"/>
          <w:rtl w:val="true"/>
          <w:lang w:bidi="ar-SA"/>
        </w:rPr>
        <w:t>لم يُشِر المُصنِّفُ قُدس سره في عبارته إلى تعريف الماء الجاري أو بيان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النابعُ من الأرض، غير ماء البئر </w:t>
      </w:r>
      <w:r>
        <w:rPr>
          <w:rStyle w:val="FootnoteAnchor"/>
          <w:rtl w:val="true"/>
        </w:rPr>
        <w:footnoteReference w:id="26"/>
      </w:r>
      <w:r>
        <w:rPr>
          <w:rFonts w:ascii="Amiri" w:hAnsi="Amiri" w:eastAsia="Amiri" w:cs="Amiri"/>
          <w:color w:val="111111"/>
          <w:sz w:val="28"/>
          <w:sz w:val="28"/>
          <w:szCs w:val="28"/>
          <w:rtl w:val="true"/>
          <w:lang w:bidi="ar-SA"/>
        </w:rPr>
        <w:t xml:space="preserve">، سواء أجرى وسالَ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ماء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لم يجرِ عليها، كالماء الذي ينبع من الأرض ويبقى واقفًا في محلّه، ولم يكن ماء بئر، مثل عيون الماء، فهو وإن لم يجرِ، إلا أنّه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مادةً تنبعُ من الأرض </w:t>
      </w:r>
      <w:r>
        <w:rPr>
          <w:rStyle w:val="FootnoteAnchor"/>
          <w:rtl w:val="true"/>
        </w:rPr>
        <w:footnoteReference w:id="27"/>
      </w:r>
    </w:p>
    <w:p>
      <w:pPr>
        <w:pStyle w:val="Heading3"/>
        <w:numPr>
          <w:ilvl w:val="2"/>
          <w:numId w:val="1"/>
        </w:numPr>
        <w:rPr/>
      </w:pPr>
      <w:bookmarkStart w:id="133" w:name="__RefHeading___Toc6502949_1051229030"/>
      <w:bookmarkStart w:id="134" w:name="_Toc44"/>
      <w:bookmarkEnd w:id="133"/>
      <w:r>
        <w:rPr>
          <w:rtl w:val="true"/>
        </w:rPr>
        <w:t>الأمر الثاني</w:t>
      </w:r>
      <w:r>
        <w:rPr>
          <w:rtl w:val="true"/>
        </w:rPr>
        <w:t xml:space="preserve">: </w:t>
      </w:r>
      <w:r>
        <w:rPr>
          <w:rtl w:val="true"/>
        </w:rPr>
        <w:t>كيف ينفعل الماء الجاري بالنجاسة؟</w:t>
      </w:r>
      <w:bookmarkEnd w:id="134"/>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 فلا ينجسُ إلا باستيلاءِ النجاسةِ على أحدِ أوصافهِ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الجاري طاهرٌ في حدِّ نفسه، ولا يتنجسُ بمُجرّدِ وقوع النجاسة فيه؛ وذلك لأنّه معتصمٌ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والمعتصمُ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له مادةٌ تعصمُه من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الحكم الأولي له، أي إنّه لا يتنجس إلا إذا وقعت وأثّرت النجاسةُ في أحد أوصافه، أيّ غيّرت أحد أوصافه الثلاثة، سواء أغيّرت وصفًا واحدًا أم غيّرت وصفين أم غيّرت الثلاثة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والأوصاف الثلاثة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الماء، وطعمه، ورائحته، دون مُطلق الصفات من الحرارة والبرودة، أو السيولة والانجماد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وقعت نجاسةٌ في الماء الجاري مثلًا، ولم تُغيّر أحد أوصافه الثلاثة، فلا ينجس حينئذٍ، وكذا لو غيّرت وصفه من حالة السيلان إلى الانجماد، أو من حارٍ إلى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تغيّرَ لونُ الماء الجاري أو طعمه أو رائحته، فإنّه يتنجس، وإنْ لم يتغيّر إلى نفس وصف النجاسة تمامًا، كما لو سقطت قطرة دمٍ في إناءٍ فيه ماء، فإنّه ينجس بمجرد تغير لونه، ولو إلى اللون الأصفر، ولا يُشترطُ أن يتغيّر إلى لون الدم تمامًا وهو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سقطت قطرات بولٍ فيه، فإنّه ينجس بمجرد تغير الرائحة وإن لم تصل إلى رائحة البول نفسه، وكذا بالنسبة إلى تغير طعمه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الجاري لا يتنجسُ إلا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تُلاقيه النجاسة مباشرةً، أما إذا كانت النجاسة مجاورةً له، كما لو كانت النجاسة في إناءٍ مجاورٍ للماء، أو في بالوعةٍ مثلًا </w:t>
      </w:r>
    </w:p>
    <w:p>
      <w:pPr>
        <w:pStyle w:val="BookText"/>
        <w:rPr/>
      </w:pPr>
      <w:r>
        <w:rPr>
          <w:rFonts w:ascii="Amiri" w:hAnsi="Amiri" w:eastAsia="Amiri" w:cs="Amiri"/>
          <w:color w:val="111111"/>
          <w:sz w:val="28"/>
          <w:sz w:val="28"/>
          <w:szCs w:val="28"/>
          <w:rtl w:val="true"/>
          <w:lang w:bidi="ar-SA"/>
        </w:rPr>
        <w:t xml:space="preserve">مجاورة للنهر، فطالما لم يكن هناك اتصالٌ مباشر بين الماء والنجاسة، فلا يتنجسُ الماء الجاري، حتى وإن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أوصافه الثلاثة؛ لاشتراط ملاقاة النجاسة للماء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تُغيّر النجاسة أحد أوصافه الثلاثة، بسبب تلك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فبهذين الشرطين يتنجسُ الماءُ الجاري، أما إذا وقعتِ النجاسةُ في الماء الجاري ولم يتغيّر لونه أو طعمه أو رائحته فإنّه لا يتنجس، وكذا إذا تغيّر أحد أوصافه الثلاثة ولكن لا بسبب الملاقاة المباشرة، وإنما بسبب المجاورة، أو كانت الريحُ هي التي حملت الرائحة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هذا الحكم الأخير العديدُ من الأخبار المستفيضة </w:t>
      </w:r>
      <w:r>
        <w:rPr>
          <w:rStyle w:val="FootnoteAnchor"/>
          <w:rtl w:val="true"/>
        </w:rPr>
        <w:footnoteReference w:id="28"/>
      </w:r>
      <w:r>
        <w:rPr>
          <w:rFonts w:ascii="Amiri" w:hAnsi="Amiri" w:eastAsia="Amiri" w:cs="Amiri"/>
          <w:color w:val="111111"/>
          <w:sz w:val="28"/>
          <w:sz w:val="28"/>
          <w:szCs w:val="28"/>
          <w:rtl w:val="true"/>
          <w:lang w:bidi="ar-SA"/>
        </w:rPr>
        <w:t>، من قبيل ما رويَ عن رسول الله الأعظم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الماءَ طهورًا لا يُنجِّسه شيءٌ إلا ما غيّر لونه أو طعمه أو ريحه </w:t>
      </w:r>
      <w:r>
        <w:rPr>
          <w:rStyle w:val="FootnoteAnchor"/>
          <w:rtl w:val="true"/>
        </w:rPr>
        <w:footnoteReference w:id="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الماء على ريح الجيفة فتوضأ من الماء واشرب، فإذا تغير الماء أو تغير الطعم فلا توضأ منه ولا تشرب </w:t>
      </w:r>
      <w:r>
        <w:rPr>
          <w:rStyle w:val="FootnoteAnchor"/>
          <w:rtl w:val="true"/>
        </w:rPr>
        <w:footnoteReference w:id="30"/>
      </w:r>
      <w:bookmarkStart w:id="135" w:name="pg7928_85077"/>
    </w:p>
    <w:p>
      <w:pPr>
        <w:pStyle w:val="BookText"/>
        <w:rPr/>
      </w:pPr>
      <w:bookmarkEnd w:id="135"/>
      <w:r>
        <w:rPr>
          <w:rFonts w:ascii="Amiri" w:hAnsi="Amiri" w:eastAsia="Amiri" w:cs="Amiri"/>
          <w:color w:val="111111"/>
          <w:sz w:val="28"/>
          <w:sz w:val="28"/>
          <w:szCs w:val="28"/>
          <w:rtl w:val="true"/>
          <w:lang w:bidi="ar-SA"/>
        </w:rPr>
        <w:t>أي إنَّ الماء لا ينجس إذا غلبت ريحه على ريح الجيفة، يعني إذا لم يتغير الماء برائحة الجيفة فاشرب منه وتوضأ؛ لأنه طاهر ويجوز استعماله، فإذا تغيّر الماءُ أو تغيّر طعمه فلا تتوضأ منه ولا تشرب، أي إنه تنجس، فلا يجوز استعماله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502951_1051229030"/>
      <w:bookmarkStart w:id="137" w:name="_Toc45"/>
      <w:bookmarkEnd w:id="136"/>
      <w:r>
        <w:rPr>
          <w:rtl w:val="true"/>
        </w:rPr>
        <w:t>نكتة رجالية</w:t>
      </w:r>
      <w:r>
        <w:rPr>
          <w:rtl w:val="true"/>
        </w:rPr>
        <w:t xml:space="preserve">: </w:t>
      </w:r>
      <w:r>
        <w:rPr>
          <w:rtl w:val="true"/>
        </w:rPr>
        <w:t>معنى الأخبار المُستفيضة</w:t>
      </w:r>
      <w:r>
        <w:rPr>
          <w:rtl w:val="true"/>
        </w:rPr>
        <w:t>:</w:t>
      </w:r>
      <w:bookmarkEnd w:id="137"/>
    </w:p>
    <w:p>
      <w:pPr>
        <w:pStyle w:val="BookText"/>
        <w:rPr/>
      </w:pPr>
      <w:r>
        <w:rPr>
          <w:rFonts w:ascii="Amiri" w:hAnsi="Amiri" w:eastAsia="Amiri" w:cs="Amiri"/>
          <w:color w:val="111111"/>
          <w:sz w:val="28"/>
          <w:sz w:val="28"/>
          <w:szCs w:val="28"/>
          <w:rtl w:val="true"/>
          <w:lang w:bidi="ar-SA"/>
        </w:rPr>
        <w:t>الخبرُ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يزيدُ رواتُه عن واحدٍ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العلماء إلى صدقه فيما لو زاد رواته عن اثنين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آخرون إلى صدقه فيما لو زادوا عن ثلاثةٍ في كُلِّ 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أن لا يصل عدد الرواة إلى حدِّ التواتر، كما لو كان عدد ناقلي الخبر مائةً مثلًا في كُلِّ طبقة؛ لأنّ الخبر إذا وصل رواته إلى حد التواتر صار خبرًا متواترًا، وليس خبرًا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والاستفاضةُ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معنوية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وتتحقق عند اتفاق عدّةِ أخبارِ آحاد في مضمونٍ واحد، ولكنها مختلفة فيما بينها لفظًا، كما لو كان هناك خبرٌ يرويه راوٍ واحدٍ؛ وخبرٌ آخر بنفس معنى الخبر الأول ونفس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راوٍ آخر، وخبرٌ ثالث بنفس المعنى والمضمون يرويه راوٍ ثالث</w:t>
      </w:r>
      <w:r>
        <w:rPr>
          <w:rFonts w:eastAsia="Amiri" w:cs="Amiri" w:ascii="Amiri" w:hAnsi="Amiri"/>
          <w:color w:val="111111"/>
          <w:sz w:val="28"/>
          <w:szCs w:val="28"/>
          <w:rtl w:val="true"/>
          <w:lang w:bidi="ar-SA"/>
        </w:rPr>
        <w:t xml:space="preserve">. </w:t>
      </w:r>
      <w:bookmarkStart w:id="138" w:name="pg7928_85079"/>
    </w:p>
    <w:p>
      <w:pPr>
        <w:pStyle w:val="BookText"/>
        <w:rPr/>
      </w:pPr>
      <w:bookmarkEnd w:id="138"/>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يروي الخبر الواحد –بنفس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فما فوق في كُلِّ طبقةٍ، أو ثلاثةٌ على رأيٍ آخر، أو أكثرُ من ثلاثة على رأيٍ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ثلاث مراتبٍ للخبر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502953_1051229030"/>
      <w:bookmarkStart w:id="140" w:name="_Toc46"/>
      <w:bookmarkEnd w:id="139"/>
      <w:r>
        <w:rPr>
          <w:rtl w:val="true"/>
        </w:rPr>
        <w:t>مراتب الخبر</w:t>
      </w:r>
      <w:r>
        <w:rPr>
          <w:rtl w:val="true"/>
        </w:rPr>
        <w:t>:</w:t>
      </w:r>
      <w:bookmarkEnd w:id="140"/>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الخبر الذي يكون أحد طبقات السند فيه راوٍ واحد، وإن كان هناك أكثر من راوٍ في سائر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الآحاد يكون حجةً إذا كان جميعُ رواته في كل الطبقات ثُقات أو عدولاً؛ لأنّه وإن كان يُفيدُ الظن المطلق، إلا أن الأدلة دلت على حجيته، بمعنى أن الراوي وإن كان ثقةً إلا أنّه ربما أخطأ في النقل، أو توهَّمَ، أو ما شابه ذلك، وبالتالي فاحتمال عدم المطابقة للواقع موجود، ولكن قد نصّت بعض الأدلة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الظن في باب فروع الدين في زمن الغيبة، حتى وإن كان ذلك الاحتمال وارداً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خبرٌ يرويه في كُلِّ طبقةٍ اثنان أو ثلاثة أو أربعة من الرواة، شرط أن لا يصل عددُ رواته إلى حد التواتر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 التواتر هو وصول عدد الرواة في كل طبقة إلى حدٍّ بحيث يمتنعُ اجتماعهم على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والخبرُ المستفيضُ حُجةٌ؛ وذلك لإفادته الظن القوي، فهو يُفيدُ ظنًا أقوى من الظن الذي يُفيدُه خبرُ الآحاد؛ فلو كانت نسبة الظن في الخبر الآحاد سبعين بالمائة مثلاً، فإنّها في الخبر المستفيض ثمانين بالمائة مثلاً أو تسعين؛ فظنُّه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أنَّ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إفادته الظن المطلق فهو حجةٌ، فتكون حُجيةُ الخبر المستفيض من بابٍ أولى لإفادته الظن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يكونُ ناقلوه في كل طبقة من الكثرةِ بحدٍّ يمنعُ العقلُ من اجتماعِهم على الكذِب، كما لو كانوا مثلًا مائة راوٍ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مثالٍ على التواتر اللفظي هو القرآنُ الكريمُ؛ إذ نقله إلينا أُناسٌ كثيرون يحكم العقلُ بامتناع اجتماعهم على الكذب، وهؤلاء أخذوه أيضًا من أناسٍ كثيرين، وهكذا حتى نصل إلى زمن المعصوم عَلَيْهِ السَّلاَمُ، ففي كُلِّ طبقةٍ من طبقاتِ الرواةِ الذين نقلوا إلينا القرآن الكريم كان هناك عددٌ كثيرٌ من الرواة بحيث يحكم العقلُ بامتناع اجتماعهم على الكذب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ومن أمثلة التواتر هو حديث الثقلين والغدير والمنزلة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الفرق بين الخبر المستفيض والخبر المتواتر، وذلك من عدة وجوه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المتواتر يرويه في كُلِّ طبقةٍ جماعةٌ من الرواة، يحكمُ العقلُ بامتناعِ اجتماعهم على الكذب، أمّا الخبرُ المستفيض فهو و إنْ كان </w:t>
      </w:r>
    </w:p>
    <w:p>
      <w:pPr>
        <w:pStyle w:val="BookText"/>
        <w:rPr/>
      </w:pPr>
      <w:r>
        <w:rPr>
          <w:rFonts w:ascii="Amiri" w:hAnsi="Amiri" w:eastAsia="Amiri" w:cs="Amiri"/>
          <w:color w:val="111111"/>
          <w:sz w:val="28"/>
          <w:sz w:val="28"/>
          <w:szCs w:val="28"/>
          <w:rtl w:val="true"/>
          <w:lang w:bidi="ar-SA"/>
        </w:rPr>
        <w:t>يرويه عدة أفرادٍ في كُلِّ طبقةٍ ولكنّهم ليسوا بتلك الكثرة التي تصلُ إلى حدِّ أن يحكمَ العقلُ بامتناع اجتماعهم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 والخبر المتواتر وإن كان كلاهما حجةً، بيدَ أنَّ حُجيتَهما تختلف؛ فالأول حُجةٌ؛ لأنّه يُفيدُ الظن القوي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المتواتر فهو خبرٌ يمنع العقل من الحكم على رواته باجتماعهم على الكذب، أي تكون نسبة كذبهم صفراً، وعليه فتكون نسبة صدقهم مائةً بالمائة، ومن ثم فهو حُجةٌ؛ لأنّه يُفيدُ العلم؛ ولذا فهو أقوى حجيةً من حجيةِ الخبر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الخبرَ المُستفيض ربما يُفيدُ العلمَ أيضًا، ولكن لا من جهةِ كثرةِ الرواة، ووصول عددهم إلى حدٍّ يمنع العقل من الحكم عليهم بالكذب،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لكان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جهةِ احتفافِه بالقرائن الداخلية والخارجية التي ترفعه من الظن القوي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قد يُقال في خبر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بالقرائن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مضمونُ الخبر قويًا جدًا، كما لو كان موافقًا لصريح القرآن الكريم أو لرواياتٍ كثيرة وما شابه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نوعية رواة الخبر، كما لو كانوا كُلُّهم من الطبقة الأولى من الرواة، أو تعدّدت الطرق والأسانيد، أو كونهم كُلّهم ثقات، أو عدولاً، وكذا بالنسبة للسند الثاني والثالث</w:t>
      </w:r>
      <w:r>
        <w:rPr>
          <w:rFonts w:eastAsia="Amiri" w:cs="Amiri" w:ascii="Amiri" w:hAnsi="Amiri"/>
          <w:color w:val="111111"/>
          <w:sz w:val="28"/>
          <w:szCs w:val="28"/>
          <w:rtl w:val="true"/>
          <w:lang w:bidi="ar-SA"/>
        </w:rPr>
        <w:t xml:space="preserve">. </w:t>
      </w:r>
      <w:bookmarkStart w:id="141" w:name="pg7928_85086"/>
    </w:p>
    <w:p>
      <w:pPr>
        <w:pStyle w:val="BookText"/>
        <w:rPr/>
      </w:pPr>
      <w:bookmarkEnd w:id="141"/>
      <w:r>
        <w:rPr>
          <w:rFonts w:ascii="Amiri" w:hAnsi="Amiri" w:eastAsia="Amiri" w:cs="Amiri"/>
          <w:color w:val="111111"/>
          <w:sz w:val="28"/>
          <w:sz w:val="28"/>
          <w:szCs w:val="28"/>
          <w:rtl w:val="true"/>
          <w:lang w:bidi="ar-SA"/>
        </w:rPr>
        <w:t>فإذا ما اجتمعت هذه القرائن الداخلية والخارجية فإنّها ترفع الخبر المستفيض من مرتبة إفادته الظن القوي إلى مرتبة العلم، وعليه، يبقى الفرقُ قائمًا بينه وبين الخبر المتواتر حتى وإن أفاد كلاهما العلم؛ لاختلاف الجهة التي رفعت كلًا منهما إلى إفادته العلم، ففي المتواتر هي كثرة الرواة إلى حدٍّ يمنع العقل من اجتماعهم على الكذب، وفي الخبر المستفيض هي احتفافه بالقرائن الداخلية والخارجية التي باجتماعها يحصل العلم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502955_1051229030"/>
      <w:bookmarkStart w:id="143" w:name="_Toc47"/>
      <w:bookmarkEnd w:id="142"/>
      <w:r>
        <w:rPr>
          <w:rtl w:val="true"/>
        </w:rPr>
        <w:t>الأمر الثالث</w:t>
      </w:r>
      <w:r>
        <w:rPr>
          <w:rtl w:val="true"/>
        </w:rPr>
        <w:t xml:space="preserve">: </w:t>
      </w:r>
      <w:r>
        <w:rPr>
          <w:rtl w:val="true"/>
        </w:rPr>
        <w:t>كيف يطهر الماء الجاري بعد تنجُسه؟</w:t>
      </w:r>
      <w:bookmarkEnd w:id="14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 بكثرةِ الماءِ الطاهرِ عليه متدافعًا حتى يزولَ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ثلاثة شروطٍ لتطهير الماء الجاري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يُطهّرَ بالماء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تنجّسَ ماءٌ جارٍ بسقوط نجاسةٍ فيه، فتغيّرَ لونه أو طعمه أو رائحته بلونِ أو طعم أو رائحة النجاسة، فهل يكفي في تطهيره رجوع الماء إلى حالته الأولى قبل التغيُر كيفما اتفق، ولو بسببتفسُخِ هذه النجاسة، أو بسبب زوال التغيُّر الذي طرأ عليه من تلقاء نفسه، أو بسبب هبوب الريح عليه مثلاً، أم لا بُدَّ لتطهيره من سلوك طريقةٍ معينة؟</w:t>
      </w:r>
    </w:p>
    <w:p>
      <w:pPr>
        <w:pStyle w:val="BookText"/>
        <w:rPr/>
      </w:pPr>
      <w:r>
        <w:rPr>
          <w:rFonts w:ascii="Amiri" w:hAnsi="Amiri" w:eastAsia="Amiri" w:cs="Amiri"/>
          <w:color w:val="111111"/>
          <w:sz w:val="28"/>
          <w:sz w:val="28"/>
          <w:szCs w:val="28"/>
          <w:rtl w:val="true"/>
          <w:lang w:bidi="ar-SA"/>
        </w:rPr>
        <w:t>هناك رأيان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زوالِ النجاسة ورجوع الماء إلى صفاته الأصلية، فإذا زالتِ النجاسةُ ولو من تلقاء نفسها فهذا كافٍ في تطهيره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ذلك؛ بل لا بُدَّ أنْ يكون تطهير الماء الجاري المتنجس وزوال التغيُر بطريقةٍ معينةٍ لا من تلقاء نفسه، وذلك بأنْ يتدافعَ الماءُ الطاهر على الماء المُتنجّس ويمتزج به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المصنف قُدس سره أنّه يختارُ الرأي الثاني؛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 بكثرة الماء الطاهر عليه متدافعًا حتى يزول 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الماء المُطهِّر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قول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 بكثرةِ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الكثرة في الماء الطاهر المتدافع على المتنجس ليتم تطهيره، ولا يكفي أنْ يكون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واشتراط كونه كثيرًا يعني أن يكون كُرًا فما فوق، فإذا كان كثيرًا وامتزج بالماء المتنجس وبطريقة التدافع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سيتبين إنْ شاءالله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يطهرُ ذلك الماءُ المتنجسُ، أما إذا كان قليلًا، بأنْ كان الماءُ المتدافعُ أقلَّ من كُرٍ، فلا يطهر الماء المتنجس حينئذِ، بل إنّه سيُنجِّس الماء الطاهر الذي تدافع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المُطهِّر متدافعًا، ولا يكفي مجرد الاتصال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الفقهاءُ على أنّ للماء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قليلًا أم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واحداً، فهو إما أنْ يكون طاهرًا أو متنجسًا؛ لأنَّ الطهارة والنجاسة ضدان، ومعلومٌ أنّ الضدين لا يجتمعان في شيءٍ واحدٍ في زمنٍ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فلكي يطهر الماء الجاري المتنجس، لا بُدَّ من مزجه بالماء الطاهر الكثير كما تقدّم في الشرط الثاني، بحيث يصبح الماءان ماءً واحدًا، وبالتالي يكون حكمه واحداً، وهي الطهارة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الفقهاء اختلفوا في كيفية جعل الماءين ماءً واحدًا؛ فلو كان لدينا خزّانان من الماء مثلًا، وأردنا أن نجعلهما ماءً واحدًا، فهل يكفي مجرد الاتصال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بأنبوب معين يربط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بُدّ من امتزاجهما بطريقة معينة؟</w:t>
      </w:r>
    </w:p>
    <w:p>
      <w:pPr>
        <w:pStyle w:val="BookText"/>
        <w:rPr/>
      </w:pPr>
      <w:r>
        <w:rPr>
          <w:rFonts w:ascii="Amiri" w:hAnsi="Amiri" w:eastAsia="Amiri" w:cs="Amiri"/>
          <w:color w:val="111111"/>
          <w:sz w:val="28"/>
          <w:sz w:val="28"/>
          <w:szCs w:val="28"/>
          <w:rtl w:val="true"/>
          <w:lang w:bidi="ar-SA"/>
        </w:rPr>
        <w:t>هناك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الاتصال التدريجي بين المائين لصيرورتهما ماءً واحدًا، بل لا بُدَّ من أنْ يكون امتزاجهما دفعةً واحدةً، والملاك في امتزاجهما الدفعي هو ما يراه العرف، بمعنى أن يكون الامتزاج دفعيًا سريعًا لا بشكلٍ تدريجي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هذا الامتزاج الدقة العقلية، بمعنى امتزاج كل مليمتر من الماء الطاهر بكل مليمترٍ من الماء المتنجس مثلًا، بل يكفي أن يرى العرف امتزاجهما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الرأي المشهور بين الفقهاء، ويظهر من كلام المُحقق قُدس سره أنّه ممن يرى هذا الرأي؛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 بكثرةِ الماءِ الطاهر عليه متدافعًا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الامتزاج بدفعة واحدة عرفية، أو بالاستمرار لا التقطُع، بما يعدّه العرف متدافعًا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يكون الماء متدافعًا، بل المهم هو أن يصير الماءان ماءً واحدًا، وإن كان عن طريق الاتصال التدريجي المستمر بينهما، بل ولو بمجرد مدِّ خرطوم ماءٍ من خزّان الماء الطاهر إلى خزّان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هذا الرأي إلى الشهيد الأول؛ وأما السبب في قوله بهذا الرأي، 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مطلبٍ يُذكَرُ في علم الأصول أو في أبحاث الفقه،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مفهومٍ لم يُحدّدِ الشارعُ معناه، فإنّه قد ترك أمر تحديده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أوجب على من يفطر عمدًا في شهر رمضان كفارةً تخييرية، وهي إما عتق رقبة أو صوم شهرين متتابعين، أو إطعام ستين مسكينًا، فإن اختار المكلف الخيار الأول، فله أن يعتق ما يصدق عليه أنه رقبة، بقطع النظر عن سائر خصائصه أو صفاته؛ وذلك لأنّ الشرع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يحددها بصفاتٍ أو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يمكنه أن يعتق رقبة رجلاً، كما يمكنه أن يعتق رقبة امرأة، وكذا يمكنه أن يعتق رقبةَ كبيرٍ أو صغير، متعلم أو جاهل، وهكذا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بالنسبة إلى نفقة الزوجة؛ فإنّ الشرع أوجب على الزوج الإنفاق عليها، وأطلق ذلك، ولم يحدد عدد الثياب التي يجب على الزوج شراؤها لها، ولا نوع الطعام أو الشراب أو المسكن، فيرجع في أمر تحديد كل ذلك إلى العرف، فما كان يناسب شأنية الزوجة بالقياس إلى زوجها من حيث </w:t>
      </w:r>
      <w:bookmarkStart w:id="144" w:name="pg7928_85094"/>
    </w:p>
    <w:p>
      <w:pPr>
        <w:pStyle w:val="BookText"/>
        <w:rPr/>
      </w:pPr>
      <w:bookmarkEnd w:id="144"/>
      <w:r>
        <w:rPr>
          <w:rFonts w:ascii="Amiri" w:hAnsi="Amiri" w:eastAsia="Amiri" w:cs="Amiri"/>
          <w:color w:val="111111"/>
          <w:sz w:val="28"/>
          <w:sz w:val="28"/>
          <w:szCs w:val="28"/>
          <w:rtl w:val="true"/>
          <w:lang w:bidi="ar-SA"/>
        </w:rPr>
        <w:t xml:space="preserve">المكانة الاجتماعية أو الحالة الاقتصادية أو ما شابه ذلك، ويناسب المستوى الاقتصادي للزوج، وجب عليه إنفاقه عليها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فبالنسبة إلى المسكن مثلا ربما يناسبها كوخ أو بيت شعر في الريف أو البادية وربما لا بد لها من دار أو شقة أو حجرة منفردة المرافق في المدينة، وكذا بالنسبة إلى الألبسة ربما تكفيها ثياب بدنها من غير حاجة إلى ثياب أخرى وربما لا بد من الزيادة عليها بثياب التجمل والزينة، نعم ما تعارف عند بعض النساء من تكثير الألبسة النفسية خارج عن النفقة الواجبة، فضلاً عما تعارف عند جمع منهن من لبس بعض الألبسة مرة أو مرتين في بعض المناسبات ثم استبداله بآخر مختلف عنه نوعاً أو هيئة في المناسبات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لسان الروايات، فيُرجع حينها إلى العرف في تحديد معنى اتحاد الماءين لصيرورتهما ماءً واحداً، والعرف يرى كفاية الاتصال ولو بالتدريج المستمر غير المنقطع، ليحكم عليهما بأنهما صارا ماءً واحداً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502957_1051229030"/>
      <w:bookmarkStart w:id="146" w:name="_Toc48"/>
      <w:bookmarkEnd w:id="145"/>
      <w:r>
        <w:rPr>
          <w:rtl w:val="true"/>
        </w:rPr>
        <w:t>الأمر الرابع</w:t>
      </w:r>
      <w:r>
        <w:rPr>
          <w:rtl w:val="true"/>
        </w:rPr>
        <w:t xml:space="preserve">: </w:t>
      </w:r>
      <w:r>
        <w:rPr>
          <w:rtl w:val="true"/>
        </w:rPr>
        <w:t xml:space="preserve">يُلحَقُ بحكم ماء الجاري </w:t>
      </w:r>
      <w:r>
        <w:rPr>
          <w:rtl w:val="true"/>
        </w:rPr>
        <w:t>(</w:t>
      </w:r>
      <w:r>
        <w:rPr>
          <w:rtl w:val="true"/>
        </w:rPr>
        <w:t>وهو الاعتصام</w:t>
      </w:r>
      <w:r>
        <w:rPr>
          <w:rtl w:val="true"/>
        </w:rPr>
        <w:t xml:space="preserve">) </w:t>
      </w:r>
      <w:r>
        <w:rPr>
          <w:rtl w:val="true"/>
        </w:rPr>
        <w:t>ماء الحمام</w:t>
      </w:r>
      <w:r>
        <w:rPr>
          <w:rtl w:val="true"/>
        </w:rPr>
        <w:t>:</w:t>
      </w:r>
      <w:bookmarkEnd w:id="146"/>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بحكمِه ماءُ الحمامِ إذا كان له مادةٌ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لا بُدَّ أنْ نُبيَنَ أنَ المقصودَ من الحمام هو ما كان متعارفًا في ذلك الزمن، حيثُ كانتِ الحماماتُ عامةً، وكان ماؤها متصلًا بأحواضٍ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ويقصد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الماء الموجود في الأحواض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الطشت الذي يُغترَف منه عند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الحوض الصغير له ثلاث حالات، لكُلٍّ منها حكمه الخاص به،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ماء الحوض الصغير متصلاً بماء الحوض الرئيسي الكبير، والبالغ أكثر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الماء وإن كان قليلًا، إلا أنّه معتصم، وهو يستمد عاصميته من صلته بالماء الكر، فلا ينجس إلا عند تغيُّر 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لذلك برواية بَكْرِ بْنِ حَبِيبٍ،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الحَمَّامِ لَا بَأْسَ بِه، إِذَا كَانَتْ لَه مَادَّةٌ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ماءٌ معتصمٌ، لا يتنجس إلا إذا تغيرت إحدى أوصافه الثلاثة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أنّها رواية لا يصحُّ الاستدلال بها؛ لورود اسم بكر بن حبيب في سندها، وبكرٌ هذا مجهولُ الحال، حيث لم يُذكر في كتب الرجال بتوثيق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ما معنى مجهول الحال؟</w:t>
      </w:r>
    </w:p>
    <w:p>
      <w:pPr>
        <w:pStyle w:val="BookText"/>
        <w:rPr/>
      </w:pPr>
      <w:r>
        <w:rPr>
          <w:rFonts w:ascii="Amiri" w:hAnsi="Amiri" w:eastAsia="Amiri" w:cs="Amiri"/>
          <w:color w:val="111111"/>
          <w:sz w:val="28"/>
          <w:sz w:val="28"/>
          <w:szCs w:val="28"/>
          <w:rtl w:val="true"/>
          <w:lang w:bidi="ar-SA"/>
        </w:rPr>
        <w:t>يُقصدُ بمجهولية الحال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مجهوليةُ حاله من حيث الوثاقة، أي لا يُعلم حاله من حيث الصدق والكذب، والراوي بشكلٍ عام لا يخلو من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 الحال من حيث الصدق والكذب، أي إنه يكون مذكورًا بتوثيق، أي معروفًا بصدقه في سيرته فيكون ثقةً، أو يكونُ مذكورًا بتضعيفٍ، كما لو كان معروفًا عنه أنّه يكذبُ مثلًا، بأنْ يضعَ الحديثَ ويختلقه، أو يزيد أو ينقص منه، فيُعبَّر عنه بأنّه كذابٌ، لا يؤخذ بحديثه، أو بأنه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إنْ كان الثقةُ شيعيًا اثني عشريًا، سُمي في اصطلاح علم الرجال بالعادل، وحينها إن كان رجالُ سلسلة الرواية كلُّهم عدولًا، كانت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الثقةُ ليس بشيعي اثني عشري، كما لو كان سنيًا أو فطحيًا أو واقفيًا، فيبقى ثقةً، ويؤخذُ بروايته لوثاقته، أي لأنه لا يتعمّد الكذب، وإن كان في معتقده مخالفًا لما نحن عليه من اعتقاد، وأطلقوا على روايته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سمعنا عن روايةٍ بأنّها موثقةٌ، فهذا يعني أنَّ أحد الرجالِ الواردين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ولكنّه غيرُ عادلٍ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معلوم الحال من حيث الصدق والكذب، أي لم يُذكر بتوثيقٍ ولا تضعيف، فمثل هذا الشخص يُسمّى مجهولالحال، </w:t>
      </w:r>
    </w:p>
    <w:p>
      <w:pPr>
        <w:pStyle w:val="BookText"/>
        <w:rPr/>
      </w:pPr>
      <w:r>
        <w:rPr>
          <w:rFonts w:ascii="Amiri" w:hAnsi="Amiri" w:eastAsia="Amiri" w:cs="Amiri"/>
          <w:color w:val="111111"/>
          <w:sz w:val="28"/>
          <w:sz w:val="28"/>
          <w:szCs w:val="28"/>
          <w:rtl w:val="true"/>
          <w:lang w:bidi="ar-SA"/>
        </w:rPr>
        <w:t>ومجهولُ الحال هو وغير الثقة على حدٍّ سواء، من جهةِ عدم الأخذِ بروايتهم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ثقةً في واقعه وفي علم الله عَزَّوَجَل، إلا أنَّ علم الرجال يمنع من الأخذ برواية في مقام الاستدلال الفقهي إلا مع الاطمئنان بأنّها صادرةٌ عن المعصوم، وهذا لا يُمكن أن نصل إليه إلا مع وثاقةِ كلِّ رجلٍ من رجال السند، ومجهول الحال لا نجزم بكونه ثقة، واحتمال وثاقته لا يترجح على احتمال عدم وثاقته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رواية مجهول الحال ضعيفة لا يُمكن الأخذ بها، ومن ثَمّ حُكم على رواية بكر بن حبيب بضعف السند؛ لأنه مجهول الحال، فلا تصلحُ للاستدلال الفقهي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رغم ذلك، فإننا نحكم بأن ماء الحوض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 لا ينجسُ إلا بتغير أحد أوصافه الثلاثة؛ وذلك لأنَّ ماء الحوض الصغير متصلٌ بالحوض الكبير، وهو ماءٌ كر لا ينفعل بالنجاسة، لأن معاوية بن عمار ومحمدٍ بن مسلم رويا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وبضميمة هذه الرواية إلى روايات أخرى تؤكد أنّ ماء الكر لا يتنجس إلا مع تغيُّر أحد أوصافه الثلاثة، نكون قد توصلنا إلى أنَّ ماء الحوض المتصل بالماء الكر لا ينجس إلا بتغير أحد أوصافه الثلاثة؛ لاتصاله بالماء الكر، الذي به يكونان بمنزلة الماء الواحد، ولهما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في داخلِ الحوضِ الصغير، ولكنه منقطعٌ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 واضحٌ جدًا أنّ ما في الحوض الصغير حكمه حكم الماء القليل في كونه ينفعلُ، أي يتنجسُ بمجرد ملاقاة النجاسة، وإنْ لم يتغيّر 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في الحوض الصغير متصلاً بمادةٍ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نصف الكر، في حكمه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المشهور، وهو أنّ ماء الحمام لا يكون معتصمًا إلا إذا اتصل بماءٍ كثير، كُرٍّ أو الأكثر من كُرٍّ، وعليهفحكمه حكم الماء القليل، يعني يتنجسُ بمجردِ ملاقاة النجاسة، وإن لم يتغير أحد أوصافه الثلاثة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اعتصامِ ماءِ الحمام أكثر من الاتصال بمادةٍ، ولو لم تكن كُرًا، كما لو كانت نصف كر، وعليه، فحكمه أنه لا ينفعل بالنجاسة إلا مع تغير أحد أوصافه الثلاثة</w:t>
      </w:r>
      <w:r>
        <w:rPr>
          <w:rFonts w:eastAsia="Amiri" w:cs="Amiri" w:ascii="Amiri" w:hAnsi="Amiri"/>
          <w:color w:val="111111"/>
          <w:sz w:val="28"/>
          <w:szCs w:val="28"/>
          <w:rtl w:val="true"/>
          <w:lang w:bidi="ar-SA"/>
        </w:rPr>
        <w:t xml:space="preserve">. </w:t>
      </w:r>
      <w:bookmarkStart w:id="147" w:name="pg7928_85104"/>
    </w:p>
    <w:p>
      <w:pPr>
        <w:pStyle w:val="BookText"/>
        <w:rPr/>
      </w:pPr>
      <w:bookmarkEnd w:id="147"/>
      <w:r>
        <w:rPr>
          <w:rFonts w:ascii="Amiri" w:hAnsi="Amiri" w:eastAsia="Amiri" w:cs="Amiri"/>
          <w:color w:val="111111"/>
          <w:sz w:val="28"/>
          <w:sz w:val="28"/>
          <w:szCs w:val="28"/>
          <w:rtl w:val="true"/>
          <w:lang w:bidi="ar-SA"/>
        </w:rPr>
        <w:t>ويبدو أنَّ المُحقِّقَ قُدس سره يختارُ الرأيَ الثاني؛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بحكمه ماء الحمام إذا كان له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اشترط اتصال ماء الحمام بالمادة مطلقاً، ولم يقيدها بكونها كثيرةً أو بمقدار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والنكرةُ تُفيدُ العموم، يعني سواء أكانت المادة كرًا أم لم تكن كرًا، فإنّها تعصمُ الماء القليل </w:t>
      </w:r>
      <w:r>
        <w:rPr>
          <w:rStyle w:val="FootnoteAnchor"/>
          <w:rtl w:val="true"/>
        </w:rPr>
        <w:footnoteReference w:id="36"/>
      </w:r>
    </w:p>
    <w:p>
      <w:pPr>
        <w:pStyle w:val="Heading3"/>
        <w:numPr>
          <w:ilvl w:val="2"/>
          <w:numId w:val="1"/>
        </w:numPr>
        <w:rPr/>
      </w:pPr>
      <w:bookmarkStart w:id="148" w:name="__RefHeading___Toc6502959_1051229030"/>
      <w:bookmarkStart w:id="149" w:name="_Toc49"/>
      <w:bookmarkEnd w:id="148"/>
      <w:r>
        <w:rPr>
          <w:rtl w:val="true"/>
        </w:rPr>
        <w:t>الأمر الخامس</w:t>
      </w:r>
      <w:r>
        <w:rPr>
          <w:rtl w:val="true"/>
        </w:rPr>
        <w:t xml:space="preserve">: </w:t>
      </w:r>
      <w:r>
        <w:rPr>
          <w:rtl w:val="true"/>
        </w:rPr>
        <w:t>التغيُّر بملاقاة الطاهر، والتغيُّر من تلقاء نفسه</w:t>
      </w:r>
      <w:r>
        <w:rPr>
          <w:rtl w:val="true"/>
        </w:rPr>
        <w:t>:</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مازجَه طاهرٌ فغيّره، أو تغيّر من قِبَلِ نفسِه، لم يخرجْ عن كونِه 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 الماء الجاري الطاهر إذا امتزج بنجاسةٍ، وأدّى ذلك الامتزاج إلى تغيُّرِ أحد أوصافه الثلاثة، فإنّه يتنجس، أما لو امتزج به شيءٌ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اختلط الماءُ بالملحِ، أو بالخل مثلًا، أو اختلطت به طحالب، أو سقطت فيه أوراق الأشجار، فصار مُخضرّاً قليلًا، أو صار ثقيلًا لركوده، فالماءُ حينئذٍ يبقى على طهارته؛ لأنّه وإن تغير أحد أوصافه الثلاثة، وربما كُلُّها، إلا أنّ هذا التغير لم يكن بسبب نجاسةٍ لاقته، فيبقى طاهرًا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مُطهرًا لغيره؟ وما حكمه فيما لو لاقته نجاسة؟</w:t>
      </w:r>
    </w:p>
    <w:p>
      <w:pPr>
        <w:pStyle w:val="BookText"/>
        <w:rPr/>
      </w:pPr>
      <w:r>
        <w:rPr>
          <w:rFonts w:ascii="Amiri" w:hAnsi="Amiri" w:eastAsia="Amiri" w:cs="Amiri"/>
          <w:color w:val="111111"/>
          <w:sz w:val="28"/>
          <w:sz w:val="28"/>
          <w:szCs w:val="28"/>
          <w:rtl w:val="true"/>
          <w:lang w:bidi="ar-SA"/>
        </w:rPr>
        <w:t>للجواب عن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الماء الجاري الطاهر، سواء أتغيّر بسبب شيءٍ طاهرٍ، أم تغيّر من تلقاء نفسه، وكان ذلك التغيُّر منصبًا على أحد أوصافه الثلاثة أو حتى كلها، فإنّه لا يخلو حاله عن أحد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يُخرجه هذا التغيُّر من الإطلاق إلى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يبقى ماءً جاريًا مُطلقًا، وحينئذٍ يبقى محافظًا على حكم الماء الجاري، في كونه مُطهرًا لغيره، كما يبقى مُحافظًا على حكم الماء المعتصم في كونه لا ينجس بملاقاة النجاسة، إلا إذا تغيّر أحد أوصافه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هذا التغيُّرُ الماءَ من الإطلاق إلى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ماءً مُضافًا، وحينئذٍ لا يُحافظ على حكم الماء الجاري في كونه مُطهرًا لغيره؛ وذلك لأنّ الماء المضاف لا يكون مطهرًا لغيره، كما لا يُحافِظُ على حكم الماء المعتصم في كونه لا ينجس بملاقاة النجاسة إلا عند تغير أحد أوصافه الثلاثة؛ وذلك لأنَّ حكم الماء المضاف من حيث انفعاله بالنجاسة حكم الماء القليل، وهو أنه ينجس بمجرد ملاقاة النجاسة وإن لم يتغير أحد أوصافه الثلاثة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الماء الجاري بصيرورته مضافًا سيفقد حكمين من أحكامه</w:t>
      </w:r>
      <w:r>
        <w:rPr>
          <w:rFonts w:eastAsia="Amiri" w:cs="Amiri" w:ascii="Amiri" w:hAnsi="Amiri"/>
          <w:color w:val="111111"/>
          <w:sz w:val="28"/>
          <w:szCs w:val="28"/>
          <w:rtl w:val="true"/>
          <w:lang w:bidi="ar-SA"/>
        </w:rPr>
        <w:t xml:space="preserve">: </w:t>
      </w:r>
      <w:bookmarkStart w:id="150" w:name="pg7928_85108"/>
    </w:p>
    <w:p>
      <w:pPr>
        <w:pStyle w:val="BookText"/>
        <w:rPr/>
      </w:pPr>
      <w:bookmarkEnd w:id="15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سيفقد كونه مُطهرًا لغيره؛ وذلك لأنّ من أحكام الماء المضاف أنّه لا يُطهِّرُ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سيفقد كونه مُعتصمًا؛ ويكون حكمه حكم القليل من الماء، ينجسُ بمجرد ملاقاة النجاسة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502961_1051229030"/>
      <w:bookmarkStart w:id="152" w:name="_Toc50"/>
      <w:bookmarkEnd w:id="151"/>
      <w:r>
        <w:rPr>
          <w:rtl w:val="true"/>
        </w:rPr>
        <w:t>القسم الثاني</w:t>
      </w:r>
      <w:r>
        <w:rPr>
          <w:rtl w:val="true"/>
        </w:rPr>
        <w:t xml:space="preserve">: </w:t>
      </w:r>
      <w:r>
        <w:rPr>
          <w:rtl w:val="true"/>
        </w:rPr>
        <w:t>الماء المحقون</w:t>
      </w:r>
      <w:r>
        <w:rPr>
          <w:rtl w:val="true"/>
        </w:rPr>
        <w:t>:</w:t>
      </w:r>
      <w:bookmarkEnd w:id="15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المحقونُ، فما كان منه دون الكر فإنّه ينجسُ بملاقاة النجاسة، ويطهر بإلقاء كرٍ عليه فما زاد، دفعة، ولا يطهر بإتمامه كرًا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 كراً فصاعداً، لا ينجس، إلا أن تُغيّر النجاسة أحد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المحقون هو الماء غير النابع من الأرض، وغير ماء البئر، سواء أجرى على الأرض أم كان راكدًا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ما ليس بنابع وإن جرى على وجه الأرض </w:t>
      </w:r>
      <w:r>
        <w:rPr>
          <w:rStyle w:val="FootnoteAnchor"/>
          <w:rtl w:val="true"/>
        </w:rPr>
        <w:footnoteReference w:id="37"/>
      </w:r>
    </w:p>
    <w:p>
      <w:pPr>
        <w:pStyle w:val="Heading3"/>
        <w:numPr>
          <w:ilvl w:val="2"/>
          <w:numId w:val="1"/>
        </w:numPr>
        <w:rPr/>
      </w:pPr>
      <w:bookmarkStart w:id="153" w:name="__RefHeading___Toc6502963_1051229030"/>
      <w:bookmarkStart w:id="154" w:name="_Toc51"/>
      <w:bookmarkEnd w:id="153"/>
      <w:r>
        <w:rPr>
          <w:rtl w:val="true"/>
        </w:rPr>
        <w:t>أقسام الماء المحقون</w:t>
      </w:r>
      <w:r>
        <w:rPr>
          <w:rtl w:val="true"/>
        </w:rPr>
        <w:t>:</w:t>
      </w:r>
      <w:bookmarkEnd w:id="1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الماء المحقون إلى قسمين</w:t>
      </w:r>
      <w:r>
        <w:rPr>
          <w:rFonts w:eastAsia="Amiri" w:cs="Amiri" w:ascii="Amiri" w:hAnsi="Amiri"/>
          <w:color w:val="111111"/>
          <w:sz w:val="28"/>
          <w:szCs w:val="28"/>
          <w:rtl w:val="true"/>
          <w:lang w:bidi="ar-SA"/>
        </w:rPr>
        <w:t xml:space="preserve">: </w:t>
      </w:r>
      <w:bookmarkStart w:id="155" w:name="pg7928_85110"/>
    </w:p>
    <w:p>
      <w:pPr>
        <w:pStyle w:val="Heading3"/>
        <w:numPr>
          <w:ilvl w:val="2"/>
          <w:numId w:val="1"/>
        </w:numPr>
        <w:rPr/>
      </w:pPr>
      <w:bookmarkStart w:id="156" w:name="__RefHeading___Toc6502965_1051229030"/>
      <w:bookmarkStart w:id="157" w:name="_Toc52"/>
      <w:bookmarkEnd w:id="155"/>
      <w:bookmarkEnd w:id="156"/>
      <w:r>
        <w:rPr>
          <w:rtl w:val="true"/>
        </w:rPr>
        <w:t>القسم الأول</w:t>
      </w:r>
      <w:r>
        <w:rPr>
          <w:rtl w:val="true"/>
        </w:rPr>
        <w:t xml:space="preserve">: </w:t>
      </w:r>
      <w:r>
        <w:rPr>
          <w:rtl w:val="true"/>
        </w:rPr>
        <w:t>ما كان أقلَّ من الكُر</w:t>
      </w:r>
      <w:r>
        <w:rPr>
          <w:rtl w:val="true"/>
        </w:rPr>
        <w:t>:</w:t>
      </w:r>
      <w:bookmarkEnd w:id="157"/>
    </w:p>
    <w:p>
      <w:pPr>
        <w:pStyle w:val="BookText"/>
        <w:rPr/>
      </w:pPr>
      <w:r>
        <w:rPr>
          <w:rFonts w:ascii="Amiri" w:hAnsi="Amiri" w:eastAsia="Amiri" w:cs="Amiri"/>
          <w:color w:val="111111"/>
          <w:sz w:val="28"/>
          <w:sz w:val="28"/>
          <w:szCs w:val="28"/>
          <w:rtl w:val="true"/>
          <w:lang w:bidi="ar-SA"/>
        </w:rPr>
        <w:t>وحكمه في حدّ نفسه هو حكم الماء الأولي، وهو الطهارة؛ إذ إنَّ الأصل في كل ماءٍ أنه طاهرٌ؛ ولذلك لا تحتاج طهارته إلى دليل غير هذا الأصل، وإنما لابُد من إقامة الدليل للحكم عليه بأنّه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أي ماءٍ تحتاج إليه للشرب أو الطهور فإنَّ لك أن تستعمله لأنّه طاهرٌ، ويكفي في حكمك عليه بالطهارة أن لا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انفعاله بالنجاسة، أي حكمه عند ملاقاته النجاسة، 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ابن أبي عقيل، حيث ذهب إلى أنّ الماء المحقون لا يتنجس إلا بتغير أحد أوصافه الثلاثة بالنجاسة، أي ساوى بينه وبين الماء الكثير والماء الجاري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مقدار الماء المحقون دون الكر فإنَّ حكمه حكم الماء القليل، وهو أنه يتنجس بمجرد ملاقاة النجاسة، ولو من دون تغير أحد أوصافه الثلاثة، فالماء في طشتٍ أقل من كرٍّ ولو كان كبيراً مثلًا ينجس بملاقاته النجاسة ولو كانت قليلةً جدًا كقطرةِ 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استدل المشهور على هذا القول بعدّةِ رواياتٍ منها، صحيحةُ </w:t>
      </w:r>
      <w:r>
        <w:rPr>
          <w:rStyle w:val="FootnoteAnchor"/>
          <w:rtl w:val="true"/>
        </w:rPr>
        <w:footnoteReference w:id="39"/>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المَاءِ الَّذِي تَبُولُ فِيه الدَّوَابُّ وتَلغُ فِيه الكِلَابُ ويَغْتَسِلُ فِيه الجُنُبُ؟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عرفتم أنَّ الماء القليل ينجس بمجرد ملاقاة النجاسة، والإمام عَلَيْهِ السَّلاَمُ لم يذكر ذلك، بل ذكر حكم الماء الكر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وللجواب عن ذلك نتطرّق إلى مصطلح أصولي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ومفهوماً، فأما منطوق النص فهو ظاهر الكلام، وهو 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المفهوم، فهو حكمٌ غيرُ منطوق، بل هو ما يُفهَمُ مما وراء المنطوق، هو مخفيٌ وراء المنطوق،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الذي دلّ عليه المنطوق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يفهمه المُخاطب العاقل من هذه الرواية بحسب المنطوق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إذا كان بقدر كر لا يتنجس، وأما بحسب المفهوم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لو لم يكن قدر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أقل من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يتنجسُ بمجرّد ملاقاته النجاسة</w:t>
      </w:r>
      <w:r>
        <w:rPr>
          <w:rFonts w:eastAsia="Amiri" w:cs="Amiri" w:ascii="Amiri" w:hAnsi="Amiri"/>
          <w:color w:val="111111"/>
          <w:sz w:val="28"/>
          <w:szCs w:val="28"/>
          <w:rtl w:val="true"/>
          <w:lang w:bidi="ar-SA"/>
        </w:rPr>
        <w:t xml:space="preserve">. </w:t>
      </w:r>
      <w:bookmarkStart w:id="158" w:name="pg7928_85114"/>
    </w:p>
    <w:p>
      <w:pPr>
        <w:pStyle w:val="BookText"/>
        <w:rPr/>
      </w:pPr>
      <w:bookmarkEnd w:id="158"/>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يكن حكم الكر والأقل من كر واحدًا، أي إنّه لا يتنجس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حكم الكر والأقل من كر واحدًا، وهو عدم التنجس، لم يكن هناك داعٍ للإمام عَلَيْهِ السَّلاَمُ أنْ يُقيّدَ عدم تنجس الماء بكونه قدر كر، ولاكتفى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يُنجِّسه شيءٌ، ولكنَّالإمامَ عَلَيْهِ السَّلاَمُ فصّل بين قسمي الماء، ذاكرًا أنَّ له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يكون كُرًّا وهذا لا يتنجس، ويُفهمُ منه أنه إذا لم يكن كرًا فإنّه يتنجس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تنجس الماء مشروطٌ بكونه كرًا، فاذا انتفى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معه الحكم، وهو عدم تنجسه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قاطع للشركة، والرواية يُفهم منها التفصيل بين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فيتنجس بمجرد الملاقاة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502967_1051229030"/>
      <w:bookmarkStart w:id="160" w:name="_Toc53"/>
      <w:bookmarkEnd w:id="159"/>
      <w:r>
        <w:rPr>
          <w:rtl w:val="true"/>
        </w:rPr>
        <w:t>كيف يطهر الماء المحقون القليل لو تنجس؟</w:t>
      </w:r>
      <w:bookmarkEnd w:id="160"/>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 بإلقاءِ كُرٍّ عليه فما زاد دفعة، ولا يطهر بإتمامه كُرًّا على الأظهر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المشهور ذهب إلى أنَّ الماء المحقون القليل يتنجسُ بمُجرد ملاقاة النجاسة، وإن لم يتغيرْ أحد أوصافه الثلاثة، ولم يُنسبِ الخلافُ في ذلك إلا إلى ابن أبي عقيل، حيث ذهب إلى أنّه يتنجس بمُلاقاة النجاسة إذا تغير أحد أوصافه الثلاثة، فساوى بين القليل والكثير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تنجّس الماء القليل المحقون، فقد ذكر المحقق قُدس سره فرعين في مسألة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الماء القليل المحقون، ولكن بشرطين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 كُرٌّ كاملٌ فما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إلقاءُ الكر الكامل على الماء المتنجس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المقصودَ من الدفعة هي الدفعة العرفية لا العقلية، أي أنْ يكونَ وقوعُ جميعِ أجزاءِ الكُرِّ في زمانٍ يسيرٍ بحيثُ يصدقُ عليه عرفًا اسم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الاختلافُ بين الفقهاء حولَ كيفية امتزاج الماء الطاهر بالماء المتنجس لتطهير الأخير بصيرورتهما ماءً واحدًا، فمنهم من يرى كفاية مجرد اتصال الماء الطاهر بالماء المتنجس ولو عن طريق خرطومٍ مثلًا، ومنهم من ذهب إلى وجوب امتزاجهما امتزاجًا دفعيًا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المحقق قُدس سره أنّه يذهب إلى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تطهير الماء المحقون القليل إتمامُه كُرًّا؟</w:t>
      </w:r>
    </w:p>
    <w:p>
      <w:pPr>
        <w:pStyle w:val="BookText"/>
        <w:rPr/>
      </w:pPr>
      <w:r>
        <w:rPr>
          <w:rFonts w:ascii="Amiri" w:hAnsi="Amiri" w:eastAsia="Amiri" w:cs="Amiri"/>
          <w:color w:val="111111"/>
          <w:sz w:val="28"/>
          <w:sz w:val="28"/>
          <w:szCs w:val="28"/>
          <w:rtl w:val="true"/>
          <w:lang w:bidi="ar-SA"/>
        </w:rPr>
        <w:t>لو كان الماء المحقون القليل مقدار نصف كُرٍّ مثلًا، فهل يكفي في تطهيره إلقاء نصف كُرٍّ طاهرٍ عليه ليكون مجموع الماءين كُرًّا كاملًا؟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يرتضِ المحقق قُدس سره هذه الطريقة، واشترط أنْ يكونَ التطهيرُ بكُرٍ كاملٍ فما زاد، وأن يُلقى دُفعةً على الماء القليل؛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يطهرُ بإتمامِه كُرًا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إلى أنَّ هناك رأيًا آخر يقولُ بكفايةِ الإتمامِ كرًا، وقد نُقِلَ هذا القول عن السيد المرتضى قُدس سره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وتفصيلُ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إتمامَ الماءَ كُرًا يوجبُ استهلاكَ النجاسةِ وانعدامَها، فإذا استُهلِكتِ النجاسةُ وانعدمت صار الماءُ طاهرًا، ولا فرقَ من هذه الناحية بين أنْ يكونَ الماءُ منذ البداية كُرًا، فيبقى طاهرًا، ولا يتنجس بملاقاةِ النجاسة إلا إذا تغيّر أحد أوصافه الثلاثة، وبين أن يكون قليلًا ثم يبلغَ مقدار الكر ليطهر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المرتضى قُدس سره ساوى بين الأمرين، رغم أنّ التسوية بين الأمرين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إلى رأي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وإنْ كان المتمم متنجسًا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به يكتمل المحقون كرًا، فهو كاف للتطهير؛ باعتبار أن نفس اكتماله كرًا يكون عاصمًا للماء من المتنجس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استُدِلَّ على الرأي الأول المشهور بأنّ من أحكام الماء القليل أنّه يتنجس بمجرد ملاقاة النجاسة؛ وعليه فلو كانالماء المتنجس نصف كُرٍ فإنّه لا يطهر بإلقاء نصف كُرٍ آخر عليه؛ لأنّ كُلًا من الماءين قليلٌ، </w:t>
      </w:r>
      <w:bookmarkStart w:id="161" w:name="pg7928_85121"/>
    </w:p>
    <w:p>
      <w:pPr>
        <w:pStyle w:val="BookText"/>
        <w:rPr/>
      </w:pPr>
      <w:bookmarkEnd w:id="161"/>
      <w:r>
        <w:rPr>
          <w:rFonts w:ascii="Amiri" w:hAnsi="Amiri" w:eastAsia="Amiri" w:cs="Amiri"/>
          <w:color w:val="111111"/>
          <w:sz w:val="28"/>
          <w:sz w:val="28"/>
          <w:szCs w:val="28"/>
          <w:rtl w:val="true"/>
          <w:lang w:bidi="ar-SA"/>
        </w:rPr>
        <w:t>فإذا أُلقيَ القليل الطاهر على القليل المتنجس انفعلَ الأول بمجرد ملاقاة النجاسة، وبذا يُصبِح كلا الماءين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لو اختلفت نسبةُ كُلٍ من الماءين، ما دام كلُ واحدٍ منهما قليلًا، بأن كان أحدهما ثلاثة أرباع الكر، والثاني ربع 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الماء الملقى كرًا، فإنه يكون كافيًا لتطهير الماء القليل المتنجس؛ لأنه لا ينفعل بمجرد ملاقاة النجاسة، وعندها يأخذ القليل المتنجس حكم الكر الملقى عليه بعد امتزاجه به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502969_1051229030"/>
      <w:bookmarkStart w:id="163" w:name="_Toc54"/>
      <w:bookmarkEnd w:id="162"/>
      <w:r>
        <w:rPr>
          <w:rtl w:val="true"/>
        </w:rPr>
        <w:t>القسم الثاني</w:t>
      </w:r>
      <w:r>
        <w:rPr>
          <w:rtl w:val="true"/>
        </w:rPr>
        <w:t xml:space="preserve">: </w:t>
      </w:r>
      <w:r>
        <w:rPr>
          <w:rtl w:val="true"/>
        </w:rPr>
        <w:t>قوله قُدس سره</w:t>
      </w:r>
      <w:r>
        <w:rPr>
          <w:rtl w:val="true"/>
        </w:rPr>
        <w:t xml:space="preserve">: </w:t>
      </w:r>
      <w:r>
        <w:rPr>
          <w:rtl w:val="true"/>
        </w:rPr>
        <w:t>وما كان منه كرًا فصاعدًا</w:t>
      </w:r>
      <w:r>
        <w:rPr>
          <w:rtl w:val="true"/>
        </w:rPr>
        <w:t>...</w:t>
      </w:r>
      <w:bookmarkEnd w:id="163"/>
    </w:p>
    <w:p>
      <w:pPr>
        <w:pStyle w:val="BookText"/>
        <w:rPr/>
      </w:pPr>
      <w:r>
        <w:rPr>
          <w:rFonts w:ascii="Amiri" w:hAnsi="Amiri" w:eastAsia="Amiri" w:cs="Amiri"/>
          <w:color w:val="111111"/>
          <w:sz w:val="28"/>
          <w:sz w:val="28"/>
          <w:szCs w:val="28"/>
          <w:rtl w:val="true"/>
          <w:lang w:bidi="ar-SA"/>
        </w:rPr>
        <w:t>وهو الماء المحقون الكثير، وأبرز مصداق له اليوم هو الماءُ في الخزان إذا بلغ 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فيه المُحقق قُدس سره أموراً مهمة، وتسهيلًا للدرس والفهم ثم الحفظ، نعرضها على شكل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المحقون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ماءٌ معتصمٌ في حدِّ نفسِه؛ فلا يتنجس بملاقاة النجاسة إلا إذا تغيّر أحد أوصافه الثلاثة، وهذا ما أجمع عليه الفقهاء كافة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الأخبار المستفيضة، من قبيل رواية محمد ابن مسلم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قدرَ كرٍ لم يُنجِّسه شيءٌ</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وقد تقدّم الاستدلال بمفهوم الرواية على أنَّ الماء القليل يتنجسُ بمجرد الملاقاة، إلا أننا هنا نستفيدُ منها فائدةً أخرى، فنستدلُّ بها على أنَّ الماء الكر لا يتنجس بمجرد ملاقاة النجاسة؛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على الماء بالطهارة، وعدم تنجسه بملاقاة النجاسة بالنظر إلى مقداره فقط، وهو الكر، بقطع النظر عمّا إذا كان ذلك الماء جاريًا أو محقونًا، أي راكدًا، مما يعني أنَّ كلّ ماءٍ كان بقدر كر فهو معتصم، لا يتنجس إلا بتغير 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اعتصام الماء هنا كون الماء كرًا، أيًا كان حاله، جاريًا أو محقونًا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أن العلماء لا يستفيدون حكمًا واحدًا فقط من الرواية، بل يمكن أن يستفيدوا عدّةَ فوائد وعدةَ أحكام من روايةٍ واحدة، وهذا معنى من معاني ما روي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تطهيره فيما لو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بإلقاءِ كُرٍّ عليه فكرٌّ، حتى يزول التغيُّر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يطهر بزواله من نفسه، ولا بتصفيق الرياح، ولا بوقوع أجسام طاهرة فيه تزيل عنه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ومائتا رِطل بالعراقي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الفقهاء أجمعوا –ومنهم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الماء المحقون الكثير معتصمٌ في حدِّ نفسِه، فلا يتنجسُ إلا إذا تغيّر أحد أوصافه الثلاثة، فإنْ تنجّسَ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لاقته نجاسةٌ فتغيرت إحدى صفاته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أو طعمه، أو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المُصنِّفُ قُدس سره كيفية تطهيره، وتتلخّصُ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كُرٍ كاملٍ من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وإن زال التغيُّر بأقل من الكر، فلو تنجّسَ خزان ماءٍ يبلغُ كرًا بملاقاته دمٍ مثلًا، فتغيّر لونُه أو طعمُه أو رائحتُه، 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إلقاءِ كُرٍّ كاملٍ من الماء عليه، ولا يطهرُ بإلقاءِ الأقلِ من الكُر حتى وإن زال تغيُّره بالدم؛ لأنّ الماء المُلقى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كرًا، فيكون حينئذٍ الجميعُ قد تنجّسَ، وهكذا لو تمَّ إلقاء نصفٍ ثانٍ من الكر عليه، فالجميع قد تنجس أيضًا، وهكذا حتى لو بلغ الماءمبلغًا كبيرًا، فإنّه لا يطهر ما لم يتم إلقاء كرٍ طاهرٍ كاملٍ من الماء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المحقق قُدس سره لم يشترط صريحًا أن يكون إلقاء الماء دفعةً واحدةً عرفًا، إلا أنَّ ما يُفهم من عبارته أنّه يبني على ذلك؛ وذلك بضمِّ ما سبق، أي في الماء الجاري مثلًا، حيث اشترط أن يُطهَّر بكثرة الماء الطاهر عليه دفعةً، وهكذا في المحقون القليل،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ويطهر بإلقاء كُرٍ </w:t>
      </w:r>
    </w:p>
    <w:p>
      <w:pPr>
        <w:pStyle w:val="BookText"/>
        <w:rPr/>
      </w:pPr>
      <w:r>
        <w:rPr>
          <w:rFonts w:ascii="Amiri" w:hAnsi="Amiri" w:eastAsia="Amiri" w:cs="Amiri"/>
          <w:color w:val="111111"/>
          <w:sz w:val="28"/>
          <w:sz w:val="28"/>
          <w:szCs w:val="28"/>
          <w:rtl w:val="true"/>
          <w:lang w:bidi="ar-SA"/>
        </w:rPr>
        <w:t>عليه وما زاد دفعةً، ولعله من هذا السياق يُفهم أنّ المُصنف قُدس سره أيضاً يشترطُ أن يكون إلقاء الماء الكر لتطهير الماء المحقون الكثير دفعةً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الماء الطاهر الكُر الجديد بصفاتِ النجاسةِ الموجودة في الكُر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كُرٌّ من الماء متنجسًا بالدم، فتغيّر لونه، فتمَّ إلقاءُ كُرٍ كاملٍ عليه، فتغيّر الكُر الثاني كاملًا، فحينئذٍ يتنجس الكُران معًا، ولا يطهر أيٌ منهما، فيجب إلقاء كُرٍ ثالثٍ عليهما، وهكذا حتى نصل إلى كرٍ لا يتغيّر بإلقائه على الماء السابق المتنجس، فيطهر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غير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 ولا يطهر بزوال التغير من نفسه، ولا بتصفيق الرياح، ولا بوقوع أجسام طاهرة فيه تزيل عنه التغير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أنه لا بُدَّ من تحقق شرطين ليطهر الكُر المتنجس، فإنْ انخرم أحدهما لم يطهر، ولانخرامهما مصاديقُ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أقلِّ من كُرٍ من الماء عليه، فهذا لا يكون مُطهِّرًا للماء المتنجس وإنْ زال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المُحقق قُدس سره به لكنه يُفهم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كُرٍّ من الماء عليه، لكنّ التغيُّر لا يزول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التغيُّر من تلقاءِ نفسه، فإنه لا يطهر الكر المتنجس، لانخرام الشرط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بقيَ الماءُ فترةً من الزمن زال خلالها التغيُّر، كما لو زالت الرائحة، أو زال التغيّر باللون، أو زال التغيّر بالطعم، فلا يمكن الحكم على الماء بالطهارة؛ لعدم استناد زوالها إلى إلقاء كُرٍ من الماء الطاهر على الماء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التغيُّر بسبب هبوب الرياح؛ فلو هبَّت الرياحُ على الكُرِّ المُتنجسِ فتحرّكَ الماءُ وزال التغيُّر، فهذا لا يكون مطهرًا؛ لانخرام الشرط الأول أيضاً، اذ الشرط في التطهير أنْ يكونَ بإلقاء كُرٍ عليه، وهنا تغيّرَ بسبب هبوب الرياح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المصداق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أجسامٍ طاهرة في الماء المتنجس، لها أثرٌ يُزيلُ صفاتِ النجاسة، كما لو كان هناك نوع من المواد الكيميائية مثلًا يؤدي إلى إخفاء أثر التغيُّر في الماء المتنجس، سواء أكان التغير في لونه أم في طعمه أم في رائحته، فلو تنجّس ماء كر، فتغيربفعل النجاسة أحد أوصافه الثلاثة أو كلها، ثم سقطت فيه مادة كيميائية طاهرة لها تأثير انتزاع التغير من ذلك الماء، وبالفعل أزالته، فحينئذٍ لا يطهر الماء؛ وذلك لأن زوال التغيّر لم يكن مستندًا إلى إلقاء ماءٍ بمقدار كرٍ فيه، وهو الشرط الأول في تطهير الماء المحقون الكثير إذا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 ألفٌ ومائتا رطلٍ بالعراقي على الأظهر، أو ما كانَ كُلُّ واحدٍ من طولِه وعرضِه وعمقِه ثلاثة أشبار ونصفاً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موضوعَ الكر موضوعٌ شرعيٌ يترتبُ عليه حكمٌ شرعيٌ، إنْ تحقّق الموضوع الذي هو الكر فإنّ الماء يكون معتصمًا، أي لا يتنجسُ إلا </w:t>
      </w:r>
      <w:bookmarkStart w:id="164" w:name="pg7928_85131"/>
    </w:p>
    <w:p>
      <w:pPr>
        <w:pStyle w:val="BookText"/>
        <w:rPr/>
      </w:pPr>
      <w:bookmarkEnd w:id="164"/>
      <w:r>
        <w:rPr>
          <w:rFonts w:ascii="Amiri" w:hAnsi="Amiri" w:eastAsia="Amiri" w:cs="Amiri"/>
          <w:color w:val="111111"/>
          <w:sz w:val="28"/>
          <w:sz w:val="28"/>
          <w:szCs w:val="28"/>
          <w:rtl w:val="true"/>
          <w:lang w:bidi="ar-SA"/>
        </w:rPr>
        <w:t>بتغيُّر أحد أوصافه الثلاثة، أما إذا كان أقلّ من مقدار الكر فإنّه يتنجسُ بمجرد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وطالما كان الموضوعُ شرعيًا، وجب الرجوع فيه إلى التحديد الشرعي، أي النصوص الدينية التي بيّنتْ معنى الكُر، وعندما رجع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 الماضين منهم وحفظ الله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وجدوا أنّ هناك نوعين من التحديد للكر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بالوزن، والتحديد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بالمساحة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502971_1051229030"/>
      <w:bookmarkStart w:id="166" w:name="_Toc55"/>
      <w:bookmarkEnd w:id="165"/>
      <w:r>
        <w:rPr>
          <w:rtl w:val="true"/>
        </w:rPr>
        <w:t>التحديد الأول</w:t>
      </w:r>
      <w:r>
        <w:rPr>
          <w:rtl w:val="true"/>
        </w:rPr>
        <w:t xml:space="preserve">: </w:t>
      </w:r>
      <w:r>
        <w:rPr>
          <w:rtl w:val="true"/>
        </w:rPr>
        <w:t>التحديدُ بالوزن</w:t>
      </w:r>
      <w:r>
        <w:rPr>
          <w:rtl w:val="true"/>
        </w:rPr>
        <w:t>:</w:t>
      </w:r>
      <w:bookmarkEnd w:id="166"/>
    </w:p>
    <w:p>
      <w:pPr>
        <w:pStyle w:val="BookText"/>
        <w:rPr/>
      </w:pPr>
      <w:r>
        <w:rPr>
          <w:rFonts w:ascii="Amiri" w:hAnsi="Amiri" w:eastAsia="Amiri" w:cs="Amiri"/>
          <w:color w:val="111111"/>
          <w:sz w:val="28"/>
          <w:sz w:val="28"/>
          <w:szCs w:val="28"/>
          <w:rtl w:val="true"/>
          <w:lang w:bidi="ar-SA"/>
        </w:rPr>
        <w:t>ومقدارُه ألف ومائتا رطلٍ، يدلُّ على هذا التحديد مُرسلةُ ابن أبي عمير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ألفُ ومائتا رطلٍ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 هذه الرواية توجدُ ملحوظات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محمد بن أبي عمير من أجلّة أصحابنا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جابرية عمل الأصحاب لضعف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روايةٌ مرسلة، إذ ورد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عَلَيْهِ السَّلاَمُ، فالواسطةُ بين ابن أبي عمير وبين أبي عبد الله عَلَيْهِ السَّلاَمُ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هذا البعض؟ هو غيرُ معلومٍ، لا يُعرفُ حالُه هل هو ثقةٌ أو ليس بثقةٍ؟ عادلٌ أو ليس بعادلٍ؟ وطالما كان غيرَ معلومٍ، فلا يُمكنُ الحكمُ بوثاقتِه؛ لأنّ الوثاقةَ تحتاجُ إلى دليلٍ، ولا دليلَ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مرسلةٌ، فهي ضعيفة السند، لا تصلح للاستدلال الفقهي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ومعه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استدلوا بها على تحديدِ موضوعٍ شرعي يترتبُ عليه حكمٌ شرعي؟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في علم الرجال مفاده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الروايةَ المرسلةَ وإن كانت لا تصلحُ في حدِّ نفسِها للاستدلالِ الفقهي، ولكن قد يعرضُ عليها شيءٌ يرفعُ من قيمتِها إلى مستوى قبولِها للاستدلالِ الفقهي </w:t>
      </w:r>
      <w:r>
        <w:rPr>
          <w:rStyle w:val="FootnoteAnchor"/>
          <w:rtl w:val="true"/>
        </w:rPr>
        <w:footnoteReference w:id="47"/>
      </w:r>
      <w:r>
        <w:rPr>
          <w:rFonts w:ascii="Amiri" w:hAnsi="Amiri" w:eastAsia="Amiri" w:cs="Amiri"/>
          <w:color w:val="111111"/>
          <w:sz w:val="28"/>
          <w:sz w:val="28"/>
          <w:szCs w:val="28"/>
          <w:rtl w:val="true"/>
          <w:lang w:bidi="ar-SA"/>
        </w:rPr>
        <w:t>وهذه الرواية مثلًا، هي مرسلةٌ، ويُفترضُ بالفقهاء عدم الاستدلال بها؛ لضعف سندها، إلا أنّهم وجدوا سابقيهم من الفقهاء يعملون بها وبمضمونها، فيكون عملهم بمضمونها أو إجماعهم على العمل بمضمونها جابرًا لضعفها؛ فهي في حدِّ نفسها ضعيفةٌ، لا تقوى على أن تكون دليلًا، لكنَّ استدلالَ الفقهاء والعلماء كلهم بها، جَبَرَ ضعفها، ومنحَها القوة لتكون دليلًا، فارتقت من الضعف وعدم التمكّن من الاستدلال الفقهي إلى مستوى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عملَ الأصحابِ جابرٌ لضعفِ الرواية السندي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هذه المسألة ليست بهذا النحو من البساطة، بل فيها تعقيدٌ وكلام، وإنما ذكرناها على هذا النحو بما يناسب هذه المرحلة، وفي المراحل الأعلى سيتم الاطلاع على المزيد من التفصيل، وإنما تعرضنا لهذا البحث بصورة مختصرة ومبسطة دفعًا لإشكالٍ مقدر حول كيفية استدلال الفقهاء برواية مرسلة وهي ضعيفة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يروي عن الإمام الصادق عَلَيْهِ السَّلاَمُ، والآخر لا يروي عنه عَلَيْهِ السَّلاَمُ، والثاني اسمه محمد ابن أبي عمير، وأبوه اسمه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حدّدت الرواية مقدار الكر بالرطل، ولم تحدد مقدار الرطل أو نوعه، وللرطل نوعان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العراقي، ومقداره مائة وثلاثون درهمًا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المدني، ومقداره مائةٌ وخمسةٌ وتسعون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قُدس سره اختار النوع الأول،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ألفٌ ومائتا رطلٍ بالعراقي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هناك خلافًا بين الفقهاء في المسألة، فمنهم من يذهب إلى أنه الرطل العراقي، ومنهم من يذهب إلى أنه الرطل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كلٍّ من القولين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حساب الكر بالرطل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ذكروا له أدلة،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الرطل المدني يزيدُ في مقداره عن الرطل العراقي، حيث إنّه يبلغ مائة وخمسة وتسعين، على حين يبلغ الرطل العراقي مائة وثلاثين، وفي حالة التردد والشك بين المقدارين من حيث تطهير المتنجس به، فإننا لو طهرناه بمقدار الكر المدني، نكون قدحصلنا على الجزم بأنَّ الماء المتنجس قد تم تطهيره، لأنَّ الكر المطلوب في الواقع لأجل التطهير، إنْ كان وفقًا للحساب بالرطل العراقي فقد تمّ الامتثال للمطلوب شرعًا، وإن كان وفقًا للحساب بالرطل المدني فكذلك تم الامتثال للمطلوب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الحالتين يكون اعتماد الحساب بالرطل المدني أحوطاً؛ لأنه يولّد اليقين بكون الماء معتصمًا؛ فلا يتنجس بمجرد ملاقاة النجاسة، كما له فاعلية تطهير الماء المتنجس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يدخل تحته الأقل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فاعتماد حساب الكر بالرطل المدني يشتمل على اعتماد حسابه بالرطل العراقي،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هذا الدليل هو نفس الدليل الأول أو قريب منه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من أهل المدينة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كانوا من أهل المدينة فالمناسب أن يُجيبوا السائلَ عن الكُرِّ بالرطل المعهود عندهم؛ ولا يُتصور أن يكون الإمامُ في المدينة ويُجيبُ السائل عن </w:t>
      </w:r>
    </w:p>
    <w:p>
      <w:pPr>
        <w:pStyle w:val="BookText"/>
        <w:rPr/>
      </w:pPr>
      <w:r>
        <w:rPr>
          <w:rFonts w:ascii="Amiri" w:hAnsi="Amiri" w:eastAsia="Amiri" w:cs="Amiri"/>
          <w:color w:val="111111"/>
          <w:sz w:val="28"/>
          <w:sz w:val="28"/>
          <w:szCs w:val="28"/>
          <w:rtl w:val="true"/>
          <w:lang w:bidi="ar-SA"/>
        </w:rPr>
        <w:t>مقدار الكر بالرطل العراقي دون المدني، ثم يُطلقُ كلمة الرطل من دون 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ناقش أصحاب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باعتماد حساب الكر بالرطل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الثاني،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القول باعتماد حساب الكر بالرطل المدني هو أحوط؛ 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الاحتياط ليس واجباً في حدِّ نفسه؛ لأصالة البراءة من كل تكليفٍ عند الشك بأصل ثبوته، فمثلًا من يشك في وجوب الدعاء عند رؤية الأذان، ويتردد في وجوبه عليه، فإنّ له أن يجري البراءة؛ لأنها الأصل عند الشك في التكليف، فيكون التمسك بها مجزياً ومبرئاً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أمرٌ حسن، ولكن الحديث في الوجوب وعدمه؛ والاحتياطُ ليس واجبًا في حدِّ نفسه إلا مع الدليل الخاص، ولا دليل خاصاً في البين؛ فحتى لو كان اعتماد حساب الكر بالرطل المدني أحوط فهو ليس بواجب، والمكلف مُكلّفٌ بالامتثال للواجب دائمًا، وأما تكليفه بالاحتياط فلا يكون إلا بدليل، ولا دليل يدلُّ على ذلك فيوجبه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 يدخل تحته الأقل ولا عكس، فهو مجرد استحسان، وليس دليلًا مستقلًا في حدِّ نفسه، ولا ملاك في ترجيح الأقوال بدخول الأقل تحت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هناك أقل وأكثر يُرجّحُ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w:t>
      </w:r>
    </w:p>
    <w:p>
      <w:pPr>
        <w:pStyle w:val="BookText"/>
        <w:rPr/>
      </w:pPr>
      <w:r>
        <w:rPr>
          <w:rFonts w:ascii="Amiri" w:hAnsi="Amiri" w:eastAsia="Amiri" w:cs="Amiri"/>
          <w:color w:val="111111"/>
          <w:sz w:val="28"/>
          <w:sz w:val="28"/>
          <w:szCs w:val="28"/>
          <w:rtl w:val="true"/>
          <w:lang w:bidi="ar-SA"/>
        </w:rPr>
        <w:t xml:space="preserve">جهة القول بالاحتياط، وقد تقدّم أنَّ القولبالاحتياط لا بُدّ في وجوبه من دليلٍ، ولا دليل في البين، فلا يجب الاحتياط، ومن ثم فلا يعدو أن يكون هذا القول مجرد استحسان واجتهاد بالرأي، ولا وزن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منهي عنه ومذمومٌ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التشريع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من أهل المدينة، فصحيحٌ، ولكن هل إنَّ ذلك يعني أن عليهم دائمًا أن يُجيبوا بما هو معروفٌ ومعهودٌ عند أهل المدينة؟</w:t>
      </w:r>
    </w:p>
    <w:p>
      <w:pPr>
        <w:pStyle w:val="BookText"/>
        <w:rPr/>
      </w:pPr>
      <w:r>
        <w:rPr>
          <w:rFonts w:ascii="Amiri" w:hAnsi="Amiri" w:eastAsia="Amiri" w:cs="Amiri"/>
          <w:color w:val="111111"/>
          <w:sz w:val="28"/>
          <w:sz w:val="28"/>
          <w:szCs w:val="28"/>
          <w:rtl w:val="true"/>
          <w:lang w:bidi="ar-SA"/>
        </w:rPr>
        <w:t>هذا القول هو الآخر مجرد استحسان أيضًا، لا مؤيد له؛ فلا يصلحُ للاستدلال الفقهي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مستند القول الأول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القول باعتماد الرطل العراقي، وكما استظهر ذلك المُحقق قُدس سره إذ قال في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ألفٌ ومائتا رطلٍ بالعراقي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لأجل أنّ القدرَ المُتيقنَ هو الأقلُّ، وأما الزائدُ على القدر المتيقن فيُنفى بأصل البراءة؛ وذلك نظير ما لو كان المكلفُ مُتيقنًا بأنّه أفطر في شهر رمضان المبارك، ولكنّه كان مُتردّدًا في مقدار الذي أفطره بين الأقل والأكثر، كما لو كان مُتردّدًا بين ثلاثة أيام وخمسة أيام، فإن الشرع يوجبُ عليه قضاء ثلاثة أيامٍ؛ لأنها المقدار المتيقن بين الثلاثة والخمسة، وأما اليومان المتبقيان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غيرمتيقن باشتغال ذمته بها، وشاكٌ في ذلك، ومع الشك </w:t>
      </w:r>
      <w:bookmarkStart w:id="167" w:name="pg7928_85145"/>
    </w:p>
    <w:p>
      <w:pPr>
        <w:pStyle w:val="BookText"/>
        <w:rPr/>
      </w:pPr>
      <w:bookmarkEnd w:id="167"/>
      <w:r>
        <w:rPr>
          <w:rFonts w:ascii="Amiri" w:hAnsi="Amiri" w:eastAsia="Amiri" w:cs="Amiri"/>
          <w:color w:val="111111"/>
          <w:sz w:val="28"/>
          <w:sz w:val="28"/>
          <w:szCs w:val="28"/>
          <w:rtl w:val="true"/>
          <w:lang w:bidi="ar-SA"/>
        </w:rPr>
        <w:t xml:space="preserve">في أصل التكليف يجري أصل البراءة، أي البراءة من التكليف، فكُلُّ ما لا يعلم المكلف بأنّ ذمته مشتغلةٌ به فهو في مأمنٍ منه، ولا يجب عليه أن يؤديه؛ لأنَّ التكليف لا يثبت إلا بالقطع والجزم أو الدليل الظني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وجب قضاء صوم الثلاثة أيام، وأما اليومان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قضاؤهما؛ لعدم القطع والجزم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فنظيرُ هذا الكلام أو قريبٌ منه يُقالُ في مقام ترجيح أحد القولين في حساب الكر،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الحساب بالرطل العراقي هو مائة وثلاثون درهمًا، والحساب بالرطل المدني هو مائةٌ وخمسةٌ وتسعون درهمًا، فيكون الحساب بالرطل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وثلاثون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المتيقن؛ لدخوله ضمن كلٍّ من التحديدين، ومن ثَمّ فهو المقطوع والمجزوم بالتكليف به على كل حال، فيكون هو الواجب المكلَّف به المكلَّفُ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التحديدين، أي بين مقدار الرطل العراقي والمدني، والبالغ خمسةٌ وستون درهمًا، فهو مقدارٌ مشكوكٌ بالتكليف به، لأنَّ المكلف ليس لديه جزمٌ أو قطعٌ بالتكليف به؛ فتجري فيه أصالة البراءة لنفي التكليف به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502973_1051229030"/>
      <w:bookmarkStart w:id="169" w:name="_Toc56"/>
      <w:bookmarkEnd w:id="168"/>
      <w:r>
        <w:rPr>
          <w:rtl w:val="true"/>
        </w:rPr>
        <w:t>التحديد الثاني</w:t>
      </w:r>
      <w:r>
        <w:rPr>
          <w:rtl w:val="true"/>
        </w:rPr>
        <w:t xml:space="preserve">: </w:t>
      </w:r>
      <w:r>
        <w:rPr>
          <w:rtl w:val="true"/>
        </w:rPr>
        <w:t>التحديد بالمساحة</w:t>
      </w:r>
      <w:r>
        <w:rPr>
          <w:rtl w:val="true"/>
        </w:rPr>
        <w:t>:</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تحديد مقدار الكر بالمساحة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طول كل بُعدٍ من أبعاده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والعرض والعمق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ونصف الشبر، فيكونُ الكُرُّ بعد ضرب أبعاده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وأربعين شبرًا وسبعةَ أثمان الشبر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الشبر هو الشبر لمستوي الخلقة، أي الشبر المتعارف عند الغالب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هذا التحديد روايةُ الكافي، ونصّها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عُثْمَانَ بْنِ عِيسَى،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الكُرِّ مِنَ المَاءِ كَمْ يَكُونُ قَدْرُه؟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ثَلَاثَةِ أَشْبَارٍ ونِصْفٍ فِي عُمْقِه فِي الأَرْضِ، فَذَلِكَ الكُرُّ مِنَ المَاءِ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والروايةُ ضعيفةُ السند من عدة أوجه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راوٍ مجهولٍ؛ وهو أحمد بن محمد بن يحيى، وقد مرّ يبان معنى مجهولية الراوي، وأنه من لم يُنص عليه بتوثيق ولا 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راوٍ واقفي؛ فقد ورد في سندها عثمان بن عيسى، قال عنه النجاشي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العامري الكلابي ثم من ولد عبيد بن رؤاس، فتارة يقال الكلابي وتارة العامري وتارة الرؤاسي، والصحيح أنه مولى بني رؤاس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 الواقفة ووجهها، وأحد الوكلاء المستبدين بمال موسى بن جعفر عَلَيْهِ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70" w:name="pg7928_85149"/>
    </w:p>
    <w:p>
      <w:pPr>
        <w:pStyle w:val="BookText"/>
        <w:rPr/>
      </w:pPr>
      <w:bookmarkEnd w:id="170"/>
      <w:r>
        <w:rPr>
          <w:rFonts w:ascii="Amiri" w:hAnsi="Amiri" w:eastAsia="Amiri" w:cs="Amiri"/>
          <w:color w:val="111111"/>
          <w:sz w:val="28"/>
          <w:sz w:val="28"/>
          <w:szCs w:val="28"/>
          <w:rtl w:val="true"/>
          <w:lang w:bidi="ar-SA"/>
        </w:rPr>
        <w:t>ومعلومةٌ لديكم قصة نشوء الواقفة، 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أنكروا إمامة الإمام الرضا عَلَيْهِ السَّلاَمُ بعد استشهاد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ووقفوا عليه، وقالوا 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ولا بُدّ من انتظاره، فلا 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والدافع الحقيقي لقولهم هذا ليس هو اعتقادهم بخاتمية الأئمة عَلَيْهِم السَّلاَمُ بالإمام الكاظم عَلَيْهِ السَّلاَمُ كما يدّعون، بل لأجل احتفاظهم بالأموال التي كانت تحت أيديهم عند وكالتهم عن الإمام الكاظم عَلَيْهِ السَّلاَمُ، وعدم تسليمها إلى مستحقيها بأمر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فعثمانُ بن عيسى كان واقفيًا، فتكونُ روايتُه غيرَ مقبولةٍ</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502975_1051229030"/>
      <w:bookmarkStart w:id="172" w:name="_Toc57"/>
      <w:bookmarkEnd w:id="171"/>
      <w:r>
        <w:rPr>
          <w:rtl w:val="true"/>
        </w:rPr>
        <w:t>نكتة رجالية</w:t>
      </w:r>
      <w:r>
        <w:rPr>
          <w:rtl w:val="true"/>
        </w:rPr>
        <w:t xml:space="preserve">: </w:t>
      </w:r>
      <w:r>
        <w:rPr>
          <w:rtl w:val="true"/>
        </w:rPr>
        <w:t>كيف نتعاملُ مع الراوي الواقفي؟</w:t>
      </w:r>
      <w:bookmarkEnd w:id="172"/>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الراوي ثقةً، فهو ضعيفٌ، ومن ثَمّ لا تُقبل روايته سواء أكان واقفيًا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الراوي الواقفي ثقةً في حدِّ نفسه، فهنا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الرفض مُطلقًا، أي سواء أكانت مروية عنه قبل قوله بالوقف أم بعده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مُطلقًا، أي سواء أكانت مروية عنه قبل قوله بالوقف أم بعده، فطالما كان الراوي ثقةً، ولا يكذب، فلا تأثير لعقيدته في قبول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بالتفصيل، فما رواه الواقفي من روايات قبل قوله بالوقف يُقبل منه، وأما ما رواه بعد قوله بالوقف فلا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من أشهر الواقفين هو علي ابن أبي حمزة البطائني، وكان في حدِّ نفسه ثقة، لا يكذب، فما كان من رواياته قبل قوله بالوقف فهي مقبولةٌ، وما جاءت بعد قوله بالوقف فهي مرفوضةٌ، فالملاك في قبول ورفض الرواية هو زمن الرواية، فإذا كان زمن صدور الرواية عنه قبل وقفه، أي قبل استشهاد الإمام الكاظم عَلَيْهِ السَّلاَمُ وقبل أن يُعلن الوقف عليه، فنقبل روايته، وأما إذا كان زمن صدور الرواية عنه بعد 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استشهاد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نقبل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هو ما كان طولُه وعرضُه وعمقُه ثلاثةَ أشبارٍ فقط، أي ما تكونُ مساحتُه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هذا القول رواية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المَاءِ الَّذِي لَا يُنَجِّسُه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فِي ثَلَاثَةِ أَشْبَارٍ </w:t>
      </w:r>
      <w:r>
        <w:rPr>
          <w:rStyle w:val="FootnoteAnchor"/>
          <w:rtl w:val="true"/>
        </w:rPr>
        <w:footnoteReference w:id="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 المُحقق قُدس سره القول الأول في تحديد مقدار الكر بالمساحة، وذلك بصريح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كان كُلُّ واحدٍ من طولِه وعرضِه وعمقِه ثلاثةَ أشبارٍ ونصفًا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 سائلٍ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علمنا أنَّ تحديد الكر بالمساحة إما أن يكون ثلاثةَ أشبارٍ ونصف أو ثلاثةَ أشبارٍ فقط، وكلا التحديدين فيما لو كان خزان الماء متساوي الأضلاع، فماذا عن غيره من الأشكال، كما لو كان خزان الماء اسطوانيًا مثلًا أو ما شابه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الاستعانة بعلم الرياضيات لتحويل مقدار سعة الماء في الخزان المكعب إلى سعته في الخزان الأسطواني مثلًا، أي لتحويل مقدار اثنين وأربعين شبرًا وسبعة أثمان الشبر وفقًا للقول الأول، أو سبعة وعشرين شبرًا وفقًا للقول الثاني، ولذا فلا يُشترط أن تكون أضلاع خزان الماء متساوية، ولا أن تكون له أضلاع حتى، كالشكل البيضوي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تقدير جهود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لاحظنا في موضوع تحديد مقدار الكر أنّ هناك عدةَ آراءٍ وعدةَ تحديداتٍ في المسألة، سواء أكان في تحديده بالوزن أم في تحديده بالمساحة، فأما في التحديد الأول فقد اختلف الفقهاءُ بين الرطلِ المدني والرطل العراقي، وكُلٌّ منهما يستدلُّ على قوله، ويرد أدلة الفريق الثاني ويضعّف استدلالاته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التحديد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بالمساحة، فقد وجدنا روايتين يختلف تحديد كلٍّ منهما لمقدار الكر، كما لاحظنا روايةً ضعيفةً والأقوال في سندها، وكُلُّ ذلك مثالٌ بسيطٌ جدًا عن اختلافِ الرواياتِ في مطلبٍ شرعيٍ واحدٍ، </w:t>
      </w:r>
    </w:p>
    <w:p>
      <w:pPr>
        <w:pStyle w:val="BookText"/>
        <w:rPr/>
      </w:pPr>
      <w:r>
        <w:rPr>
          <w:rFonts w:ascii="Amiri" w:hAnsi="Amiri" w:eastAsia="Amiri" w:cs="Amiri"/>
          <w:color w:val="111111"/>
          <w:sz w:val="28"/>
          <w:sz w:val="28"/>
          <w:szCs w:val="28"/>
          <w:rtl w:val="true"/>
          <w:lang w:bidi="ar-SA"/>
        </w:rPr>
        <w:t>ومثله توجد مئات الاختلافات من هذا القبيل، والتي يحتاج الجزم بأحد الرأيين أو الآراء المطروحة فيها إلى ساعاتٍ طويلةٍ من البحث والتنقيب عن مؤيداتٍ لأحدها، وكيف نؤيد هذه الرواية، وكيف نضعف تلك الرواية، وكيف نعالج هذه الكلمة،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يكشف عن مدى الجُهد الاستثنائي الذي يبذله المجتهدُ في استنباط الحكمِ الشرعي، الأمر الذي يدعونا إلى ضرورة تقدير هذا الجهد واحترام المجتهد وتبجيله؛ فهو يقومُ بعملٍ ضخمٍ جدًا؛ إذ يترك حياته وعلاقاته وربما لا يتواصل مع كثير من أهله وأصحابه،وينقطعُ إلى روايات أهل البيت عَلَيْهِم السَّلاَمُ ليقدِّمَ لنا الفتوى على طبقٍ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نكتشف مدى ضحالة فكر من يُهمِّشُ ويُميّع جهود المجتهد في ذلك، ويعدّ عمله أمرًا بسيطًا لا يستحق معه الثناء، فالوصول إلى حكمٍ شرعي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حكم التطهير لكل أنواع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في هذا الحكم مياه الغدران والحياض والأواني على الأظهر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بيّن المُحقق قُدس سره أنَّ حكم الكثير هو عدم الانفعال بالنجاسة إلا مع تغيُّر أحد أوصافه الثلاثة، نبّه على أنَّ هذا الحكم يشمل كُلَّ ماءٍ كثيرٍ، بقطع النظر عن محل وجوده والوعاء الذي يحتويه، فسواء أكان في غديرٍ أم حوضٍ أم إناءٍ كبيرٍ، فحكمه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مستنده في قوله هذا فهو عموم الأدلة، أي إنّ الأدلة الدالة على أنَّ الماء الكثير لا ينفعل بملاقاة النجاسة إلا مع تغيُّر أحد أوصافه الثلاثة، هي أدلة عامة، لم تُخصص ذلك الحكم بما إذا كان الماء جاريًا، أو بما إذا كان في الأنهار، أو بغير ذلك من الماء الكثير؛ فموضوع الطهارة والاعتصام هو الماء الكثير، فمتى ما تحقق الموضوع ثبت له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الملاحظ أنَّ المحقق قُدس سره قد ختم قوله هذا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وجود خلافٍ في هذه المسألة، وهو قُدس سره يُرجِّحُ رأياً على رأي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ترجيح رأيه على رأي كُلٍّ من الشيخ المفيد وسلار قدس سرهما، حيثُ نُقِل عنهما أنّهما ذهبا إلى أنّ الماءَ الموجودَ في الحياض والأواني حكمه حكم الماء القليل من حيث انفعاله بالنجاسة، فيتنجس بمجرد الملاقاة وإنْ كان كثيرًا؛ لذا 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ويستوي في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اعتصام الماء وعدم انفعاله بالنجاسة إلا عند تغيُّر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الغدران والحياض والأواني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متى ما صدق على ماءٍ أنّه كثير، ثبت له هذا الحكم، بقطع النظر عن محلِّ وجوده، وكيفيته من الجريان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قول الشيخ المفيد وسلار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رواياتٍ مطلقةً نهت عن استعمال مياه الحياض والأواني بمجرد ملاقاتها للنجاسة، وهي تشملُ بإطلاقها ما لو كان الماءُ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وسنذكر رواية منها بعد قليل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استعمال ماء الإناء إذا وقعت فيه نجاسة يعني تنجسه بها، وإلا فلا وجه للنهي عن استعماله في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مياه الحياض والأواني تتنجسُ بمجرد ملاقاة النجاسة، وإنْ كان الماءُ كثيرًا؛ ولهذا ذهب كل من الشيخ المفيدوسلار قدس سرهما إلى أنَّ الماء الموجود في الحياض والأواني حكمه حكم الماء القليل، ومن ثَمّ يتنجس بمجرد أنْ تلاقيه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قُدس سره فقد اختار الرأي الأول، وهو أنّ حكم الأواني والحياض والغدران هو حكمٌ واحد، ودليله في ذلك هو عموم الأدلة الدالة على أنّ الكثير لا ينفعل بالنجاسة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هناك روايات مطلقة نهت عن استعمال مياه الحياض والأواني بمجرد ملاقاتها للنجاسة، ومن تلك الروايات ما روي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مَعَه إِنَاءَانِ فِيهِمَا مَاءٌ، وَقَعَ فِي أَحَدِهِمَا قَذَرٌ، ولَا يَدْرِي أَيُّهُمَا هُوَ، لَيْسَ يَقْدِرُ عَلَى مَاءٍ 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يُهَرِيقُهُمَا جَمِيعاً ويَتَيَمَّمُ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خصوص حكم الماء في الإناء، فقد كان سؤال السائل عن الماء في الإناء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حصل لدى الرجل علمٌ إجمالي بوقوع النجاسة في أحدهما، فقد ذكرت الرواية أنَّ رجلًا لديه إناءان وقعت في أحدهما نجاسةٌ، ولا يدري أين وقعت بالتحديد، أفي الإناء الأول أم في الثاني؟ </w:t>
      </w:r>
      <w:bookmarkStart w:id="173" w:name="pg7928_85161"/>
    </w:p>
    <w:p>
      <w:pPr>
        <w:pStyle w:val="Heading3"/>
        <w:numPr>
          <w:ilvl w:val="2"/>
          <w:numId w:val="1"/>
        </w:numPr>
        <w:rPr/>
      </w:pPr>
      <w:bookmarkStart w:id="174" w:name="__RefHeading___Toc6502977_1051229030"/>
      <w:bookmarkStart w:id="175" w:name="_Toc58"/>
      <w:bookmarkEnd w:id="173"/>
      <w:bookmarkEnd w:id="174"/>
      <w:r>
        <w:rPr>
          <w:rtl w:val="true"/>
        </w:rPr>
        <w:t>معنى العلم الإجمالي</w:t>
      </w:r>
      <w:r>
        <w:rPr>
          <w:rtl w:val="true"/>
        </w:rPr>
        <w:t>:</w:t>
      </w:r>
      <w:bookmarkEnd w:id="175"/>
    </w:p>
    <w:p>
      <w:pPr>
        <w:pStyle w:val="BookText"/>
        <w:rPr/>
      </w:pPr>
      <w:r>
        <w:rPr>
          <w:rFonts w:ascii="Amiri" w:hAnsi="Amiri" w:eastAsia="Amiri" w:cs="Amiri"/>
          <w:color w:val="111111"/>
          <w:sz w:val="28"/>
          <w:sz w:val="28"/>
          <w:szCs w:val="28"/>
          <w:rtl w:val="true"/>
          <w:lang w:bidi="ar-SA"/>
        </w:rPr>
        <w:t>هو العلم المشتمل على حيثيتين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بالجامع بين الأطراف؛ أي الكلي المعلوم القابل للانطباق على كلِّ واحدٍ من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الحيثية معلومة تفصيلًا للعالم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أي طرفٍ من الأطراف ينطبق عليه الجامع، وهذه هي جهة الجهل والغموض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بالجامع في الراوية هنا هو اليقين بوقوع النجاسة؛ لأن عند الرجل علمًا يقينيًا بأنّ نجاسةً وقعت، وهذه المعلومة معلومةٌ تفصيلًا عند الرجل، ولكنّ ما يجعل هذا العلم إجماليًا هو وجود الشك والإبهام في أيٍّ من الإناءين وقعت فيه تلك النجاسة، وهذه هي الحيثية الثانية من العلم الإجمالي، وهي الشك في أي طرف من الطرفين ينطبقُ عليه العلم بالجامع، وهو وقوع النجاسة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هنا محصورة؛ وهي في قبال الشبهة غير المحصورة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عنوانان يطلقان غالبا على المشتبهات الواقعة في أطراف العلم الإجمالي، فإذا كانت الأطراف والمحتملات قليلة معدودة يُطلقُ عليها الشبهة المحصورة؛ لانحصار الشبهة أو المشتبهات، وإذا كانت كثيرة بحيث يكون ثبوت التكليف في كل طرف منها موهوماً لا يُعبأ به، يطلق عليها الشبهة غير المحصورة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ويختلف الحكم إذا كانت الشبهة محصورة عما إذا كانت غير محصورة؛ فالعلم الإجمالي في الشبهة المحصورة منجزٌ، أي يجب على المكلف أن يعرف تكليفه اتجاهه، وهو هنا ضرورة الاجتناب عن كلا الإناءين طالما كان أحدهما نجسًا، وحيث تعذّر وجود ماءٍ غيرِه،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بالتيمم بعد أن يهريقهما جميعًا؛ لعدم تمكّن المكلف من الوضوء من أحدهما، لأنه إن فعل لكان مطالبًا بالمرجح الذي بسببه رجّح الوضوء من هذا الإناء دون الثاني، وحيثُ لا مرجح، فيكون عمله ترجيحاً بلا مرجح، وهو باطل، فيتعيّن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اهراقهما جميعًا، فيُعدُّ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مانعية النجاسة عن الوضوء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أطلقت النهي عن استعمال ماء الأواني في حال ملاقاته النجاسة، أي إنّ هذا الحكم يشمل الكر وغير الكر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أن الرواية مطلقة تشمل ما إذا كان الماء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المتفاهم العرفي، هو كون الماء الموجود قليلا، بحيث لا يتمكن من الغسل والوضوء، وذلك لأن الإناء المفروض صغير، وليس ممتلئا من الماء حسب المتعارف،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قليل جداً</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928_85166"/>
      <w:bookmarkStart w:id="177" w:name="pg7928_85166"/>
      <w:bookmarkEnd w:id="177"/>
    </w:p>
    <w:p>
      <w:pPr>
        <w:pStyle w:val="Heading3"/>
        <w:numPr>
          <w:ilvl w:val="2"/>
          <w:numId w:val="1"/>
        </w:numPr>
        <w:rPr/>
      </w:pPr>
      <w:bookmarkStart w:id="178" w:name="pg7928_85166"/>
      <w:bookmarkStart w:id="179" w:name="__RefHeading___Toc6502979_1051229030"/>
      <w:bookmarkStart w:id="180" w:name="_Toc59"/>
      <w:bookmarkEnd w:id="178"/>
      <w:bookmarkEnd w:id="179"/>
      <w:r>
        <w:rPr>
          <w:rtl w:val="true"/>
        </w:rPr>
        <w:t>الطرف الثاني</w:t>
      </w:r>
      <w:r>
        <w:rPr>
          <w:rtl w:val="true"/>
        </w:rPr>
        <w:t xml:space="preserve">: </w:t>
      </w:r>
      <w:r>
        <w:rPr>
          <w:rtl w:val="true"/>
        </w:rPr>
        <w:t>الماء المضاف</w:t>
      </w:r>
      <w:bookmarkEnd w:id="180"/>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ما اعتُصِرَ من جسمٍ أو مُزِجَ به مزجًا يسلبه 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التعريف توجد عدة ملحوظات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تعريفٌ لبيان معنى المضاف بألفاظٍ هي أوضحُ من كلمةِ المضاف، ولا يُقصد منه التعريف الحقيقي المُشتمل على الجنس القريب والفصل مثلًا ليكون جامعًا مانعًا، وهذه الملحوظة ستنفعنا إنْ شاء الله تعالى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ما اعتُصِرَ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يشمل الماء وغيره، فكُلُّ سائلٍ تم إخراجه بالعصر فهو مُضافٌ، كما لو عُصر الرمان فخرجَ منه سائلٌ، فهومن المُضاف، وكذا لو أمكنَ عصرُ الخشبِ مثلاً فخرج منه سائلٌ معينٌ، فهو من المُضاف أيضًا؛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مثل هذه السوائل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قراءةٌ أخرى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المقصودُ حينئذٍ من المُضاف هو خصوص الماء المُعتصر من الأجسام، فيخرج عن التعريف مثلُ الدم وإنْ أُخرِجَ عصرًا، فلا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جنسٌ آخر من السوائل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التعريف لفظيٌ، فسواء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موصولًا بمعنى الذي، أو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حالتا امتزاج الماء المطلق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مُزِج الماء المطلق بغيره، فهنا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عن إطلاقه بالمزج، ويبقى على إطلاقه، فيبقى حكمه حينئذٍ حكم الماء المُطلق من حيث الطهارة والتطهير وانفعاله بالنجاسة، كما لو مُزج مقدارٌ قليلٌ من السدر بالماء المطلق مزجًا لم يسلبه وصف الإطلاق، بحيث يصحُّ إطلاق كلمة الماء عليه فقط من دون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عن الإطلاق، فيُصبح مُضافًا، كالمرق مثلًا؛ فالمرق وإنْ كانت فيه نسبةُ ماءٍ كبيرةٌ، لكنّه خرج عن الإطلاق؛ لمزجه بموادٍ غذائيةٍ، فلا يُطلق عليه حينئذٍ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يُطلق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الملحوظة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سلب الإطلاق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مُزِجَ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 يسلبه إطلاقَ الاسم</w:t>
      </w:r>
      <w:r>
        <w:rPr>
          <w:rFonts w:eastAsia="Amiri" w:cs="Amiri" w:ascii="Amiri" w:hAnsi="Amiri"/>
          <w:color w:val="111111"/>
          <w:sz w:val="28"/>
          <w:szCs w:val="28"/>
          <w:rtl w:val="true"/>
          <w:lang w:bidi="ar-SA"/>
        </w:rPr>
        <w:t xml:space="preserve">). </w:t>
      </w:r>
      <w:bookmarkStart w:id="181" w:name="pg7928_85170"/>
    </w:p>
    <w:p>
      <w:pPr>
        <w:pStyle w:val="BookText"/>
        <w:rPr/>
      </w:pPr>
      <w:bookmarkEnd w:id="181"/>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سلب إطلاق لفظ الماء عنه من عدمه؟ هل هي مسألةٌ دقّيةٌ، أو إنّها عرفية؟</w:t>
      </w:r>
    </w:p>
    <w:p>
      <w:pPr>
        <w:pStyle w:val="BookText"/>
        <w:rPr/>
      </w:pPr>
      <w:r>
        <w:rPr>
          <w:rFonts w:ascii="Amiri" w:hAnsi="Amiri" w:eastAsia="Amiri" w:cs="Amiri"/>
          <w:color w:val="111111"/>
          <w:sz w:val="28"/>
          <w:sz w:val="28"/>
          <w:szCs w:val="28"/>
          <w:rtl w:val="true"/>
          <w:lang w:bidi="ar-SA"/>
        </w:rPr>
        <w:t>الظاهر أنّها مسألةٌ عرفيةٌ؛ فننظرُ إلى العرف، فإذا حكم على هذا الماء بأنّه مُطلقٌ فهو مطلقٌ، وإن رأى العرف عدم صحة إطلاق اسم الماء عليه من دون إضافةٍ، إذًا هو ماءٌ مُضافٌ، بغضِّ النظر عن كون نسبة الماء المُطلق الموجود في هذا السائل هي أكبرَ من نسبةِ الشيء الآخر الممتزج به، أو كانتِ النسبتان متساويتين، أو كانت نسبةُ ما مُزِجَ بالماء أكبر من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الماء المُضاف هو الماء أو السائل الذي يُخرج من الأجسام بعصرها، أو هو ماءٌ مُطلقٌ مُزِجَ بغيره، بحيث خرج عرفاً عن وصف الإطلاق</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6502981_1051229030"/>
      <w:bookmarkStart w:id="183" w:name="_Toc60"/>
      <w:bookmarkEnd w:id="182"/>
      <w:r>
        <w:rPr>
          <w:rtl w:val="true"/>
        </w:rPr>
        <w:t>أحكام الماء المُضاف</w:t>
      </w:r>
      <w:r>
        <w:rPr>
          <w:rtl w:val="true"/>
        </w:rPr>
        <w:t>:</w:t>
      </w:r>
      <w:bookmarkEnd w:id="18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طاهرٌ، لكن لا يُزيلُ حدثًا إجماعًا، ولا خبثًا على الأظهر، ويجوزُ استعمالُه فيما عدا ذلك، ومتى لاقته النجاسةُ نَجُسَ قليلُه وكثيرُه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المصنف قُدس سره عدّةَ أحكامٍ، نذكرها تباعًا إن شاء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طاهرٌ في حدِّ نفسه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الماء المُضاف الأولي هو أنه طاهرٌ في حدِّ نفسه؛ إذِ الأصلُ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الأعيان النجسة كالكلب والخنزير والبول والغائط إلى </w:t>
      </w:r>
    </w:p>
    <w:p>
      <w:pPr>
        <w:pStyle w:val="BookText"/>
        <w:rPr/>
      </w:pPr>
      <w:r>
        <w:rPr>
          <w:rFonts w:ascii="Amiri" w:hAnsi="Amiri" w:eastAsia="Amiri" w:cs="Amiri"/>
          <w:color w:val="111111"/>
          <w:sz w:val="28"/>
          <w:sz w:val="28"/>
          <w:szCs w:val="28"/>
          <w:rtl w:val="true"/>
          <w:lang w:bidi="ar-SA"/>
        </w:rPr>
        <w:t xml:space="preserve">آخر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الطهارة، ولا يُحكَمُ عليها بالنجاسة إلا إذا عرضت عليها نجاسةٌ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كُلُّه طَاهِرٌ حَتَّى يُعْلَمَ أَنَّه قَذِرٌ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وفي موثقة عمار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فإذا علمت فقد قذر وما لم تعلم فليس عليك </w:t>
      </w:r>
      <w:r>
        <w:rPr>
          <w:rStyle w:val="FootnoteAnchor"/>
          <w:rtl w:val="true"/>
        </w:rPr>
        <w:footnoteReference w:id="5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التنبيه على أنّ الحكم على الماء المُضاف بالطهارة إنّما يكون فيما لو كان أصلُه طاهرًا، كماء الرمان، أما لو كان أصله مُتنجسًا، فالذي يُعتصرُ منه حتمًا يكون متنجساً، كالماء المُعتصر من رمانٍ مُتنجسٍ فَرَضاً؛ فهو ماءٌ مضافٌ غير طاهر؛ لأن الأصل الذي اعتُصر منه غير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الذي يُمزج بالماء المُطلق يشترط فيه الطهارة للحكم على المضاف الناتج عن مزجهما بالطهارة، هذا إذا كان الماء المُطلق قليلًا دون مقدار الكر؛ لما تقدّم أن الماء الكر لا يتنجس بمُلاقاة النجاسة إلا إذا تغيّر أحد أوصافه الثلاثة، وعليه فلو مُزج الماء المُطلق القليل بشيءٍ ما، وكان ذلك الشيء مُتنجسًا، فإنّ الماء المُضاف الناتج عن مزجهما هو الآخر يتنجس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فضلًا عمّا إذا كان ما مُزِج بالماء المُطلق القليل عينَ نجاسةٍ، كالدم مثلًا، فإنّه يُنتج ماءً مُضافًا مُتنجسًا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الماء المُضاف هو في حدِّ نفسه طاهرٌ، ولا يتنجس إلا إذا عرضت عليه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طهارتُه مشروطةٌ بأنْ يكون أصلُه الذي اعتُصِر منه أو مُزِج معه طاهرًا، أما إذا كان مُتنجسًا فالمُضاف منه أيضًا يكون مُتنجسًا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غيرُ مُطهِّرٍ، فلا يُزيل حدثًا ولا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يُزيلُ حدثًا إجماعًا ولا خبثًا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الحكم خطوتان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أنَّ الماء المضاف لا يُزيل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معنى الحدث، والحدثُ سواء أكان أصغرَ أم أكبر، فإنَّ الماء المُضاف لا يُزيله، ولا يرفعه، فالمُحدث بالأصغر لا يُمكنه رفع الحدث لأجل استباحة الصلاة بالوضوء بالماء المُضاف؛ لأنّه لا يرفع الحدث بإجماع الفقهاء، فيبقى المكلف على حدثه الأصغر؛ ولذا ذكروا من شرائط صحة الوضوء أن يكون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رفع الحدث الأكبر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عدةُ أدلةٍ،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الآية المباركة تذكر أنّ المُحدث، سواء أكان مُحدثًا بالأصغر أم الأكبر، إذا أراد أن يُصلي، فعليه أن يرفع الحدث؛ وذلك بأن يتوضأ أو يغتسل، فإذا لم يجد الماء فعليه أنْ يتيمم بالصعيد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وجه الاستدلال بالآية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 الآية جواز الدخول بالصلاة برفع الحدث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أو الأكبر، وحصرت كيفية رفع الحدث بالماء، فإن لم يجد المكلف ماءً وجب عليه التيمم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عند الإطلاق ينصرف إلى الماء المُطلق </w:t>
      </w:r>
      <w:r>
        <w:rPr>
          <w:rStyle w:val="FootnoteAnchor"/>
          <w:rtl w:val="true"/>
        </w:rPr>
        <w:footnoteReference w:id="59"/>
      </w:r>
      <w:r>
        <w:rPr>
          <w:rFonts w:ascii="Amiri" w:hAnsi="Amiri" w:eastAsia="Amiri" w:cs="Amiri"/>
          <w:color w:val="111111"/>
          <w:sz w:val="28"/>
          <w:sz w:val="28"/>
          <w:szCs w:val="28"/>
          <w:rtl w:val="true"/>
          <w:lang w:bidi="ar-SA"/>
        </w:rPr>
        <w:t xml:space="preserve">، ولا يشمل المُضاف، ولو أراد المتكلّم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البرتقال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 أن يُبين ذلك ولا يكتفي بلفظ الماء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ذكرت الآية لفظ الماء مطلقاً، فينصرف إلى خصوص المطلق، مما يعني أنّها أرادت الوضوء بالماء المطلق فقط، ولو جاز رفع الحدث بالماء المُضاف أيضًا لذكرته، أو لجعلت عدم وجدان الماء المُطلق مسوّغًا للوضوء بالماء المُضاف، ولكنّها جعلت ذلك مسوّغًا للتيمم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الآية حصرت ما يرفع الحدث بالماء المطلق والتيمم، وأنّ الماء المُضاف لا يكون رافعًا للحدث، وإلا لذكرته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الطوسي قُدس سره في كتابيه الاستبصار والتهذيب </w:t>
      </w:r>
      <w:r>
        <w:rPr>
          <w:rStyle w:val="FootnoteAnchor"/>
          <w:rtl w:val="true"/>
        </w:rPr>
        <w:footnoteReference w:id="60"/>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معه اللبن أيتوضأُ منه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الماءُ والصعيدُ </w:t>
      </w:r>
      <w:r>
        <w:rPr>
          <w:rStyle w:val="FootnoteAnchor"/>
          <w:rtl w:val="true"/>
        </w:rPr>
        <w:footnoteReference w:id="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واضحةٌ في أنّ الماء المضاف لا يُزيل الحدث؛ لأنه عَلَيْهِ السَّلاَمُ نفى صحة الوضوء باللبن لاستباحة الصلاة، ومعلومٌ أنّ اللبن هو من الماء المضاف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أنَ الوضوء إنّما يكون بالماء، فإنْ لم يكن الماء فالصعيد، يعني التيمم بالتراب،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بنفس التقريب السابق في دلالة الآية الكريمة المتقدمة على عدم إجزاء الوضوء بالمضاف، وعدم رفع الماء المضاف للحدث؛ أي إن الرواية حصرت ما يرفع الحدث بالماء والصعيد، ومعلومٌ أنَّ الماء عند الإطلاق ينصرف إلى الماء المطلق، فلو كان الماء المضاف ممّا يصحُّ الوضوء به لذَكَره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ساغ التيمم بمجرد فقدان الماء المطلق، وإنّما لابُدَّ أنيُفقد الماء المطلق والماء المضاف كلاهما حتى يسوغ التيمم، وذلك ليس بصحيح؛ فإنّه إذا فُقِدَ الماء المطلق يصح التيمم حتى لو كان هناك ماءٌ مضاف، مما يدلُّ على أنّ الماء المضاف ليس رافعًا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الشيخ الطوسي قُدس سره بعد أنْ نقل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فنفى أنْ يكون ما سوى الماء والصعيد يجوز التوضؤ به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أي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جواز الوضوء بالماء والصعيد، أي نفى أن يكون غيره مما يجوز الوضوء به، قاصدًا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الماء والصعيد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قُدس سره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أبو جعفر محمد بن الحسن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أن ما لا يطلق عليه اسم الماء لا يجوز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الحدث، أي لا يصح الوضوء والغُسل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الوضوء بغير الماء المطلق، أي بالماء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لظاهر الكتاب والمتقرر من الأصول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ولعله قُدس سره في قوله هذا يشير إلى الآية التي تقدّمت في الدليل الأول، وأنّ ظاهر الكتاب يحصر الوضوء بالماء والتيمم بالصعيدالطيب، وهذه الرواية كذلك تحصر رفع الحدث وصحة الوضوء بالماء والصعيد فقط، فهي مُطابقةٌ لظاهر الكتاب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عدم رفع الماء المضاف للحدث مبنيٌ 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المشهور هو أنّ الماء المضاف لا يرفع الحدث، ولكن نُسِب إلى ابن بابويه رحمة الله جواز رفع الحدث بماء الورد، مستندًا في ذلك إلى ما رواه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عَنْ يُونُسَ،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ويَتَوَضَّأُ بِه لِلصَّلَاةِ؟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أنّ أبا الحسن هنا هو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يونس بن عبد الرحمن يروي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ويكمن احتجاج ابن بابويه 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نفى البأس عن الوضوء بماء الورد؛ ولذلك ذهب إلى جواز رفع الحدث بماء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الرأي بعدّة نقاشات،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هذا الرأي للإجماع؛ وما خالف الإجماع لا 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السند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هنا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حال رجال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الكليني الرواية عنه، فيدخل تحت كبرى رواية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ممن روى عنه الأجلاء أمثال الشيخ الكليني، فعلى من يقبل بأن هذه الظاهرة تكفي في التوثيق، يكون علي بن محمد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ثلاثة من الأئمة، وهم الجواد والهادي والعسكري عَلَيْهِم السَّلاَمُ، وذكر في حياته أنه روى عن أبي محمد عَلَيْهِ السَّلاَمُ، وأبي الحسن عَلَيْهِ السَّلاَمُ، وأبي هاشم، وابن أبي نجران، والحسن بن محبوب، وروى عنه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في وثاقته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فقد وثقه الشيخ الطوسي، وهكذا الوحيد وثّقه لكثرة رواياته، حيث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في الكتب الأربعة، ولرواية الأجلاء عنه، ولكونه من شيوخ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الوجيزة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لا يضر ضعفه لكونه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 بكثرة رواية الكليني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 غير معتمد عليه فيه، وكان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جداً عند نقاد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جداً فاسد الرواية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ذكر البعض توجيهاً لما ذكر من كلام في تضعيفه،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سهلٍ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عيسى بن عبيد بن يقطين، بقرينة الراوي والمروي عنه،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في أصحابنا، ثقة عين، كثير الرواية حسن التصانيف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يقطين، أبو محمد، كان وجهاً في أصحابنا، متقدماً، عظيم المنزلة، لم يروِ عن أبي عبد الله عَلَيْهِ السَّلاَمُ، وروى عن أبي الحسن والرضا عَلَيْهِما السَّلاَمُ، وكان الرضا عَلَيْهِ السَّلاَمُ يشير إليه في العلم والفتيا، وقد ورد في حقه مدح وذم، ومدائحه كثيرة، وكانت له تصانيف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وقرنه الإمام الرضا عَلَيْهِ السَّلاَمُ بسلمان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التي هي بالروايات كلها صحيحة يعتمد عليها، إلا ما ينفرد به محمد بن عيسى بن عبيد عنه، ولم يروه غيرهم، فإنه لا يعتمد عليه ولا يفتى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في رجال الكاظم والرضا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القميون، وهو عندي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الكشي في حقه روايات مادحة وذامة، والذامة ضعيفة السند والمضمون، وعدّه من أصحاب الإجماع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بُذل له مال كثير على الوقف، وامتنع عن أخذه وثبت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نصل إلى أن الرواية إما أنها ضعيفة السند، أو يقبل بها وممكن تصحيحها، ففيها احتمالان، حسب اختلاف بعض المباني، ومعه، فلا بد من البحث عن مخرج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تخريجات الشيخ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الطوسي في هذا الحديث عدة 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قبول مضمون الحديث؛ لأنه خبر شاذ شديد الشذوذ،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تحمل على محامل أخرى، وحتى وإن كانت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المقصود من الوضوء بماء الورد هو التحسين به لأجل الصلاة، أي إن المقصود من الوضوء هو اللغوي لا الاصطلاحي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المقصود هو بيان جواز استعمال ماء الورد وأنه لا يُعدّ من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ماء الورد هو ما لم يخرج عن الإطلاق إلى الإضافة، أي إنه ماء وقع فيه ورد ولم يخرج عن حد الإطلاق</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نصه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شاذٌّ شديد الشذوذ، وإن تكرر في الكتب والأصول، فإنما أصله يونس عن أبي الحسن عَلَيْهِ السَّلاَمُ ولم يروهغيره، وقد أجمعت العصابة على ترك العمل بظاهره، وما يكون هذا حكمه لا يعمل به، ولو سُلّم لاحتمل أن يكون أراد به الوضوء الذي هو التحسين، وقد بيّنّا فيما تقدم أن ذلك يسمى وضوءً، وليس لاحد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الخبر أنه سأله عن ماء الورد يتوضأ به للصلاة، لأن ذلك لا ينافي ما قلناه، لأنه يجوز أن يستعمل للتحسين، ومع هذا يقصد الدخول به في الصلاة من حيث إنه </w:t>
      </w:r>
    </w:p>
    <w:p>
      <w:pPr>
        <w:pStyle w:val="BookText"/>
        <w:rPr/>
      </w:pPr>
      <w:r>
        <w:rPr>
          <w:rFonts w:ascii="Amiri" w:hAnsi="Amiri" w:eastAsia="Amiri" w:cs="Amiri"/>
          <w:color w:val="111111"/>
          <w:sz w:val="28"/>
          <w:sz w:val="28"/>
          <w:szCs w:val="28"/>
          <w:rtl w:val="true"/>
          <w:lang w:bidi="ar-SA"/>
        </w:rPr>
        <w:t>متى استعمل الرائحة الطيبة لدخوله في الصلاة ولمناجاة ربه كان أفضل من أن يقصد التلذذ به حسب، دون وجه الله تعالى، وفي هذا إسقاط ما ظنه السائل، ويحتمل أيضاً أن يكون أراد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وقع فيه الورد، لأن ذلك قد يسمى ماءَ وردٍ، وإن لم يكن معتصراً منه، لأن كل شيء جاور غيره فإنه يكسبه اسم الإضافة إليه، وإن كان المراد به المجاورة، ألا ترى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الحِب وماء المصنع وماء القرب، وإن كانت هذه الإضافات إنما هي إضافات المجاورة دون غيرها، وفي هذا إسقاط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وتوضيح الاحتمالات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الفقهاء أعرضوا عن الأخذ بالحكم الوارد في هذه الرواية، وهو حكم جواز رفع الحدث بالماء المضاف؛ لما يكتنفها من علّاتٍ تحول دون ذلك، فهي مخالفةٌ للإجماع من جهة، وضعيفةُالسند من جهةٍ أخرى، وهو خبر شاذ شديد الشذوذ حسب تعبير الشيخ الطوسي قُدس سره من جهةٍ ثالثة؛ لذا حاولوا فهمها بإيراد احتمالاتٍ متصورة لإخراجها عن دلالتها على الحكم المتقدم في حال صحة سندها، وهذه الاحتمالات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المقصود بالوضوء في الرواية الوضوء بالمعنى الاصطلاحي، والذي هو الغسلتان والمسحتان، والذي يترتب عليه استباحة الصلاة والإتيان بكل ما تُشترط فيه الطهارة من الحدث، وإنّما المقصود به هو المعنى </w:t>
      </w:r>
    </w:p>
    <w:p>
      <w:pPr>
        <w:pStyle w:val="BookText"/>
        <w:rPr/>
      </w:pPr>
      <w:r>
        <w:rPr>
          <w:rFonts w:ascii="Amiri" w:hAnsi="Amiri" w:eastAsia="Amiri" w:cs="Amiri"/>
          <w:color w:val="111111"/>
          <w:sz w:val="28"/>
          <w:sz w:val="28"/>
          <w:szCs w:val="28"/>
          <w:rtl w:val="true"/>
          <w:lang w:bidi="ar-SA"/>
        </w:rPr>
        <w:t>اللغوي للوضوء، أي النظافة والتحسين، فكأنَّ السائلَ يسأل عن جواز الاغتسال بماء الورد لأجل النظافة، فأجاب الإمام بأنه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تكون الغاية من هذا الوضوء هو التعطر لأجل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أفضل من قصد الغسل به من دون قصد الدخول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فبهذا الاعتبار كان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وفرقه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 كان الغرض من الغسل بماء الورد لا لأجل الدخول إلى الصلاة، وإنما لمجرد الغسل والتنظيف، وأما الثاني فالغرض منه الدخول للصلاة برائحة عطرة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كانت الغاية من سؤال السائل هو الاستفهام من الإمام عَلَيْهِ السَّلاَمُ عمّا إذا كان الوضوء بماء الورد والتنظف به يُشكِّل إسرافًا محرّما أو لا، فأجابه عَلَيْهِ السَّلاَمُ بأنه لا بأس بذلك، فهي في مقام رفع الحظر ونفي الحرمة عن استعمال ماء الورد، وبيان أن استعماله ليس فيه إسراف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المقصود بماء الورد ما لم يخرج عن الإطلاق إلى الإضافة، أي ما كان فيه وردٌ لم يُخرجه عن الإطلاق؛ إذ إن مزج الماء بالورد تارةً يكون بحيث يُصبح الماء مُضافًا، وتارةً لا يخرج به عن إطلاقه كما لو كان الورد قليلًا جدًا بالنسبةِ إلى الماء، والرواية تقصد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تنفرد هذه الرواية بهذا الاستخدام للماء، فماء السدر وماء الكافور اللذان يتم تغسيل الميت بهما هما الآخران ماء مطلق واقعًا، وإن أُضيف لهما السدر والكافور، لكن بحيث لم يخرجا عن إطلاقهما، ومع ذلك يُطلق عليهما ماء السدر والكافور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لهذا الاحتمال يكون سؤال السائل هو عن الماء المطلق الذي فيه قليلٌ من الورد أو ربما رائحته فقط، فأجاز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لأنه ماءٌ مطلق، والماءُ المطلق رافعٌ للحدث 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هذا هو أهم الاحتمالات</w:t>
      </w:r>
    </w:p>
    <w:p>
      <w:pPr>
        <w:pStyle w:val="BookText"/>
        <w:rPr/>
      </w:pPr>
      <w:r>
        <w:rPr>
          <w:rFonts w:ascii="Amiri" w:hAnsi="Amiri" w:eastAsia="Amiri" w:cs="Amiri"/>
          <w:color w:val="111111"/>
          <w:sz w:val="28"/>
          <w:sz w:val="28"/>
          <w:szCs w:val="28"/>
          <w:rtl w:val="true"/>
          <w:lang w:bidi="ar-SA"/>
        </w:rPr>
        <w:t>وحينئذٍ تكون هذه الرواية متوافقةً مع المشهور الذي ذهب إلى أنّ الحدث لا يُرفع إلا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الفتوى مُستقرةٌ على عدم كون الماء المضاف رافعًا للحدث، أصغرَ كان ذلك الحدثُ أم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لا يُزيل الخبث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خبثًا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خطوتان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تتحقق إزالة الخبث إلا بالماء المطلق؟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ومادية، يُعبّر عن الأولى بالحدث، وعن الثانية بالخبث، وقد تقدّم الحديث عن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إزالة كلا القسمين من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الا بالماء المطلق، وأما الماء المضاف فلا يُزيل أيًا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لا تتحقق إزالة الخبث إلا بالماء المطلق؟</w:t>
      </w:r>
    </w:p>
    <w:p>
      <w:pPr>
        <w:pStyle w:val="BookText"/>
        <w:rPr/>
      </w:pPr>
      <w:r>
        <w:rPr>
          <w:rFonts w:ascii="Amiri" w:hAnsi="Amiri" w:eastAsia="Amiri" w:cs="Amiri"/>
          <w:color w:val="111111"/>
          <w:sz w:val="28"/>
          <w:sz w:val="28"/>
          <w:szCs w:val="28"/>
          <w:rtl w:val="true"/>
          <w:lang w:bidi="ar-SA"/>
        </w:rPr>
        <w:t>فذلك 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الروايات صرّحت بأنّ إزالة الخبث تكون بالماء، وينصرفُ الذهن عند ذكر الماء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دون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الماء المطلق دون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حقيقةً هو الماء المطلق، وأما الماء المضاف فلا يدل على حقيقته إلا اللفظ المقيد بقيدٍ إضافيٍ يُبين أنّ المقصود من هذا السائل المُعين ليس الماء المطلق، وإنما الماء المضاف، فماء الرمان مثلًا لا يمكن أن يدل عليه لفظ الماء فقط، بل لابُدّ من قيدٍ إضافي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لو كانت إزالةُ الخبث تجوزُ بالماء المضاف، لبيّنت ذلك الروايات ولصرّحت به، لا سيما أنّها في مقام تشريع الأحكام وبيانها، وأن المورد من الموارد الابتلائية والعامة، وحيث إنّها لم تذكر إلا الماء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لذكرها الماء بلا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لا يجوز استخدام الماء المضاف في إزالة الخبث، ولو أُزيل الخبث به فإنّه لا يتطهر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صرّحت بأنّ إزالة الخبث تكون بالماء عديدة، نذكر منها روايتين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البَوْلِ يُصِيبُ الجَسَدَ؟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عَلَيْه المَاءَ مَرَّتَيْنِ </w:t>
      </w:r>
      <w:r>
        <w:rPr>
          <w:rStyle w:val="FootnoteAnchor"/>
          <w:rtl w:val="true"/>
        </w:rPr>
        <w:footnoteReference w:id="67"/>
      </w:r>
      <w:r>
        <w:rPr>
          <w:rFonts w:ascii="Amiri" w:hAnsi="Amiri" w:eastAsia="Amiri" w:cs="Amiri"/>
          <w:color w:val="111111"/>
          <w:sz w:val="28"/>
          <w:sz w:val="28"/>
          <w:szCs w:val="28"/>
          <w:rtl w:val="true"/>
          <w:lang w:bidi="ar-SA"/>
        </w:rPr>
        <w:t>فقد كان السؤال عن كيفية تطهير الجسد بعد تنجسه بالبول، والإمام أمر بصب الماء عليه، وحيث لم يقيد الإمام عَلَيْهِ السَّلاَمُ الماء بأي قيدٍ، فهذا يعني أنّه أراد به الماء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الحسين بن سعيد، عن القاسم بن محمد، عن أبان بن عثمان، عن بريد بن معاوية،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الغايط المسح بالأحجار، ولا يجزي من البول إلا الماء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والرواية في مقام بيان ما يصح الاستنجاء به، فذكرت أنّ الأحجار تُجزي في التطهر من الغائط، وأما البول فلا يُجزي في التطهر منه إلا الماء، وإطلاق الماء دليلٌ على إرادة الماء المطلق في التطهر من الخبث، دون الماء المضاف كما بيّنا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إزالة الخبث بالماء المضاف جائزة، لبيّنَ الإمامُ عَلَيْهِ السَّلاَمُ ذلك مثلما بيّن أنّ الأحجار مُجزيةٌ في التطهر من الغائط، ولكنه لم يذكر ذلك، فإذًا الخبثُ لا يُزال إلا بالماء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إزالة الخبث بالماء المضاف هو أظهر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خبثًا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الصحيح في هذه المسألة هو ما تقدّم في الخطوة الأولى من أنّ الخبث لا يُرفع بالماء المضاف، لا ما نُسِب إلى السيد المرتضى رحمة الله والشيخ المفيد رحمة الله من أنّهما ذهبا إلى جواز رفعِ الخبث بمطلق الماء، أي سواء كان الماء مطلقًا أم مضافًا، فكلُ ما صدق عليه الماء ولو مضافاً، تجوز إزالة الخبث به، فالمصنف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عدم صحةِ ما ذهبَ إليه كلٌّ من السيد والشيخ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وتتميمًا للفائدة نذكر دليلاً واحداً مما استدلَّ به السيد المرتضى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مُدّعاه من جوازِ إزالة الخبث والتطهر منه بالماء المضاف، وهو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 الآية الكريمة بتطهير الثياب، ولم تحصر تطهيرها أو تُقيده بخصوص الماء المطلق، إذًا هي تشملُ تطهيرها بالماء المضاف، وبالتالي فالآية تدلُّ على جواز إزالة الخبث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الفقهاء استدلال السيد المرتضى قُدس سره بعدّة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الآية أمرت بتطهير الثياب بشكلٍ مطلق، ولم تقيّده بخصوص الماء المطلق، ولكن هذا لا يدل على جواز تطهيرها بالماء المضاف؛ </w:t>
      </w:r>
    </w:p>
    <w:p>
      <w:pPr>
        <w:pStyle w:val="BookText"/>
        <w:rPr/>
      </w:pPr>
      <w:r>
        <w:rPr>
          <w:rFonts w:ascii="Amiri" w:hAnsi="Amiri" w:eastAsia="Amiri" w:cs="Amiri"/>
          <w:color w:val="111111"/>
          <w:sz w:val="28"/>
          <w:sz w:val="28"/>
          <w:szCs w:val="28"/>
          <w:rtl w:val="true"/>
          <w:lang w:bidi="ar-SA"/>
        </w:rPr>
        <w:t>وذلك لأنَّ الآية في معرض الحديث عن خصوصالطهارة الشرعية، والطهارة الشرعية لا تتحقق شرعًا إلا بالماء المطلق، وأما تطهير الثياب من النجاسات بغير الماء المطلق فلا يصدق عليه كونه طهارةً شرعية، وعليه، فلا يصحُّ الاستدلال بها على جواز إزالة الخبث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مقام بيان الطهارة الشرعية، فلا يؤخذ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تنزّلنا وسلّمنا بأنّ الآية تدلُّ على جواز التطهير بالماء المطلق والماء المضاف؛ لإطلاق الآية كما تمسّك به السيد قُدس سره، 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رواياتٍ قيّدت التطهير من الخبث بالماء المطلق، فتلك الروايات تقيد إطلاق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مُجملةٌ، أي إنّها بصدد بيان حكم لزوم تطهير الثياب ليس إلا، أما ما الذي يطهر الثياب ويزيل عنها الخبث؟ فلم تبين ذلك، فلا يصحُّ الاستدلال بها على جواز إزالة الخبث بالماء المضاف، ولا بالماء المطلق، وإنما هي فقط تدل على لزوم التطهير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فلمعرفة كيفية التطهير وما يُزال به الخبث، لا بُدّ من الرجوع إلى الأدلة الشرعية الأخرى التي تبين كيفية التطهير، فإذا رجعنا إلى تلك الأدلة نجدها تبين أنّ إزالة الخبث لا يتحقق إلا بالماء المطلق، كما تقدم في الخطوة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عمّا تقدم، فقد ورد في بعض الروايات أنَّ هذه الآية تدلُّ على أنّ المقصود منها هو أمر النبي صَلَّى اَللَّهُ عَلَيْهِ وَ آلِهِ وَ سَلَّمْ بالحفاظ على ثيابه من أنْ تتقذّر، مما يعني أنّها ليست بصدد بيان تطهير الثياب المُتنجسة، بل في صدد بيان الحفاظ على الثياب كيلا تُصيبَها قذارةٌ أو نجاسة، وعليه، فلا يصحُّ الاستدلال بها على جواز التطهير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روي في تفسيرها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ارْفَعْهَا ولَا تَجُرَّهَا، وإِذَا قَامَ قَائِمُنَا كَانَ هَذَا اللِّبَاسَ</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فالآية في مقام الدعوة إلى التوقي من النجاسة، لا في مقام العلاج منها لو حصلت، وبيان ما يُطهرها فضلًا عن كيفيته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ثِيَابُه طَاهِرَةً، وإِنَّمَا أَمَرَه بِالتَّشْمِيرِ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وتشمير الثياب هو الحفاظ عليها من أنْ تُلامس الأرض لئلا تتنجس بما عليها من 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المقصود بتشمير الثياب تقصيرها كما يفعل الوهابيون، وإنّما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أي عدم تركها تجرُّ على الأرض فتأخذ من قذارتها أو تتنجس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إطالة الثياب إلى الحد الذي يصل بصاحبه إلى الخيلاء والتكبر، وهناك رواياتٌ عديدةٌ تشير إلى هذا المعنى، منها ما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أَوْصَى رَجُلاً مِنْ بَنِي تَمِيمٍ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وإِسْبَالَ الإِزَارِ والقَمِيصِ، فَإِنَّ ذَلِكَ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َخِيلَةِ، واللهُ لَا يُحِبُّ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َخِيلَةَ </w:t>
      </w:r>
      <w:r>
        <w:rPr>
          <w:rStyle w:val="FootnoteAnchor"/>
          <w:rtl w:val="true"/>
        </w:rPr>
        <w:footnoteReference w:id="7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إِلَى فَتًى مُرْخٍ إِزَارَه،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ارْفَعْ إِزَارَكَ، فَإِنَّه أَبْقَى لِثَوْبِكَ وأَنْقَى لِقَلْبِكَ </w:t>
      </w:r>
      <w:r>
        <w:rPr>
          <w:rStyle w:val="FootnoteAnchor"/>
          <w:rtl w:val="true"/>
        </w:rPr>
        <w:footnoteReference w:id="72"/>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منها أنَّ النهي وارد فيما لو استلزمت إطالة الثوب التشبه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يَجُرُّ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يَتَشَبَّه بِالنِّسَاءِ </w:t>
      </w:r>
      <w:r>
        <w:rPr>
          <w:rStyle w:val="FootnoteAnchor"/>
          <w:rtl w:val="true"/>
        </w:rPr>
        <w:footnoteReference w:id="73"/>
      </w:r>
      <w:bookmarkStart w:id="184" w:name="pg7928_85209"/>
    </w:p>
    <w:p>
      <w:pPr>
        <w:pStyle w:val="BookText"/>
        <w:rPr/>
      </w:pPr>
      <w:bookmarkEnd w:id="184"/>
      <w:r>
        <w:rPr>
          <w:rFonts w:ascii="Amiri" w:hAnsi="Amiri" w:eastAsia="Amiri" w:cs="Amiri"/>
          <w:color w:val="111111"/>
          <w:sz w:val="28"/>
          <w:sz w:val="28"/>
          <w:szCs w:val="28"/>
          <w:rtl w:val="true"/>
          <w:lang w:bidi="ar-SA"/>
        </w:rPr>
        <w:t>ويُستفاد من هذه الرواية أنّ الأفضلَ للنساء إطالة الثوب؛ رعايةً للستر، فإنَّ ستر المرأة أهم من الحفاظ عليه من أنْ يتهرّأ، أو أن تصيبه بعض القاذورات، أما الرجل فهو مأمور بأن يجنب ثيابه أن تتقذر من الأرض، كما يُكره له أن يتشبه بالنساء، فلا يطيل ثيابه مثلهن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502983_1051229030"/>
      <w:bookmarkStart w:id="186" w:name="_Toc61"/>
      <w:bookmarkEnd w:id="185"/>
      <w:r>
        <w:rPr>
          <w:rtl w:val="true"/>
        </w:rPr>
        <w:t>تنبيهان</w:t>
      </w:r>
      <w:r>
        <w:rPr>
          <w:rtl w:val="true"/>
        </w:rPr>
        <w:t>:</w:t>
      </w:r>
      <w:bookmarkEnd w:id="186"/>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التطهُّر بالماء المضاف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عدم جواز إزالة الخبث بالماء المضاف، فهل يعني ذلك ترتب الحرمة على من يقوم بإزالة الخبث بالماء المضاف؟</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ينقسم الحكم الشرعي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تكليفي، وحكم شرعي وضعي، ويختلفان فيما بينهما بعدّة أمورٍ، نذكر منها ما يمتُّ إلى موضوعنا بصلة،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الحرمة على مخالفة الحكمالتكليفي، وترتب البطلان أو عدم الصحة على مخالفة الحكم الوضعي، دون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يترتب على إزالة الخبث بالماء المضاف أية حُرمةٍ شرعية، غاية ما في الأمر أنه يترتب على عدم الامتثال له البطلان وعدم الصحة، لأنّ عدم الجواز هنا وضعي لا تكليفي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إزالة الخبث بالماء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لا يصح، ومن ثَمّ فتبقى الثياب نجسةً، حتى وإنْ زالت عين النجاسة</w:t>
      </w:r>
      <w:r>
        <w:rPr>
          <w:rFonts w:eastAsia="Amiri" w:cs="Amiri" w:ascii="Amiri" w:hAnsi="Amiri"/>
          <w:color w:val="111111"/>
          <w:sz w:val="28"/>
          <w:szCs w:val="28"/>
          <w:rtl w:val="true"/>
          <w:lang w:bidi="ar-SA"/>
        </w:rPr>
        <w:t xml:space="preserve">. </w:t>
      </w:r>
      <w:bookmarkStart w:id="187" w:name="pg7928_85211"/>
    </w:p>
    <w:p>
      <w:pPr>
        <w:pStyle w:val="BookText"/>
        <w:rPr/>
      </w:pPr>
      <w:bookmarkEnd w:id="187"/>
      <w:r>
        <w:rPr>
          <w:rFonts w:ascii="Amiri" w:hAnsi="Amiri" w:eastAsia="Amiri" w:cs="Amiri"/>
          <w:color w:val="111111"/>
          <w:sz w:val="28"/>
          <w:sz w:val="28"/>
          <w:szCs w:val="28"/>
          <w:rtl w:val="true"/>
          <w:lang w:bidi="ar-SA"/>
        </w:rPr>
        <w:t>وكذا المقصود بعدم جواز رفع الحدث بالماء المضاف، فإنّه لا يترتب على مخالفته أية حرمةٍ أو إثمٍ، وإنّما يكون الوضوء أو الغُسل به باطلًا، ويبقى الشخص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المكلف التشريع بإزالة الخبث أو الحدث بالماء المضاف، فهذا يحرم بلا شك، ولكن من جهة التشريع المُحرّم، لا من جهة نفس مخالفة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لحالتي الاختيار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عدم جواز رفع الحدث وإزالة الخبث بالماء المضاف، ولكن هل يقتصر هذا الحكم على حال الاختيار، أم يشمل الاضطرار أيضًا؟الجواب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رفع الحدث وإزالة الخبث بالماء المضاف حكمٌ يشمل حالتي الاختيار والاضطرار، فلا فرق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الماء المضاف فيما عدا إزالة الحدث والخبث كالأكل والشرب والطلاء وغيرها، وهو حكم واضح بعد أنْ كان الحكم الأولي للماء المضاف هي الطهارة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502985_1051229030"/>
      <w:bookmarkStart w:id="189" w:name="_Toc62"/>
      <w:bookmarkEnd w:id="188"/>
      <w:r>
        <w:rPr>
          <w:rtl w:val="true"/>
        </w:rPr>
        <w:t>حكم الماء المضاف من حيث انفعاله بالنجاسة</w:t>
      </w:r>
      <w:r>
        <w:rPr>
          <w:rtl w:val="true"/>
        </w:rPr>
        <w:t>:</w:t>
      </w:r>
      <w:bookmarkEnd w:id="189"/>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لاقتْه النجاسةُ نَجُسَ، قليلُه وكثيرُه، ولم يَجُز استعمالُه في أكلٍ ولا شُربٍ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حكم الماء المطلق من حيث انفعاله بالنجاسة؛ فكثيرُه لا ينجس إلا بتغيُّر أحد أوصافه الثلاثة، وأما قليله فينجس بمجرد مُلاقاة النجاسة</w:t>
      </w:r>
      <w:r>
        <w:rPr>
          <w:rFonts w:eastAsia="Amiri" w:cs="Amiri" w:ascii="Amiri" w:hAnsi="Amiri"/>
          <w:color w:val="111111"/>
          <w:sz w:val="28"/>
          <w:szCs w:val="28"/>
          <w:rtl w:val="true"/>
          <w:lang w:bidi="ar-SA"/>
        </w:rPr>
        <w:t xml:space="preserve">. </w:t>
      </w:r>
      <w:bookmarkStart w:id="190" w:name="pg7928_85213"/>
    </w:p>
    <w:p>
      <w:pPr>
        <w:pStyle w:val="BookText"/>
        <w:rPr/>
      </w:pPr>
      <w:bookmarkEnd w:id="190"/>
      <w:r>
        <w:rPr>
          <w:rFonts w:ascii="Amiri" w:hAnsi="Amiri" w:eastAsia="Amiri" w:cs="Amiri"/>
          <w:color w:val="111111"/>
          <w:sz w:val="28"/>
          <w:sz w:val="28"/>
          <w:szCs w:val="28"/>
          <w:rtl w:val="true"/>
          <w:lang w:bidi="ar-SA"/>
        </w:rPr>
        <w:t>وأما الماء المضاف فحكمه كحكم الماء القليل، أي إنه ينجس بمجرد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الإجماع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هذا الإجماع حجة؟</w:t>
      </w:r>
    </w:p>
    <w:p>
      <w:pPr>
        <w:pStyle w:val="Heading3"/>
        <w:numPr>
          <w:ilvl w:val="2"/>
          <w:numId w:val="1"/>
        </w:numPr>
        <w:rPr/>
      </w:pPr>
      <w:bookmarkStart w:id="191" w:name="__RefHeading___Toc6502987_1051229030"/>
      <w:bookmarkStart w:id="192" w:name="_Toc63"/>
      <w:bookmarkEnd w:id="191"/>
      <w:r>
        <w:rPr>
          <w:rtl w:val="true"/>
        </w:rPr>
        <w:t xml:space="preserve">أقسام الإجماع </w:t>
      </w:r>
      <w:r>
        <w:rPr>
          <w:rtl w:val="true"/>
        </w:rPr>
        <w:t>:</w:t>
      </w:r>
      <w:bookmarkEnd w:id="192"/>
    </w:p>
    <w:p>
      <w:pPr>
        <w:pStyle w:val="BookText"/>
        <w:rPr/>
      </w:pPr>
      <w:r>
        <w:rPr>
          <w:rFonts w:ascii="Amiri" w:hAnsi="Amiri" w:eastAsia="Amiri" w:cs="Amiri"/>
          <w:color w:val="111111"/>
          <w:sz w:val="28"/>
          <w:sz w:val="28"/>
          <w:szCs w:val="28"/>
          <w:rtl w:val="true"/>
          <w:lang w:bidi="ar-SA"/>
        </w:rPr>
        <w:t>ينقسم الإجماع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المدركي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الإجماع الذي يكون لأجل مدركٍ معروف، أو على الأقل يوجد له مدرك محتمل، والمدرك هو الدليل الشرعي، أي النص من الكتاب الكريم أو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الإجماع لا حُجية له؛ وذلك لأنّ الحُجية حينئذٍ تكون للمدرك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حتى يكون حجةً في حّد نفسه، يلزم ألّا يكون مدركيًا أو مُحتملَ المدركية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غير المدركي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الإجماع الذي يكون لا لأجل مدركٍ، أي إن الفقهاء يُجمعون على حكمٍ مع عدم وجود آية أو رواية تدل على المضمون الذي يدل عليه الإجماع، فيكون حينئذٍ حجة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هُنا مدركيٌ، أو على الأقل هو مُحتمَل المدركية؛ لوجود بعض الروايات التي دلت على هذا المضمون، نذكر منها 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سُئِلَ عَنْ قِدْرٍ طُبِخَتْ فَإِذَا فِي القِدْرِ فَأْرَةٌ؟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يُهَرَاقُ مَرَقُهَا ويُغْسَلُ اللَّحْمُ ويُؤْكَلُ </w:t>
      </w:r>
      <w:r>
        <w:rPr>
          <w:rStyle w:val="FootnoteAnchor"/>
          <w:rtl w:val="true"/>
        </w:rPr>
        <w:footnoteReference w:id="74"/>
      </w:r>
      <w:r>
        <w:rPr>
          <w:rFonts w:ascii="Amiri" w:hAnsi="Amiri" w:eastAsia="Amiri" w:cs="Amiri"/>
          <w:color w:val="111111"/>
          <w:sz w:val="28"/>
          <w:sz w:val="28"/>
          <w:szCs w:val="28"/>
          <w:rtl w:val="true"/>
          <w:lang w:bidi="ar-SA"/>
        </w:rPr>
        <w:t xml:space="preserve">فهذه الرواية دلّت على أنّ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أكله، بل ويلزم إهراقه وإراقته؛ ولا وجه لعدم الجواز إلا من جهة وجود الميتةِ النجسة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أنّه تنجس بمجرد ملاقاتها، ولا علاج لتطهيره أبدًا؛ لذا أمرت الرواية بإهراقه، وأما اللحم فإنّه وإن تنجّس هو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لمُلاقاته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تطهيره ممكنٌ، وذلك بغسله؛ لذا جاز أكله بعد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أنَّ الماء المضاف يتنجس بمجرد ملاقاة النجاسة، لا سيما أنّها مطلقةٌ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شمولها لما إذا كان المرق قليلًا أو كثيرًا؛ وذلك لأنَّ الإمام عَلَيْهِ السَّلاَمُ لم يُفصِّل أو يفرّق في الحكم بين ما إذا كان المرق كثيرًا أو قليلًا، وإنّما أطلق،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المرق لو كان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من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يتنجس، وكذا إذا كان كثيرًا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مطلقةٌ من حيث تغيُّر المرقِ بطعمِ أو لونِ أو رائحةِ الميتة النجسة، أو عدم تغيُّره، بمعنى أنّ الإمام عَلَيْهِ السَّلاَمُ </w:t>
      </w:r>
    </w:p>
    <w:p>
      <w:pPr>
        <w:pStyle w:val="BookText"/>
        <w:rPr/>
      </w:pPr>
      <w:r>
        <w:rPr>
          <w:rFonts w:ascii="Amiri" w:hAnsi="Amiri" w:eastAsia="Amiri" w:cs="Amiri"/>
          <w:color w:val="111111"/>
          <w:sz w:val="28"/>
          <w:sz w:val="28"/>
          <w:szCs w:val="28"/>
          <w:rtl w:val="true"/>
          <w:lang w:bidi="ar-SA"/>
        </w:rPr>
        <w:t>حكم بنجاسة الماء المضاف بغض النظر عمّا إذا كان قد تغير أحد أوصافه الثلاثة أو لم يتغير؛ مما تترتب عليه حرمة أكله؛ لذا حكم فورًا بإهراقه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المتقدمة قد أثبتت أنّ الماء المضاف ينجس بمجرد ملاقاة النجاسة، سواء أكان قليلًا أم كثيرًا، وسواء أتغيّر أحد أوصافه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سَمْنٍ أَوْ زَيْتٍ أَوْ عَسَلٍ؟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السَّمْنُ والعَسَلُ فَيُؤْخَذُ الجُرَذُ ومَا حَوْلَه، والزَّيْتُ يُسْتَصْبَحُ بِه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تدلُّ هذه الرواية على أنَّ السائل المضاف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وثقيل، ولكُلٍّ منهما حكمٌ مختلفٌ من حيث التنجس بوقوع النجاسة فيه؛ لاختلاف طبيعته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ثقيلًا، أي متماسكًا، كالسمن والعسل والدبس إذا كان ثقيلًا، فإن طبيعة هذا القسم من السائل المضاف تقتضي أن لا تنتقل النجاسة إلى جميع أجزائه، ويقتصر المتنجس منه على موضع الملاقاة فقط،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 الجرذ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حكمتْ بأنه 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الجرذ وما حوله من السمن أو العسل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لم كان الماء السائل خفيفاً، بأنْ كان غير متماسكٍ، مثل الزيت وماء الورد وعصير الرمان، فهذا ينجسُ كُلُّه بمجرد ملاقاة النجاسة، ولا يجوز استعماله في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الرواية دلّت على جواز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تُشترط فيه الطهارة من سائر الاستعمالات الأخرى؛ ولذا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 يُسْتَصْبَحُ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يستعمل في الإضاءة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الزيت في الاستصباح في الإضاءة يدلُّنا على ثلاثة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الماء المضاف إذا كان سائلًا غير متماسك كالزيت، فإنّه يتنجس كلُّه بمجرد مُلاقاة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استعماله فيما تُشترط فيه الطهارة كالأكل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استعماله فيما لا تُشترط فيه الطهارة كالاستصباح في الرواية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نفس منوال هذه الرواية روى الكليني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الفَأْرَةُ فِي السَّمْنِ فَمَاتَتْفِيه، فَإِنْ كَانَ جَامِداً فَالقِهَا ومَا يَلِيهَا، وكُلْ مَا بَقِيَ، وإِنْ كَانَ ذَائِباً فَلَا تَأْكُلْه، واسْتَصْبِحْ بِه والزَّيْتُ مِثْلُ ذَلِكَ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فهذه الرواية كسابقتها فصّلت بين المتماسك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السمن، ثم أفردت لكل قسمٍ منهما حكمًا خاصًا به، فأما المتماسك فتُلقى الفأرة وما يليها من السمن، ويؤكل الباقي لعدم تنجسه بها، وأما الذائب فإن جميعه ينجس، ولا يجوز استعماله فيما تُشترط فيه الطهارة كالأكل، ويجوز استعماله فيما لا تشترط فيه الطهارة كالاستصباح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رتّب كلّ ما تقدّم من أحكام على موضوع وقوع الفأرة في السمن بقيد موتها فيه، مما يعني أنّ النجاسة متأتية من كونها ميتة، وإلا فإنّ الفأرة لو لم تمت، فإن السمن لا يتنجس، وكذا أي مضافٍ آخر، فلو وقعت فأرةٌ في المرق مثلًا، وأُخرجت وهي حيةٌ، فلا يتنجس المرق؛ لأنّ الفأرة ليست نجسة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دلّت عليه الروايات الثلاثة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أكل السمن أو العسل أو الزيت، ولم تصرِّح أيٌّ منها بتنجس هذهالأطعمة، وبالنتيجة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عدم جواز الأكل وبين التنجس، إذ لربما كان عدم جواز أكلها لعلةٍ أُخرى غير التنجس، وبذا لا يصح الاستدلال بتلك الروايات على التنجس؟</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الرواية الأولى أمرت بغسل اللحم ثم أكله، مما يعني أنّ علة عدم جواز الأكل هي التنجس، وحيث يمكن تطهير اللحم بالغسل جاز </w:t>
      </w:r>
      <w:bookmarkStart w:id="193" w:name="pg7928_85223"/>
    </w:p>
    <w:p>
      <w:pPr>
        <w:pStyle w:val="BookText"/>
        <w:rPr/>
      </w:pPr>
      <w:bookmarkEnd w:id="193"/>
      <w:r>
        <w:rPr>
          <w:rFonts w:ascii="Amiri" w:hAnsi="Amiri" w:eastAsia="Amiri" w:cs="Amiri"/>
          <w:color w:val="111111"/>
          <w:sz w:val="28"/>
          <w:sz w:val="28"/>
          <w:szCs w:val="28"/>
          <w:rtl w:val="true"/>
          <w:lang w:bidi="ar-SA"/>
        </w:rPr>
        <w:t>أكله، وأما المرق فحيث لا يمكن تطهيره مادام مرقًا فلم يجُز أكله؛ ولذا أمر الإمام عَلَيْهِ السَّلاَمُ بإهراقه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بغسل اللحم قرينة متصلة على أنّ سبب عدم جواز الأكل هو التنجس لا غير</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502989_1051229030"/>
      <w:bookmarkStart w:id="195" w:name="_Toc64"/>
      <w:bookmarkEnd w:id="194"/>
      <w:r>
        <w:rPr>
          <w:rtl w:val="true"/>
        </w:rPr>
        <w:t>هل يطهر الماء المضاف؟ وكيف؟</w:t>
      </w:r>
      <w:bookmarkEnd w:id="195"/>
    </w:p>
    <w:p>
      <w:pPr>
        <w:pStyle w:val="BookText"/>
        <w:rPr/>
      </w:pPr>
      <w:r>
        <w:rPr>
          <w:rFonts w:ascii="Amiri" w:hAnsi="Amiri" w:eastAsia="Amiri" w:cs="Amiri"/>
          <w:color w:val="111111"/>
          <w:sz w:val="28"/>
          <w:sz w:val="28"/>
          <w:szCs w:val="28"/>
          <w:rtl w:val="true"/>
          <w:lang w:bidi="ar-SA"/>
        </w:rPr>
        <w:t xml:space="preserve">لو تنجس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وأردنا تطهيره، هل لنا ذلك؟ وكيف؟</w:t>
      </w:r>
    </w:p>
    <w:p>
      <w:pPr>
        <w:pStyle w:val="BookText"/>
        <w:rPr/>
      </w:pP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تطهير الماء المضاف عن طريق خلطه بالماء المطلق حتى يخرج من الإضافة إلى الإطلاق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المضاف لا يمكن تطهيره، إذ إنّه ما دام مضافًا فهو لا زال متنجسًا، فلا بُدّ من اتصاله بالماء المطلق حتى يزول عنه وصف كونه ماءً مضافًا، وحينئذٍ لم يعد ماءً مضافًا، أيإنَّ الموضوع نفسه زال، فكيف نحمل عليه حكم التطهير؟ فالمرق مثلًا حتى يتطهّر من النجاسة لا بُدّ أن يتحوّل إلى ماءٍ مطلق، فإذا تحوّل إلى ماءٍ مطلق زال عنه عنوان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هناك موضوع اسمه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ليمكننا حمل حكم التطهير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لا يرفع حدثًا إلا إذا صار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مُزِج طاهرُه بالمُطلق، اعتُبِر في رفع الحدث به إطلاق الاسم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الماء المضاف وإن كان طاهرًا، فإنه لا يُجزي رفع الحدث به، ولكن هل من طريقةٍ يمكننا من خلالها رفع الحدث به؟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خلطناه بالماء المطلق فهل يصحُّ رفع الحدث به؟</w:t>
      </w:r>
    </w:p>
    <w:p>
      <w:pPr>
        <w:pStyle w:val="BookText"/>
        <w:rPr/>
      </w:pPr>
      <w:r>
        <w:rPr>
          <w:rFonts w:ascii="Amiri" w:hAnsi="Amiri" w:eastAsia="Amiri" w:cs="Amiri"/>
          <w:color w:val="111111"/>
          <w:sz w:val="28"/>
          <w:sz w:val="28"/>
          <w:szCs w:val="28"/>
          <w:rtl w:val="true"/>
          <w:lang w:bidi="ar-SA"/>
        </w:rPr>
        <w:t>هذا ما يريد المصنف قُدس سره توضيحه في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الجواب متوقفٌ على الذي يُطلقه العرف على المجموع من الماء المضاف والماء المطلق بعد الاختلاط؛ فإن أطلق على المجموع لفظ الماء المضاف فلا يصح رفع الحدث به، وإنْ أطلق عليه الماء المطلق صحَّ رفع الحدث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فرضنا أنّ عندنا ماءً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كعصير البرتقال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طاهرًا، وأردنا رفع الحدث به، كما لو أريد التوضؤ به، فلا يصحُّ الوضوء به إلا إذا أضفنا عليه مقدارًا من الماء المُطلق بحيث يزول عنه عنوان كونه مضافًا، فإن لم يزُل هذا العنوان فلا بُدّ من إضافة المزيد من الماء المطلق إليه، وهكذا حتى يتغير عنوان الماء من المضاف إلى المطلق، أي يتغير الموضوع، فإذا تغيّر وصار ماءً مطلقًا عندئذٍ فقط يصح رفع الحدث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أنَّ الماء المضاف يختلف عن الماء المطلق في الصفات، وإلا ما كان مضافًا، إلا أن الاختلاف في الحقيقة على شكلين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فمرة يكون الاختلاف ظاهريًا، أي يمكن تحسسه بالحواس، كالمرق، فإنّ لونه أحمر أو أصفر، وقوامه أثقل، كما أنَّ طعمه يختلف قطعًا عن طعم الماء المطلق، والحكم في رفعه للحدث 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يكون الاختلاف تقديرياً، أي إنَّ بعض الماء المضاف يكون موافقًا لصفات الماء المطلق، ولا يختلف عنه ظاهراً وحساً، كماء الورد مثلًا الذي لا يختلف عن الماء المطلق إلا في رائحته وطعمه، فلو فرضنا أنه قد زالت رائحته وطعمه لسببٍ من الأسباب،بفعل مادةٍ كيميائيةٍ مثلًا، فهذا بمجرد خلطه بقليل من الماء المطلق ربما يصح عليه إطلاق الماء عرفًا، فهل يصح رفع الحدث به حينئذٍ أو لا؟</w:t>
      </w:r>
    </w:p>
    <w:p>
      <w:pPr>
        <w:pStyle w:val="BookText"/>
        <w:rPr/>
      </w:pPr>
      <w:r>
        <w:rPr>
          <w:rFonts w:ascii="Amiri" w:hAnsi="Amiri" w:eastAsia="Amiri" w:cs="Amiri"/>
          <w:color w:val="111111"/>
          <w:sz w:val="28"/>
          <w:sz w:val="28"/>
          <w:szCs w:val="28"/>
          <w:rtl w:val="true"/>
          <w:lang w:bidi="ar-SA"/>
        </w:rPr>
        <w:t>اختلف الفقهاء في شأن هذا النوع من الماء المضاف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إطلاق الاسم على هذا النوع من الماء حينئذٍ هو ما تكون كميته أكثر، فإنْ كانت كمية الماء المضاف أكثر من الماء المطلق، حُكِمَ عليه بأنّه ماء مضاف، ولا يصحُّ رفعُ الحدث به، أما إذا كان الماء المطلق أكثر من الماء المضاف، فيُحكم عليه بأنّه ماء مطلق، ويصحُّ الوضوء به، فلو كان هناك لترٌ من ماء الورد الذي أُزيلت رائحته وطعمه لسببٍ ما، وخُلِط بلترٍ ونصفٍ من الماء المطلق مثلًا، كان المجموع لترين ونصف، ونسبة الماء المطلق فيه أكثر من نسبة الماء المضاف، فهذا يُحكم عليه بأنّه ماء مطلق، ويصحُّ الوضوء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خُلِط بنصف لترٍ مثلاً من الماء المطلق، فحينئذٍ تكون نسبة الماء المضاف في المجموع أو الناتج أكثر من نسبة الماء المطلق، وعندئذٍ لا يصحُّ رفع الحدث به؛ لأنه بقيَ 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كانت إحدى النسبتين من الماء المطلق والماء المضاف أكثر من الأخرى، ولكن ما الحكم فيما لو تساوت النسبتان تمامًا؟ فهل نلحقه بالماء المطلق أو نلحقه بالماء المضاف؟</w:t>
      </w:r>
    </w:p>
    <w:p>
      <w:pPr>
        <w:pStyle w:val="BookText"/>
        <w:rPr/>
      </w:pPr>
      <w:r>
        <w:rPr>
          <w:rFonts w:ascii="Amiri" w:hAnsi="Amiri" w:eastAsia="Amiri" w:cs="Amiri"/>
          <w:color w:val="111111"/>
          <w:sz w:val="28"/>
          <w:sz w:val="28"/>
          <w:szCs w:val="28"/>
          <w:rtl w:val="true"/>
          <w:lang w:bidi="ar-SA"/>
        </w:rPr>
        <w:t>هنا أيضًا اختلفوا، فقال البعض بكفاية ذلك لإطلاق لفظ الماء المطلق عليه، ومن ثَمّ يصحُّ رفع الحدث، فيما ذهب البعض الآخر إلى خلاف ذلك، ولم يقل بصحة رفعه للحدث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المصنف قُدس سره، فيبدو أنّه يبني على أنَّ المناط أو الملاك في صحة رفعه للحدث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عرفًا، دون تفصيل بين ما كان موافقًا في الصفات للمطلق أو مُخالفًا، فضلًا عن التفصيل فيما إذا كانت نسبة الماء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الناتج عند جمعه مع الماء المضاف الموافق لصفات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أو مساوية أو أكثر منه، فالمناط هو الإطلاق العرفي؛ فإنْ أطلق العرف عليه أنّه ماءٌ مطلق، فإنه يصحُّ رفع الحدث به، سواء أكان المضاف مخالفًا في صفاته للمطلق أم موافقًا، وسواء أخُلِط الموافق بماءٍ مطلق أقل منه أم مساوٍ له أم اكثر، فلا فرق بين هذه الحالات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الطهارة بالماء المُسخّن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الطهارةُ بماءٍ أُسخِن بالشمس في الآنية، وبماءٍ أُسخِنَ بالنار في 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بيّن المُحقَّق قُدس سره الأحكام الوضعية لكُلٍّ من الماء المطلق والمضاف، وأنَّ الطهارة ورفع الحدث يصحّان بالأول دون الثاني، عرّج إلى بيان بعض الأحكام التكليفية غير الإلزامية،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أشار إلى حالتين تكون الطهارة معهما مكروهةً بالماء رغم كونه ماءً مُطلقًا،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بماءٍ أُسخِن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النصوص أنّ المقصود من الطهارة ليست خصوص الطهارة الشرعية من الوضوء والغُسل، وإنّما تشمل الطهارة اللُغوية أيضًا كالتنظيف، والغَسل، ولكن ربما يظهر من بعض الفقهاء أنّ حكم الكراهة يُحمل على خصوص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فيبدو من بعض النصوص الشمول لمطلق الاستعمالات، سواء كان في الطهارة الشرعية أو اللغوية، تدلنا على ذلك عدة روايات، منها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وَ سَلَّمْ على عائشة وقد وضعت قمقمتها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وعاءٌمن </w:t>
      </w:r>
      <w:bookmarkStart w:id="196" w:name="pg7928_85233"/>
    </w:p>
    <w:p>
      <w:pPr>
        <w:pStyle w:val="BookText"/>
        <w:rPr/>
      </w:pPr>
      <w:bookmarkEnd w:id="196"/>
      <w:r>
        <w:rPr>
          <w:rFonts w:ascii="Amiri" w:hAnsi="Amiri" w:eastAsia="Amiri" w:cs="Amiri"/>
          <w:color w:val="111111"/>
          <w:sz w:val="28"/>
          <w:sz w:val="28"/>
          <w:szCs w:val="28"/>
          <w:rtl w:val="true"/>
          <w:lang w:bidi="ar-SA"/>
        </w:rPr>
        <w:t>صِفر له عروتان يستصحبه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ما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وجسدي،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تعودي؛ فإنّه يورث البرص </w:t>
      </w:r>
      <w:r>
        <w:rPr>
          <w:rStyle w:val="FootnoteAnchor"/>
          <w:rtl w:val="true"/>
        </w:rPr>
        <w:footnoteReference w:id="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أَبِي زِيَادٍ،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تَوَضَّؤُوا بِه، ولَا تَغْتَسِلُوا بِه، ولَا تَعْجِنُوا بِه، فَإِنَّه يُورِثُ البَرَصَ</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من الملاحظ أنّ الروايتين تدلان على الكراهة في استعمال الماء في مطلق الاستعمالات، أعم من الطهارة الشرعية والعُرفية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 رأسي وجسدي، لا يختصُّ بالطهارة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العرفية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الرواية الثانية، فقد أضافت النهي عن استعماله في العجن إلى النهي عن استعماله 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فإنّنا لسنا في مقام الفتوى، بل في مقام بيان كيفية الاستدلال، وبيان العبارات، ومطالعة عبارات فقهائنا القدماء</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502991_1051229030"/>
      <w:bookmarkStart w:id="198" w:name="_Toc65"/>
      <w:bookmarkEnd w:id="197"/>
      <w:r>
        <w:rPr>
          <w:rtl w:val="true"/>
        </w:rPr>
        <w:t>إش</w:t>
      </w:r>
      <w:r>
        <w:rPr>
          <w:rtl w:val="true"/>
        </w:rPr>
        <w:t>----</w:t>
      </w:r>
      <w:r>
        <w:rPr>
          <w:rtl w:val="true"/>
        </w:rPr>
        <w:t>ارات</w:t>
      </w:r>
      <w:r>
        <w:rPr>
          <w:rtl w:val="true"/>
        </w:rPr>
        <w:t>:</w:t>
      </w:r>
      <w:bookmarkEnd w:id="1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هاتين الروايتين إشارات عديدة جديرة بالذكر، هي</w:t>
      </w:r>
      <w:r>
        <w:rPr>
          <w:rFonts w:eastAsia="Amiri" w:cs="Amiri" w:ascii="Amiri" w:hAnsi="Amiri"/>
          <w:color w:val="111111"/>
          <w:sz w:val="28"/>
          <w:szCs w:val="28"/>
          <w:rtl w:val="true"/>
          <w:lang w:bidi="ar-SA"/>
        </w:rPr>
        <w:t xml:space="preserve">: </w:t>
      </w:r>
      <w:bookmarkStart w:id="199" w:name="pg7928_85235"/>
    </w:p>
    <w:p>
      <w:pPr>
        <w:pStyle w:val="Heading3"/>
        <w:numPr>
          <w:ilvl w:val="2"/>
          <w:numId w:val="1"/>
        </w:numPr>
        <w:rPr/>
      </w:pPr>
      <w:bookmarkStart w:id="200" w:name="__RefHeading___Toc6502993_1051229030"/>
      <w:bookmarkStart w:id="201" w:name="_Toc66"/>
      <w:bookmarkEnd w:id="199"/>
      <w:bookmarkEnd w:id="200"/>
      <w:r>
        <w:rPr>
          <w:rtl w:val="true"/>
        </w:rPr>
        <w:t>الإشارة الأولى</w:t>
      </w:r>
      <w:r>
        <w:rPr>
          <w:rtl w:val="true"/>
        </w:rPr>
        <w:t xml:space="preserve">: </w:t>
      </w:r>
      <w:r>
        <w:rPr>
          <w:rtl w:val="true"/>
        </w:rPr>
        <w:t>قاعدة التسامح في أدلة السنن</w:t>
      </w:r>
      <w:r>
        <w:rPr>
          <w:rtl w:val="true"/>
        </w:rPr>
        <w:t>:</w:t>
      </w:r>
      <w:bookmarkEnd w:id="201"/>
    </w:p>
    <w:p>
      <w:pPr>
        <w:pStyle w:val="BookText"/>
        <w:rPr/>
      </w:pPr>
      <w:r>
        <w:rPr>
          <w:rFonts w:ascii="Amiri" w:hAnsi="Amiri" w:eastAsia="Amiri" w:cs="Amiri"/>
          <w:color w:val="111111"/>
          <w:sz w:val="28"/>
          <w:sz w:val="28"/>
          <w:szCs w:val="28"/>
          <w:rtl w:val="true"/>
          <w:lang w:bidi="ar-SA"/>
        </w:rPr>
        <w:t xml:space="preserve">اشترط الفقهاء في الرواية التي يُستدل بها على حكمٍ شرعي أنْ تكون شاملةً وحاويةً على شرائط الحُجية، ومن شرائط الحُجية هو أن يكون الخبر خبر ثقةٍ إن لم يكن متواترًا ولا مستفيضًا، وقد تقدّم أنّ الخبر إما أنْ يكون متواترًا أو مُستفيضًا أو خبر آحاد، وللخبر المتواتر والمستفيض الحُجية في الاستدلال، أما إذا كان خبر آحادٍ فلا يكون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لا يصحُّ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الراوي الذي نقله مؤمناً عادلًا أو على أقل التقادير مسلماً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على هاتين الروايتين المتقدمتين بأنّهما ضعيفتا السند، فكيف حَكَمَ الفقهاء بمضمونهما، وأفتوا بكراهة الطهارة بالماء المُسخّن بالشمس؟ والحال أنّ الكراهة حكم شرعي تكليفي كحكمي الوجوب والحُرمة، يلزم أن لا يُستدل عليه إلا بخبرٍ حجة، فلابُدّ إذن أن يكون هناك مستند شرعي صحيح سوّغ للفقهاء الأخذ بهاتين الروايتين ورفعهما إلى مستوى الحُجية رغم ضعف سندهما؟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مبنيٌ على قاعدة التسامُح في أدلة السُنن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يتسامح الفقهاء في حُجية الخبر الذي يستنبطون منه أحكام السنن،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الاستحباب وحكم الكراهة، فلا يشترطون في المستحبات والمكروهات أدلةً شرعيةً مقبولة وقوية سندًا كما في حُكمي الوجوب والحُرمة، وبناءً على هذه القاعدة، فإنه يجوز العمل </w:t>
      </w:r>
    </w:p>
    <w:p>
      <w:pPr>
        <w:pStyle w:val="BookText"/>
        <w:rPr/>
      </w:pPr>
      <w:r>
        <w:rPr>
          <w:rFonts w:ascii="Amiri" w:hAnsi="Amiri" w:eastAsia="Amiri" w:cs="Amiri"/>
          <w:color w:val="111111"/>
          <w:sz w:val="28"/>
          <w:sz w:val="28"/>
          <w:szCs w:val="28"/>
          <w:rtl w:val="true"/>
          <w:lang w:bidi="ar-SA"/>
        </w:rPr>
        <w:t>بمضمون الأخبار الضعيفة السند إذا كانت تدلُّ على سُنّة من الاستحباب أو الكراهة، لا على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اعتبار ما ذكروه من الشروط للعمل بأخبار الآحاد من الإسلام والعدالة والضبط في الروايات الدالة على السنن فعلًا وتركًا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وقد استُدلَّ على هذه القاعدة ببعض النصوص، من قبيل ما روي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عَلَىٰ مَا بَلَغَه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وعن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وإِنْ لَمْ يَكُنِ الحَدِيثُ كَمَا بَلَغَه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وبناءً على هذه القاعدة، فقد قُبِلتِ 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حكم كراهة الوضوء أو الطهارة بماءٍ أُسخِن بالشمس رغم ضعف سندهما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الفقهاء لم يتفقوا على قبول مضمون هذه القاعدة؛ فمن قبل بمضمونها أمكنه أنْ يُفتي باستحباب أو كراهة السنن الواردة في الروايات الضعيفة، كما في مثل هذه الحالة، حيث أفتى المُحقِّق قُدس سره بكراهة الوضوء أو الطهارة بماءٍ أُسخِن بالشمس، وإنْ كانت الروايةالدالة عليه ضعيفة السند، وذلك بناءً على قاعدة التسامح في أدلة السنن</w:t>
      </w:r>
      <w:r>
        <w:rPr>
          <w:rFonts w:eastAsia="Amiri" w:cs="Amiri" w:ascii="Amiri" w:hAnsi="Amiri"/>
          <w:color w:val="111111"/>
          <w:sz w:val="28"/>
          <w:szCs w:val="28"/>
          <w:rtl w:val="true"/>
          <w:lang w:bidi="ar-SA"/>
        </w:rPr>
        <w:t xml:space="preserve">. </w:t>
      </w:r>
      <w:bookmarkStart w:id="202" w:name="pg7928_85239"/>
    </w:p>
    <w:p>
      <w:pPr>
        <w:pStyle w:val="BookText"/>
        <w:rPr/>
      </w:pPr>
      <w:bookmarkEnd w:id="202"/>
      <w:r>
        <w:rPr>
          <w:rFonts w:ascii="Amiri" w:hAnsi="Amiri" w:eastAsia="Amiri" w:cs="Amiri"/>
          <w:color w:val="111111"/>
          <w:sz w:val="28"/>
          <w:sz w:val="28"/>
          <w:szCs w:val="28"/>
          <w:rtl w:val="true"/>
          <w:lang w:bidi="ar-SA"/>
        </w:rPr>
        <w:t xml:space="preserve">وأما من لم يقبل مضمون هذه القاعدة؛ لعدم ثبوتها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لسبب ولآخر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يقول بحرمة الإتيان بتلك السنن المُستحبات أو ترك بعض المكروهات بنية الاستحباب الشرعي أو بنية الكراهة الشرعية، وإلا كان تشريعًا منه، نعم، يجوز الإتيان بها برجاء المطلوبية، أي برجاء أن يكون المستحب أو ترك المكروه مطلوبًا عند الله عَزَّوَجَل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ومعناه أن يأتي الإنسان بعمل عباديٍ ما رجاء مشروعيته ومطلوبيته من المولى وجوباً أو استحباباً، فإن تبين له بعد ذلك أنه مطلوب فقد أصاب، وإن تبين أنه غير مطلوب فلا يؤثم؛ لأنه لم يأتِ به بنية التشريع العمدي، أو بنية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يُعبَّر عن هذا المصطلح أيضاً بتعابير أخرى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أنّ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المُستحبات الواردة في أبوابِ هذه الرسالة يبتني استحبابُها على قاعدةِ التسامُحِ في أدلة السنن، ولما لم تثبت عندنا فيتعيّن الإتيان بها برجاء المطلوبية، وكذا الحال في المكروهات، فتترك برجاء المطلوبية </w:t>
      </w:r>
      <w:r>
        <w:rPr>
          <w:rStyle w:val="FootnoteAnchor"/>
          <w:rtl w:val="true"/>
        </w:rPr>
        <w:footnoteReference w:id="83"/>
      </w:r>
    </w:p>
    <w:p>
      <w:pPr>
        <w:pStyle w:val="Heading3"/>
        <w:numPr>
          <w:ilvl w:val="2"/>
          <w:numId w:val="1"/>
        </w:numPr>
        <w:rPr/>
      </w:pPr>
      <w:bookmarkStart w:id="203" w:name="__RefHeading___Toc6502995_1051229030"/>
      <w:bookmarkStart w:id="204" w:name="_Toc67"/>
      <w:bookmarkEnd w:id="203"/>
      <w:r>
        <w:rPr>
          <w:rtl w:val="true"/>
        </w:rPr>
        <w:t>الإشارة الثانية</w:t>
      </w:r>
      <w:r>
        <w:rPr>
          <w:rtl w:val="true"/>
        </w:rPr>
        <w:t xml:space="preserve">: </w:t>
      </w:r>
      <w:r>
        <w:rPr>
          <w:rtl w:val="true"/>
        </w:rPr>
        <w:t>الحالات التي تكره فيها الطهارة الشرعية بالماء المسخن بالشمس</w:t>
      </w:r>
      <w:r>
        <w:rPr>
          <w:rtl w:val="true"/>
        </w:rPr>
        <w:t>:</w:t>
      </w:r>
      <w:bookmarkEnd w:id="2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القول بكراهة استعمال الماء المُسخَّن بالشمس في الطهارة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فحكم الكراهة يشمل حالات</w:t>
      </w:r>
      <w:r>
        <w:rPr>
          <w:rFonts w:eastAsia="Amiri" w:cs="Amiri" w:ascii="Amiri" w:hAnsi="Amiri"/>
          <w:color w:val="111111"/>
          <w:sz w:val="28"/>
          <w:szCs w:val="28"/>
          <w:rtl w:val="true"/>
          <w:lang w:bidi="ar-SA"/>
        </w:rPr>
        <w:t xml:space="preserve">: </w:t>
      </w:r>
      <w:bookmarkStart w:id="205" w:name="pg7928_85241"/>
    </w:p>
    <w:p>
      <w:pPr>
        <w:pStyle w:val="BookText"/>
        <w:rPr/>
      </w:pPr>
      <w:bookmarkEnd w:id="205"/>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التسخين وعدمه، أي إنّه مكروه سواء أَقصد المكلف أن يسخنه بالشمس أم لم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الماء ساخنًا حين استخدامه، أو تبريده بعد أنْ كان ساخنًا ثم استخدامه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البلاد التي سُخِّن فيها الماء بالشمس حارةً أو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الماء قليلًا أو كثيرًا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502997_1051229030"/>
      <w:bookmarkStart w:id="207" w:name="_Toc68"/>
      <w:bookmarkEnd w:id="206"/>
      <w:r>
        <w:rPr>
          <w:rtl w:val="true"/>
        </w:rPr>
        <w:t>الإشارة الثالثة</w:t>
      </w:r>
      <w:r>
        <w:rPr>
          <w:rtl w:val="true"/>
        </w:rPr>
        <w:t xml:space="preserve">: </w:t>
      </w:r>
      <w:r>
        <w:rPr>
          <w:rtl w:val="true"/>
        </w:rPr>
        <w:t>معنى المكروه</w:t>
      </w:r>
      <w:r>
        <w:rPr>
          <w:rtl w:val="true"/>
        </w:rPr>
        <w:t>:</w:t>
      </w:r>
      <w:bookmarkEnd w:id="207"/>
    </w:p>
    <w:p>
      <w:pPr>
        <w:pStyle w:val="BookText"/>
        <w:rPr/>
      </w:pPr>
      <w:r>
        <w:rPr>
          <w:rFonts w:ascii="Amiri" w:hAnsi="Amiri" w:eastAsia="Amiri" w:cs="Amiri"/>
          <w:color w:val="111111"/>
          <w:sz w:val="28"/>
          <w:sz w:val="28"/>
          <w:szCs w:val="28"/>
          <w:rtl w:val="true"/>
          <w:lang w:bidi="ar-SA"/>
        </w:rPr>
        <w:t>للمكروه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 الشرعية، وهو ما نهى عنه الشارع، إلا أنَّ نهيه لم يصل إلى حدِّ الإلزام؛ فيكون تركه أرجح من فعله، والمكروه هو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كان تركه أرجح من فعله؛ فذلك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الأحكام الشرعية وفق مِلاكاتٍ خاصة، وتلكالملاكات هي المصالح والمفاسد الواقعية التي يعلمها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فعل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فيه مصلحة أو مفسدة، فإنْ كان ذا مصلحةٍ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تلك المصلحة مُلزمة أو لا، فبناءً على الأولى يأمر الشارع الأقدس بذلك الفعل على نحو الوجوب، وبناءً على الثانية يأمر بذلك الفعل على نحو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الفعل ذا مفسدةٍ فإنّه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تلك المفسدة ملزمة أو لا، فبناءً على الأولى ينهى الشارع عن ذلك الفعل على نحو التحريم، وبناءً على الثانية ينهى عنه على نحو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المباح، وهو ما لا مصلحة ملزمة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مفسدة كذلك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فالكراهة حكم شرعي تكليفي بترك الفعل، لكن لا على نحو الإلزام، بل على نحو الأرجحية، أي إنَّ ترك فعله هو أرجح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فعله أقلَّ ثوابًا من تركه، أو ما يكون تركه أكثر ثوابًا من فعله، كما لو كان هناك فعل، إنّ أتى به المكلف نال خمس حسناتٍ من الثواب مثلًا، وإن تركه نال عشر حسنات منالثواب، فالأقلُ ثوابًا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يُعبّر عن المعنى الثاني للمكروه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يعدُّه المعصومون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ويستغفرون منه، وفي حقيقة الأمر هو ليس بذنبٍ ولا حتى بمكروه بالمعنى الأول؛ ولكن لعظم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يعدّونه كذلك، ولعلّ هذا من تفسيرات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xml:space="preserve">). </w:t>
      </w:r>
      <w:bookmarkStart w:id="208" w:name="pg7928_85245"/>
    </w:p>
    <w:p>
      <w:pPr>
        <w:pStyle w:val="Heading3"/>
        <w:numPr>
          <w:ilvl w:val="2"/>
          <w:numId w:val="1"/>
        </w:numPr>
        <w:rPr/>
      </w:pPr>
      <w:bookmarkStart w:id="209" w:name="__RefHeading___Toc6502999_1051229030"/>
      <w:bookmarkStart w:id="210" w:name="_Toc69"/>
      <w:bookmarkEnd w:id="208"/>
      <w:bookmarkEnd w:id="209"/>
      <w:r>
        <w:rPr>
          <w:rtl w:val="true"/>
        </w:rPr>
        <w:t>الإشارة الرابعة</w:t>
      </w:r>
      <w:r>
        <w:rPr>
          <w:rtl w:val="true"/>
        </w:rPr>
        <w:t>:</w:t>
      </w:r>
      <w:bookmarkEnd w:id="210"/>
    </w:p>
    <w:p>
      <w:pPr>
        <w:pStyle w:val="BookText"/>
        <w:rPr/>
      </w:pPr>
      <w:r>
        <w:rPr>
          <w:rFonts w:ascii="Amiri" w:hAnsi="Amiri" w:eastAsia="Amiri" w:cs="Amiri"/>
          <w:color w:val="111111"/>
          <w:sz w:val="28"/>
          <w:sz w:val="28"/>
          <w:szCs w:val="28"/>
          <w:rtl w:val="true"/>
          <w:lang w:bidi="ar-SA"/>
        </w:rPr>
        <w:t>ظاهر عبارة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الطهارة بماءٍ أُسخِنَ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المكروه هنا هو خصوص ما أُسخِنَ بالشمس، أما إذا أُسخِنَ بالنار أو الكهرباء أو غيرهما فلا كراهة، وذلك راجعٌ إلى تقييد الروايات الكراهة بخصوص ما أُسخِن بالشمس</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6503001_1051229030"/>
      <w:bookmarkStart w:id="212" w:name="_Toc70"/>
      <w:bookmarkEnd w:id="211"/>
      <w:r>
        <w:rPr>
          <w:rtl w:val="true"/>
        </w:rPr>
        <w:t>الإشارة الخامسة</w:t>
      </w:r>
      <w:r>
        <w:rPr>
          <w:rtl w:val="true"/>
        </w:rPr>
        <w:t>:</w:t>
      </w:r>
      <w:bookmarkEnd w:id="212"/>
    </w:p>
    <w:p>
      <w:pPr>
        <w:pStyle w:val="BookText"/>
        <w:rPr/>
      </w:pPr>
      <w:r>
        <w:rPr>
          <w:rFonts w:ascii="Amiri" w:hAnsi="Amiri" w:eastAsia="Amiri" w:cs="Amiri"/>
          <w:color w:val="111111"/>
          <w:sz w:val="28"/>
          <w:sz w:val="28"/>
          <w:szCs w:val="28"/>
          <w:rtl w:val="true"/>
          <w:lang w:bidi="ar-SA"/>
        </w:rPr>
        <w:t>ظاهرُ عبارةِ المُصنف قُدس سره أنَّ الكراهةَ خاصةٌ بما إذا كان الماء في إناءٍ وأُسخِنَ بالشمس، أما إذا كان في نهرٍ مثلًا أو في بركةٍ أو غير ذلك، فلا تشمله الكراهة؛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عليه الرواية الأولى المتقدِّمة؛ حيثُ ذكرت الحميراء خصوص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الميت بالماء المُسخَّن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حكم الكراهة هنا هو غُسل الميت بماءٍ أُسخِنَ بالنار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ويُستدلُّ على كراهتها بما رواه الكليني عَنْ عِدَّةٍ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يُسَخَّنُ الماءُ لِلْمَيِّتِ، ولَا يُعَجَّلُ لَه النَّارُ، ولَا يُحَنَّطُ بِمِسْكٍ </w:t>
      </w:r>
      <w:r>
        <w:rPr>
          <w:rStyle w:val="FootnoteAnchor"/>
          <w:rtl w:val="true"/>
        </w:rPr>
        <w:footnoteReference w:id="85"/>
      </w:r>
      <w:bookmarkStart w:id="213" w:name="pg7928_85247"/>
    </w:p>
    <w:p>
      <w:pPr>
        <w:pStyle w:val="BookText"/>
        <w:rPr/>
      </w:pPr>
      <w:bookmarkEnd w:id="213"/>
      <w:r>
        <w:rPr>
          <w:rFonts w:ascii="Amiri" w:hAnsi="Amiri" w:eastAsia="Amiri" w:cs="Amiri"/>
          <w:color w:val="111111"/>
          <w:sz w:val="28"/>
          <w:sz w:val="28"/>
          <w:szCs w:val="28"/>
          <w:rtl w:val="true"/>
          <w:lang w:bidi="ar-SA"/>
        </w:rPr>
        <w:t>ورواه الشيخ الطوسي قُدس سره عن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يُسخَّن الماءُ للميت </w:t>
      </w:r>
      <w:r>
        <w:rPr>
          <w:rStyle w:val="FootnoteAnchor"/>
          <w:rtl w:val="true"/>
        </w:rPr>
        <w:footnoteReference w:id="86"/>
      </w:r>
    </w:p>
    <w:p>
      <w:pPr>
        <w:pStyle w:val="Heading3"/>
        <w:numPr>
          <w:ilvl w:val="2"/>
          <w:numId w:val="1"/>
        </w:numPr>
        <w:rPr/>
      </w:pPr>
      <w:bookmarkStart w:id="214" w:name="__RefHeading___Toc6503003_1051229030"/>
      <w:bookmarkStart w:id="215" w:name="_Toc71"/>
      <w:bookmarkEnd w:id="214"/>
      <w:r>
        <w:rPr>
          <w:rtl w:val="true"/>
        </w:rPr>
        <w:t>إشاراتٌ</w:t>
      </w:r>
      <w:r>
        <w:rPr>
          <w:rtl w:val="true"/>
        </w:rPr>
        <w:t>:</w:t>
      </w:r>
      <w:bookmarkEnd w:id="215"/>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زرارة </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اسمه عبدُ ربّه، ويُكنّى أبا علي، وأبا الحسن، وأما زرارة فهو لقبه، وقد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زرارة،إنّ اسمَك في أسامي أهل الجنة بغير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ولكنّي لُقِّبتُ بزرارة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بن سنسن مولى لبني عبد الله بن عمرو السمين بن أسعد بن همام بن مرة بن ذهل بن شيبان،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ومتقدمهم، وكان قارئا فقيها متكلما شاعراً أديباً، قد اجتمعت فيه خلال الفضل والدين، صادقاً فيما يرويه </w:t>
      </w:r>
      <w:r>
        <w:rPr>
          <w:rStyle w:val="FootnoteAnchor"/>
          <w:rtl w:val="true"/>
        </w:rPr>
        <w:footnoteReference w:id="8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زرارة كان وسيمًا جسيمًا أبيضَ فكان يخرج إلى الجمعة وعلى رأسه برنس أسود، وبين عينيه سجادة، وفي يده عصا، فيقوم له الناس سماطين، ينظرون إليه لحسن هيئته، فربما رجع من طريقه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كان له عند أبي جعفر الباقر عَلَيْهِ السَّلاَمُ منزلةٌ رفيعةٌ عظيمةٌ حتى عُدّ من حوارييه؛ فعن أبي الحسن موسى بن جعفر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محمد بن علي عَلَيْهِ السَّلاَمُ، وحواريّ جعفر بن محمد عَلَيْهِ السَّلاَمُ فيقوم عبد الله بن شريك العامري، وزرارة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الروايات أنّه صحب الإمام الصادق عَلَيْهِ السَّلاَمُ ما يقرب من أربعين عامًا، وقد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والله بالحرف من جعفر بن محمد عَلَيْهِما السَّلاَمُ من الفُتيا فأزداد به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بكير بن أعين، عن أخيه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أسألك في الحج منذ أربعين عاماً فتفتيني </w:t>
      </w:r>
      <w:r>
        <w:rPr>
          <w:rStyle w:val="FootnoteAnchor"/>
          <w:rtl w:val="true"/>
        </w:rPr>
        <w:footnoteReference w:id="9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بيت يحج قبل آدم عَلَيْهِ السَّلاَمُ بألفي عام، تريد أن تفنى مسائله في أربعين عاماً؟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وروي أنّه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وأبو بصير، ومحمد بن مسلم وبريد،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Style w:val="FootnoteAnchor"/>
          <w:rtl w:val="true"/>
        </w:rPr>
        <w:footnoteReference w:id="9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بن خالد الاقطع،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أحداً أحيى ذكرنا وأحاديث أبي عَلَيْهِ السَّلاَمُ إلا زرارة، وأبو بصير ليث </w:t>
      </w:r>
    </w:p>
    <w:p>
      <w:pPr>
        <w:pStyle w:val="BookText"/>
        <w:rPr/>
      </w:pPr>
      <w:r>
        <w:rPr>
          <w:rFonts w:ascii="Amiri" w:hAnsi="Amiri" w:eastAsia="Amiri" w:cs="Amiri"/>
          <w:color w:val="111111"/>
          <w:sz w:val="28"/>
          <w:sz w:val="28"/>
          <w:szCs w:val="28"/>
          <w:rtl w:val="true"/>
          <w:lang w:bidi="ar-SA"/>
        </w:rPr>
        <w:t xml:space="preserve">المرادي، ومحمد بن مسلم، وبريد بن معاوية العجلي، ولولا هؤلاء ما كان أحدٌ يستنبط هذا، هؤلاء حُفّاظ الدين وأمناء أبي عَلَيْهِ السَّلاَمُعلى حلال الله وحرامه، وهم السابقون إلينا في الدنيا والسابقون إلينا في الآخرة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بن ليث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محضرك وأزين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ما كنا حول زرارة بن أعين إلا بمنزلة الصبيان في الكتّاب حول المعلم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مات سنة خمسين ومائة، بعد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حمل النهي على التحريم في المقام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النهي عن تسخين الماء لتغسيل الميت، والنهي ظاهرٌ في التحريم، وبناءً على ذلك يتوجّبُ أن يكون الحكم هو التحريم لا الكراهة، ولكن مع ذلك حمل المحقِّق قُدس سره والفقهاء ظاهر الرواية على الكراهة دون التحريم، فكيف ذلك؟ وما الوجه في حمل هذا النهي على الكراهة؟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المُحقق قُدس سره ظاهر الرواية على الكراهة دون التحريم؛ لأجل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جميعًا على عدم حرمة تسخين الماء لتغسيل الميت، الأمر الذي يُستكشَفُ منه أنّ النهي الوارد في الرواية هو نهيٌ تنزيهيٌ كراهتي، وليس نهيًا تحريميًا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فيه فيُبحَثُ في مرحلةٍ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تسخين الماء بالنار لتغسيل الميت مسألةٌ عامة البلوى؛ فهناك الكثير من المؤمنين يموتون، كما أنّ هناك الكثير ممّن يتولّى أمر تغسيلهم، فهي مسألة ليست نادرة الوقوع، ولا أنَّ الابتلاء بها يقتصر على مؤمنين اثنين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انّها مسألةٌ عامةُ البلوى، فيلزم أنْ يكون حكمها واضحًا، وعليه؛ فلو كان حكمها هي الحرمة لظهر وبان واشتهر، ولكن الحكم المشهور هو الكراهة؛ لذا لا بد من حمل النهي فيها على الكراهة،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أطلق النهي وأراد الكراهة دون الحرمة اعتمادًا على وضوح هذا الحكم لدى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حِكَم كراهة تغسيل الميت بماءٍ أُسخِن بالنار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المُسلَّم به والواضح الذي يذكره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مُبتنيةٌ على مصالح ومفاسد واقعية؛ فالحكم الشرعي بوجوب الصلاةمُبتنٍ </w:t>
      </w:r>
    </w:p>
    <w:p>
      <w:pPr>
        <w:pStyle w:val="BookText"/>
        <w:rPr/>
      </w:pPr>
      <w:r>
        <w:rPr>
          <w:rFonts w:ascii="Amiri" w:hAnsi="Amiri" w:eastAsia="Amiri" w:cs="Amiri"/>
          <w:color w:val="111111"/>
          <w:sz w:val="28"/>
          <w:sz w:val="28"/>
          <w:szCs w:val="28"/>
          <w:rtl w:val="true"/>
          <w:lang w:bidi="ar-SA"/>
        </w:rPr>
        <w:t>على مصلحةٍ واقعيةٍ في علم الله عَزَّوَجَل، ولذا أمر بها، والغيبة فيها مفسدة فنهى عنها، فإن كانت المصلحة شديدة، حُكم بالوجوب، وإن لم تصل المصلحة إلى حد الإلزام، أُمر بها على نحو الاستحباب، وإن كانت فيها مفسدة شديدة، أُمر بالحرمة، وإن لم تكن المفسدة شديدة جدًا، نُهي عنها بنحو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تلك الملاكات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والمفاسد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معلومةً لدينا، بل هي مجهولةٌ لدينا، ولا نستطيع الوصول اليها؛ لأنها خارج قدراتنا العقلية والعادية، ولذلك لم نُكلّفْ بالبحث عنها؛ لأنّ شرط التكليف هي القدرة على امتثال ما 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بعض الحِكَمِ للأحكام الشرعية من خلال مراجعة النصوص الواردة والاستفادة منها، ومن خلال الواقع الوجداني، والحِكَم جمع حِكمة، والحكمة ليست كالعلة الواقعية للحكم؛ إذ لا يدور الحُكم الشرعي مدارها وجودًا وعدمًا، كما هي عليه العلة الواقعية التي يدور الحكم مدارها وجودًا وعدمًا؛ فإن وجِدت العلة ثبت الحكم وإنِ انتفت انتفى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ولتقريب الفرق بينهما نضرب مثالًا عن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العلل مجهولة لدينا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ذكروا أن من الحكم المترتبة على الصوم مثلًا هي أنّ الصائم الغني يتذكر جوع الفقراء ويشعر به ويحس بألمه، فيلين قلبه، ومن ثم يدفعه ذلك إلى مساعدة الفقراء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لو فرضنا أنّ الناس كلهم أصبحوا أغنياء، وما من جائعٍ البتة، كما في زمن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سيكون كلُّ الناس أغنياء، فهل معنى هذا أنّ حكم وجوب الصوم في شهر رمضان يرتفع فلا يكون واجبًا؟</w:t>
      </w:r>
    </w:p>
    <w:p>
      <w:pPr>
        <w:pStyle w:val="BookText"/>
        <w:rPr/>
      </w:pPr>
      <w:r>
        <w:rPr>
          <w:rFonts w:ascii="Amiri" w:hAnsi="Amiri" w:eastAsia="Amiri" w:cs="Amiri"/>
          <w:color w:val="111111"/>
          <w:sz w:val="28"/>
          <w:sz w:val="28"/>
          <w:szCs w:val="28"/>
          <w:rtl w:val="true"/>
          <w:lang w:bidi="ar-SA"/>
        </w:rPr>
        <w:t>كلا، لأنَّ استشعار حال الفقراء بالإحساس بألم الجوع ليس العلة التامة لتشريع وجوب الصوم؛ ليدور الحكم مدارها وجودًا وعدمًا، وإنّما هي حكمة وفائدة تترتب على وجوب الصوم ليس إلا، فإن انتفت فلا يستدعي ذلك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الفقهاء بعض الحِكَمِ المترتبة على حُكم كراهة تغسيل الميت بماءٍ أُسخِن بالنار، ومنها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أشارت إليه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يُعجَّل 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من يقوم بتغسيل الميت بماء مسخّن يعجل النار والحرارة له، وهذا ليس فعلًا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ذلك مجرد حكمة وليس علة؛ إذ لو فرضنا أنّ هذا الميت من أهل الجنة مائة بالمائة، وسُخِّن له الماء بالنار، فهل يُعدُّ ذلك تعجيلاً له بدخوله النار؟ </w:t>
      </w:r>
    </w:p>
    <w:p>
      <w:pPr>
        <w:pStyle w:val="BookText"/>
        <w:rPr/>
      </w:pPr>
      <w:r>
        <w:rPr>
          <w:rFonts w:ascii="Amiri" w:hAnsi="Amiri" w:eastAsia="Amiri" w:cs="Amiri"/>
          <w:color w:val="111111"/>
          <w:sz w:val="28"/>
          <w:sz w:val="28"/>
          <w:szCs w:val="28"/>
          <w:rtl w:val="true"/>
          <w:lang w:bidi="ar-SA"/>
        </w:rPr>
        <w:t>الحكمة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تغسيل الميت بالماء الحار قد يتسبّب في إرخاءِ بدنه، الذي ربما يؤدي إلى خروج شيءٍ من النجاسات منه، وهذا ليس شيئًا حسنًا، وربما فيه هتك لحرمة الميت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حكمة تنفع في حكم كراهة تغسيل الميت بعموم الماء الحار أو الساخن كما ذهب إليه بعض الفقهاء، والمحقق اقتصر في عبارته على النار والشمس، وهذا لا ينفي التسخين بغيرها، إذ لعله اقتصر على ذلك لأن مصادر الحرارة في زمنه كانت الشمس والنار فقط، فعدم ذكر غيرها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الكراهة بغسل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كراهة الغُسل بالماء المُسخّن بالنار خاصٌ بغُسل الميت فقط، ولا يشمل غسل الأحياء، كغُسل الجمعة مثلًا أو غيره من الأغسال؛ وذلك لأنَّ ما ورد في الرواية هو خصوص تسخين الماء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الكراهة بما أسخن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كراهة تغسيل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بالماءٍ الذي أُسخِنَ بالنار فقط، وأما لو أُسخِن بالشمس مثلًا فلا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بغير حالة الضرورة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بعض الفقهاء في حكم تغسيل الميت بالماء الساخن بين ما إذا كانت هناك ضرورةٌ لتسخينه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كان الجو باردًا جدًا، مما يُعرِّض </w:t>
      </w:r>
    </w:p>
    <w:p>
      <w:pPr>
        <w:pStyle w:val="BookText"/>
        <w:rPr/>
      </w:pPr>
      <w:r>
        <w:rPr>
          <w:rFonts w:ascii="Amiri" w:hAnsi="Amiri" w:eastAsia="Amiri" w:cs="Amiri"/>
          <w:color w:val="111111"/>
          <w:sz w:val="28"/>
          <w:sz w:val="28"/>
          <w:szCs w:val="28"/>
          <w:rtl w:val="true"/>
          <w:lang w:bidi="ar-SA"/>
        </w:rPr>
        <w:t>المُغسِّل إذا غسّل الميت بالماء البارد إلى المرض أو الأذى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فترتفع الكراهة، ويسخن الماء للميت لتغسيل الميت، وبين عدم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الجو مُعتدلًا فضلًا عن أن يكون حارًا، أو كان الماء في حد نفسه ليس باردًا جدًا، أو كان باردًا ولكن المُغسِّل لا يتأثر ببرودته سلبًا فرضًا، ولم تكن ضرورة لتسخين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يُكره تسخينُ الماء لتغسيل الميت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وقال السيد العاملي في مدارك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خشي الغاسل من البرد انتفت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المستعمل في غَسل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الفقهاء الماء المستعمل في غسل الأخباث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انفصل بالعصر أو بنفسه من المتنجس بعد الصبِّ عليه لتطهيره، أي هو الماء الذي استُعمل في إزالة عين النجاسة، والذي انفصل من المتنجس، كالثوب أو الفراش أو غيرهما، سواء أتمّ الانفصال بالعصر أم بدونه، كما لو تقاطر من المتنجس حتى انفصل جميعه عنه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الماء الأول الذي يُصب على عين النجاسة لإزالتها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المنفصل من غُسالة النجاسة قبل طهارة المحل، أي هو الماء الذي ينفصل عن المحل المتنجس قبل أن يطهر بعد صبّه عليه لإزالة النجاسة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تحصل الطهارة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الماء الذي بعد أن يصب على المحل المتنجس وينفصل عنه تحصل طهارة المحل</w:t>
      </w:r>
      <w:r>
        <w:rPr>
          <w:rFonts w:eastAsia="Amiri" w:cs="Amiri" w:ascii="Amiri" w:hAnsi="Amiri"/>
          <w:color w:val="111111"/>
          <w:sz w:val="28"/>
          <w:szCs w:val="28"/>
          <w:rtl w:val="true"/>
          <w:lang w:bidi="ar-SA"/>
        </w:rPr>
        <w:t xml:space="preserve">. </w:t>
      </w:r>
      <w:bookmarkStart w:id="216" w:name="pg7928_85262"/>
    </w:p>
    <w:p>
      <w:pPr>
        <w:pStyle w:val="BookText"/>
        <w:rPr/>
      </w:pPr>
      <w:bookmarkEnd w:id="216"/>
      <w:r>
        <w:rPr>
          <w:rFonts w:ascii="Amiri" w:hAnsi="Amiri" w:eastAsia="Amiri" w:cs="Amiri"/>
          <w:color w:val="111111"/>
          <w:sz w:val="28"/>
          <w:sz w:val="28"/>
          <w:szCs w:val="28"/>
          <w:rtl w:val="true"/>
          <w:lang w:bidi="ar-SA"/>
        </w:rPr>
        <w:t>فالماء المستعمل في غسل الأخباث هو الماء القليل الذي تُغسلُ به النجاسة أول مرةٍ، ثم ينفصل عن محل النجاسة قبل الحكم بطهارته، فإذا أصابت الثوبَ نجاسةٌ ما، كالبول مثلًا وطُهِّرَ هذا الثوب بماءٍ صُبَّ عليه وزالت به عين النجاسة، فذلك الماء الناتج عن عملية التطهير تلك والمنفصل عن المحل المتنجس هو ما يُسمى بالماء المستعمل في غَسل الأخباث، ويُسمى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الغُسالة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وقيّدنا الماء بالقليل؛ لأنَّ الكثير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الفقهاءُ الماء المستعمل في غسل الأخباث إلى قسمين، يختلف حكم كل منهما،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وماء الاستنجاء، علىالرغم من أنَّهما لا يختلفان من حيث المعنى والمفهوم؛ وذلك لدليلٍ خاص –يأتي لاحقًا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ماء الاستنجاء ورتّب له حكمًا مغايرًا عن حكم ماء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تقسيم الفقهاء هذا، الذي أخذ به المُحقق قُدس سره أيضًا؛ وذلك باستثنائه حكم ماء الاستنجاء من حكم ماء الغُسالة، سنتناول كلا القسمين تباعًا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503005_1051229030"/>
      <w:bookmarkStart w:id="218" w:name="_Toc72"/>
      <w:bookmarkEnd w:id="217"/>
      <w:r>
        <w:rPr>
          <w:rtl w:val="true"/>
        </w:rPr>
        <w:t>القسم الأول</w:t>
      </w:r>
      <w:r>
        <w:rPr>
          <w:rtl w:val="true"/>
        </w:rPr>
        <w:t xml:space="preserve">: </w:t>
      </w:r>
      <w:r>
        <w:rPr>
          <w:rtl w:val="true"/>
        </w:rPr>
        <w:t>ماء الغُسالة</w:t>
      </w:r>
      <w:r>
        <w:rPr>
          <w:rtl w:val="true"/>
        </w:rPr>
        <w:t>:</w:t>
      </w:r>
      <w:bookmarkEnd w:id="218"/>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المُستعملُ في غسلِ الأخباث نجسٌ، سواء تغيّرَ بالنجاسة أو لم يتغيّر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حكم هذا الماء لابُدّ من التفصيل بين حالتين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هذا الماء القليل بالنجاسة، كأن تغيّر لونه أو طعمه أو رائحته، فهو نجسٌ بلا اختلاف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يتغيّر، فهنا وقع الاختلاف بين الفقهاء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سواء أكان ذلك الماء قد أزيلت به عين النجاسة أم لا، وسواء أكانت النجاسة مما يُشترط في التطهير منها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كبول البالغ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أكان ذلك الماء الذي غُسل به المحل المتنجس قد أزيلت به عين النجاسة أم لا، وسواء أكانت النجاسة مما يُشترط في التطهير منها التعدد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النجاسة التي يُشترط في التطهير منها تعدد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كبول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لا يُشترط فيه التعدد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فالماء المستعمل في الغسلة الأولى يحكم عليه بالنجاسة، والماء المستعمل في الغسلة الثانية يحكم عليه بالطهارة، وعلى الثاني، فيحكم على الماء المستعمل في الغسل منها بأنّه طاهر</w:t>
      </w:r>
      <w:r>
        <w:rPr>
          <w:rFonts w:eastAsia="Amiri" w:cs="Amiri" w:ascii="Amiri" w:hAnsi="Amiri"/>
          <w:color w:val="111111"/>
          <w:sz w:val="28"/>
          <w:szCs w:val="28"/>
          <w:rtl w:val="true"/>
          <w:lang w:bidi="ar-SA"/>
        </w:rPr>
        <w:t xml:space="preserve">. </w:t>
      </w:r>
      <w:bookmarkStart w:id="219" w:name="pg7928_85266"/>
    </w:p>
    <w:p>
      <w:pPr>
        <w:pStyle w:val="BookText"/>
        <w:rPr/>
      </w:pPr>
      <w:bookmarkEnd w:id="219"/>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الغسلة المزيلة لعين النجاسة، وبين الغسلة بعد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فنحكم بالنجاسة على الماء المستعمل في الغسلة الأولى، بقطع النظر عما إذا كانت تلك الغسلة لتطهير نجاسة يُشترط في التطهير منها التعدد أو لا، وأما الماء غير المستعمل في إزالة عين النجاسة فيحكم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المحقق قُدس سره أنه يختار القول الثاني، وهو الحكم بالنجاسة مطلقًا،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المُستعمل في غسلِ الأخبات نجسٌ سواء تغيّر بالنجاسة أو لم يتغير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يكون هذا القول موافقًاللاحتياط؛ فإذا أراد الإنسان أنْ يسلك طريق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حسنٌ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يتجنب ماء الغُسالة،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غسل الأخباث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العلامة الحلي قُدس سره بنجاسة الماء المستعمل في غسل الأخباث، مُستدلًا بكونه ماءً قليلًا لاقى النجاسة، فلابُدّ من أنْ يتنجس</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503007_1051229030"/>
      <w:bookmarkStart w:id="221" w:name="_Toc73"/>
      <w:bookmarkEnd w:id="220"/>
      <w:r>
        <w:rPr>
          <w:rtl w:val="true"/>
        </w:rPr>
        <w:t>القسم الثاني</w:t>
      </w:r>
      <w:r>
        <w:rPr>
          <w:rtl w:val="true"/>
        </w:rPr>
        <w:t xml:space="preserve">: </w:t>
      </w:r>
      <w:r>
        <w:rPr>
          <w:rtl w:val="true"/>
        </w:rPr>
        <w:t>ماء الاستنجاء</w:t>
      </w:r>
      <w:r>
        <w:rPr>
          <w:rtl w:val="true"/>
        </w:rPr>
        <w:t>:</w:t>
      </w:r>
      <w:bookmarkEnd w:id="221"/>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المُستعمل في غسلِ الأخباث نجسٌ، سواء تغيّرَ بالنجاسة أو لم يتغيَر، عدا ماء الاستنجاء، فإنه طاهر ما لم يتغير بالنجاسة، أو تلاقيه نجاسة من خارج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يُستعملُ في غسلِ موضع البول وموضع الغائط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استثنى المُحقِّق قُدس سره ماء الاستنجاء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الغُسالة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عدم اختلافهما مفهومًا؛ فإن كليهما ماءٌ قليلٌ لاقى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العديد من الروايات الدالة على ذلك، منها ما روي عن محمد بن نعمان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فَأَسْتَنْجِي بِالمَاءِ، فَيَقَعُ ثَوْبِي فِي ذَلِكَ المَاءِ الَّذِي اسْتَنْجَيْتُ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98"/>
      </w:r>
      <w:r>
        <w:rPr>
          <w:rFonts w:ascii="Amiri" w:hAnsi="Amiri" w:eastAsia="Amiri" w:cs="Amiri"/>
          <w:color w:val="111111"/>
          <w:sz w:val="28"/>
          <w:sz w:val="28"/>
          <w:szCs w:val="28"/>
          <w:rtl w:val="true"/>
          <w:lang w:bidi="ar-SA"/>
        </w:rPr>
        <w:t>وفي رواية أخرى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فارتجّت عليّ المسائل،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يستنجي فيقع ثوبه في الماء الذي يستنجي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أكثر من القذر</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فقد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 الثوب عند ملاقاته ماء الاستنجاء في الرواية الأولى، مما يشير إلى عدم تنجسه به، وذكر الحكمة من ذلك في الرواية الثانية بأنَّ الماء أكثر من القذر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فقد قال المحقق قُدس سره بطهارته، ولكن بشرطين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بصفات النجاسة</w:t>
      </w:r>
      <w:r>
        <w:rPr>
          <w:rFonts w:eastAsia="Amiri" w:cs="Amiri" w:ascii="Amiri" w:hAnsi="Amiri"/>
          <w:color w:val="111111"/>
          <w:sz w:val="28"/>
          <w:szCs w:val="28"/>
          <w:rtl w:val="true"/>
          <w:lang w:bidi="ar-SA"/>
        </w:rPr>
        <w:t xml:space="preserve">. </w:t>
      </w:r>
      <w:bookmarkStart w:id="222" w:name="pg7928_85271"/>
    </w:p>
    <w:p>
      <w:pPr>
        <w:pStyle w:val="BookText"/>
        <w:rPr/>
      </w:pPr>
      <w:bookmarkEnd w:id="22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تلاقيه نجاسةٌ من خارج الموضعين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503009_1051229030"/>
      <w:bookmarkStart w:id="224" w:name="_Toc74"/>
      <w:bookmarkEnd w:id="223"/>
      <w:r>
        <w:rPr>
          <w:rtl w:val="true"/>
        </w:rPr>
        <w:t>إشارات</w:t>
      </w:r>
      <w:r>
        <w:rPr>
          <w:rtl w:val="true"/>
        </w:rPr>
        <w:t>:</w:t>
      </w:r>
      <w:bookmarkEnd w:id="224"/>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طهارة ماء الاستنجاء الذاتية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الفقهاء على أنَّ ماء الاستنجاء لا بأس به، وبناءً على ذلك حكموا بطهارته، ولكن هل حكمهم هذا يدلُّ على طهارته الذاتية وفي حدّ نفسه أو لا؟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طاهرٌ في حدِّ نفسه؛ 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المقدّس الذي شرّع الأحكام الشرعية وفقًا للمصالح والمفاسد الواقعية، هو الذي حكم على ماء الاستنجاء بالطهارة، وحينئذٍ يُفسّر تعبير الإمام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الموافق لظاهر الروايات كما تقدم في بيان الحكمة من الحكم بعدم البأس به، وأنه باعتبار أن الماء أكثر من القذر؛ وعليه، فتجوز الصلاة به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نجسٌ في حدِّ نفسه، ولكن هذه النجاسة معفوٌ عنها للدليل الخاص</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فتعبير الإمام عَلَيْهِ السَّلاَمُ بنفي البأس لا يُريد به إثبات الطهارة لماء الاستنجاء، وإنما يريد به الإشارة إلى أنّه رغم نجاسته في حدِّ نفسه، ولكنّه </w:t>
      </w:r>
    </w:p>
    <w:p>
      <w:pPr>
        <w:pStyle w:val="BookText"/>
        <w:rPr/>
      </w:pPr>
      <w:r>
        <w:rPr>
          <w:rFonts w:ascii="Amiri" w:hAnsi="Amiri" w:eastAsia="Amiri" w:cs="Amiri"/>
          <w:color w:val="111111"/>
          <w:sz w:val="28"/>
          <w:sz w:val="28"/>
          <w:szCs w:val="28"/>
          <w:rtl w:val="true"/>
          <w:lang w:bidi="ar-SA"/>
        </w:rPr>
        <w:t>معفوٌ عنه؛ للدليل الخاص، نظير الدم الأقل من الدرهم المعفو عنه في الصلاة بشروطٍ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الحُكم بطهارة ماء الاستنجاء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بعض الفقهاء نفي البأس عن ماء الاستنجاء بأنّ الحكم بنجاسته يوجب العسر والحرج على الناس؛ لأنّها مسألةٌ عامة البلوى ويومية، فلو حُكم على ماء الاستنجاء بالنجاسة للزم العسر بل الحرج من التطهير منه في كُلِّ مرةٍ يدخل الإنسان فيها بيت الخلاء،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ومن المناسب التذكير بأنّ ما ذُكِر ليس بالعلة التامة والحقيقية لهذا الحكم؛ لمجهولية علل الأحكام بالنسبة إلينا كما تقدم، فقولهم يشير إلى حكمة الحُكم لا إلى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الحكمة الوحيدة لهذا الحكم، بل هناك حكمةٌ أخرى، وهي ما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الأحول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الحكم بطهارة ماء الاستنجاء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الفقهاء شروطاً عديدة للحكم على ماء الاستنجاء بالطهارة، أو لتحقق استثنائه 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مبانيهم من أنَّ طهارة هذا الماء ذاتية أو أنها نجاسة معفو عنها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يتغير ماء الاستنجاء بالنجاسة، وإلا فهو نجسٌ، وهذا ما عبر عنه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يتغيّر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يُلاقي ماء الاستنجاء نجاسةً خارجةً عن محله، وإلا حُكِمَ عليه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قُدس سره إلى هذا الشرط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طاهرٌ 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تُلاقيه نجاسةٌ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المُحقِّق قُدس سره على ذكر هذين الشرطين، في حين أضاف بعض الفقهاء شروطًا أخرى،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تُخالطَ نجاسةَ الحدثين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أخرى، كالدم مثلًا، وإلا نَجُسَ، كما لو خرج مع البول دمٌ مثلًا، فتنجّس الموضعُ بهما معًا، فحينئذٍ لا يكون ماءُ الاستنجاءِ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تنفصل مع ماء الاستنجاء أجزاءٌ متميزة من النجاسة بعد مفارقة المحل، وإلا حُكِم بنجاسته، فلو انفصلت أجزاء متميزة من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كالغائط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ولاقت ماء الاستنجاء بعد مفارقته المحل نَجُس، وإن لم تلاقِه لم ينجس، وكان عندئذٍ طاهرًا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بالنجاسة على ماءِ الاستنجاء في هذه الحالة باعتبار أن هذه النجاسة تُعدُّ كالنجاسة الخارجية التي إنْ لاقت ماء الاستنجاء حُكِم عليه بالنجاسة، لاسيما أنّه ماءٌ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نُبينه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يزيد وزن ماء الاستنجاء بعد التطهير به عمّا كان قبلَ التطهير، فلو كان مقدار ماء الاستنجاء لترًا مثلًا أو كان وزنُه كيلو غرامًا مثلًا، وزاد بعد الاستنجاء فصار لترًا وربعاً مثلًا أو كيلو ومائة غرام، فإنه ينجس، أما إذا بقي على وزنه ومقداره قبل التطهير به لم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طهارة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بعضُ الفقهاء إلى أنّ طهارة ماء الاستنجاء تشملُ عدّة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طاهرٌ بالشروط المذكورة سواء أَستُعِمل في الاستنجاء من البول أم الغائط أم من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طاهرٌ بالشروط المذكورة سواء أَستُعمل للتطهير من البول والغائط الخارجين من الموضع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موضع غير 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طبيعي كالفتحة الجراحية مثلًا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طاهرٌ سواءً تعدّتِ النجاسة الموضع المعتاد أو لم تتعدّه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تعدّت النجاسة الموضع بمقداركبير، بحيث تفشّت النجاسة عن الموضع المعتاد وزادت كثيرًا، بحيث لا يصدق على إزالته الاستنجاء عرفًا، فعندئذٍ لا يكون ماء الاستنجاء طاهرًا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الماء المستعمل في رفع الحدث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والمستعمل في الوضوء طاهرٌ ومُطهِّرٌ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حكمين للماء المُستعمل في رفع الحدث الأصغر،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المستعمل في الوضوء،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والمستعمل في الوضوء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الماء طهارته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والمستعمل في الوضوء طاهرٌ ومُطهِّرٌ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يمكن أن يُرفع به الحدث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والأكبر، فيُمكن أنْ يتوضأ المكلف به مرةً ثانيةً وثالثةً وحتى عاشرة، كما يمكن أن يغتسل به سواء أكان غسلًا واجبًا أم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أنْ يُزالَ به الخبث، فيُمكنُ تطهير الثوب المتنجس به، وهذا الحكم مما اتفق عليه الأصحاب، ويُمكِنُ أنْ يُستدلَّ له بأدلة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الماء هي الطهارة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على الأصل، أيّ إنَّ الماءَ ما دام مُطلقًا، ولم تُصِبْه نجاسةٌ، فإنّه يصحَّ رفع الحدث به ولو لمراتٍ عديدة، كما تصح إزالة الخبث به، والماء الذي تم الوضوء به لم يخرج عن الإطلاق، ولا أصابته 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توضأ المكلف بماءٍ متيقّن الطهارة، ثم شك في بقاء صحةِ رفعه للحدث أو لا، صحَّ الوضوء به؛ لاستصحاب جواز الوضوء به؛ لأنَّ المكلف كان على يقين بصحة رفع الحدث به، ثم طرأ عليه الشك، واليقين لا ينتقض إلا بمثله، فيستصحب الحالة السابقة،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رفع الحدث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إنّما يصحُّ الوضوء به إذا اتصف بصفات، وما يهمنا منها في المقام اتصافه بصفتين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والإطلاق، والوضوء به لا يغيّر هاتين الصفتين ولا يسلبهما عنه، فيبقى محتفظًا بطهارته ومطهريته، ومن ثم فإنه يرفع الحدث ويزيل الخبث؛ وعليه، لو توضأ مكلف بماءٍ مطلق طاهر –والإطلاق والطهارة قيدان توضيحيان لا احترازيان؛ لعدم إمكان الوضوء بغيرالمطلق من المياه وبغير الطاهر منها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التوضؤ به لا يُغيّر من هاتين الصفتين فيه، بل يبقى على طهارته وإطلاقه، لذا يصحّ به رفع الحدث وإزالة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الماء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استعمل في رفع الحدث الأكبر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يُرفَعُ به الحدثُ ثانيًا؟ فيه ترددٌ، والأحوط المنع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الإشارة أولًا إلى أنَّ حديث المُحقق قُدس سره عن الماء المستعمل في رفع الحدث الأكبر فيما إذا كان قليلًا، أي كان مقداره أقل من كر، أما الكثير فهو طاهرٌ مطهرٌ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اغتسل أحدهم بماءٍ غُسلًا واجبًا كغُسل الجنابة مثلًا، وجُمِع هذا الماء المستعمل في إناء مثلًا، فهل يكون هذا الماء طاهرًا في حدِّ نفسه أو لا؟ وإذا كان طاهرًا في حدِّ نفسه فهل يكون مطهرًا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رافعًا للحدث ومزيلًا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ذكر المُصنف قُدس سره حكمين للماء المستعمل في رفع الحدث الأكبر،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متفقٌ عليه بين الفقهاء؛ إذ لا مقتضي لنجاسته بعد افتراض نظافة البدن وطهارته من الخبث؛ لأنَّ الفرض أنه قد تمتإزالة النجاسة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والنجاسة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تُنجس الماء الطاهر، فلا مقتضي لنجاسته بملاقاته الجسم، وبذا يبقى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طهارته بالاستصحاب؛ إذ إنَّ أصل الماء المستعمل في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يصحُّ رفع الحدث به، فإذا شككنا في صحة رفعه للحدث أو لا، استصحبنا الحالة السابقة؛ لأنَّ الشك لا ينقض اليقين، واليقين لا ينتقض إلا بيقينٍ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مطهّراً تردد، والأحوط المنع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لتوضيح المراد من عبارة المحقق قُدس سره لابُدَّ من تقديم مقدمة</w:t>
      </w:r>
      <w:r>
        <w:rPr>
          <w:rFonts w:eastAsia="Amiri" w:cs="Amiri" w:ascii="Amiri" w:hAnsi="Amiri"/>
          <w:color w:val="111111"/>
          <w:sz w:val="28"/>
          <w:szCs w:val="28"/>
          <w:rtl w:val="true"/>
          <w:lang w:bidi="ar-SA"/>
        </w:rPr>
        <w:t xml:space="preserve">: </w:t>
      </w:r>
      <w:bookmarkStart w:id="225" w:name="pg7928_85285"/>
    </w:p>
    <w:p>
      <w:pPr>
        <w:pStyle w:val="Heading3"/>
        <w:numPr>
          <w:ilvl w:val="2"/>
          <w:numId w:val="1"/>
        </w:numPr>
        <w:rPr/>
      </w:pPr>
      <w:bookmarkStart w:id="226" w:name="__RefHeading___Toc6503011_1051229030"/>
      <w:bookmarkStart w:id="227" w:name="_Toc75"/>
      <w:bookmarkEnd w:id="225"/>
      <w:bookmarkEnd w:id="226"/>
      <w:r>
        <w:rPr>
          <w:rtl w:val="true"/>
        </w:rPr>
        <w:t>ظاهرة الترددات في كتاب الشرائع</w:t>
      </w:r>
      <w:r>
        <w:rPr>
          <w:rtl w:val="true"/>
        </w:rPr>
        <w:t>:</w:t>
      </w:r>
      <w:bookmarkEnd w:id="227"/>
    </w:p>
    <w:p>
      <w:pPr>
        <w:pStyle w:val="BookText"/>
        <w:rPr/>
      </w:pPr>
      <w:r>
        <w:rPr>
          <w:rFonts w:ascii="Amiri" w:hAnsi="Amiri" w:eastAsia="Amiri" w:cs="Amiri"/>
          <w:color w:val="111111"/>
          <w:sz w:val="28"/>
          <w:sz w:val="28"/>
          <w:szCs w:val="28"/>
          <w:rtl w:val="true"/>
          <w:lang w:bidi="ar-SA"/>
        </w:rPr>
        <w:t xml:space="preserve">عندما يريد الفقيه استنباط حكمٍ شرعيٍ معين، فإنّه لابُدّ أنْ يرجعَ إلى المصادر التشريعية التي توفِّر له المادة العلمية لاجتهاده واستنباطه، ومن المعلوم أنَّ مصادر التشريع الإسلامي التي يعتمد عليها الفقيه في استنباط الحكم هي القرآن الكريم وسنة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وتقريرًا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يتصورنَّ أحدٌ أنّ العملية سهلةٌ يسيرة، وأنه ما إن يقرأ المجتهد آية قرآنية أو حديثًا شريفًا حتى يصدر فتواه، كلا، بل المسألة أعمق وأعقد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يواجه المجتهد الكثيرَ من الصعوبات، والتي من أهمِّها تعارض الأدلة في المضمون، بمعنى وجود دليلين متغايرين في الحكم رغم أنَّهما لموضوعٍ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يدل أحدهما على الجواز فيما يدل الآخر على الحرمة مثلًا في موضوع واحد، عندئذٍ يُفتح بابٌ علمي واسعٌ على المجتهد أن يُتقنه، حتى يتمكن من معرفة كيفية الخروج من مأزق تعارض الأدلة، وهو ما يُذكر في علم الأصول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التعارض، أو التعادل، أو التراجيح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شرائع الإسلام، عندما يواجه المحقق الحلي قُدس سره مسألة فيها تعارض، فإنّه يشير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يوجد قولان، أو أقوال عديدة، في المسألة</w:t>
      </w:r>
      <w:r>
        <w:rPr>
          <w:rFonts w:eastAsia="Amiri" w:cs="Amiri" w:ascii="Amiri" w:hAnsi="Amiri"/>
          <w:color w:val="111111"/>
          <w:sz w:val="28"/>
          <w:szCs w:val="28"/>
          <w:rtl w:val="true"/>
          <w:lang w:bidi="ar-SA"/>
        </w:rPr>
        <w:t xml:space="preserve">. </w:t>
      </w:r>
      <w:bookmarkStart w:id="228" w:name="pg7928_85287"/>
    </w:p>
    <w:p>
      <w:pPr>
        <w:pStyle w:val="BookText"/>
        <w:rPr/>
      </w:pPr>
      <w:bookmarkEnd w:id="228"/>
      <w:r>
        <w:rPr>
          <w:rFonts w:ascii="Amiri" w:hAnsi="Amiri" w:eastAsia="Amiri" w:cs="Amiri"/>
          <w:color w:val="111111"/>
          <w:sz w:val="28"/>
          <w:sz w:val="28"/>
          <w:szCs w:val="28"/>
          <w:rtl w:val="true"/>
          <w:lang w:bidi="ar-SA"/>
        </w:rPr>
        <w:t>وعليه، فقول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إلى وجود تعارض في أدلة المسألة موضوعة البحث، وأنَّ هذه الأدلة المتعارضة قد تكون متكافئة، كما لو كانت قوية عند كلا الطرفين، فيتردد قُدس سره بدايةً بينها، فإنْ رجُحت لديه كفةٌ أحد الأدلة، بحيث جزم بترجيحه، أُفتى وفقًا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فقد ينتهي إلى الاحتياط، فيقول بعد ذكره للتردد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فالتردّد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المحقق قُدس سره في حكم مسألة معينة، لتعارض أدلتها، أو لعمقها، والانتهاء منها إلى موقف عملي إذا ترجح عنده أحد الأقوال، أو يحتاط في المسألة إذا وجد أن المخرج منها 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من المحقق قُدس سره إلى وجود قولين أو أكثر في المسألة، وأن لكل منها دليله الخاص، وأن الموقف العملي منها يقتضي الاحتياط فيما لو لم يترجح دليل أحد الأقوال لدى المحقق</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503013_1051229030"/>
      <w:bookmarkStart w:id="230" w:name="_Toc76"/>
      <w:bookmarkEnd w:id="229"/>
      <w:r>
        <w:rPr>
          <w:rtl w:val="true"/>
        </w:rPr>
        <w:t>استطراد</w:t>
      </w:r>
      <w:r>
        <w:rPr>
          <w:rtl w:val="true"/>
        </w:rPr>
        <w:t xml:space="preserve">: </w:t>
      </w:r>
      <w:r>
        <w:rPr>
          <w:rtl w:val="true"/>
        </w:rPr>
        <w:t>في لزوم تعظيم العلماء</w:t>
      </w:r>
      <w:r>
        <w:rPr>
          <w:rtl w:val="true"/>
        </w:rPr>
        <w:t>:</w:t>
      </w:r>
      <w:bookmarkEnd w:id="23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فإنه ينبغي علينا –نحن طلبة العلم الذين لا زلنا في بداية طريق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نتعجل ونُخطِّئ مجتهدًا ما، فقط لأننا لم نطّلع على ما لديه من أدلةٍ أخذت بقلمه نحو الإفتاء بتلك الفتوى أو القول بذلك القول؛ فحلُّ تعارض الأدلة ليس بالمسألة السهلة، بل هي مسألة عويصة جدًا، تحتاج إلى بذل جهد استثنائي، والفقهاء يقضون عمرهم بين الروايات والأقوال للوصول إلى ترجيح قولٍ على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الرسالة العملية إلا عُصارة جهد سنواتٍ طويلةٍ من العلم والبحث والتنقيب والمتابعة وسهر الليالي، فليس من الصحيح أنْ يُخطئه أو يهمش جهوده ساذجٌ ما يدّعي العلم، فعلينا أن نحترم العلماء؛ فهم الواسطة بيننا وبين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الترددات كانت ولا زالت محط أنظار العلماء والمحققين، وكُتِبت في بيانها كتب وشروح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يتعلق بمطهرية الماء المستعمل في رفع الحدث الأكبر، 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 والأحوط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فالمحقق يحتاط في المسألة بالمنع من كونه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الآراء في مطهرية الماء القليل المستعمل في 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وجود أكثر من رأيٍ أو قولٍ في المسألة موضوعة البحث، والآراء في هذه المسألة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وإنْ كان طاهرًا، إلا أنه ليس مطهرًا؛ فلا يكون رافعًا للحدث؛ وذلك لعدة أدلة، نذكر منها دليلين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يقين المكلف برفع الحدث لتصحَّ منه ما تُشترط فيه الطهارة من عبادات، كالصلاة مثلًا، والماء القليل المستعمل في رفع الحدث الأكبر مشكوكٌ في كونه رافعًا للحدث أو لا؛ لوقوع الخلاف فيه بين الفقهاء، الأمر الذي دعا المحقق قُدس سره إلى التردد، ومع الشك لا نتيقن بارتفاع الحدث به، فلا يُحكم عليه بكونه رافعًا للحدث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ردَّ بعض الفقهاء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منشأ عقلائي لهذا الشك؛ لأنّ هذا الماء وإنْ كان ماءً قليلًا، إلا أنّنا افترضنا أنّ البدن طاهر، أي إنه يخلو من أيّ نجاسةٍ خبثيةٍ، فلا يخرج الماء بعد الاغتسال به عن الإطلاق ولا عن الطهارة؛ إذ لا مقتضي لذلك،بالإضافة إلى عدم ملاقاته لنجاسة خارجية، وعليه، فيبقى طاهرًا مطلقًا، ومن ثَمّ يجوز الاغتسال به، ومع الجواز لا معنى للشك في كونه رافعًا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يُغسل به الثوب أو يغتسل به الرجل من الجنابة لا يجوز أنْ يُتوضأ منه وأشباهه، وأما الذي يتوضأ به الرجل فيغسل به وجهه ويده في شيءٍ نظيفٍ فلا بأس أنْ يأخذه غيره ويتوضأ به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والرواية واضحة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الاستدلال بهذه الرواية بردين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إذ الرواية ضعيفةٌ؛ إذ ورد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أحمد بن هلال العبرتائي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قرية كبيرة من أعالي بغداد ومن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بين بغداد وواسط كما في معجم </w:t>
      </w:r>
    </w:p>
    <w:p>
      <w:pPr>
        <w:pStyle w:val="BookText"/>
        <w:rPr/>
      </w:pPr>
      <w:r>
        <w:rPr>
          <w:rFonts w:ascii="IRNazanin" w:hAnsi="IRNazanin" w:eastAsia="IRNazanin"/>
          <w:color w:val="111111"/>
          <w:sz w:val="28"/>
          <w:sz w:val="28"/>
          <w:szCs w:val="28"/>
          <w:rtl w:val="true"/>
          <w:lang w:bidi="fa-IR"/>
        </w:rPr>
        <w:t xml:space="preserve">البلدان </w:t>
      </w:r>
      <w:r>
        <w:rPr>
          <w:rStyle w:val="FootnoteAnchor"/>
          <w:rtl w:val="true"/>
        </w:rPr>
        <w:footnoteReference w:id="102"/>
      </w:r>
      <w:r>
        <w:rPr>
          <w:rFonts w:ascii="Amiri" w:hAnsi="Amiri" w:eastAsia="Amiri" w:cs="Amiri"/>
          <w:color w:val="111111"/>
          <w:sz w:val="28"/>
          <w:sz w:val="28"/>
          <w:szCs w:val="28"/>
          <w:rtl w:val="true"/>
          <w:lang w:bidi="ar-SA"/>
        </w:rPr>
        <w:t xml:space="preserve">، ولِدَ سنة مائة وثمانين للهجرة، وهو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معاصرًا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يروِ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بعض الأخبار أنّه حضر في سامراء، ورأى الإمام العسكري عَلَيْهِ السَّلاَمُ، بل رأى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أربعين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بداية حياته صالحًا في الظاهر، فقد قال عنه الشيخ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أكثر أصول أصحابنا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ويعني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ذكر فيها الأصحاب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كالأصول الأربعمائة التي اختُصِرت في الكتب الأربعة للشيخ الكُليني والشيخ الصدوق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 نسخة ما خرج </w:t>
      </w:r>
      <w:r>
        <w:rPr>
          <w:rStyle w:val="FootnoteAnchor"/>
          <w:rtl w:val="true"/>
        </w:rPr>
        <w:footnoteReference w:id="104"/>
      </w:r>
      <w:r>
        <w:rPr>
          <w:rFonts w:ascii="Amiri" w:hAnsi="Amiri" w:eastAsia="Amiri" w:cs="Amiri"/>
          <w:color w:val="111111"/>
          <w:sz w:val="28"/>
          <w:sz w:val="28"/>
          <w:szCs w:val="28"/>
          <w:rtl w:val="true"/>
          <w:lang w:bidi="ar-SA"/>
        </w:rPr>
        <w:t>من لعن ابن هلال، وكان ابتداء ذلك أن كتب عَلَيْهِ السَّلاَمُ إلى قوّامه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الصوفي المتصنع،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 أحمد بن هلال أنه قد كان حج أربعا وخمسين حجة، عشرون منها على قدميه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رواة أصحابنا بالعراق لقوه وكتبوا منه، وأنكروا ما ورد في مذمّته، فحملوا القاسم بن العلا على أن يراجع في أمره،فخرج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أمرنا نفذ إليك في المتصنع ابن هلال لا رحمه الله، بما قد علمت لم يزل، لا غفر الله له ذنبه، ولا أقاله عثرته يداخل في أمرنا بلا إذن منّا ولا رضى، يستبدّ برأيه، فيتحامي من ديوننا، لا يمضي من أمرنا الا بما يهواه ويريد، أرداه الله بذلك في نار جهنم، فصبرنا عليه حتى بترَ الله بدعوتنا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 عرّفنا خبره قوماً من موالينا في أيامه، لا رحمه الله، وأمرناهم بإلقاء ذلك إلى الخاص من موالينا، ونحن نبرأ إلى الله من ابن هلال لا رحمه الله، وممن لا يبرء منه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وروي أنّه توفيَ في سنةِ مائتين وسبعة وستين هجرية، أيّ في بداية نيابة السفير الثاني محمد بن عثمان </w:t>
      </w:r>
      <w:r>
        <w:rPr>
          <w:rStyle w:val="FootnoteAnchor"/>
          <w:rtl w:val="true"/>
        </w:rPr>
        <w:footnoteReference w:id="10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بداية حياته كانت صالحة، إلا أنَّ عاقبته كانت سيئة، حيث كان يتكتم على حسده وعلى انحرافه بزهده وعبادته، حتى صدرت بعض التوقيعات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ذمِّه ولعنِه، وصفه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أحدتوقيعاته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متصنع</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ووصفه الشيخ الطوسي قُدس 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غاليا متهماً في دينه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كما كانت أبرز انحرافاته هي معارضته لنيابة السفير الثاني محمد بن عثمان، ولعله كان يتطلع لأن يكون هو السفير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النائب الأول، خصوصًا وأنّه كان معروفًا بالعبادة والزهد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سعد بن عبد الله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رأينا ولا سمعنا بمُتشيّعٍ رجع عن التشيع إلى النصب إلا أحمد بن هلال</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فهو لم يترك التشيُع فقط، بل صار ناصبيًا أيضًا حسب عبارة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علماء الرجال في اعتماد رواياته على أربعةِ آراء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جميع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الروايات المنقولة عنه قبل ضلاله، ورفض رواياته المنقولة بعد 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الروايات التي انفرد بنقلها هو فقط، أي الروايات التي وردت بسنده فقط ولم ترد بأي سندٍ آخر، وإلا قبلت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العبرتائي صالح الرواية، يعرف منها وينكر، وقد روى فيه ذموم من سيدنا أبي محمد العسكري عَلَيْهِ السَّلاَمُ </w:t>
      </w:r>
      <w:r>
        <w:rPr>
          <w:rStyle w:val="FootnoteAnchor"/>
          <w:rtl w:val="true"/>
        </w:rPr>
        <w:footnoteReference w:id="111"/>
      </w:r>
      <w:bookmarkStart w:id="231" w:name="pg7928_85300"/>
    </w:p>
    <w:p>
      <w:pPr>
        <w:pStyle w:val="BookText"/>
        <w:rPr/>
      </w:pPr>
      <w:bookmarkEnd w:id="231"/>
      <w:r>
        <w:rPr>
          <w:rFonts w:ascii="Amiri" w:hAnsi="Amiri" w:eastAsia="Amiri" w:cs="Amiri"/>
          <w:color w:val="111111"/>
          <w:sz w:val="28"/>
          <w:sz w:val="28"/>
          <w:szCs w:val="28"/>
          <w:rtl w:val="true"/>
          <w:lang w:bidi="ar-SA"/>
        </w:rPr>
        <w:t>وقال الشيخ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وهو ضعيف فاسد المذهب، لا يُلتفت إلى حديثه فيما يختص بنقله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فهو مختلفٌ في قبولِ روايته، فلا سبيل إلا الاحتياط الذي يقتضي أنْ يتم التعامل مع رواياته بحذرٍ وبتحقيقٍ كثير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503015_1051229030"/>
      <w:bookmarkStart w:id="233" w:name="_Toc77"/>
      <w:bookmarkEnd w:id="232"/>
      <w:r>
        <w:rPr>
          <w:rtl w:val="true"/>
        </w:rPr>
        <w:t>نكتة تربوية</w:t>
      </w:r>
      <w:r>
        <w:rPr>
          <w:rtl w:val="true"/>
        </w:rPr>
        <w:t xml:space="preserve">: </w:t>
      </w:r>
      <w:r>
        <w:rPr>
          <w:rtl w:val="true"/>
        </w:rPr>
        <w:t>ملاك القبول هو الإخلاص</w:t>
      </w:r>
      <w:r>
        <w:rPr>
          <w:rtl w:val="true"/>
        </w:rPr>
        <w:t>:</w:t>
      </w:r>
      <w:bookmarkEnd w:id="233"/>
    </w:p>
    <w:p>
      <w:pPr>
        <w:pStyle w:val="BookText"/>
        <w:rPr/>
      </w:pPr>
      <w:r>
        <w:rPr>
          <w:rFonts w:ascii="Amiri" w:hAnsi="Amiri" w:eastAsia="Amiri" w:cs="Amiri"/>
          <w:color w:val="111111"/>
          <w:sz w:val="28"/>
          <w:sz w:val="28"/>
          <w:szCs w:val="28"/>
          <w:rtl w:val="true"/>
          <w:lang w:bidi="ar-SA"/>
        </w:rPr>
        <w:t xml:space="preserve">من سيرة العبرتائي المتقدمة علينا أنْ نلتفت إلى أنَ ملاك القبول عند الله عَزَّوَجَل هو الإخلاص، وأنّ الأعمال بخواتيمها؛ لذلك علينا دائمًا أنْ ندعو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يُثبتنا على الحق وأنْ يرزقنا حسن العاقبة، فربما نكون في بداياتِ حياتنا ملتزمين بالدين، ملتزمينبالعبادة، لكن لعل النفس تخدعنا، أو تفتح الدنيا ذراعيها لنا، فننسى ما بنينا عليه أمرنا في بداية حياتنا؛ لذلك علينا دائمًا أنْ نلوذ بالله تعالى وأنْ لا نغترَّ بمعلومةٍ اكتسبناها، أو بفهمنا لشيء من الفقه أو المنطق أو النحو، فكُلُّ هذا لا ينفعنا إذا لم يكن مؤطرًا بإطارِ التقوى والالتزام بما يُريدُه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فلنقرأ الرواية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بالماء المُستعمل،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يُغسل به الثوب أو يغتسل به </w:t>
      </w:r>
    </w:p>
    <w:p>
      <w:pPr>
        <w:pStyle w:val="BookText"/>
        <w:rPr/>
      </w:pPr>
      <w:r>
        <w:rPr>
          <w:rFonts w:ascii="Amiri" w:hAnsi="Amiri" w:eastAsia="Amiri" w:cs="Amiri"/>
          <w:color w:val="111111"/>
          <w:sz w:val="28"/>
          <w:sz w:val="28"/>
          <w:szCs w:val="28"/>
          <w:rtl w:val="true"/>
          <w:lang w:bidi="ar-SA"/>
        </w:rPr>
        <w:t>الرجل من الجنابة لا يجوز أنْ يُتوضأ منه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يتوضأ به الرجل فيغسل به وجهه ويده في شيءٍ نظيفٍ فلا بأس أنْ يأخذه غيره ويتوضأ به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فلو سلّمنا جدلًا بصحة سند الرواية، فإنَّ مضمونها لا يدلُّ على المُدّعى، أي لا يدلُّ على أنّ الماء القليل المُستعمل في رفعِ الحدث الأكبر لا يرفع الحدث مرةً ثانية؛ وذلك لأنّ ما يُفهم من الرواية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المقصود بالماء المستعمل في رفع الحدث الأكبر، والذي لا يرفع الحدث مرةً ثانية هو خصوص الماء الذي أصابته نجاسة؛ وذلك لأنَّ الماء القليل بمجرد أن تصيبه نجاسة فإنّه يتنجس، ومن ثم لا يصح رفع الحدث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هذا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الإمام عَلَيْهِ السَّلاَمُ الماءَ الذي يجوز الوضوء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كان في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الذي لا يجوز الوضوء به، فلعلَّ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الماء الذي لا يجوز استعماله مرةً أُخرى هو ما لم يكن في شيء نظيف، أي ما أصابته نجاسة، فهو ماءٌ غير طاهر بلا شك؛ لأنّ الفرض أنّه ماءٌ قليلٌ، والماء القليل ينجس بمجرد ملاقاة النجاسة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 هذا الحملُ، فلا دلالةَ في الرواية على عدم مطهرية الماء المُستعمل في رفعِ الحدث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المستعمل في رفع الحدث الأكبر علاوةً على أنّه طاهرٌ فهو مُطهِّرٌ أيضًا، بل ويمكن رفع الحدث به ثانيًا وثالثًا وعاشرًا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أصحاب هذا الرأي بعدّةِ أدلة،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أدلة المنع، وهذا كافٍ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جواز رفع الحدث به، الثابت له قبل الاستعمال، إذ إنَّ الحالة السابقة للماء القليل المستعمل في رفع الحدث الأكبر أنّه مُطهِّرٌ، أي رافعٌ للحدث، فعند الشك في مطهريته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رفعه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تُستصحب الحالة الأولى، وهي جواز رفع الحدث به، أي جواز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خروج هذا الماء عن الإطلاق والطهارة بعد استعماله في الاغتسال؛ فالماء الرافع للحدث هو الماء الطاهرالمطلق، وهنا لا مجال للتشكيك في كونه رافعًا للحدث؛ لأنه لا مجال للتشكيك في إطلاقه وطهارته بعد الاغتسال به، وطالما كان هذا الماء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الفرض أنه لم يلاق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ومطلقًا، صحَّ رفع الحدث به بلا أدنى شك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ويضاف إلى هذه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الروايات، منها ما روي عَنِ الفُضَيْلِ بْنِ يَسَارٍ، عَنْ أَبِي عَبْدِ الله عَلَيْهِ السَّلاَمُ قَالَ فِي الرَّجُلِ الجُنُبِ يَغْتَسِلُ فَيَنْتَضِحُ مِنَ المَاءِ فِي الإِنَاءِ،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وما روي من أنّه اغتسل بعض أزواج النبي صَلَّى اَللَّهُ عَلَيْهِ وَ آلِهِ وَ سَلَّمْ في جفنةٍ، فأراد رسول الله صَلَّى اَللَّهُ عَلَيْهِ وَ آلِهِ وَ سَلَّمْ أنْ يتوضأ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لا يجنب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لطيف جدًا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لا يجنب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يريد أنْ يُشير إلى أنّ الماء طاهرٌ، أي لم يتنجس بالاغتسال به لرفع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تردّد المُحقق قُدس سره في البداية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صرّح بعد ذلك بأنّه يختار طريق الاحتياط،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 الاحتياط فعليه بالامتناع عن استعمال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المستعمل في رفع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أو في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منشأ الاحتياط هو تعارض أدلة الرأيين، وعدم وجدان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لترجيح أحدهما على الآخر، وعلى كُلِّ حالٍ فالاحتياطُ حسنٌ على كُلِّ حال، ومهما استطاع المكلف أن يحتاط في جميع أموره، ضمن بذلك مطابقة عمله للواقع، ويكون عمله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كطلبة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منا كثيرًا أنْ نحتاط في تصرفاتنا بشكلٍ عام، بأن نبتعد عن أي تصرفٍ من شأنه أنْ يُشكِّك في نزاهة طالب العلم أو في تدينه، كما علينا أنْ نعكس صورةً حسنةً لطلبةِ العلم؛ لأنَّ طالب العلم لا يمثل نفسه فقط، بل هو يمثل الحوزة كلها</w:t>
      </w:r>
      <w:r>
        <w:rPr>
          <w:rFonts w:eastAsia="Amiri" w:cs="Amiri" w:ascii="Amiri" w:hAnsi="Amiri"/>
          <w:color w:val="111111"/>
          <w:sz w:val="28"/>
          <w:szCs w:val="28"/>
          <w:rtl w:val="true"/>
          <w:lang w:bidi="ar-SA"/>
        </w:rPr>
        <w:t xml:space="preserve">. </w:t>
      </w:r>
      <w:bookmarkStart w:id="234" w:name="pg7928_85307"/>
    </w:p>
    <w:p>
      <w:pPr>
        <w:pStyle w:val="BookText"/>
        <w:rPr/>
      </w:pPr>
      <w:bookmarkEnd w:id="234"/>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فحريٌ بنا أن نحتاط كثيرًا لديننا، ونحتاط في سلوكياتنا، ونحتاط في كُلِّ أفعالنا، كيلا نؤاخذَ بشيءٍ ينعكسُ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الجهة التي ننتمي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6503017_1051229030"/>
      <w:bookmarkStart w:id="236" w:name="_Toc78"/>
      <w:bookmarkEnd w:id="235"/>
      <w:r>
        <w:rPr>
          <w:rtl w:val="true"/>
        </w:rPr>
        <w:t>تنبيه</w:t>
      </w:r>
      <w:r>
        <w:rPr>
          <w:rtl w:val="true"/>
        </w:rPr>
        <w:t xml:space="preserve">: </w:t>
      </w:r>
      <w:r>
        <w:rPr>
          <w:rtl w:val="true"/>
        </w:rPr>
        <w:t>الاختلاف في رفع الحدث لا في إزالة الخبث</w:t>
      </w:r>
      <w:r>
        <w:rPr>
          <w:rtl w:val="true"/>
        </w:rPr>
        <w:t>:</w:t>
      </w:r>
      <w:bookmarkEnd w:id="2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الخلاف بين الفقهاء في الماء القليل المستعمل في رفع الحدث الأكبر إنّما وقع في جواز رفع الحدث به، وأما في إزالة الخبث فلا خلاف بينهم في جوازه؛ لفرض اتفاقهم على طهارته وإطلاقه،فيجوز غسل الثوب المتنجس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وتحصل به طهارته منه</w:t>
      </w:r>
      <w:r>
        <w:rPr>
          <w:rFonts w:eastAsia="Amiri" w:cs="Amiri" w:ascii="Amiri" w:hAnsi="Amiri"/>
          <w:color w:val="111111"/>
          <w:sz w:val="28"/>
          <w:szCs w:val="28"/>
          <w:rtl w:val="true"/>
          <w:lang w:bidi="ar-SA"/>
        </w:rPr>
        <w:t>.</w:t>
      </w:r>
      <w:bookmarkStart w:id="237" w:name="pg7928_85309"/>
    </w:p>
    <w:p>
      <w:pPr>
        <w:pStyle w:val="Heading3"/>
        <w:numPr>
          <w:ilvl w:val="2"/>
          <w:numId w:val="1"/>
        </w:numPr>
        <w:rPr/>
      </w:pPr>
      <w:bookmarkStart w:id="238" w:name="__RefHeading___Toc6503019_1051229030"/>
      <w:bookmarkStart w:id="239" w:name="_Toc79"/>
      <w:bookmarkEnd w:id="237"/>
      <w:bookmarkEnd w:id="238"/>
      <w:r>
        <w:rPr>
          <w:rtl w:val="true"/>
        </w:rPr>
        <w:t>الطرف الثالث</w:t>
      </w:r>
      <w:r>
        <w:rPr>
          <w:rtl w:val="true"/>
        </w:rPr>
        <w:t>:</w:t>
      </w:r>
      <w:r>
        <w:rPr>
          <w:rtl w:val="true"/>
        </w:rPr>
        <w:t>في الأسئار</w:t>
      </w:r>
      <w:bookmarkEnd w:id="239"/>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الأسئار، وهي كُلُّها طاهرةٌ عدا سؤر الكلب والخنزير والكافر، وفي سؤر المسوخ تردد، والطهارةُ أظهر، ومَنْ عدا الخوارج والغُلاة من أصناف المسلمين طاهر الجسد والسؤر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سؤر، والسؤر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الفضلة أو البقية من المشروب وما شابه، جاء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في الحوض</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ولا يختلف الاصطلاح الفقهي كثيراً عن المعنى اللغوي، فالسؤر هو الماء القليل الذي لاقاه فمُ الحيوان أو أي عضوٍ آخر من جسمه؛ لا خصوص الفم، والحيوان هو كُل ما له حياة؛ فيشمل الإنسان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والسؤر عبارة عما شرب منه الحيوانُ أو باشَرَه بجسمه من المياه وسائر المائعات </w:t>
      </w:r>
      <w:r>
        <w:rPr>
          <w:rStyle w:val="FootnoteAnchor"/>
          <w:rtl w:val="true"/>
        </w:rPr>
        <w:footnoteReference w:id="118"/>
      </w:r>
      <w:r>
        <w:rPr>
          <w:rFonts w:ascii="Amiri" w:hAnsi="Amiri" w:eastAsia="Amiri" w:cs="Amiri"/>
          <w:color w:val="111111"/>
          <w:sz w:val="28"/>
          <w:sz w:val="28"/>
          <w:szCs w:val="28"/>
          <w:rtl w:val="true"/>
          <w:lang w:bidi="ar-SA"/>
        </w:rPr>
        <w:t>ذكر المُصنف قُدس سره في هذا الطرف عدّة أحكام يمكن تلخيصها في ثلاثة فروع</w:t>
      </w:r>
      <w:r>
        <w:rPr>
          <w:rFonts w:eastAsia="Amiri" w:cs="Amiri" w:ascii="Amiri" w:hAnsi="Amiri"/>
          <w:color w:val="111111"/>
          <w:sz w:val="28"/>
          <w:szCs w:val="28"/>
          <w:rtl w:val="true"/>
          <w:lang w:bidi="ar-SA"/>
        </w:rPr>
        <w:t xml:space="preserve">: </w:t>
      </w:r>
      <w:bookmarkStart w:id="240" w:name="pg7928_85311"/>
    </w:p>
    <w:p>
      <w:pPr>
        <w:pStyle w:val="Heading3"/>
        <w:numPr>
          <w:ilvl w:val="2"/>
          <w:numId w:val="1"/>
        </w:numPr>
        <w:rPr/>
      </w:pPr>
      <w:bookmarkStart w:id="241" w:name="__RefHeading___Toc6503021_1051229030"/>
      <w:bookmarkStart w:id="242" w:name="_Toc80"/>
      <w:bookmarkEnd w:id="240"/>
      <w:bookmarkEnd w:id="241"/>
      <w:r>
        <w:rPr>
          <w:rtl w:val="true"/>
        </w:rPr>
        <w:t>الفرع الأول</w:t>
      </w:r>
      <w:r>
        <w:rPr>
          <w:rtl w:val="true"/>
        </w:rPr>
        <w:t xml:space="preserve">: </w:t>
      </w:r>
      <w:r>
        <w:rPr>
          <w:rtl w:val="true"/>
        </w:rPr>
        <w:t>حكم السؤر من حيث الطهارة والنجاسة</w:t>
      </w:r>
      <w:r>
        <w:rPr>
          <w:rtl w:val="true"/>
        </w:rPr>
        <w:t>:</w:t>
      </w:r>
      <w:bookmarkEnd w:id="24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كُلُّها طاهرةٌ عدا سؤر الكلب والخنزير والكافر وفي سؤر المسوخ ترددٌ والطهارةُ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حديثنا يدورُ حول الماء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لاقى فم الحيوان عند شربه منه، أو شيئًا من بدنه، كما لو وضع كلبٌ قدمه في ماءٍ قليلٍ، أو سقط طائرٌ فيه مثلًا، فهل يبقى هذا الماء القليل محافظًا على طهارته أو أنّه يتنجس؟</w:t>
      </w:r>
    </w:p>
    <w:p>
      <w:pPr>
        <w:pStyle w:val="BookText"/>
        <w:rPr/>
      </w:pPr>
      <w:r>
        <w:rPr>
          <w:rFonts w:ascii="Amiri" w:hAnsi="Amiri" w:eastAsia="Amiri" w:cs="Amiri"/>
          <w:color w:val="111111"/>
          <w:sz w:val="28"/>
          <w:sz w:val="28"/>
          <w:szCs w:val="28"/>
          <w:rtl w:val="true"/>
          <w:lang w:bidi="ar-SA"/>
        </w:rPr>
        <w:t>ذكروا أنَّ في المسألة أقوالًا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ما لا يؤكل لحمه من الحيوانات عدا نوعين،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يمكن التحرز منه في الحضَر كالفأرة والهرّة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بالحضَر المدينة، في قبال القُرى والأرياف أو الأعراب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الحيوانات موجودة بكثرة في بيوت المدينة، بحيث لا يستطيع الإنسان عادةً أن يتحرّزَ من مباشرتها للماء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هذا القول على كون الحيوان مما يؤكل لحمه أو لا، فجميعُ أفراد ما لا يؤكل لحمه سؤرها نجسٌ، عدا الطيور وما لا يمكن التحرز منه كالفأرة والهرة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هذا القولُ إلى الشيخ الطوسي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الحيوان الطاهر؛ طائرًا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ونجاسة سؤر الحيوان النجس فضلًا عن الكلب والخنزير والكافر والخوارج الغُلاة والنواصب كما سيأتي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 في هذا القول على طهارة الحيوان ونجاسته؛ فما كان طاهراً فسؤره طاهر، سواء أكان طائرًا أم ليس بطائر، وما كان نجسًا فسؤره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مختار المحقق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في اختياره هذا القول فسيأتي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الجلّال والمسوخ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الحيوان الذي تغذّى على عذرة الإنسان إلى حدٍّ معيّن، بحيث نبت لحمُه واشتدَّ عظمُه عليها، وقبل أنْ يُستبرأ بما يُزيل عنه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المسوخ، فقد ضربوا له أمثلة بالدب والقرد والثعلب والأرنب والفيل، بناءً على القول بأن هذه الحيوانات قد مُسِخت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آكل الجيف، وطهارة ما عداه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في عبارته أشار إلى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الحيوان النجس، وهو الكلب والخنزير والكافر،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كُلُّها طاهرة عدا سؤر 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واضحٌ؛ إذ إنَّ هذه الحيوانات نجسةُ العين، فإذا لاقت الماء القليل تنجّس؛ لأنَّ الماء القليل 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يشمل كل أنواع الملاقاة بأيّ جزءٍ من البدن لا خصوص فم الحيوان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الحكم على سؤر المسوخ بالنجاسة، ثم استظهر الطهارة،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سؤر المسوخ ترددٌ، والطهارةُ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الحديث عن التردد،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يشير إلى وجود قولين أو رأيين في المسألة، لكُلٍّ منهما أدلته ومستنداته، والمصنف إما أنْ يميل إلى أحد هذين الرأيين ويجزم به، فعندئذٍ يبرز رأيهبصيغة الفتوى،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وإما أن لا يرجّح أيًّا منهما، وفي هذه الحال إما أنْ يحتاط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 أو الفعل أو كذا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يُبدي رأيًا، حيث يتوقف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تردده في سؤر المسوخ، لم يظهر وجه الترديد فيه كما ذكر الشُرّاح، ولعلّه لأجل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نجاسة سؤر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لحرمة بيع المسوخ نفسها، كما نُقل ذلك عن الشيخ</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حرمة البيع وبين نجاسة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طهارة سؤر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إذ الأصل في الأشياء هي الطهارة إلا إذا ثبتت النجاسة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ثبتت النجاسة في الكلب والخنزير والكافر والنواصب والميتة من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والمسوخ لم تثبت نجاسته بدليل واضح، فيُرجع فيها إلى الأصل، والأصل فيها أن تكون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استظهر المحقق قُدس سره طهارتها بعد أنْ ترددَّ،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سؤر المسوخ ترددٌ، والطهارة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مُتعينة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قيام دليلٍ على نجاسة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المصنف قُدس سره بحكم النجاسة عدّة أصنافٍ؛ لنفس السبب السابق،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القليل ينفعل، أي ينجس بمجرد ملاقاة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والأصناف التي ذكرها المصنف قُدس سره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خرجوا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النهروان، بل يمكن التعميم لكُلّ من خرج على الإمام المعصوم في كُلِّ زمنٍ، أي خرج لمقاتلة الإمام المعصوم، فهؤلاء شرعًا يُعدّون من الخوارج وإنْ حُكِم عليهم بالإسلام ظاهرًا إن لم ينصبوا العداء للأئمة عَلَيْهِم السَّلاَمُ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الذين ادعوا ألوهية أحد البشر، أو قالوا بألوهية المعصوم، كمن عبدوا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قالوا باستقلاله عن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فالغلو يتلخص في ادّعاء ألوهية أحد البشر أو ادّعاء استقلاله عن الله عَزَّوَجَل، وعليه، فلا يُعدُّ من اشتدّ في حبه لأهل البيت عَلَيْهِم السَّلاَمُ وكان مستعدًا لأن يُضحّي بنفسه من أجلهم مُغاليًا، وكذا من نفى السهو والنسيان عنهم، أو قال بولايتهم التكوينية والتشريعية إذا آمن أنَّ كلَّ ذلك إنّما كان لهم بفضل الله تعالى وبإذنه وبإقداره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شاسعٌ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مستقلٌ عن الله عَزَّوَجَل، وبين من يقول إنّه غير مستقل؛ فالأول يرفعه إلى مرتبة الإله والخالق والربّ، على حين إنَّ الثاني يجعله في مرتبة المألوه والمخلوق والمربوب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الغُلاة ليسوا من المسلمين؛ فهم خارجون تخصصًا عنهم، فكيف أدخلهم المُحقق قُدس سره؟ وكيف استثناهم من أصناف المسلمين؟</w:t>
      </w:r>
    </w:p>
    <w:p>
      <w:pPr>
        <w:pStyle w:val="BookText"/>
        <w:rPr/>
      </w:pPr>
      <w:r>
        <w:rPr>
          <w:rFonts w:ascii="Amiri" w:hAnsi="Amiri" w:eastAsia="Amiri" w:cs="Amiri"/>
          <w:color w:val="111111"/>
          <w:sz w:val="28"/>
          <w:sz w:val="28"/>
          <w:szCs w:val="28"/>
          <w:rtl w:val="true"/>
          <w:lang w:bidi="ar-SA"/>
        </w:rPr>
        <w:t>وسيأتي بيان الجواب عنه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يذكرهم المصنف قُدس سره هنا صراحةً، وإنّما ألحقهم الفقهاء بالمحكوم </w:t>
      </w:r>
    </w:p>
    <w:p>
      <w:pPr>
        <w:pStyle w:val="BookText"/>
        <w:rPr/>
      </w:pPr>
      <w:r>
        <w:rPr>
          <w:rFonts w:ascii="Amiri" w:hAnsi="Amiri" w:eastAsia="Amiri" w:cs="Amiri"/>
          <w:color w:val="111111"/>
          <w:sz w:val="28"/>
          <w:sz w:val="28"/>
          <w:szCs w:val="28"/>
          <w:rtl w:val="true"/>
          <w:lang w:bidi="ar-SA"/>
        </w:rPr>
        <w:t xml:space="preserve">عليهم بالنجاسة، والنواصب هم من أعلنوا العداء لأهل البيت عَلَيْهِم السَّلاَمُ؛ فهؤلاء حُكِمَ بنجاستِهم، ومن ثَمّ تكون أسئارهم نجسةً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عدا الخوارج والغُلاة من أصناف المسلمين طاهر الجسد والسؤر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الغُلاة ليسوا من المسلمين فهم خارجون تخصصاً عن المسلمين، فكيف أدخلهم المحقق قُدس سره؟ وكيف استثناهم من أصناف المسلمين؟</w:t>
      </w:r>
    </w:p>
    <w:p>
      <w:pPr>
        <w:pStyle w:val="BookText"/>
        <w:rPr/>
      </w:pPr>
      <w:r>
        <w:rPr>
          <w:rFonts w:ascii="Amiri" w:hAnsi="Amiri" w:eastAsia="Amiri" w:cs="Amiri"/>
          <w:color w:val="111111"/>
          <w:sz w:val="28"/>
          <w:sz w:val="28"/>
          <w:szCs w:val="28"/>
          <w:rtl w:val="true"/>
          <w:lang w:bidi="ar-SA"/>
        </w:rPr>
        <w:t>ونفس الكلام يُقال في الخوارج المحكوم بكفرهم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يُجاب عن ذلك بوجهين،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ذكرهم ضمن المسلمين على أنّه مجازٌ، باعتبار ما كانوا عليه من اعتقاد، وهو الإسلام، فلأنّهم كانوا مسلمين صحَّ أنْ يستثنيهم من عموم المسلمين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الاستثناء على أنّه استثناءٌ منقطعٌ، والاستثناء المنقطع هو ما كان فيه المستثنى من غير جنس المستثنى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 حمارًا، فالاستثناء هنا مُنقطعٌ؛ لأنّ الحمارَ ليس من جنس القوم، وكذلك فقد استثنى المُحقق قُدس سره الغُلاة من المسلمين</w:t>
      </w:r>
      <w:r>
        <w:rPr>
          <w:rFonts w:eastAsia="Amiri" w:cs="Amiri" w:ascii="Amiri" w:hAnsi="Amiri"/>
          <w:color w:val="111111"/>
          <w:sz w:val="28"/>
          <w:szCs w:val="28"/>
          <w:rtl w:val="true"/>
          <w:lang w:bidi="ar-SA"/>
        </w:rPr>
        <w:t xml:space="preserve">. </w:t>
      </w:r>
      <w:bookmarkStart w:id="243" w:name="pg7928_85322"/>
    </w:p>
    <w:p>
      <w:pPr>
        <w:pStyle w:val="Heading3"/>
        <w:numPr>
          <w:ilvl w:val="2"/>
          <w:numId w:val="1"/>
        </w:numPr>
        <w:rPr/>
      </w:pPr>
      <w:bookmarkStart w:id="244" w:name="__RefHeading___Toc6503023_1051229030"/>
      <w:bookmarkStart w:id="245" w:name="_Toc81"/>
      <w:bookmarkEnd w:id="243"/>
      <w:bookmarkEnd w:id="244"/>
      <w:r>
        <w:rPr>
          <w:rtl w:val="true"/>
        </w:rPr>
        <w:t>إشارات</w:t>
      </w:r>
      <w:r>
        <w:rPr>
          <w:rtl w:val="true"/>
        </w:rPr>
        <w:t>:</w:t>
      </w:r>
      <w:bookmarkEnd w:id="245"/>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المجبِّرة والمجسِّمة بالمحكوم عليهم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 بعضٌ فرقة المُجبِّرة والمُجسِّمة بالمحكوم عليهم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المُجبِّرة فهم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يجبر الإنسان على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المجسِّمة فهم الذين نسبوا الجسم والجسمية إلى الله عَزَّوَجَل؛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ويداً، ورجلاً، وإن له أبعاداً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الفقهاء إلى الحكم عليهم بالنجاسة، وإذا كانوا كذلك فإنّ سؤرهم هو الآخر نجسٌ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سؤر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من حكمٍ لسؤر الماء القليل لا يقتصر على الماء المطلق، بل يشمل الماء المضاف أيضًا؛ لأنّ الماء المضاف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الانفعال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الماء القليل، فكما أنَّ الماء القليل ينفعل بمجرد ملاقاة النجاسة فكذلك الماء المضاف ينفعل بمجرد ملاقاة النجاسة، وعليه لو ولغ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بأناءٍ فيه ماء تفاح، أو ماء برتقال، فإنَّ هذا الماء يتنجس؛ لأنّه سؤر حيوانٍ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عمّم بعضٌ هذا الحكم ليشمل المأكول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الكافر في عبارة المصنف؟</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الكافر في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كلها طاهرة عدا سؤر الكلب والخنزير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الكافر الذي حُكِمَ عليه بالنجاسة، كالملحد </w:t>
      </w:r>
      <w:bookmarkStart w:id="246" w:name="pg7928_85323"/>
    </w:p>
    <w:p>
      <w:pPr>
        <w:pStyle w:val="BookText"/>
        <w:rPr/>
      </w:pPr>
      <w:bookmarkEnd w:id="246"/>
      <w:r>
        <w:rPr>
          <w:rFonts w:ascii="Amiri" w:hAnsi="Amiri" w:eastAsia="Amiri" w:cs="Amiri"/>
          <w:color w:val="111111"/>
          <w:sz w:val="28"/>
          <w:sz w:val="28"/>
          <w:szCs w:val="28"/>
          <w:rtl w:val="true"/>
          <w:lang w:bidi="ar-SA"/>
        </w:rPr>
        <w:t xml:space="preserve">والكافر غير الكتابي مثلًا، وأما الكافر 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مسألة تختلف باختلاف آراء الفقهاء من حيث نجاسة العين أو عدمها، والمشهور طهارته، فيكون سؤره طاهرًا أيضًا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503025_1051229030"/>
      <w:bookmarkStart w:id="248" w:name="_Toc82"/>
      <w:bookmarkEnd w:id="247"/>
      <w:r>
        <w:rPr>
          <w:rtl w:val="true"/>
        </w:rPr>
        <w:t>الفرع الثاني</w:t>
      </w:r>
      <w:r>
        <w:rPr>
          <w:rtl w:val="true"/>
        </w:rPr>
        <w:t xml:space="preserve">: </w:t>
      </w:r>
      <w:r>
        <w:rPr>
          <w:rtl w:val="true"/>
        </w:rPr>
        <w:t>ما يُكره سؤره</w:t>
      </w:r>
      <w:r>
        <w:rPr>
          <w:rtl w:val="true"/>
        </w:rPr>
        <w:t>:</w:t>
      </w:r>
      <w:bookmarkEnd w:id="248"/>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سؤرُ الجلّال، وسؤر ما أكل الجيف إذا خلا موضع الملاقاة من عين النجاسة، والحائض التي لا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عدّة أصنافٍ يُكره سؤرها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يتغذّى على عذرةِ الإنسان فقط حتى ينبتَ عليه لحمه ويشتدَّ، وقبل أنْ يُستبرأ بما يُزيل عنه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نجاسته أو طهارته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نجس العين، فهو كالكلب مثلًا، فنجاسته وحرمة أكله ذاتية، وعليه يكون سؤره نجسًا؛ فإذا شرب الحيوان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كالدجاجة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قليلٍ تنجّسَ هذا الماء؛ لأنه نجس العين، فسؤره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طاهر العين، لأنّ جلله لا يؤثر على طهارته، فلا يُصبحَ نجس العين، وتبقى عينه –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أكله ويحرم ذلك؛ لأنه قد تغذّى على عذرة الإنسان، فهو كميتة السمك، طاهرةٌ لكن لا يجوز أكلها، وكذلك الحيوان الجلّال يحرمُ أكله، لكن عينه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طاهراً؛ ولذا لم يحكم على سؤره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والحيوان الجلّال تكون نجاسته وحرمة أكله عرضية، يمكن إزالتها بأن نستبرئ هذه الدجاجة، ويتم استبراؤها بمنعها عن أكل عذرة الإنسان وإطعامها طعامًا طاهرًا لمدة ثلاثة أيام كما ذُكِر فيالكتب الفقهية، فتعود حينئذٍ إلى حالتها الأولى، وهي الطهارة ومن ثَمّ يجوز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 ذلك ولو 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إلى أن لكل صنف من الحيوانات الجلّالة فترة معينة للاستبراء، تُراجع في محلها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المحقِّق الحلي قُدس سره القول الثاني؛ ولذا لم يعد الجلّال من النجاسات، بل حكم على سؤره بالكراهة للدليل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حكم سؤر الحيوان الجلّال العام، وهناك تفصيل في حكم سؤره، نلخصه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موضع ملاقاة الحيوان للماء نجسًا، كما لو كان منقار الدجاجة الجلّالة نجسًا، وشربت من الماء، فهنا لا إشكال في الحكم على الماء بالنجاسة؛ لا لجلل الدجاجة، بل لأنَّ منقارها يحمل عين نجاسة، وقد لاقى ماءً قليلًا، وقد تقدّم في العديد من المواضع أنَّ الماء القليل 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ملاقاة النجاسة، وبهذا الاعتبار يكون هذا الحكم شاملاً للحيوان غير الجلال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يخلو موضع المُلاقاة من عين النجاسة، كما لو شربت دجاجة جلّالة من ماءٍ قليلٍ وكان منقارها طاهرًا، حينئذٍ لا يُحكم على سؤرها بالنجاسة، بل بالكراهة لدليلٍ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فإنَّ حكم المصنف قُدس سره بعدم نجاسة سؤر الحيوان الجلّال مبنيٌ على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الحيوان الجلّال طاهر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موضع الملاقاة مع الماء القليل خالياً من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الذي يأكل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الحيوان الذي يأكل الميتة، وهذا أيضًا سؤره مكروهٌ كحكمٍ عام، شرط أن لا يكون هذا الحيوان الذي يأكل الجيف نجس العين كالكلب مثلًا، فلو شرب كلبٌ من ماءٍ قليلٍ وكان آكلًا للجيف فلا إشكال حينئذٍ بنجاسة سؤره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سؤر الحيوان آكل الجيف تفصيلٌ كالتفصيل المتقدّم في الحيوان الجلّال، نلخصه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موضع ملاقاة الحيوان للماء نجسًا، فهنا لا إشكال في الحكم على الماء بالنجاسة؛ لأنَّ موضع ملاقاة الحيوان للماء يحمل عين نجاسة، وقد لاقى ماءً قليلًا، وهو ينفعل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ملاقاة النجاسة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يخلو موضع المُلاقاة من عين النجاسة، حينئذٍ لا يُحكم على سؤره بالنجاسة، بل بالكراهة لدليلٍ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طهارة سؤر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وآكل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يدلُّ على طهارة 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والحيوان الذي يأكل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الحَمَامَةِ والدَّجَاجِ لَا بَأْسَ بِه، والطَّيْرِ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والرواية مطلقة، فتشمل الجلال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على الفضلة أنّها سؤرٌ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سُؤْرِه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شَرِبَ مِنْه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أنواع الصقور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صَقْرٌ أَوْ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أنواع النسور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مِنَ الطَّيْرِ، تَوَضَّأْ مِمَّا يَشْرَبُ مِنْه، إِلَّا أَنْ تَرَى فِي مِنْقَارِه دَماً، فَإِنْ رَأَيْتَ فِي مِنْقَارِه دَماً فَلَا تَوَضَّأْ مِنْه ولَا تَشْرَبْ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والقيد المذكور في الرواية هو نفسه الذي ذكره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خلا موضعُ المُلاقاة من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كراهة سؤر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آكل الجيف</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الكراهة ما روي مُرسلًا عَنِ الوَشَّاءِ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يَكْرَه سُؤْرَ كُلِّ شَيْءٍ لَا يُؤْكَلُ لَحْمُه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مع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الحيوان الجلّال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ضعيفة السند بالإرسال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حكمهم وفقها بالكراهة كان بناءً على قاعدة التسامح في أدلة السنن، وقد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التي لا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التي لا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التي لا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تعتني بالمحافظة على الطهارة، ولم تكن مستحفظةً من الدم، ولا تجتنب من النجاسات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المأمونة، فهي معلومة الحال بأنّها تتحفظ من النجاسات، أو على الأقل نظن بها ذلك من خلال حُسنِ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بكراهة سؤرها جاء على خلفية الجمع بين ما دلَّ على جواز شرب سؤرها، وبين النهي عن الوضوء به، والجمع بينهما هو بالحكم بكراهة سؤرها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مِنْ سُؤْرِ الحَائِضِ، ولَا تَوَضَّأْ مِنْه </w:t>
      </w:r>
      <w:r>
        <w:rPr>
          <w:rStyle w:val="FootnoteAnchor"/>
          <w:rtl w:val="true"/>
        </w:rPr>
        <w:footnoteReference w:id="125"/>
      </w:r>
      <w:r>
        <w:rPr>
          <w:rFonts w:ascii="Amiri" w:hAnsi="Amiri" w:eastAsia="Amiri" w:cs="Amiri"/>
          <w:color w:val="111111"/>
          <w:sz w:val="28"/>
          <w:sz w:val="28"/>
          <w:szCs w:val="28"/>
          <w:rtl w:val="true"/>
          <w:lang w:bidi="ar-SA"/>
        </w:rPr>
        <w:t>ولعله لأجل ذلك خصَّ البعض الكراهة بخصوص الوضوء بسؤرها، لا شربه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حمل الفقهاء النهيَ على الكراهة لا على الحرمة؛ وذلك لأنَّ الرواية أجازت شرب السؤر، مما يدلُّ على طهارته، وإلا لنهت عنه أيضاً، ولا سبب بعد ذلك يقتضي النهي عن الوضوء به سوى كونه سؤرها؛ إذ إنّه ليس بمضافٍ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قيد المأمونة الرافع للكراهة، فهو مقتضى ما رويَ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يَغْتَسِلُ الرَّجُلُ والمَرْأَةُ مِنْ إِنَاءٍ وَاحِدٍ؟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يُفْرِغَانِ عَلَى أَيْدِيهِمَا قَبْلَ أَنْ يَضَعَا أَيْدِيَهُمَا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سُؤْرِ الحَائِضِ،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تَوَضَّأْ مِنْه، وتَوَضَّأْ مِنْ سُؤْرِ الجُنُبِ، إِذَا كَانَتْ مَأْمُونَةً، ثُمَّ تَغْسِلُ يَدَيْهَا قَبْلَ أَنْ تُدْخِلَهُمَا فِي الإِنَاءِ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سؤر الحائض وسؤر الجنب إذا كانت مأمونةً فتوضّأ من سؤرها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 هذه الرواية إلى الرواية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أجازت الشرب من سؤر الحائض ونهت عن 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شرب سؤر الحائض ومن دون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الوضوء بسؤرها إذا لم تكن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الوضوء بسؤرها إذا كانت مأمونة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هي النتائج المستخلصة من الروايات، أمّا المحقق قُدس سره فيظهر من عبارته أنّه أطلق كراهةَ سؤرِ الحائض،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والحائض التي لا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من يكره سؤرهم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أنّ منشأ هذه الكراهة هي الروايات التي أجاز بعضها شرب سؤرها، ونهى بعضها الآخر عن الوضوء منه، فإذا كان سؤرها صالحًا للشرب شرعًا، أي إنّه طاهرٌ، حينئذٍ يُحمل النهي عن الوضوء به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البغال والحمير والفأرة والحية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وسؤر البغال والحمير والفأرة والحية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الحيوانات هي طاهرةٌ في حدِّ نفسها وليست نجسة، فإذا لاقت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أَشربت منه أم وقعت فيه، وسواء أَكان الماء قليلًا أم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الأدلة الروائية على طهارة سؤر البغال والحمير والفأرة والحية، نذكر منها ما يدلُّ على طهارة سؤر الفأرة، حيث روي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الفارة تقع في السمن والزيت ثم تخرج منه حياً </w:t>
      </w:r>
      <w:r>
        <w:rPr>
          <w:rStyle w:val="FootnoteAnchor"/>
          <w:rtl w:val="true"/>
        </w:rPr>
        <w:footnoteReference w:id="127"/>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بأكله </w:t>
      </w:r>
      <w:r>
        <w:rPr>
          <w:rStyle w:val="FootnoteAnchor"/>
          <w:rtl w:val="true"/>
        </w:rPr>
        <w:footnoteReference w:id="128"/>
      </w:r>
      <w:r>
        <w:rPr>
          <w:rFonts w:ascii="Amiri" w:hAnsi="Amiri" w:eastAsia="Amiri" w:cs="Amiri"/>
          <w:color w:val="111111"/>
          <w:sz w:val="28"/>
          <w:sz w:val="28"/>
          <w:szCs w:val="28"/>
          <w:rtl w:val="true"/>
          <w:lang w:bidi="ar-SA"/>
        </w:rPr>
        <w:t xml:space="preserve">علماً أن هناك خلافاً في كراهة سؤر هذه الحيوانات، يُراجع في مظانه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فيه الوزغ والعقرب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مات فيه الوزغ والعقرب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المحقق السؤر الذي سقط فيه العقرب والوزغ وخرجا حيين، </w:t>
      </w:r>
      <w:bookmarkStart w:id="249" w:name="pg7928_85336"/>
    </w:p>
    <w:p>
      <w:pPr>
        <w:pStyle w:val="BookText"/>
        <w:rPr/>
      </w:pPr>
      <w:bookmarkEnd w:id="249"/>
      <w:r>
        <w:rPr>
          <w:rFonts w:ascii="Amiri" w:hAnsi="Amiri" w:eastAsia="Amiri" w:cs="Amiri"/>
          <w:color w:val="111111"/>
          <w:sz w:val="28"/>
          <w:sz w:val="28"/>
          <w:szCs w:val="28"/>
          <w:rtl w:val="true"/>
          <w:lang w:bidi="ar-SA"/>
        </w:rPr>
        <w:t>مما يدلُّ على أنْ لا كراهةَ فيه، بل ذكر خصوص السؤر الذي مات فيه الوزغ والعقرب ولم يقل بنجاسته؛ لأنّهما من الحيوانات التي ليست لها نفسٌ سائلة، وإلا لو كانت لهما نفسٌ سائلة وماتا في ماءٍ قليل، فحينئذٍ ينجس ذلك الماء القليل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بكراهته؛ للدليل الخاص، حيث وردت روايات تنهى عما مات فيه الوزغ والعقرب، ولمّا كانت هذه الروايات ضعيفة السند من جهةٍ، وميتة هذين الحيوانين طاهرةٌ من جهةٍ أخرى، فنحمل هذه الرواية الناهية عن سؤرها على الكراهة دون الحرمة، فيُكره استعماله في الشرب وفي الوضوء وما شابه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503027_1051229030"/>
      <w:bookmarkStart w:id="251" w:name="_Toc83"/>
      <w:bookmarkEnd w:id="250"/>
      <w:r>
        <w:rPr>
          <w:rtl w:val="true"/>
        </w:rPr>
        <w:t>الفرع الثالث</w:t>
      </w:r>
      <w:r>
        <w:rPr>
          <w:rtl w:val="true"/>
        </w:rPr>
        <w:t xml:space="preserve">: </w:t>
      </w:r>
      <w:r>
        <w:rPr>
          <w:rtl w:val="true"/>
        </w:rPr>
        <w:t>حالات ينجس فيها الماء</w:t>
      </w:r>
      <w:r>
        <w:rPr>
          <w:rtl w:val="true"/>
        </w:rPr>
        <w:t>:</w:t>
      </w:r>
      <w:bookmarkEnd w:id="251"/>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وينجس الماء بموت الحيوان ذي النفس السائلة، دون ما لا نفس له، وما لا يُدرك بالطرف من الدم لا يُنجّس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 وهو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المصنف قُدس سره حالتين ينجس فيهما الماء، وقبل بيانهما ننبه على أنَّ الماء محل البحث هنا هو خصوص الماء القليل، أي الأقل من الكر؛ لأنَّ الماء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ينفعل بملاقاة النجاسة إلا بتغير أحد اوصافه الثلاثة، والحالتان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الحيوان ذي النفس السائلة في الماء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مات حيوان ذو نفسٍ سائلة في الماء القليل فإنَّه ينجس، وهذا لا خلاف فيه بين الفقهاء، بل هو موضع وفاق؛ وذلك لأنَّ ميتة ذي النفس </w:t>
      </w:r>
    </w:p>
    <w:p>
      <w:pPr>
        <w:pStyle w:val="BookText"/>
        <w:rPr/>
      </w:pPr>
      <w:r>
        <w:rPr>
          <w:rFonts w:ascii="Amiri" w:hAnsi="Amiri" w:eastAsia="Amiri" w:cs="Amiri"/>
          <w:color w:val="111111"/>
          <w:sz w:val="28"/>
          <w:sz w:val="28"/>
          <w:szCs w:val="28"/>
          <w:rtl w:val="true"/>
          <w:lang w:bidi="ar-SA"/>
        </w:rPr>
        <w:t>السائلة نجسةٌ، والماء القليل ينفعل بمجرد ملاقاة النجاسة، فإن حصلت الملاقاة بينهما تنجّس الماء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هذا الحكم الروايات والأخبار المستفيضة، منها ما رويَ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الماء إلا ما كانت له نفس سائلة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وأيضًا ما روي عن عمار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ليس له دمٌ فلا بأس </w:t>
      </w:r>
      <w:r>
        <w:rPr>
          <w:rStyle w:val="FootnoteAnchor"/>
          <w:rtl w:val="true"/>
        </w:rPr>
        <w:footnoteReference w:id="131"/>
      </w:r>
      <w:r>
        <w:rPr>
          <w:rFonts w:ascii="Amiri" w:hAnsi="Amiri" w:eastAsia="Amiri" w:cs="Amiri"/>
          <w:color w:val="111111"/>
          <w:sz w:val="28"/>
          <w:sz w:val="28"/>
          <w:szCs w:val="28"/>
          <w:rtl w:val="true"/>
          <w:lang w:bidi="ar-SA"/>
        </w:rPr>
        <w:t>، حيث إن 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له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الروايات ضعيفة السند، ومن ثَمّ يشكل الاستدلال بها على تنجس الماء القليل إذا لاقته ميتة ذي النفس السائلة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وإن كانت ضعيفة السند، لكن عمل الأصحاب بها يجبر ضعفها ويقوّيه، وهذا بناءً على قبول جابرية عمل الأصحاب لضعف سند الرواية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ذات النفس السائلة 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ثبت في محله في باب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تقتضي نجاسة الماء القليل عند ملاقاته النجاسة، بمعنى أن نجاسة الماء القليل حينئذٍ هي مقتضى ملاقاته للنجس، ولو من دون روايات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لا يُدرك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يُدرك بالطرفِ من الدم لا ينجّس الماء، وقيل ينجّسه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هذه الحالة ليست من السؤر، ولعلّ المصنف قُدس سره ذكرها من بابِ الاستطراد، وبيانها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أنَّه في حالة سقوط دمٍ يُدرك ويُلاحظ بالعين المجردة في الماء القليل فإنّه يتنجس بلا خلاف بين الفقهاء، وأن في مسألة سقوط دمٍ قليلٍ لا يدرك بالعين المجردة في ماء قليلٍ خلافاً بين الفقهاء، والمُحقق قُدس سره قال بعدم تنجسّه، ثم احتاط بنجاسته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أفتى المصنف قُدس سره بعدم النجاسة أولًا؟قيل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رويَ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رَجُلٍ رَعَفَ فَامْتَخَطَ فَصَارَ بَعْضُ ذَلِكَ الدَّمِ قِطَعاً صِغَاراً، فَأَصَابَ إِنَاءَه، هَلْ يَصْلُحُ لَه الوُضُوءُ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 وإِنْ كَانَ شَيْئاً بَيِّناً فَلَا يَتَوَضَّأْ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رَجُلٍ رَعَفَ وهُوَ يَتَوَضَّأُ فَيَقْطُرُ قَطْرَةٌ فِي إِنَائِه هَلْ يَصْلُحُ الوُضُوءُ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32"/>
      </w:r>
      <w:bookmarkStart w:id="252" w:name="pg7928_85342"/>
    </w:p>
    <w:p>
      <w:pPr>
        <w:pStyle w:val="Heading3"/>
        <w:numPr>
          <w:ilvl w:val="2"/>
          <w:numId w:val="1"/>
        </w:numPr>
        <w:rPr/>
      </w:pPr>
      <w:bookmarkStart w:id="253" w:name="__RefHeading___Toc6503029_1051229030"/>
      <w:bookmarkStart w:id="254" w:name="_Toc84"/>
      <w:bookmarkEnd w:id="252"/>
      <w:bookmarkEnd w:id="253"/>
      <w:r>
        <w:rPr>
          <w:rtl w:val="true"/>
        </w:rPr>
        <w:t>إشارات</w:t>
      </w:r>
      <w:r>
        <w:rPr>
          <w:rtl w:val="true"/>
        </w:rPr>
        <w:t>:</w:t>
      </w:r>
      <w:bookmarkEnd w:id="254"/>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بن محمد بن علي بن الحسين بن علي بن أبي طالب، الهاشمي العلوي، الحسيني، المدني، ونسبوه عريضياً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بعد أميال من المدينة، سكنها، ويقال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العريضيون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عدل، لم يختلف اثنان في وثاقته وصلاحه واستقامته، وله روايات كثيرة، ومنها ما كان يسأل بها أخاه الإمام الكاظم عَلَيْهِ السَّلاَمُ، حتى كتب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أصغر ولد أبيه، مات أبوه وهو 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جعفر شديد التمسك بأخيه موسى عَلَيْهِ السَّلاَمُ، والانقطاع إليه، والتوفر على أخذ معالم الدين منه، وله مسائل مشهورة عنه، وجوابات رواها سماعاً منه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روايات كثيرة تدلّ على وثاقته وعلى اعتقاده بالأئمة عَلَيْهِم السَّلاَمُ رغم أنه أكبر سناً من بعضهم، ومنها ما رواه الشيخ الطوسي بسنده عن علي بن أسباط وغيره، عن علي بن جعفر بن محمد، قال، قال لي رجل أحسبه من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بذاك؟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أقتسمت أمواله وأنكحت نساؤه ونطق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يدريك أنه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أمواله ونكحت نسائه ونطق الناطق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الناطق من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ابنه،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سنك وقدرك وابن جعفر بن محمد تقول هذا القول في هذا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شيطاناً،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بلحيته فرفعها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حيلتي إنْ كان الله رآه أهلاً لهذا، ولم يَرَ هذه الشيبة لهذا أهلاً </w:t>
      </w:r>
      <w:r>
        <w:rPr>
          <w:rStyle w:val="FootnoteAnchor"/>
          <w:rtl w:val="true"/>
        </w:rPr>
        <w:footnoteReference w:id="134"/>
      </w:r>
      <w:r>
        <w:rPr>
          <w:rFonts w:ascii="Amiri" w:hAnsi="Amiri" w:eastAsia="Amiri" w:cs="Amiri"/>
          <w:color w:val="111111"/>
          <w:sz w:val="28"/>
          <w:sz w:val="28"/>
          <w:szCs w:val="28"/>
          <w:rtl w:val="true"/>
          <w:lang w:bidi="ar-SA"/>
        </w:rPr>
        <w:t>وروى أيضاً بسنده أن علي بن جعفر قال في الإمام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وصي علي بن موسي، وعلي وصي موسى بن جعفر، وموسى وصي جعفر بن محمد، وجعفر وصي محمد بن علي، ومحمد وصي علي بن الحسين، وعلي وصي الحسين، والحسين وصي الحسن، والحسن وصي علي بن أبي طالب، وعلي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ودنى الطبيب ليقطع له العرق، فقام علي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يبدأني ليكون حدة الحديد بي قبلك،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هذا عم أبيه، قال، فقطع له العرق، ثم أراد أبو جعفر عَلَيْهِ السَّلاَمُ النهوض فقام علي بن جعفر عَلَيْهِا السَّلاَمُ فسوى له نعليه حتى لبسهما </w:t>
      </w:r>
      <w:r>
        <w:rPr>
          <w:rStyle w:val="FootnoteAnchor"/>
          <w:rtl w:val="true"/>
        </w:rPr>
        <w:footnoteReference w:id="1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بسنده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جَالِساً بِالمَدِينَةِ، وكُنْتُ أَقَمْتُ عِنْدَه سَنَتَيْنِ أَكْتُبُ عَنْه مَا يَسْمَعُ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بْنُ </w:t>
      </w:r>
    </w:p>
    <w:p>
      <w:pPr>
        <w:pStyle w:val="BookText"/>
        <w:rPr/>
      </w:pPr>
      <w:r>
        <w:rPr>
          <w:rFonts w:ascii="Amiri" w:hAnsi="Amiri" w:eastAsia="Amiri" w:cs="Amiri"/>
          <w:color w:val="111111"/>
          <w:sz w:val="28"/>
          <w:sz w:val="28"/>
          <w:szCs w:val="28"/>
          <w:rtl w:val="true"/>
          <w:lang w:bidi="ar-SA"/>
        </w:rPr>
        <w:t xml:space="preserve">عَلِيٍّ الرِّضَا عَلَيْهِم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ولَا رِدَاءٍ، فَقَبَّلَ يَدَه وعَظَّمَه،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اجْلِسْ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عَلِيُّ بْنُ جَعْفَرٍ إِلَى مَجْلِسِه، جَعَلَ أَصْحَابُه يُوَبِّخُونَه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وأَنْتَ تَفْعَلُ بِه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إِذَاكَانَ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وأَهَّلَ هَذَا الفَتَى ووَضَعَه حَيْثُ وَضَعَه، أُنْكِرُ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تَقُولُونَ، بَلْ أَنَا لَه عَبْدٌ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دلالة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هذا الدم تدركه العين، لم يؤثّر في الماء، أي لا ينفعل الماء به ولا يتنجس، ومن ثم يصح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هذه الدلالة، بأن يُقال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تصرّح الرواية بإصابة الدم للماء، وإنّما صرّحت بإصابة الدم للإناء،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رَعَفَ فَامْتَخَطَ فَصَارَ بَعْضُ ذَلِكَ الدَّمِ قِطَعاً صِغَاراً، فَأَصَابَ إِنَاءَه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 فأصاب الماء، وإصابة الإناء بالدم لا تستلزم نجاسة الماء، إذ ربما يكون قد أصابه من الخارج مثلًا؛ ولذلك حكم الإمام بصحة الوضوء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الإشكال ليس صحيحًا؛ فنحن لا نُسلِّم أنّ الرواية تقصد أنّ الدم أصاب الإناء من الخارج ولم يُصِبِ الماء؛ إذ لا يُحتمل أنيكون فقيهٌ مثل علي بن جعفر 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العظيم الذي تعرّضنا لسيرته العطرة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مثل هذا السؤال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هل يعقل أنّ يسأل إنسانٌ متفقه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فقيهًا أو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صحة الوضوء بماءٍ لم يصبه دمٌ ولا أية نجاسة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أنّ الفرض يقول بإصابة الدم للإناء من الخارج، ولا يُعقل البتة سريانه إلى داخل الماء، فحتمًا لا ينجس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نُجِلُّ مثل عليٍ بن جعفر أنْ يسأل عن هذه المسالة الواضحة جدًا لعوام الناس فضلًا عن عالمٍ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هذا السؤال من غيره، أما منه فنقطع بعدم صدوره بهذا المعنى، وعليه فهذا الإشكال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فيصح أن تكون رواية علي بن جعفر مستنداً لفتوى المحقق بعدم تنجس الماء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المصنف قُدس سره من الإفتاء بعدم نجاسته إلى الاحتياط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ينجّسه، وهو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إشارةٌ إلى وجود 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وقع الخلاف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وإن كان قليلاً حسب الفرض، وقد أصابه دمٌ، وهذا الدّم لم يظهر أثره على الماء؛ ولكنه لا ينجس تعبداً؛ لرواية علي بن جعفر التي تقدّم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بحسب الفرض ماءٌ قليلٌ، وقد أصابه دمٌ، وهذا الدّم قد لاقى الماء القليل، والماء القليل ينفعل وينجس بمجرد ملاقاة النجاسة، فيؤثر حتمًا فيه، وإنْ لم يظهر أثره عليه ولم تدركه العين فيه؛ إذ لا فرق بين ظهور أثر النجاسة وعدمه في تنجس الماء القليل، كما أنَّ الأدلة مطلقة من هذه الناحية، ولم تفرق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المحقق قُدس سره عن هذا القول بأنّه أحوط، فإذا أراد الإنسان أن يحتاط فعليه أنْ يحكم بالنجاسة على هذا الماء القليل الملاقي لنجاسة لم تدركها العين فيه، فلا يشربه ولا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رواية علي بن جعفر الدالّة على عدم تنجس الماء بالدم إذا لم يدركه الطرف؟</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تكن بصدد الحكم على الماء القليل المُلاقي فعلًا لنجاسة لم تدرك بالعين؛ إذ إنَّ الماء القليل ينجس بمجرد أن تصيبه النجاسة، سواء أَظهر أثره أم لم يظهر، ولكن بشرط القطع بأنّ الدم قد أصاب الماء فعلًا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بصدد بيان شرطية القطع بملاقاة النجاسة للماء القليل؛ حتى يُحكم عليه بالنجاسة، أي إنها تريد أن تبين أنّ المكلف إذا حصل عنده </w:t>
      </w:r>
    </w:p>
    <w:p>
      <w:pPr>
        <w:pStyle w:val="BookText"/>
        <w:rPr/>
      </w:pPr>
      <w:r>
        <w:rPr>
          <w:rFonts w:ascii="Amiri" w:hAnsi="Amiri" w:eastAsia="Amiri" w:cs="Amiri"/>
          <w:color w:val="111111"/>
          <w:sz w:val="28"/>
          <w:sz w:val="28"/>
          <w:szCs w:val="28"/>
          <w:rtl w:val="true"/>
          <w:lang w:bidi="ar-SA"/>
        </w:rPr>
        <w:t>القطع والعلم بإصابة الدم للماء، فهذا الماء ينجس قطعًا، وأما إذا لم يستبِن، أي لم يقطع بأنَّ الدم قد أصاب الماء فعلًا، أو لا، وكان في حالة شك، كما لو رأى أنَّ قطرة دمٍ صغيرةً وقعت من يده ولكنّهلم يعلم أنها أصابت الماء القليل أو لا، فحينئذٍ ليس له أن يحكم على ذلك الماء بالنجاسة؛ لأنه لم يقطع بملاقاتها إيّاه، بل عليه أنْ يستصحب عدم الإصابة؛ لما تقدّم بأنَّ اليقين لا ينتقض بالشك، وأن اليقين لا ينتقض إلا بيقينٍ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فمنشأ الاختلاف في فهم الرواية بين من حكم بالطهارة وبين من حكم بالنجاسة هو الاختلاف في فهم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قال بالطهارة فسّرها على أنها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يقطع، أي كان المكلف شاكًا بالملاقاة ولم يقطع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بالنجاسة فقد فسّرها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أو لم يظهر، أي إنَّ الدم أصاب الماء ولكنه لم يظهر ولم يُدرك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كما نُجِلُّ علي بن جعفر أن يسأل عن إصابة الدم للإناء؛ لأنَّ الحكم واضحٌ، كذلك نُجِلُّه أنْ يسأل عن حالة إصابة الدم للماء القليل، فإنَّ حكم هذه الحالة أيضًا واضحٌ وهو النجاسة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جلالة وعظم قدر علي بن جعفر يقتضي أن يكون سؤاله عن حالة الشك في الإصابة؛ فهذا مورد يحتاج حكمه إلى بيان، إذ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حالة شك المكلف في ملاقاة النجاسة للماء القليل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سَالتُه عَنْ رَجُلٍ رَعَفَ فَامْتَخَطَ فَصَارَ بَعْضُ ذَلِكَ الدَّمِ قِطَعاً صِغَاراً، فَأَصَابَ إِنَاءَه، هَلْ يَصْلُحُ لَه الوُضُوءُ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سؤالٌ وجيهٌ وفي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ذلك يكون الحملُ الأخير هو المتعين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التفسير تكون الرواية أجنبية عن المقام؛ وربما لأجل ذلك احتاط المحقق قُدس سره، وهو احتياطٌ حسن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يكون حديثنا عن الركن الأول في المياه قد انتهى، ولله الحمد</w:t>
      </w:r>
      <w:r>
        <w:rPr>
          <w:rFonts w:eastAsia="Amiri" w:cs="Amiri" w:ascii="Amiri" w:hAnsi="Amiri"/>
          <w:color w:val="111111"/>
          <w:sz w:val="28"/>
          <w:szCs w:val="28"/>
          <w:rtl w:val="true"/>
          <w:lang w:bidi="ar-SA"/>
        </w:rPr>
        <w:t>.</w:t>
      </w:r>
      <w:bookmarkStart w:id="255" w:name="pg7928_8535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6503031_1051229030"/>
      <w:bookmarkStart w:id="257" w:name="_Toc85"/>
      <w:bookmarkEnd w:id="255"/>
      <w:bookmarkEnd w:id="256"/>
      <w:r>
        <w:rPr>
          <w:rtl w:val="true"/>
        </w:rPr>
        <w:t>الركن الثاني</w:t>
      </w:r>
      <w:r>
        <w:rPr>
          <w:rtl w:val="true"/>
        </w:rPr>
        <w:t xml:space="preserve">: </w:t>
      </w:r>
      <w:r>
        <w:rPr>
          <w:rtl w:val="true"/>
        </w:rPr>
        <w:t>في الطهارة المائية</w:t>
      </w:r>
      <w:bookmarkEnd w:id="2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7928_85360"/>
      <w:bookmarkStart w:id="259" w:name="pg7928_85360"/>
      <w:bookmarkEnd w:id="259"/>
    </w:p>
    <w:p>
      <w:pPr>
        <w:pStyle w:val="Heading3"/>
        <w:numPr>
          <w:ilvl w:val="2"/>
          <w:numId w:val="1"/>
        </w:numPr>
        <w:rPr/>
      </w:pPr>
      <w:bookmarkStart w:id="260" w:name="pg7928_85360"/>
      <w:bookmarkStart w:id="261" w:name="__RefHeading___Toc6503033_1051229030"/>
      <w:bookmarkStart w:id="262" w:name="_Toc86"/>
      <w:bookmarkEnd w:id="260"/>
      <w:bookmarkEnd w:id="261"/>
      <w:r>
        <w:rPr>
          <w:rtl w:val="true"/>
        </w:rPr>
        <w:t>الفصل الأول</w:t>
      </w:r>
      <w:bookmarkEnd w:id="262"/>
    </w:p>
    <w:p>
      <w:pPr>
        <w:pStyle w:val="BookText"/>
        <w:rPr/>
      </w:pPr>
      <w:r>
        <w:rPr>
          <w:rFonts w:ascii="Amiri" w:hAnsi="Amiri" w:eastAsia="Amiri" w:cs="Amiri"/>
          <w:color w:val="111111"/>
          <w:sz w:val="28"/>
          <w:sz w:val="28"/>
          <w:szCs w:val="28"/>
          <w:rtl w:val="true"/>
          <w:lang w:bidi="ar-SA"/>
        </w:rPr>
        <w:t>في الأحداث الموجبة للوضوء</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الركن الثاني في الطهارة المائية، وهي وضوءٌ وغسلٌ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الوضوء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الأحداث الموجبة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المصنف قُدس سره في هذا الفصل فرعين</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503035_1051229030"/>
      <w:bookmarkStart w:id="264" w:name="_Toc87"/>
      <w:bookmarkEnd w:id="263"/>
      <w:r>
        <w:rPr>
          <w:rtl w:val="true"/>
        </w:rPr>
        <w:t>الفرع الأول</w:t>
      </w:r>
      <w:r>
        <w:rPr>
          <w:rtl w:val="true"/>
        </w:rPr>
        <w:t xml:space="preserve">: </w:t>
      </w:r>
      <w:r>
        <w:rPr>
          <w:rtl w:val="true"/>
        </w:rPr>
        <w:t>في أسباب الوضوء</w:t>
      </w:r>
      <w:r>
        <w:rPr>
          <w:rtl w:val="true"/>
        </w:rPr>
        <w:t>:</w:t>
      </w:r>
      <w:bookmarkEnd w:id="264"/>
    </w:p>
    <w:p>
      <w:pPr>
        <w:pStyle w:val="BookText"/>
        <w:rPr/>
      </w:pPr>
      <w:r>
        <w:rPr>
          <w:rFonts w:ascii="Amiri" w:hAnsi="Amiri" w:eastAsia="Amiri" w:cs="Amiri"/>
          <w:color w:val="111111"/>
          <w:sz w:val="28"/>
          <w:sz w:val="28"/>
          <w:szCs w:val="28"/>
          <w:rtl w:val="true"/>
          <w:lang w:bidi="ar-SA"/>
        </w:rPr>
        <w:t>عبّر عنها المصنف قُدس 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 الموجبة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يترتب عليها وجوب فعل الطهارة،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الأسباب التي توجب الطهارة؛ لما تقدّم أنّ الوضوء ليس واجبًا في حدِّ نفسه، وإنّما يجب لغايةٍ من الغايات، كالصلاة مثلًا، فإذا وجبت الصلاة وكان قد حدث سببٌ من الأسباب الموجبة للوضوء، حينئذٍ يجب؛ لذا يُعبّر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عنها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تنقض الوضوء أي تبطل الطهارة الحاصلة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والغائط والريح من الموضع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خروج البول والغائط والريح ناقضٌ للوضوء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يجب عند حصول خروج أحد هذه الأمور الثلاثة الوضوء لو </w:t>
      </w:r>
    </w:p>
    <w:p>
      <w:pPr>
        <w:pStyle w:val="BookText"/>
        <w:rPr/>
      </w:pPr>
      <w:r>
        <w:rPr>
          <w:rFonts w:ascii="Amiri" w:hAnsi="Amiri" w:eastAsia="Amiri" w:cs="Amiri"/>
          <w:color w:val="111111"/>
          <w:sz w:val="28"/>
          <w:sz w:val="28"/>
          <w:szCs w:val="28"/>
          <w:rtl w:val="true"/>
          <w:lang w:bidi="ar-SA"/>
        </w:rPr>
        <w:t>وجب لغايةٍ ما، كما لو حلَّ وقتُ الصلاة مثلًا، وكانت الطهارة قد انتُقِضت بخروج البول أو الغائط أو بالريح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متفق عليه؛ دلّت عليه الأخبار المستفيضة، من قبيل ما روي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الرِّضَا عَلَيْهِ السَّلاَمُ عَنِ النَّاسُورِ </w:t>
      </w:r>
      <w:r>
        <w:rPr>
          <w:rStyle w:val="FootnoteAnchor"/>
          <w:rtl w:val="true"/>
        </w:rPr>
        <w:footnoteReference w:id="137"/>
      </w:r>
      <w:r>
        <w:rPr>
          <w:rFonts w:ascii="Amiri" w:hAnsi="Amiri" w:eastAsia="Amiri" w:cs="Amiri"/>
          <w:color w:val="111111"/>
          <w:sz w:val="28"/>
          <w:sz w:val="28"/>
          <w:szCs w:val="28"/>
          <w:rtl w:val="true"/>
          <w:lang w:bidi="ar-SA"/>
        </w:rPr>
        <w:t>، أيَنْقُضُ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يَنْقُضُ الوُضُوءَ ثَلَاثٌ البَوْلُ والغَائِطُ، والرِّيحُ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والرواية واضحة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زكريا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ادم بن عبد الله بن سعد الأشعري القمي، ثقة، جليل، عظيم القدر، وكان له وجه عند الرضا عَلَيْهِ السَّلاَمُ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وروى الشيخ الطوسي عن زكريا بن آدم،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عن أهل بيتي، فقد كثر السفهاء فيهم،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أهل بيتك يدفع عنهم بك، كما يدفع عن أهل بغداد بأبي الحسن الكاظم عَلَيْهِ السَّلاَمُ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بن آدم من أدبه، استأذن من الإمام عَلَيْهِ السَّلاَمُ في أمر عادي ومورد خاص به، ولكنه مع ذلك عندما 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التزم، ونفذ بدون تردد، وهذا يكشف عن أن للإمام المعصوم ولاية علينا، لا فقط في الأحكام الشرعية، وإنما حتى في المسائل الاعتيادية، وهذا الأمر له أصل قرآني، فقد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أولى بأموالهم وأزواجهم وأولادهم وكل ما تتعلق به النفس، فإن النبي صَلَّى اَللَّهُ عَلَيْهِ وَ آلِهِ وَ سَلَّمْ أولى بذلك، ثم إن النبي صَلَّى اَللَّهُ عَلَيْهِ وَ آلِهِ وَ سَلَّمْ في يوم الغدير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الرسول صَلَّى اَللَّهُ عَلَيْهِ وَ آلِهِ وَ سَلَّمْ أولى بالمؤمنين من أنفسهم، كذلك أمير المؤمنين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بذلك، لذلك استأذن زكريا بن آدم من الإمام عَلَيْهِ السَّلاَمُ وإن كان خروجه من بيته أو عشيرته مباحاً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بيّن له أن نفس وجود المؤمن التكويني في منطقة ما، هو سببُ خير وبركة على تلك المنطقة، وأن الله تعالى إذا أراد أن ينزل البلاء على أهل تلك المنطقة فإنه ينظر إلى ذلك المؤمن، وكرامة له يدفع البلاء عن أهلها، وهذا يوجب علينا أن نعرف قيمة وقدر هذه الشخصيات العظيمة، فإن كنا في منطقة فيها مرقد لأحد هؤلاء العظماء كالسفراء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فضلاً عن المعصومين عَلَيْهِم السَّلاَمُ، فيجب أن نقدس قدر تلك المنطقة لقداستهم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عظمة زكريا بن آدم في الرواية أيضًا، أن الإمام عَلَيْهِ السَّلاَمُ ينظّر له بالإمام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التي ورد مدحُ لزكريا بن آدم هي وإن كانت واردة عنه هو، ولكن هذا لا يؤثر بعذ ثبوت وثاقته وجلالته من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شقتي بعيدة ولست أصل إليك في كل وقت، فممن آخذ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زكريا بن آدم القمي المأمون على الدين والدنيا، قال علي بن المسيب، فلما انصرفت قدمت على زكريا بن آدم فسألته عما احتجت إليه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خروج هذه الثلاثة ناقضًا فيما لو خرجت من الموضع المعتاد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الموضع الطبيعي للخروج، فإن خرجت هذه الثلاثة من مواضعها </w:t>
      </w:r>
      <w:bookmarkStart w:id="265" w:name="pg7928_85366"/>
    </w:p>
    <w:p>
      <w:pPr>
        <w:pStyle w:val="BookText"/>
        <w:rPr/>
      </w:pPr>
      <w:bookmarkEnd w:id="265"/>
      <w:r>
        <w:rPr>
          <w:rFonts w:ascii="Amiri" w:hAnsi="Amiri" w:eastAsia="Amiri" w:cs="Amiri"/>
          <w:color w:val="111111"/>
          <w:sz w:val="28"/>
          <w:sz w:val="28"/>
          <w:szCs w:val="28"/>
          <w:rtl w:val="true"/>
          <w:lang w:bidi="ar-SA"/>
        </w:rPr>
        <w:t>الطبيعية، حينئذٍ تكون ناقضة للوضوء، وإنْ خرجت من غير الموضع المعتاد، كما لو فرض أنّ ريحًا خرج من القبل، فإنّه لا ينقض الوضوء؛ لأنه خرج من غير المحل المعتاد، والناقض هو الذي يخرج من المحل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لو خرجت هذه الأمور من غير المحل المعتاد، كما لو خرج الغائط من غير المحل المعتاد مثلًا؟ </w:t>
      </w:r>
      <w:r>
        <w:rPr>
          <w:rStyle w:val="FootnoteAnchor"/>
          <w:rtl w:val="true"/>
        </w:rPr>
        <w:footnoteReference w:id="142"/>
      </w:r>
      <w:r>
        <w:rPr>
          <w:rFonts w:ascii="IRNazanin" w:hAnsi="IRNazanin" w:eastAsia="IRNazanin"/>
          <w:color w:val="111111"/>
          <w:sz w:val="28"/>
          <w:sz w:val="28"/>
          <w:szCs w:val="28"/>
          <w:rtl w:val="true"/>
          <w:lang w:bidi="fa-IR"/>
        </w:rPr>
        <w:t>أشار المحقق قُدس سره إلى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الغائط ممّا عدا المحل المعتاد مع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 المعتاد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انسداده، وكان من الممكن أن يخرج الغائط من موضعه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لا يُنقض الوضوء، إذا خرج مما بعد المعدة، فضلاً عما إذا خرج من قبلها كالمريء وما شابه، وهو ما عبّر عنه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الغائط مما دون المعدة نقض في قولٍ، والأشبه أنّه لا ينقض</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503037_1051229030"/>
      <w:bookmarkStart w:id="267" w:name="_Toc88"/>
      <w:bookmarkEnd w:id="266"/>
      <w:r>
        <w:rPr>
          <w:rtl w:val="true"/>
        </w:rPr>
        <w:t>وهنا عدة تنبيهات</w:t>
      </w:r>
      <w:r>
        <w:rPr>
          <w:rtl w:val="true"/>
        </w:rPr>
        <w:t>:</w:t>
      </w:r>
      <w:bookmarkEnd w:id="26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المصنف قُدس سره في عبارته إلى وجود قولٍ بأنّ خروج الغائط مما دون المعدة ومن غير المخرج المعتاد ناقضٌ للوضوء، ونُسِب هذا القول إلى الشيخ </w:t>
      </w:r>
    </w:p>
    <w:p>
      <w:pPr>
        <w:pStyle w:val="BookText"/>
        <w:rPr/>
      </w:pPr>
      <w:r>
        <w:rPr>
          <w:rFonts w:ascii="Amiri" w:hAnsi="Amiri" w:eastAsia="Amiri" w:cs="Amiri"/>
          <w:color w:val="111111"/>
          <w:sz w:val="28"/>
          <w:sz w:val="28"/>
          <w:szCs w:val="28"/>
          <w:rtl w:val="true"/>
          <w:lang w:bidi="ar-SA"/>
        </w:rPr>
        <w:t>الطوسي قُدس سره في كتابيه المبسوط والخلاف، كما نُسب إلى ابن إدريس؛ إذ عدّا خروج الغائط ناقضًا للوضوء دون أن يُقيدا ذلك بكون خروجه من المخرج المعتاد؛ مما يدلُّ على أنّ خروجه من غير الموضع المعتاد أيضًا ناقضٌ للوضوء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يستدلُّ على أنَّ خروج الغائط ناقضٌ للوضوء مُطلقًا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إذ الآية مطلقة تشمل حالة خروج الغائط من المحل المعتاد وغيره؛ لأنها لم تقيد كون خروج الغائط ناقضٍا للوضوء بحالةٍ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الإطلاق من قبل بعض الفقهاء، إذ قالوا بعدم تماميته؛ لانصرافه إلى المحل المعتاد، أو لوجود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معنى الإطلاق هو دلالة لفظٍ ما على شموله لجميع أفراده؛ لأنّه لو كان المراد منه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المراد منه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لقيّدَ المتحدث كلامه ولم يتركه على إطلاقه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وكمثالٍ على ذلك، فإن الدليل 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الكفارات التخييرية لمن أفطر عمدًا في نهار شهر رمضان، ولم يقيدها بقيدٍ معينٍ وتركها على إطلاقها، فهذا يدلُّ على شمولها لجميع أفرادها، مؤمنة كانت أو لا، صغيرة كانت أو لا، رجلاً كان أو امرأة، ذات حرفة كانت أو لا، وهكذا، فأيّ من هذه الأصناف حررها المكلف فإنه يجزي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ولفهم الإطلاق من اللفظ شروطٌ تذكر في علم الأصول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عدم وجود قرينة تصرف الإطلاق إلى فردٍ معين، وإلا، فمع وجود القرينة فالمُتبع هي تلك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والقرينة التي تحتف بالكلام المطلق ويتوجب اتباعها، وهي إما أن تكون متصلة بالكلام أي في سياق نفس الكلام المطلق، وإما أن تكون منفصلة، أي في كلامٍ آخر لكنه متعلق بالكلام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لو سلّمنا أنَّ الآية بإطلاقها تشمل حالة خروج الغائط من غير المحل المعتاد كما ذهب إلى ذلك الشيخ الطوسي وابن إدريس قدس سرهما، لكن هذا الإطلاق غير تام، لأنه منصرف إلى الحالة المتعارفة، وهو الخروج من المحل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 هذا، وإلا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الإطلاق مقيدٌ برواياتٍ صرّحت أنَّ الناقض من الغائط هو خصوص الخارج من المحل المعتاد، ومنها 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ولأَبِي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 فَقَالا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الدُّبُرِ والذَّكَرِ</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سَالِمٍ أَبِي الفَضْلِ،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يَنْقُضُ الوُضُوءَ إِلَّا مَا خَرَجَ مِنْ طَرَفَيْكَ الأَسْفَلَيْنِ اللَّذَيْنِ أَنْعَمَ اللهُ عَلَيْكَ بِهِمَا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وكلتا الروايتين واضحة في تقييد ناقضية خروج البول والغائط بكونه من المحل المعتاد خصوصًا، وهما قرينة منفصلة عن الآية المباركة المطلقة، وقد تقدّم أنّ من شروط الإطلاق عدم وجود قرينة تصرف المطلق إلى فردٍ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قُدس سره أشار في عبارته إلى أنّ هناك قولًا بناقضية خروج الغائط مما دون المعدة من غير المحل المعتاد؛ لدليل إطلاق الآية، إلا أن هناك قرينة منفصلة تقيدها، فيُصار إلى اتّباع تلك القرينة، وهي الروايات، فيكون الناقض هو خصوص الخارج من المحل المعتاد؛ ولذا قيّد المصنف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بناقضية الغائط للوضوء فيما إذا خرج من الموضع غير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مشروط بأن يكون دون المعدة؛ لأن الخارج قبل المعدة لا يُسمى غائطًا وانما يُسمى قيئاً، والناقض للوضوء هو خصوص الغائط لا عموم الطعام الخارج من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تابعةٌ للعناوين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الأحكام تابعةٌ للعناوين؛ بمعنى أنّ الحكم الشرعي إذا أُخذ في موضوعه عنوانٌ معين، فإنّ ذلك الحكم لا يصدق إلا بصدق العنوان، أي لا يتنجز في ذمة المكلف إلا إذا صدق وتحقّق العنوان،فمثلًا نعلم أنّ الخمر حرامٌ، وهذه الحرمة منصبّة على موضوعٍ معين، وهو الخمر، ومن ثَمّ فلا </w:t>
      </w:r>
    </w:p>
    <w:p>
      <w:pPr>
        <w:pStyle w:val="BookText"/>
        <w:rPr/>
      </w:pPr>
      <w:r>
        <w:rPr>
          <w:rFonts w:ascii="Amiri" w:hAnsi="Amiri" w:eastAsia="Amiri" w:cs="Amiri"/>
          <w:color w:val="111111"/>
          <w:sz w:val="28"/>
          <w:sz w:val="28"/>
          <w:szCs w:val="28"/>
          <w:rtl w:val="true"/>
          <w:lang w:bidi="ar-SA"/>
        </w:rPr>
        <w:t xml:space="preserve">تثبت الحرمة لسائلٍ معين إلا إذا انطبق عليه عنوان الخمر، أما إذا انقلب خلًا مثلًا، فلا ينطبق عليه حكم الحرمة؛ لأنّ الأحكام تابعةٌ للعناوين، وقد تغيّر العنوان من الخمر إلى الخل، فتغيّر الحكم من حكم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الخل، وهي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فإنّ الحكم بانتقاض الوضوء قد انصبّ على عنوان الغائط، والخارج قبل المعدة لا يُسمّى غائطًا؛ فلا يكون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المصنف قُدس سره عن رأيه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 أنّه 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الفاضل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تدلُّ عليه أصول المذهب من العمومات والإطلاقات، أو دلالة العقل أو تمسكٌ بالأصل، وفي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والأصح من الأقوال، مما لا يحتمل عند المصنف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الحدث من غير الموضع المعتاد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 المخرج في غير الموضع المعتاد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الحدث من غير الموضع المعتاد، كان ناقضًا للوضوء إذا توفر شرطان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الطبيعي مُنسدًا، بحيث صار الموضع الجديد هو المُعتاد لخروج الحدث، كما لو ولِد وله مخرجٌ للحدث غير المخرج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الحدث عليه، كما لو خرج شيء منه، وصدق عليه فعلاً أنه غائط، أو بول،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الحال – بتوفر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الحدث ناقضًا للوضوء بالاتفاق؛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الحدث من الجرح، ثم صار هذا الجرح هو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الحدث من جرحٍ ثم صار معتادًا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تعرّض لحادثٍ معين أدّى إلى سدّ الموضع المعتاد وفتح فتحةٍ أخرى، أو احتاج إلى عمل أنبوبٍ لخروج الغائط أو البول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عملية جراحية معينة، بحيث صار خروج الحدث من هذا الجرح مُعتادًا، صار هذا الجرح هوالموضع المعتاد للخروج، كان الحدث حينئذٍ ناقضًا؛ وذلك لإطلاق الروايات الذي يشمل مثل هذه الحالة مع صدق الحدث عليه</w:t>
      </w:r>
      <w:r>
        <w:rPr>
          <w:rFonts w:eastAsia="Amiri" w:cs="Amiri" w:ascii="Amiri" w:hAnsi="Amiri"/>
          <w:color w:val="111111"/>
          <w:sz w:val="28"/>
          <w:szCs w:val="28"/>
          <w:rtl w:val="true"/>
          <w:lang w:bidi="ar-SA"/>
        </w:rPr>
        <w:t xml:space="preserve">. </w:t>
      </w:r>
      <w:bookmarkStart w:id="268" w:name="pg7928_85378"/>
    </w:p>
    <w:p>
      <w:pPr>
        <w:pStyle w:val="BookText"/>
        <w:rPr/>
      </w:pPr>
      <w:bookmarkEnd w:id="268"/>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الحاستين، وما كان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الغالب على الحاستين، وفي معناه كل ما أزال العقل من إغماءٍ أو جنونٍ أو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وتقييدُ المحقق قُدس سره النوم بكونه غالبًا على الحاستين، إشارةً منه إلى أنّ للنوم مراتب، وما ينقض الوضوء منها هو خصوص مرتبة النوم الغالب على الحاستين، وربما لأنَّ النوم –بمنظوره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مع غلبته على هاتين الحاستين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ما لم يصل إلى غلبته على الحاستين، فهو لا ينقض الوضوء</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6503039_1051229030"/>
      <w:bookmarkStart w:id="270" w:name="_Toc89"/>
      <w:bookmarkEnd w:id="269"/>
      <w:r>
        <w:rPr>
          <w:rtl w:val="true"/>
        </w:rPr>
        <w:t>ملحوظات</w:t>
      </w:r>
      <w:r>
        <w:rPr>
          <w:rtl w:val="true"/>
        </w:rPr>
        <w:t>:</w:t>
      </w:r>
      <w:bookmarkEnd w:id="270"/>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تقيّد الروايات ناقضية النوم بكونه غالبًا على الحاستين، وإنّما قيّدته بكونه مُذهبًا للعقل، كما في رواية محمد بن عبيد اللهوعبد الله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عَلَيْهِ السَّلاَمُ عن الرجل ينام على دابته؟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النوم بالعقل فليعد الوضوء </w:t>
      </w:r>
      <w:r>
        <w:rPr>
          <w:rStyle w:val="FootnoteAnchor"/>
          <w:rtl w:val="true"/>
        </w:rPr>
        <w:footnoteReference w:id="14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السمع 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ذهاب العقل،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الكاشف عن ذهاب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يمكن القول باستفادة مثل هذا التعبير من بعض النصوص، من قبيل ما رواه الشيخ الطوسي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تنام العين ولا ينام القلب والأذن، فإذا نامت العين والأذن والقلب فقد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يجيئ من ذلك أمر بيّنٌ، وإلا فإنه على يقين من وضوئه، ولا ينقض اليقين أبداً بالشك، ولكن ينقضه بيقين آخر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وهذه الرواية 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يُطلق عليها في 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زرارة لم يُصرّح فيها بالمسؤول، وإنما هو فقط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هو الذي كان زرارة يتحدث معه، فلم تصرح الرواية بذلك، وسنذكر الآراء فيها بعد قليل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يدل على أن النوم حدث ناقض للوضوء عدةُ رواياتٍ، منها ما روي عن إسحاق بن عبد الله الأشعري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الوضوء إلا حدث، والنوم حدث </w:t>
      </w:r>
      <w:r>
        <w:rPr>
          <w:rStyle w:val="FootnoteAnchor"/>
          <w:rtl w:val="true"/>
        </w:rPr>
        <w:footnoteReference w:id="149"/>
      </w:r>
      <w:bookmarkStart w:id="271" w:name="pg7928_85381"/>
    </w:p>
    <w:p>
      <w:pPr>
        <w:pStyle w:val="BookText"/>
        <w:rPr/>
      </w:pPr>
      <w:bookmarkEnd w:id="271"/>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ألحقَ المحقق قُدس سره بالنوم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كونه ناقضًا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أزال العقلَ من إغماءٍ أو جنونٍ أو سكر، وهذا حكمٌ متفقٌ عليه بين الفقهاء، ويستدلُّ عليه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يظهر من الروايات أنَّ علة ناقضية النوم للوضوء هو كونه مذهبًا للعقل، مما يعني أنّ الناقض الحقيقي للوضوء هو ذهاب العقل لا النوم بما هو هو، وإنّما ذكرت الروايات النوم؛ لأنه من أجلى مصاديق ذهاب العقل، ولعموم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يُذهِبُ العقل فهو ناقضٌ للوضوء، والإغماء والجنون والسكر مذهباتٌ للعقل بلا شك، فتكون ناقضةً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أدقّ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الموضوعية لناقضية الوضوء هي لذهاب العقل، والنومُ أُخذ على نحو الطريقية والكاشف وأحدمصاديق ذلك الموضوع، ومن ثمّ فكُلُّ ما انطبق عليه عنوان المُذهِب للعقل فهو ناقض للوضوء</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503041_1051229030"/>
      <w:bookmarkStart w:id="273" w:name="_Toc90"/>
      <w:bookmarkEnd w:id="272"/>
      <w:r>
        <w:rPr>
          <w:rtl w:val="true"/>
        </w:rPr>
        <w:t>فائدة رجالية</w:t>
      </w:r>
      <w:r>
        <w:rPr>
          <w:rtl w:val="true"/>
        </w:rPr>
        <w:t xml:space="preserve">: </w:t>
      </w:r>
      <w:r>
        <w:rPr>
          <w:rtl w:val="true"/>
        </w:rPr>
        <w:t>الرواية المضمرة والآراء فيها</w:t>
      </w:r>
      <w:r>
        <w:rPr>
          <w:rtl w:val="true"/>
        </w:rPr>
        <w:t>:</w:t>
      </w:r>
      <w:bookmarkEnd w:id="2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الرواية التي لا يُصرَّح فيها بأنّها عن المعصوم، وإنّما يقتصر الراوي الأخير على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قال لي، سمعتُه يقولُ،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دون أنْ يذكر الشخص القائل، أو الذي سمعه، أو الذي سأله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فيُحتمل أن يكون ذلك الشخص هو أحد المعصومين عَلَيْهِم السَّلاَمُ، ويحتمل أن يكون غيره؛ وبناءً على ذلك قد يُقال بعدم حجيتها، لعدم النص فيها على أنّها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نعالجها؟</w:t>
      </w:r>
    </w:p>
    <w:p>
      <w:pPr>
        <w:pStyle w:val="BookText"/>
        <w:rPr/>
      </w:pPr>
      <w:r>
        <w:rPr>
          <w:rFonts w:ascii="Amiri" w:hAnsi="Amiri" w:eastAsia="Amiri" w:cs="Amiri"/>
          <w:color w:val="111111"/>
          <w:sz w:val="28"/>
          <w:sz w:val="28"/>
          <w:szCs w:val="28"/>
          <w:rtl w:val="true"/>
          <w:lang w:bidi="ar-SA"/>
        </w:rPr>
        <w:t>يمكن علاجها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سندها التام في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نلاحظ الكتب الأخرى التي ذكرت هذه الرواية، فلعلها ذكرت الشخص الذي قال عنه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وجدنا أنه هو المعصوم عَلَيْهِ السَّلاَمُ، فالمشكلة حُلَّت، وتكون الرواية صحيحة ومسندة لا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حجية المضمرة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والآراء في حجية المضمرة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الراوي عندما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 سمع شخصًا غير الإمام، فليس من المعلوم أنَّ الضمير يعود إلى الإمام عَلَيْهِ السَّلاَمُ، فلا تكون المضمرة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هذا القول هو عدم إحراز كون النقل عن الإمام عَلَيْهِ السَّلاَمُ، والنقل عن غيره لا ينفع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من لا يليق به أن يروي عن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فروايته المضمرة حجة،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زرارة لا يليق به أن يروي عن غير الإمام عَلَيْهِ السَّلاَمُ؛ لأنه من أجلّة أصحابنا؛ فروايته تكون حجة وإن كانت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غيره ممن لم يكن بهذه المنزلة، فرواياته المضمرة 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إلى ذلك السيد العاملي في مدارك الأحكام، حيث قال في الرواية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أن هذا الراوي لا يروي عن غير الإمام عَلَيْهِ السَّلاَمُ يجعلها في قوة المسندة </w:t>
      </w:r>
      <w:r>
        <w:rPr>
          <w:rStyle w:val="FootnoteAnchor"/>
          <w:rtl w:val="true"/>
        </w:rPr>
        <w:footnoteReference w:id="150"/>
      </w:r>
      <w:r>
        <w:rPr>
          <w:rFonts w:ascii="Amiri" w:hAnsi="Amiri" w:eastAsia="Amiri" w:cs="Amiri"/>
          <w:color w:val="111111"/>
          <w:sz w:val="28"/>
          <w:sz w:val="28"/>
          <w:szCs w:val="28"/>
          <w:rtl w:val="true"/>
          <w:lang w:bidi="ar-SA"/>
        </w:rPr>
        <w:t xml:space="preserve">ولكن هذا القول يحتاج إلى متمم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زرارة لا يليق به النقل عن غير الامام في أواخر حياته العلمية وجلالته، أما في بداية شبابه فإنه يليق به أن ينقل عن غير الإمام عَلَيْهِ السَّلاَمُ، فلا بُدّ إذاً أن نثبت أنَّ روايته المضمرة قد رواها في حال كبره وجلالته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يبتني على فكرة تقطيع الروايات،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أحيانًا تكون طويلة، فيتم ذكر اسم الإمام عَلَيْهِ السَّلاَمُ في بدايتها،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كذا فقال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السؤال الثاني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قُطِّعت الروايات ووضع كل مقطع منها في الباب المناسب له، برزت ظاهرة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وينفع هذا التوجيه 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السبب وراء بروز ظاهرة الإضمار وقد اتضح أنّ السبب في ذلك هو كون الرواية طويلة، فيتم تقطيعها ووضع كل مقطع في المحل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المضمرة حجة؛ لأنَّ الإمام عَلَيْهِ السَّلاَمُ مذكور في بدايتها ثم يرجع الضمير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وجيه إذا أحرزنا أنَّ المسؤول في البداية هو الإمام عَلَيْهِ السَّلاَمُ، ولكن ما يُدريك أن المسؤول هو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تضم ضميمة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لا يناسبه أن يسأل غير الإمام عَلَيْهِ السَّلاَمُ، ولكن بهذا قد رجعنا إلى القول السابق الذي يفصّل بين من يليق به أن يروي عن غير الإمام فمضمراته لا تكون حجة، وبين من لا يليق به أن يروي عن غير الإمام فتكون مضمراته حجة، والمفروض أنك تريد إثبات حجية المضمرات مطلقًا، وما ذكرته لا يثبت لك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والأجدر أن يوجه بما حاصله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ظاهرة الاضمار ظاهرة مرفوضة، إلا مع معهودية مرجع الضمير، أما إذا لم يكن مرجع الضمير معهودًا فظاهرة الإضمار مرفوضة عرفًا، مثلًا </w:t>
      </w:r>
    </w:p>
    <w:p>
      <w:pPr>
        <w:pStyle w:val="BookText"/>
        <w:rPr/>
      </w:pPr>
      <w:r>
        <w:rPr>
          <w:rFonts w:ascii="Amiri" w:hAnsi="Amiri" w:eastAsia="Amiri" w:cs="Amiri"/>
          <w:color w:val="111111"/>
          <w:sz w:val="28"/>
          <w:sz w:val="28"/>
          <w:szCs w:val="28"/>
          <w:rtl w:val="true"/>
          <w:lang w:bidi="ar-SA"/>
        </w:rPr>
        <w:t>لو دخل علينا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وقال، فهذا نرفضه منه ولا نقبله؛ لأننا لا نعرف من هو المسؤول والمجيب، إلا إذا كان معهودًا بيننا، فلو كان معهودًا بيننا فلا حاجة إلى التصريح باسمه، وإنما تكفينا المعهودية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نضم ضميمة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معهود في الوسط الشيعي إلا الإمام عَلَيْهِ السَّلاَمُ، فيتعين أن يكون مرجع الضمير هو ذلك المعهود، أعني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تثبت حجية المضمرات مطلقًا من دون تفصيل بين زرارة وغيره؛ لأنَّ ظاهرة الإضمار في حدّ نفسها غير مستساغة إلا مع معهودية المرجع، وهنا لا فرق بين زرارة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وأنّ الرواة حينما يتكلمون، فهم يريدون أن ينقلوا ذلك إلى جميع الأجيال، يعني أن القصة ليست قصة خاصة بين طرفين، وإنما حينما يأتي زرارة ويتحدث مع فلان فمقصوده أنه يريد أن ينقلها إلى جميع الأجيال، وليس إلى هذا الطرف بالخصوص، فلابد أن يكون المرجع معهودًا لدى الجميع، وليس ذلك إلا الإمام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والرأي الأخير هذا يتبناه سماحة الأُستاذ آية الله الشيخ باقر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ذلك في مجلس درسه مرات عديدة،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المضمرة حجة مطلقًا؛ لأنَّ الإضمار ظاهرةٌ مرفوضة إلا مع معهودية مرجع الضمير؛ وذلك لأن العرف يرفض حديث شخصٍ يبدؤه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قال لي،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الضمير في قوله هذا يعود إلى شخصٍ معهودٍ بين المتكلم ومستمعيه</w:t>
      </w:r>
      <w:r>
        <w:rPr>
          <w:rFonts w:eastAsia="Amiri" w:cs="Amiri" w:ascii="Amiri" w:hAnsi="Amiri"/>
          <w:color w:val="111111"/>
          <w:sz w:val="28"/>
          <w:szCs w:val="28"/>
          <w:rtl w:val="true"/>
          <w:lang w:bidi="ar-SA"/>
        </w:rPr>
        <w:t xml:space="preserve">. </w:t>
      </w:r>
      <w:bookmarkStart w:id="274" w:name="pg7928_85391"/>
    </w:p>
    <w:p>
      <w:pPr>
        <w:pStyle w:val="BookText"/>
        <w:rPr/>
      </w:pPr>
      <w:bookmarkEnd w:id="274"/>
      <w:r>
        <w:rPr>
          <w:rFonts w:ascii="Amiri" w:hAnsi="Amiri" w:eastAsia="Amiri" w:cs="Amiri"/>
          <w:color w:val="111111"/>
          <w:sz w:val="28"/>
          <w:sz w:val="28"/>
          <w:szCs w:val="28"/>
          <w:rtl w:val="true"/>
          <w:lang w:bidi="ar-SA"/>
        </w:rPr>
        <w:t>فإذا كان عرف عموم الناس كذلك، فكيف برواةٍ على قدرٍ كبير من العلم والجلالة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أنْ يكون مرجع الضمير معهوداً لدى المستمعين حتى يصحَّ النقلُ عنه إلى جميع الأجيال، وليس ذلك إلا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وفق 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المُضمرةُ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المُحقق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الناقضةً للوضوء بالقليلة؛ وذلك لأنَّ الوضوء وإن كان لازمًا عند الاستحاضة المتوسطة، أو الكثيرة في بعض الأحيان ولو على نحو الاحتياط الوجوبي على تفصيلٍ في كتب الفقه، إلا أنّه واجبٌ إلى جانب وجوب الغُسل أيضًا، والحديثُ هنا عن خصوص نواقض الوضوء فقط، وهذا الفرع منحصرٌ بالقليلة فقط من أنواع الاستحاضة؛ لذا لم يتعرّض المُصنِّف لذكر المتوسطة والكثيرة في هذا الفصل، واقتصر على ذكر الاستحاضة القليلة؛ لأنها تنقض الوضوء فقط</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503043_1051229030"/>
      <w:bookmarkStart w:id="276" w:name="_Toc91"/>
      <w:bookmarkEnd w:id="275"/>
      <w:r>
        <w:rPr>
          <w:rtl w:val="true"/>
        </w:rPr>
        <w:t>الفرع الثاني</w:t>
      </w:r>
      <w:r>
        <w:rPr>
          <w:rtl w:val="true"/>
        </w:rPr>
        <w:t xml:space="preserve">: </w:t>
      </w:r>
      <w:r>
        <w:rPr>
          <w:rtl w:val="true"/>
        </w:rPr>
        <w:t>أمورٌ لا تنقض الوضوء</w:t>
      </w:r>
      <w:r>
        <w:rPr>
          <w:rtl w:val="true"/>
        </w:rPr>
        <w:t>:</w:t>
      </w:r>
      <w:bookmarkEnd w:id="276"/>
    </w:p>
    <w:p>
      <w:pPr>
        <w:pStyle w:val="BookText"/>
        <w:rPr/>
      </w:pPr>
      <w:r>
        <w:rPr>
          <w:rFonts w:ascii="IRNazanin" w:hAnsi="IRNazanin" w:eastAsia="IRNazanin"/>
          <w:color w:val="111111"/>
          <w:sz w:val="28"/>
          <w:sz w:val="28"/>
          <w:szCs w:val="28"/>
          <w:rtl w:val="true"/>
          <w:lang w:bidi="fa-IR"/>
        </w:rPr>
        <w:t xml:space="preserve">أمورٌ لا تنقض الوضوء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ينقض الوضوء 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ودي، ولا دم – ولو خرج من أحد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الدماء الثلاثة، ولا قيئ، ولا نخامة، ولا تقليم ظفر، ولا حلق شعر، ولا مسّ ذكر، ولا قُبُل، ولا دُبُر، ولا لمس </w:t>
      </w:r>
    </w:p>
    <w:p>
      <w:pPr>
        <w:pStyle w:val="BookText"/>
        <w:rPr/>
      </w:pPr>
      <w:r>
        <w:rPr>
          <w:rFonts w:ascii="Amiri" w:hAnsi="Amiri" w:eastAsia="Amiri" w:cs="Amiri"/>
          <w:color w:val="111111"/>
          <w:sz w:val="28"/>
          <w:sz w:val="28"/>
          <w:szCs w:val="28"/>
          <w:rtl w:val="true"/>
          <w:lang w:bidi="ar-SA"/>
        </w:rPr>
        <w:t>امرأة، ولا أكل ما مسّته النار، ولا ما يخرج من السبيلين إلا أنْ يُخالطه شيءٌ من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الحلي قُدس سره ثلاثةَ عشر أمرًا لا ينقض الوضوء؛ لأنّها أمور ابتلائية، فمن المناسب التنبيه عليها،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ماءٌ رقيقٌ لزجٌ، يخرج عقيب الشهوة، أو هو ما يخرج عند الملاعبة والتقبيل، وهو طاهرٌ في حدِّ نفسه، وخروجه لا ينقض الوضوء؛ تدلُّ على ذلك روايات عدّةٌ، منها ما 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ينقض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يُغسل منه الثوب ولا الجسد، إنما هو بمنزلة البزاق والمخاط </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ماءٌ ثخينٌ يخرج عقيب البول، أو ماء أبيض غليظ يخرج عقيب البول، وهو طاهرٌ ولا ينقض الوضوء؛ يدلُّ على ذلك ما روي عن حميد بن مسلم وزرارة وزيد الشحام،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 من ذَكرِك شيء من مذي أو ودي، فلا تغسله، ولا تقطع له الصلاة، ولا تنقض له الوضوء، إنما ذلك بمنزلة النخامة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الفقهاء أنَّ مما لا ينتقض الوضوء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ماءٌ يخرج عقيب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بروايةٍ مُرسلة عن بن رباط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الإحليل المني والمذي والودي والوذي، فأما المني فهو الذي تسترخي له العظام ويفتر به الجسد،وفيه الغسل، وأما المذي فيخرج من الشهوة، ولا شيء فيه، وأما الودي فهو الذي يخرج بعد البول، وأما الوذي فهو الذي يخرج من الأدواء، ولا شيء فيه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وحتى لو أُشكِل على الاستدلال على طهارة الأمور المتقدمة بهذه الرواية؛ باعتبار أنها روايةٌ مُرسلةٌ، أو أشكل بأنها فسرت الوذي بما يخرج بسبب الأدواء، أي الأمراض، لا ما يخرج بعد المني، إلا أنه يمكن القول بطهارتها حتى ولو فُرِض عدم وجود روايةٍ من رأس؛ وذلك بالاستناد إلى الأصل، إذ إنَّ الأصل في الأشياء هو الطهارة، فكلُّ شيءٍ نشكُّ في طهارته أو نجاسته، فإنّ الأصلَ فيه أنْ يكون طاهرًا إلا إذا دلَّ دليلٌ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في المذي أو الوذي أو الودي هي الطهارة، وليس عندنا دليلٌ يدلُّ على نجاستها، فهي طاهرةٌ لا ينتقض الوضوء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تذكر بعضُ نسخ كتاب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واقتصرت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المذي والودي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ذلك لاختلاف النسخ، أو ربما لسقوط شيءٍ منها، أو إنَّ المصنف لم يذكره لعدم الدليل عليه بعينه وعنوانه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يكفي الأصل في الاستدلال على طهارته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إشكال في نجاسة الدم، ولكن ربما يُشكّل خروجه علامة استفهامٍ لدى المكلف في أنه ناقض للوضوء أو لا؛ لذا نبّه المحقق قُدس سره إلى عدم ناقضيته للوضوء، سواء أكان خروجه بجرحٍ أم بغيره، وسواء أخرج باختيار الإنسان أم رغمًا عنه، بل وحتى لو خرج من أحد السبيلين، أي القبل والدبر؛ لمرضٍ أو نحوه، فلا إشكال في نجاسته، مما يحتّم على المكلّف التطهّر منه، إلا أنّه لا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مُجمعٌ عليه بين علمائنا، وإن خالفَنَا الشافعية والحنفية، حيثُ ذهبا إلى ناقضيته في حال خروجه من أحد السبيلين، مما يتوجب الوضوء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قُدس سره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من أحد السبيلين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أثبت طهارته مع تقدير فرض خروج الدم منهما، إشارةً إلى ما يذهب إليه كلٌ من الشافعية والحنفية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يُستثنى من حكم الدم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والاستحاضة، والنفاس، فلا شك في أنّها ناقضةٌ للطهارة كما هو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القيء والنخامة وتقليم الظفر وحلق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على هذه الأمور الأربعة بعدم ناقضيتها حكمٌ مُجمعٌ عليه بين أصحابنا، وهناك بعض الروايات التي دلّت على ذلك، منها ما رويَ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القَيْءِ هَلْ يَنْقُضُ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وفي روايةٍ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 آخذ من أظفاري ومن شاربي وأحلق رأسي أفأغتسل؟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وضوء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العضو التناسلي 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 والدبر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لمس هذه الأمور الثلاثة لا ينقض الوضوء، ويكفي في الدلالة على عدم ناقضيتها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الأصل في هذه الأمور هو أنّها لا تنقض الوضوء؛ لأنَّ الأصل في الأشياء الطهارة وعدم الناقضية من جهة، ولعدم وجود دليلٍ يدل على أنّها ناقضةٌ من جهة أخرى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عدم انتقاض الوضوء بهذه الأمور، كما لو كان الشخص متوضئًا ومسَّ ذكره أو مس دبره وشكَّ في انتقاضوضوئه أو لا، حينئذٍ يمكنه أن يستصحب عدم انتقاض الوضوء بهذه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فيدل على ذلك ما روي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القُبْلَةِ ولَا مَسِّ الفَرْجِ ولَا المُبَاشَرَةِ </w:t>
      </w:r>
      <w:r>
        <w:rPr>
          <w:rStyle w:val="FootnoteAnchor"/>
          <w:rtl w:val="true"/>
        </w:rPr>
        <w:footnoteReference w:id="158"/>
      </w:r>
      <w:r>
        <w:rPr>
          <w:rFonts w:ascii="Amiri" w:hAnsi="Amiri" w:eastAsia="Amiri" w:cs="Amiri"/>
          <w:color w:val="111111"/>
          <w:sz w:val="28"/>
          <w:sz w:val="28"/>
          <w:szCs w:val="28"/>
          <w:rtl w:val="true"/>
          <w:lang w:bidi="ar-SA"/>
        </w:rPr>
        <w:t xml:space="preserve">وُضُوءٌ </w:t>
      </w:r>
      <w:r>
        <w:rPr>
          <w:rStyle w:val="FootnoteAnchor"/>
          <w:rtl w:val="true"/>
        </w:rPr>
        <w:footnoteReference w:id="1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لمس الرجل للمرأة ومسّه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أكانت مُحللةً أم مُحرّمة، وسواء بوضع يده عليها أم وضع جزءٍ من جسده على جزءٍ من جسدها، ويمكن أن نُدخل القُبلة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بقطع النظر عن الحرمة في حال كونها أجنبيةً عنه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خالفنا العامة في هذا الحكم؛ فقالوا بأنّ لمس المرأة أو مسّها ناقضٌ للوضوء، وموجبٌ له، مستندين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استنادٌ غير صحيح؛ لأنَّ الملامسة في الآية المباركة ليست بمعنى اللمس، وإنّما المقصود منها هو خصوص الجماع، دلّ عليهما روي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ما تقول في الرجل يتوضأ ثم يدعو جاريته فتأخذ بيده حتى ينتهي إلى المسجد، فإن من عندنا يزعمون أنها الملامسة؟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بذلك بأس، وربما فعلته، وما يعنى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المواقعة في الفرج </w:t>
      </w:r>
      <w:r>
        <w:rPr>
          <w:rStyle w:val="FootnoteAnchor"/>
          <w:rtl w:val="true"/>
        </w:rPr>
        <w:footnoteReference w:id="16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مسّته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ما مسّته النار ينقض الوضوء، أمّا عندنا فلا ينقض الوضوء؛ لما روي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الوضوء مما غيرت النار،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فيه وضوء، وإنما الوضوء مما يخرج، ليس مما يدخل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والرواية واضحة جدًا؛ فبُكير يسأل عن ناقضية أكل ما غيرته النار،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سببية،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يكون بسبب ما يخرج من الإنسان من الأحداث، لا مما يدخل إليه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السبيلين إلا أنْ يُخالطه شيءٌ من النواقض</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يخرج من السبيلين هو طاهرٌ وغير ناقضٍ للوضوء، طالما لم يكن من نواقض الوضوء المتقدّمة، سواء أكان هذا الخارج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 السوائل الطاهرة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نجسًا، كالدم كما تقدّم، شرط أن لا يكون من الدماء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خالط هذا الخارجَ غيرَ الناقض للوضوء ما هو ناقضٌ للوضوء، كالبول أو الغائط، فيُحكم حينئذٍ بانتقاض الوضوء، لأجل هذا المختلط بالخارج لا للخارج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والتصريح بأنَّ كل ما يخرج من السبيلين طاهرٌ وغير ناقضٍ للوضوء ولو من دون استثناء مخالطة أحد النواقض له، كافٍ وواضح جدًا؛ لوضوح ناقضية النواقض للوضوء، بيدَ أنَّ المُحقق قُدس سره أراد المزيد من البيان فصرّح بهذا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يُخالطه شيءٌ من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تنبيهٌ جيدٌ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خرجت نواةٌ مثلًا، ولم يكن معها أي شيء من النواقض –كالغائط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طاهرةٌ؛ لأن النجاسة لا تسري في باطن الإنسان كما هو مذكور في كتب الفقه، وهي أيضًا غير ناقضةٍ للوضوء؛ لعدم ناقضيتها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هي خالطها شيءٌ من الدم، وجب التطهير الموضعي من الدم؛ لنجاسته، ولا ينتقض الوضوء؛ لأنَّ كلًّا من النواة والدم غير ناقضين للوضوء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هي خالطها شيءٌ من نواقض الوضوء كالغائط مثلًا، انتقض الوضوء حينئذٍ، فيجب، فضلًا عن وجوب التطهير الموضعي لنجاسة الغائط كما هو واضح</w:t>
      </w:r>
      <w:r>
        <w:rPr>
          <w:rFonts w:eastAsia="Amiri" w:cs="Amiri" w:ascii="Amiri" w:hAnsi="Amiri"/>
          <w:color w:val="111111"/>
          <w:sz w:val="28"/>
          <w:szCs w:val="28"/>
          <w:rtl w:val="true"/>
          <w:lang w:bidi="ar-SA"/>
        </w:rPr>
        <w:t>.</w:t>
      </w:r>
      <w:bookmarkStart w:id="277" w:name="pg7928_85407"/>
    </w:p>
    <w:p>
      <w:pPr>
        <w:pStyle w:val="Heading3"/>
        <w:numPr>
          <w:ilvl w:val="2"/>
          <w:numId w:val="1"/>
        </w:numPr>
        <w:rPr/>
      </w:pPr>
      <w:bookmarkStart w:id="278" w:name="__RefHeading___Toc6503045_1051229030"/>
      <w:bookmarkStart w:id="279" w:name="_Toc92"/>
      <w:bookmarkEnd w:id="277"/>
      <w:bookmarkEnd w:id="278"/>
      <w:r>
        <w:rPr>
          <w:rtl w:val="true"/>
        </w:rPr>
        <w:t>الفصل الثاني في أحكام الخلوة</w:t>
      </w:r>
      <w:bookmarkEnd w:id="279"/>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أحكام الخلوة،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الخلوة أو التخلّي يعني تخلية البدنِ من البولِ أو الغائط، ويقصد بها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يجب وما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تخلية البدن من البول أو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قُدس سره للتخلية عدّة أحكام يُمكنُ تقسيمها إلى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التخلي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الخلوة من مندوباتٍ ومكروهات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503047_1051229030"/>
      <w:bookmarkStart w:id="281" w:name="_Toc93"/>
      <w:bookmarkEnd w:id="280"/>
      <w:r>
        <w:rPr>
          <w:rtl w:val="true"/>
        </w:rPr>
        <w:t>النوع الأول</w:t>
      </w:r>
      <w:r>
        <w:rPr>
          <w:rtl w:val="true"/>
        </w:rPr>
        <w:t xml:space="preserve">: </w:t>
      </w:r>
      <w:r>
        <w:rPr>
          <w:rtl w:val="true"/>
        </w:rPr>
        <w:t>في كيفية التخلي وأحكامه</w:t>
      </w:r>
      <w:r>
        <w:rPr>
          <w:rtl w:val="true"/>
        </w:rPr>
        <w:t>:</w:t>
      </w:r>
      <w:bookmarkEnd w:id="281"/>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 سترُ العورة، ويُستحبُّ سترُ البدن، ويحرمُ استقبالُ القبلةِ واستدبارُها، ويستوي في ذلك الصحاري والأبنية، ويجبُ في موضعٍ قد بُنيَ على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قُدس سره هنا ما يجب في التخلي وما يحرم فيه، وهي أحكامٌ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الحكم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عدمُ إبداء العورة للناظر البشري المحترم، والمحترم اصطلاحٌ فقهي لا اجتماعي، بمعنى الذي تترتب عليه بعض الأحكام الشرعية؛ ولذا فإنَّ الطفل غير المميز يُعبَّرُ عنه فقهًيا بأنه ناظرٌ غير محترم، ومن ثَمَّ يجوز كشف العورة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فالستر يكون بجلوس الإنسان لقضاء حاجته بحيث لا يَرى عورتَه من يحرم عليه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يخرج فردان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 أي الحيوانات، فيجوز للإنسان أن يتخلى بمنظرٍ من الدواب؛ لأنها ليست 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غير المميز، أي لا يميز العورة ولا قبحها، كأنْ يكون عمرُه سنةً أو سنتين مثلًا، وعليه فيجوز التخلي أمام من كان بهذا العمر من الأطفال، أما إذا كان الطفل مميزًا فالحكم هي الحرمة وعدم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مستثنيات الحرمة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يلزم وجوب الستر عند التخلّي من كُلِّ بشري محترم سوى الزوجة والمملوكة؛ فيجوز للمتخلي أنْ يُظهرَ عورتَه أمامهما، وهذا حكمٌ واضحٌ جدًا، لجواز إظهار أحد الزوجين تمام بدنه أمام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في باب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العورة في باب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والأنثيان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عداهما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بالأصل لنفي حرمة إظهاره عند التخلي، والأصل هو الإباحة والجواز إلا إذا ثبتت الحرمة،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نصت على حرمة إبداء هذا المقدار على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الجهة فقط، وهي التي كلامنا فيها، أي في باب التخلي، لا من جميع الجهات والحيثيات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تشمل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لم تثبت حرمة إلا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تحديد العورة عند التخلي رواياتٌ، منها ما رويَ عَنْ أَبِي يَحْيَى الوَاسِطِيِّ عَنْ بَعْضِ أَصْحَابِنَا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 فَأَمَّا الدُّبُرُ مَسْتُورٌ بِالاليَتَيْنِ، فَإِذَا سَتَرْتَ القَضِيبَ والبَيْضَتَيْنِ فَقَدْ سَتَرْتَ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الدُّبُرُ فَقَدْ سَتَرَتْه الاليَتَانِ، وأَمَّا القُبُلُ فَاسْتُرْه بِيَدِكَ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فغير ما تمَّ تحديده في الرواية يجوز للمماثل النظر إليه بشرط عدم الريبة والتلذذ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ستر سائر البدن بعد لزوم ستر خصوص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سترُ البدن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وجوب ستر العورة عند التخلي، وأما سائر البدن فلا يجب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الستر، بل يستحبُّ ستره؛ بأن يكون جلوسُه في مكانٍ بحيث لا يراه أحد؛ سواء أكان ذلك بالابتعاد عن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الأراضي الشاسعة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التستر ببناءٍ مثلًا، كما هو متعارف في عصورنا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الاستحباب يُمكنُ أن يُستفاد ممّا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الغائط فليستتر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استقبال القبلة واستدبارها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استقبالُ القبلةِ واستدبارُها، ويستوي في ذلك الصحاري والأبنية، ويجبُ في موضعٍ قد 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هذا الحكم لابُدّ من ذكر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استقبال المُتخلي القبلة ببدنِه وعورته؛ بأنْ تكونَ مقاديم بدنه باتجاه القبلة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المراد من الاستدبار أيضًا وهو أنْ تكون مقاديم بدنه على عكس اتجاه القبلة مستدبرًا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علّلت بعض الروايات هذا الحكم بأنّه من باب الاحترام للقبلة، ومن باب إجلالِها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شأن هذا الحكم على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مطلقًا؛ أي لا يجوز للمتخلي استقبال القبلة أو استدبارها سواء أكان المتخلي داخل بناءٍ أم في أرضٍ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استقبال القبلة أو استدبارها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المتخلي في الأبنية أو في غيرها كما في الصحاري، فعلى الأول يجوز للمتخلي استقبال القبلة واستدبارها، وعلى الثاني 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عبارة المحقق قُدس سره يتضح جليًا أنّه يذهب إلى الحرمة مطلقًا؛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استقبالُ القبلةِ واستدبارُها، ويستوي في ذلك الصحاري والأبنية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أصحاب الرأي الأول على قولهم بما روي عن عيسى بن عبد الله الهاشمي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إذا دخلت المخرج فلا تستقبل القبلة ولا تستدبرها ولكن شرقوا أو غربوا </w:t>
      </w:r>
      <w:r>
        <w:rPr>
          <w:rStyle w:val="FootnoteAnchor"/>
          <w:rtl w:val="true"/>
        </w:rPr>
        <w:footnoteReference w:id="1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واضحةٌ جدًا في دلالتها على الحرمة؛ للنهي الصريح، والنهيُ ظاهرٌ في الحرمة، بل هي واضحة في الدلالة على الحرمةعند الدخول إلى المخرج، أي بيت الخلاء، فتكون الحرمة في غيره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الأرضاي المكشوفة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أولى، وقد 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الصحاري والبنيان على الأقوى، للعموم ولتعظيم شأن القبلة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وقد استدل البعضُ بهذه الرواية على استحباب التشريق أو التغريب عند التخلّي؛ وذلك بأن يجلس المتخلي والقبلة على يمينه أو على شماله، ولو لقاعدة التسامح في أدلة السُنن على فرض ضعف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مرفوعة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مِنْ عِنْدِ أَبِي عَبْدِ الله عَلَيْهِ السَّلاَمُ وأَبُو الحَسَنِ مُوسَى عَلَيْهِم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وشُطُوطَ الأَنْهَارِ، ومَسَاقِطَ الثِّمَارِ، ومَنَازِلَ النُّزَّالِ، ولَا تَسْتَقْبِلِ القِبْلَةَ بِغَائِطٍ ولَا بَوْلٍ، وارْفَعْ ثَوْبَكَ، وضَعْ حَيْثُ شِئْتَ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في الرواية نكتتان علميتان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الرواية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المرفوع أو الرواية المرفوعة مصطلحٌ من مصطلحات علم الحديث، والرواية المرفوعة تدخل ضمن الحديث الضعيفالسند؛ وذلك لعدم اتصال سلسلة الرواة بالإمام المعصوم عَلَيْهِ السَّلاَمُ، بل يرويها راوٍ ما عمّن قبله، وهكذا حتى نصل إلى راوياً يروي الرواية عن معصومٍ لم يُدركه، مما يدلُّ يقينًا على أنّ هناك راوٍ أو رواة لم يُذكروا في السند، الأمر الذي يتسبب في ضعفه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المرفوعة بخلاف الرواية المسندة التي اتصلت فيها سلسلة الرواة بالإمام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المقام فإنّ هذه الرواية إنّما كانت مرفوعةً؛ لأنَّ راويها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من الثقات ولديه تفسير يُسمى تفسير علي بن إبراهيم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مباشرةً عن الإمام الصادق والإمام الكاظم عَلَيْهِما السَّلاَمُ، وهو لم يُعاصرهما، ولم يذكر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سياق الرواية على فقرات تدل على حكم إلزامي وغير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تضمنت الرواية عدّة فقرات في سياقٍ واحد، تدلّ على أحكامٍ تكليفية عديدة، منها إلزامية كالحرمة، ومنها غير إلزامية كالكراهة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أمكن الحكم على استقبال القبلة واستدبارها بحكمٍ إلزامي وهو الحرمة، على حين لا يمكن الحكم على جميع فقرات الرواية بنفس الحكم؛ للعلم بعدم حرمتها؟</w:t>
      </w:r>
    </w:p>
    <w:p>
      <w:pPr>
        <w:pStyle w:val="BookText"/>
        <w:rPr/>
      </w:pPr>
      <w:r>
        <w:rPr>
          <w:rFonts w:ascii="Amiri" w:hAnsi="Amiri" w:eastAsia="Amiri" w:cs="Amiri"/>
          <w:color w:val="111111"/>
          <w:sz w:val="28"/>
          <w:sz w:val="28"/>
          <w:szCs w:val="28"/>
          <w:rtl w:val="true"/>
          <w:lang w:bidi="ar-SA"/>
        </w:rPr>
        <w:t>هذه ظاهرةٌ موجودةٌ في بعض الروايات، وللفقهاء منها موقفان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كُلِّ الرواية وعدمُ الاستدلال بها؛ لاشتمالها على حكمٍ لموضوعٍ ما، نعلم بعدم صحته، كاشتمالها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إلزامي مثلّا نعلم بعدم لزومه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فإن الرواية تشتملُ على حكم تحريم ما نعلم أنّه ليس بمُحرّمٍ؛ إذ تدلُّ بظاهرها على تحريمِ عِدّةِ أمورٍ ذُكِرت في فقراتٍ متتالية، منها ليست بمحرّمةٍ حتمًا، كالتخلّي في شطوط الأنهار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دلالتها على التحريم فللنهي الظاهر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فعل أمرٍ بلزوم اجتناب فعلٍ والابتعاد عنه، ومن ثم تستلزم النهي عنه، وقد تقدّم أّنَّ النهي ظاهرٌ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فقرات الرواية؛ أي حمل الحكم الوارد في الرواية على الموضوع الظاهر به، وحمل غيره من الموضوعات على ما يُناسبها من أحكامٍ تتآلف ولو من جهةٍ ما مع الحكم الذي تنص عليه الرواية دون الالتزام به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للتوضيح، فقد ورد في الرواية حكمٌ إلزاميٌ وهو التحريم الذي شمل موضوعاتٍ مختلفة؛ فما نعلمُ بعدم حُرمته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نحكم عليه بالكراهة؛ انطلاقًا من محاولة التأليف بين حكمها الذي نعلمه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الحكم الوارد فيالرواية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عداه فنُبقيه على حكم الحرمة؛ لظهوره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نحملُ بعضَ فقرات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كالتخلّي في أفنية المساجد وشطوط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لعلمنا بعدم حرمتها من جهة، وتماشيًا مع جو الرواية الذي يعمّه النهي، والنهي ظاهرٌ في التحريم كما تقدّم من جهةٍ أخرى، فيما نحملُ استقبال القبلة واستدبارها عند التخلّي على الحرمة؛ للنهي، والنهي ظاهرٌ في التحريم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انقسام مواقف الفقهاء في هكذا روايات إلى قسمين، فقد اختلفت أحكامهم، ومنها اختلافهم في مسألة استقبال المتخلي القبلة </w:t>
      </w:r>
    </w:p>
    <w:p>
      <w:pPr>
        <w:pStyle w:val="BookText"/>
        <w:rPr/>
      </w:pPr>
      <w:r>
        <w:rPr>
          <w:rFonts w:ascii="Amiri" w:hAnsi="Amiri" w:eastAsia="Amiri" w:cs="Amiri"/>
          <w:color w:val="111111"/>
          <w:sz w:val="28"/>
          <w:sz w:val="28"/>
          <w:szCs w:val="28"/>
          <w:rtl w:val="true"/>
          <w:lang w:bidi="ar-SA"/>
        </w:rPr>
        <w:t>واستدبارها؛ فمن قبلَ هذه الرواية منهم وعمل بتفكيكها قال بالتحريم مطلقًا، مثل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رفض دلالة هذه الرواية على التحريم؛ لاشتمالها على حكم تحريمي لموضوعٍ نعلم بعدم حرمته، فقد قال بالكراهة بناءً على قاعدة التسامح في أدلة السنن؛ لأنَّ ما دلَّ على تحريم استقبال المتخلّي للقبلة واستدبارها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لا تصلح للاستدلال بها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وأنه قد روي عن محمدٍ بن إسماعيل ما يبدو منه عدم الحرمة، وأن عدم الاستقبال إنما هو من باب التبجيل والتعظيم، فقد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وفي منزلهكنيف مستقبل القبلة،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حذاء القبلة ثم ذكر فانحرف عنها إجلالاً للقبلة وتعظيماً لها، لم يقم من مقعده ذلك حتى يغفر الله له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إسماعيل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إسماعيل بن بزيع،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بزيع بيت، منهم حمزة بن بزيع، كان من صالحي هذه الطائفة وثقاتهم، كثير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وأحمد بن حمزة كانا في عداد الوزراء، وكان علي بن النعمان وصّى بكتبه لمحمد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فلما أتيناه جلس عند رأسه مستقبل القبلة والقبر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أخيه،ووضع يده على قبره،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أمن من الفزع الأكبر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ينقل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الخير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لم تحدد من يأمن من الفرع الأكبر الميت أم من يقرأ سورة القدر على قبره، وقد أفاد سماحة آية الله الشيخ باقر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رحمة الله تعالى واسعة تشمل الجميع إن شاء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بعض أصحابنا عن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بأبواب الظالمين من نور الله له البرهان ومكن له في البلاد، ليدفع بهم عن أوليائه ويصلح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إليهم ملجأ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وإليهم يفزع ذو الحاجة من شيعتنا، وبهم يؤمن الله روعة المؤمن في دار الظلمة، </w:t>
      </w:r>
    </w:p>
    <w:p>
      <w:pPr>
        <w:pStyle w:val="BookText"/>
        <w:rPr/>
      </w:pPr>
      <w:r>
        <w:rPr>
          <w:rFonts w:ascii="Amiri" w:hAnsi="Amiri" w:eastAsia="Amiri" w:cs="Amiri"/>
          <w:color w:val="111111"/>
          <w:sz w:val="28"/>
          <w:sz w:val="28"/>
          <w:szCs w:val="28"/>
          <w:rtl w:val="true"/>
          <w:lang w:bidi="ar-SA"/>
        </w:rPr>
        <w:t xml:space="preserve">أولئك المؤمنون حقاً، أولئك أمناء الله في أرضه، أولئك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رعيتهم يوم القيامة، ويزهر نورهم لأهل السماوات كما يزهر الكواكب الدرية لأهل الأرض، أولئك من نورهم نور القيامة، يضئ منهم القيامة، خلقوا والله للجنة وخلقت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بماذا جعلني الله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خالد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ونحن جماعة، فذكر محمد بن إسماعيل بن بزيع،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فيكم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بسنده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يأمر لي بقميص من قمصه أعده لكفني، فبعث به إلي،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جعلت فداك؟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ازراره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فتلخَّصَ إلى هنا أنَّ في قضية استقبال المتخلي للقبلة واستدباره لها عدة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في الأبنية أم في غير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بعض الروايات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بناءً على قاعدة التسامح في أدلة السُنن؛ لضعف سند الروايات الدالة على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الأبنية وغيرها، فيجوز استقبال القبلة واستدبارها للمتخلي داخل الأبنية ولا يجوز له خارجها، كما في الأرض المكشوفة من صحراء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للثالث بما تقدم من رواية محمد بن إسماعيل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الرضا عَلَيْهِ السَّلاَمُ وفي منزله كنيف مستقبل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فاستدلّوا بها على جواز استقبال المتخلي القبلة واستدبارها إذا كان داخل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بعض الفقهاء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هذا المقدار؛ لأن وجود الكنيف مستقبلًا القبلة ليس بدليلٍ قاطع على جواز استقبال القبلة واستدبارها؛ لاحتمال أنّ المتخلي نفسه ينحرف عن القبلة حتى ولو كان الكنيف باتجاهها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وحيث إن الأدلة التي دلت على الحرمة ضعيفة السند؛ لذا ذهب الكثير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الاحتياط الوجوبي </w:t>
      </w:r>
      <w:r>
        <w:rPr>
          <w:rStyle w:val="FootnoteAnchor"/>
          <w:rtl w:val="true"/>
        </w:rPr>
        <w:footnoteReference w:id="172"/>
      </w:r>
      <w:r>
        <w:rPr>
          <w:rFonts w:ascii="Amiri" w:hAnsi="Amiri" w:eastAsia="Amiri" w:cs="Amiri"/>
          <w:color w:val="111111"/>
          <w:sz w:val="28"/>
          <w:sz w:val="28"/>
          <w:szCs w:val="28"/>
          <w:rtl w:val="true"/>
          <w:lang w:bidi="ar-SA"/>
        </w:rPr>
        <w:t>والاحتياط مطلقًا حسنٌ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المحقق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قُدس سره، قال بالتحريم مطلقًا، بلا فرقٍ بين أن يكون المتخلي داخل الأبنية أو خارجها، ومن عبارته نصل إلى عِدّةِ نتائج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الصحاري والأبنية، وهذا الذي صرّحَ به المحقق قُدس سره؛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استقبال القبلة واستدبارها، ويستوي في ذلك الصحاري والأبنية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حرمة في نفس بناءِ بيت الخلاء باتجاه القبلة؛ إذ ما يحرم هو التخلي باتجاه القبلة تحديدًا، فإذا كان بيت الخلاء مبنيًا باتجاه القبلة، وجب على المتخلي أنْ ينحرف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المحقق قُدس سره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الانحراف في موضعٍ قد بُنيَ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استقبال واستدبار القبلة عند التخلي بين كون المتخلي جالسًا أو قائمًا أو مُستلقيًا، بحيث إذا جلس كان وجهه باتجاه القبلة، كما لو كان مريضًا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الاستقبال والاستدبار حال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للفقهاء قولان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مُلحقٌ بالتخلّي في الحرمة، ولو على نحو الاحتياط الوجوبي، أي لا يجوز للمكلف الاستنجاء مستقبلًا القبلة ولا مستدبرًا؛ لما رويَ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يَسْتَنْجِيَ كَيْفَ يَقْعُدُ؟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 xml:space="preserve">... </w:t>
      </w:r>
      <w:r>
        <w:rPr>
          <w:rStyle w:val="FootnoteAnchor"/>
          <w:rtl w:val="true"/>
        </w:rPr>
        <w:footnoteReference w:id="173"/>
      </w:r>
      <w:bookmarkStart w:id="282" w:name="pg7928_85433"/>
    </w:p>
    <w:p>
      <w:pPr>
        <w:pStyle w:val="BookText"/>
        <w:rPr/>
      </w:pPr>
      <w:bookmarkEnd w:id="282"/>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إلحاق الاستنجاء بالتخلّي؛ لاختلاف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المذكورة آنفًا فقد قالوا بضعف سندها، ومن هنا فقد ذهب بعض الفقهاء إلى الاحتياط الاستحبابي بالترك كالسيد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6503049_1051229030"/>
      <w:bookmarkStart w:id="284" w:name="_Toc94"/>
      <w:bookmarkEnd w:id="283"/>
      <w:r>
        <w:rPr>
          <w:rtl w:val="true"/>
        </w:rPr>
        <w:t>النوع الثاني</w:t>
      </w:r>
      <w:r>
        <w:rPr>
          <w:rtl w:val="true"/>
        </w:rPr>
        <w:t xml:space="preserve">: </w:t>
      </w:r>
      <w:r>
        <w:rPr>
          <w:rtl w:val="true"/>
        </w:rPr>
        <w:t>في الاستنجاء</w:t>
      </w:r>
      <w:r>
        <w:rPr>
          <w:rtl w:val="true"/>
        </w:rPr>
        <w:t>:</w:t>
      </w:r>
      <w:bookmarkEnd w:id="284"/>
    </w:p>
    <w:p>
      <w:pPr>
        <w:pStyle w:val="BookText"/>
        <w:rPr/>
      </w:pPr>
      <w:r>
        <w:rPr>
          <w:rFonts w:ascii="Amiri" w:hAnsi="Amiri" w:eastAsia="Amiri" w:cs="Amiri"/>
          <w:color w:val="111111"/>
          <w:sz w:val="28"/>
          <w:sz w:val="28"/>
          <w:szCs w:val="28"/>
          <w:rtl w:val="true"/>
          <w:lang w:bidi="ar-SA"/>
        </w:rPr>
        <w:t>الاستنجاء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إزالة ما يخرج من النجو، بالماء أو التمسح بالحجارة، أو هو التنظف عن النجو، واستنجى أي مسح موضع النجو أو غسله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والنجو هو ما يخرج من البطن من ريحٍ أو غائط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يختلفُ كثيرًا عن المعنى اللغوي إلا في إضافة بعض الشروط؛ لتحصيل الطهارة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فالاستنجاء شرعًا هو غسل موضع البول أو الغائط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بالحجارة في بعض الأحيان كما سيتبين إن شاء الله تعالى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والاستنجاءُ ليس واجبًا نفسيًا في حدِّ نفسه، أيّ إنّ الاستنجاء ليس مطلوبًا لذاته؛ فلو أحدث بخروج بولٍ أو غائطٍ ولم يستنجِ، لميرتكبْ بذلك محرمًا معينًا بنفسه، ولا يعني أنّه ترك واجبًا فيستحقّ عقوبةً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هو واجبٌ غيري، أي إنّه لا يجب إلا إذا صار شرطًا في صحةِ واجبٍ ما، كالصلاةِ والطوافِ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مجال الطهارة الشرعية، أمّا في النظافة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الإنسانُ مُتنزِّهًا عن النجاسات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في حكم الاستنجاء فرعين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من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الاستنجاء، ويجبُ غسلُ موضعِ البولِ بالماء، ولا يُجزي غيره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كيفيته الشرعية نذكر النقاط الآتية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تطهير موضع البول على الغسل بالماء فقط؛ وهذا حكمٌ مُجمَعٌ عليه، دلت عليه نصوصٌ عديدة، منها ما روي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ويجزيك من الاستنجاء ثلاثة أحجار، وبذلك جرت السنة من رسول الله صَلَّى اَللَّهُ عَلَيْهِ وَ آلِهِ وَ سَلَّمْ، وأما البول فإنّه لا بدّ من غسله </w:t>
      </w:r>
      <w:r>
        <w:rPr>
          <w:rStyle w:val="FootnoteAnchor"/>
          <w:rtl w:val="true"/>
        </w:rPr>
        <w:footnoteReference w:id="176"/>
      </w:r>
      <w:r>
        <w:rPr>
          <w:rFonts w:ascii="Amiri" w:hAnsi="Amiri" w:eastAsia="Amiri" w:cs="Amiri"/>
          <w:color w:val="111111"/>
          <w:sz w:val="28"/>
          <w:sz w:val="28"/>
          <w:szCs w:val="28"/>
          <w:rtl w:val="true"/>
          <w:lang w:bidi="ar-SA"/>
        </w:rPr>
        <w:t>فإذا أراد المكلف الصلاة، فعليه أولاً تحصيل الطهارة لا من الحدث فقط، بل وتحصيل طهارة البدن من الخبث أيضًا، فإنْ كان متنجّساً بنجاسة خروج بولٍ أو غائط فلا بُدّ من تطهيره، وكيفية تطهير موضع البول لا يكون إلا بالغسل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المكلف ماءً، فلا يُجزي في التطهير من البول غيره، فلا بديل عن الماء، ويبقى الموضع متنجساً؛ وذلك للتالي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الدليل على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الفقهاء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الروائية، منها ما تقدّم، ومنها ما روي عن بريد بن معاوية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الغائط المسح بالأحجار، ولا يجزي من البول إلا الماء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وقد اختار المصنف قُدس سره ذلك في صريح عبارته، حيث لم يُبيّنِ البديل،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غيره مع القدرة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لأجل إباحة ما تُشترط فيه الطهارة 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مثلًا؛ لما تقدّم من أنَّ الاستنجاء واجبٌ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هو تطهير الموضع، فإن لم يتمكن المكلف من ذلك وجبت إزالة 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التخفيف منها بالقدر المستطاع وبأيةِطريقةٍ تجدي لذلك، كالمسح أو الانتظار حتى يجفَّ الموضع وما شابه ذلك، وهذا لا يعني طهارة الموضع، وإنّما الحكم بإباحة العبادة المشروطة بالطهارة بإزالة 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كان الماء متعذرًا، أي إنه حكمٌ ثانوي، يصحح الصلاة مع نجاسة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صحَّ ذلك فإنّه يجري في جميع النجاسات، ولا خصوصية للبول، فيجري عند تنجس البدن بالدم مثلًا، وهكذا فإنَّ هذا الحكم يجري حتى مع وجود الماء إذا وجِد مانعٌ منع المكلف من استعماله كمرضٍ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مورد جريان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ذلك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خروج البول يتوجّبُ على المكلف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عين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وإزالة أثرها، فإن عجز المكلف عن إزالة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توفر الماء، وقد تقدّم انحصار التطهر من البول بالماء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إزالة أثرها، وهو الميسور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رُدَّ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في الواجبات المركبة من عدّةِ أجزاءٍ، مع قدرة المكلف على بعضها دونالبعض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كواجب الحج مثلًا؛ فهو واجبٌ مركبٌ من عدّةِ أجزاءٍ، فإن تعسّر على المكلف القيام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 الجمرات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الواجب كله؛ لقاعدة الميسور، وإنّما يسقط فقط ما لا يستطيع المكلف القيام به، وهو رمي الجمرات، فيرمي ما يستطيع أن يرمي من جمرة العقبة، كما لو تمكّن من ذلك يوم العاشر مثلًا، أو يبعث نائبًا عنه في الرمي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مثل الصلاة، فهي واجبٌ مركبٌ من عدة أجزاء؛ فتجري فيها قاعدة الميسور، فمن لم يتمكن من القيام أثناء تكبيرة الإحرام أو أثناء القراءة، فلا تسقط عنه الصلاة، بل يسقط عنه خصوص القيام، فيصلي من جلوس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الاستنجاء، فليس واجبًا مركبًا من عِدّة أجزاءٍ ليُمكِنَ إجراء قاعدة الميسور فيه، وإنّما هو واجبٌ واحدٌ، هو تطهير الموضع، وأمّا إزالة عين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جعلها البعض جزءًا آخر له، تجب عند تعذر التطهير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إلا أثرٌ من آثار تطهير الموضع لا جزءًا آخر قائمًا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فهذه القاعدة لا تجري في الاستنجاء؛ لأنه واجبٌ بسيطٌ غير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المقدار الواجب من الماء لتحصل الطهارة الشرعية؟</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يُجزي مِثْلا ما على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عبارةٌ مستوحاة مما روي عن نشيط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بمثلي ما على الحشفة من البلل </w:t>
      </w:r>
      <w:r>
        <w:rPr>
          <w:rStyle w:val="FootnoteAnchor"/>
          <w:rtl w:val="true"/>
        </w:rPr>
        <w:footnoteReference w:id="17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الفقهاء في تفسير وبيان عبارة المحقق قُدس سره على قولين، نذكرهما دون أن نناقشهما منعًا للإطالة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وجوب غسل مخرج البول مرتين، فالتعبير بالمثلين كنايةً عن لزوم تعدد الغسل، وأقلُّ المُجزي هو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تفرّع عن هذا الرأي اختلاف آخر في لزوم الفصل بين الغسلتين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لزوم أن يكون الماء الذي يُطهَّرُ به موضع البول غالبًا على البول، والغلبةُ لا تحصلُ عادةً إلا إذا كان الماء أكثر من البول، وأما إذا كان الماء بقدر البول فلا تحصل به الغلبة، فعبّر المحقق قُدس سره بالمثلين ليُبيّنَ وجوب أن يغلب الماء على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المثلين كنايةٌ عن لزوم أنْ يكون الماء الذي يُطهّر به موضع البول لا بقدر البول، بل بقدر مثلَي ما على المخرج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من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تعدى المخرج لم يُجزِ إلا الماء، وإذا لم يتعدّ كان مخيرًا بين الماء والأحجار، والماء أفضل، والجمع أكمل، ولا يُجزي أقلّ من ثلاثة أحجار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الاستنجاء من الغائط بطريقتين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تعيينية، وأخرى تخييرية، وذكر المحقق قُدس سره أن التعيينية هي فيما إذا تعدى الغائط المخرج، فلا يطهر حينها إلا بالماء، والتخييرية تكون فيما لو لم يتعد المخرج، فيجوز بالماء، وبالأحجار، وسنذكر أولاً التطهير بالماء –تبعاً للمحقق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نشير إلى معنى الطريقتين السالفتين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مخرجِ الغائط بالماء حتى يزول العين والأثر، ولا اعتبار بالرائحة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الاستنجاء بالماء بغسل مخرج الغائط بالماء بمقدارٍ معين بحيث يتوفر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تزول عين الغائط، وهذا هو المُعبَّر عنه بالإنقاء، والإنقاء من النقاوة أيّ إزالة عين النجاسة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يزول الأثر، وقد اختلف الفقهاء في تفسير الأثر، ففسّره بعضهم باللون، فيما فسّره البعض الآخر بأنّه ما يتخلّفُعلى المحل عند مسح النجاسة وتنظيفها، وهي عبارةٌ مبهمة وغير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استنجى بحيث أزال العين والأثر كان استنجاؤه صحيحًا ومطهِّرًا 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الرائحة فلا تجب إزالتها؛ لما روي عَنِ ابْنِ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ويَبْقَى الرِّيحُ؟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لَا يُنْظَرُ إِلَيْهَا </w:t>
      </w:r>
      <w:r>
        <w:rPr>
          <w:rStyle w:val="FootnoteAnchor"/>
          <w:rtl w:val="true"/>
        </w:rPr>
        <w:footnoteReference w:id="17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الاستنجاء من الغائط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هي المُتعينة، وأخرى يجوز التخيير بينها وبين غيرها؛ والتفصيل</w:t>
      </w:r>
      <w:r>
        <w:rPr>
          <w:rFonts w:eastAsia="Amiri" w:cs="Amiri" w:ascii="Amiri" w:hAnsi="Amiri"/>
          <w:color w:val="111111"/>
          <w:sz w:val="28"/>
          <w:szCs w:val="28"/>
          <w:rtl w:val="true"/>
          <w:lang w:bidi="ar-SA"/>
        </w:rPr>
        <w:t xml:space="preserve">: </w:t>
      </w:r>
      <w:bookmarkStart w:id="285" w:name="pg7928_85448"/>
    </w:p>
    <w:p>
      <w:pPr>
        <w:pStyle w:val="Heading3"/>
        <w:numPr>
          <w:ilvl w:val="2"/>
          <w:numId w:val="1"/>
        </w:numPr>
        <w:rPr/>
      </w:pPr>
      <w:bookmarkStart w:id="286" w:name="__RefHeading___Toc6503051_1051229030"/>
      <w:bookmarkStart w:id="287" w:name="_Toc95"/>
      <w:bookmarkEnd w:id="285"/>
      <w:bookmarkEnd w:id="286"/>
      <w:r>
        <w:rPr>
          <w:rtl w:val="true"/>
        </w:rPr>
        <w:t>الطريقة الأولى</w:t>
      </w:r>
      <w:r>
        <w:rPr>
          <w:rtl w:val="true"/>
        </w:rPr>
        <w:t xml:space="preserve">: </w:t>
      </w:r>
      <w:r>
        <w:rPr>
          <w:rtl w:val="true"/>
        </w:rPr>
        <w:t>الطريقة التعيينية</w:t>
      </w:r>
      <w:r>
        <w:rPr>
          <w:rtl w:val="true"/>
        </w:rPr>
        <w:t>:</w:t>
      </w:r>
      <w:bookmarkEnd w:id="287"/>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تعدّى المخرج لم يُجزِ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الاستنجاء بالماء معلّقٌ على 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 الغائط المخرجَ؛ فاذا تعدى الغائط مخرجه فحينئذٍ لا يجزي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التعدّي بأنه تجاوزُ الغائط عن المخرج، وإنْ لم يتفاحش في انتشاره،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الغائط إلى محلٍ لا يعتاد وصوله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كتاب عوالي اللآلي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من الغائط المسحُ بالأحجار إذا لم يتجاوزْ محلَّ العادة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نكتة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عوالي اللئالي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أبي جمهور الأحسائي رحمة الله أحد علماء الإمامية، إلا أنّ رواياته عمومًا في هذا الكتاب مُبتلاة بضعفِ السند؛ لأنّها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يعني عدم الاستفادة منه، إذ بالإمكان الاستفادة من رواياته بإحدى الطرق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الرواية في كتابٍ آخر مُسندةً، فإن وجدناها كذلك ارتقت لمقام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رواياته في الاستدلال على بعض السنن والآداب بناءً على قاعدة التسامح في أدلة السنن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يبني على هذه القاعدة، فيمكن الانتفاع منها بالإتيان بمضمون رواياته برجاء المطلوبية</w:t>
      </w:r>
      <w:r>
        <w:rPr>
          <w:rFonts w:eastAsia="Amiri" w:cs="Amiri" w:ascii="Amiri" w:hAnsi="Amiri"/>
          <w:color w:val="111111"/>
          <w:sz w:val="28"/>
          <w:szCs w:val="28"/>
          <w:rtl w:val="true"/>
          <w:lang w:bidi="ar-SA"/>
        </w:rPr>
        <w:t xml:space="preserve">. </w:t>
      </w:r>
      <w:bookmarkStart w:id="288" w:name="pg7928_85450"/>
    </w:p>
    <w:p>
      <w:pPr>
        <w:pStyle w:val="Heading3"/>
        <w:numPr>
          <w:ilvl w:val="2"/>
          <w:numId w:val="1"/>
        </w:numPr>
        <w:rPr/>
      </w:pPr>
      <w:bookmarkStart w:id="289" w:name="__RefHeading___Toc6503053_1051229030"/>
      <w:bookmarkStart w:id="290" w:name="_Toc96"/>
      <w:bookmarkEnd w:id="288"/>
      <w:bookmarkEnd w:id="289"/>
      <w:r>
        <w:rPr>
          <w:rtl w:val="true"/>
        </w:rPr>
        <w:t>الطريقة الثانية</w:t>
      </w:r>
      <w:r>
        <w:rPr>
          <w:rtl w:val="true"/>
        </w:rPr>
        <w:t xml:space="preserve">: </w:t>
      </w:r>
      <w:r>
        <w:rPr>
          <w:rtl w:val="true"/>
        </w:rPr>
        <w:t>الطريقة التخييرية</w:t>
      </w:r>
      <w:r>
        <w:rPr>
          <w:rtl w:val="true"/>
        </w:rPr>
        <w:t>:</w:t>
      </w:r>
      <w:bookmarkEnd w:id="290"/>
    </w:p>
    <w:p>
      <w:pPr>
        <w:pStyle w:val="BookText"/>
        <w:rPr/>
      </w:pPr>
      <w:r>
        <w:rPr>
          <w:rFonts w:ascii="Amiri" w:hAnsi="Amiri" w:eastAsia="Amiri" w:cs="Amiri"/>
          <w:color w:val="111111"/>
          <w:sz w:val="28"/>
          <w:sz w:val="28"/>
          <w:szCs w:val="28"/>
          <w:rtl w:val="true"/>
          <w:lang w:bidi="ar-SA"/>
        </w:rPr>
        <w:t>وتجوز هذه الطريقة فيما لو لم يتعدَّ الغائطُ المخرجَ، أيّ لامس الموضع المعتاد فقط، ولم يتعدَّ إلى محلٍ لا يصله الغائط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ويدور التخيير في هذه الطريقة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بالطريقة التي تقدّمت، بأن تُزال العين والأثر ولا اعتبار بالرائحة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التطهير بالأحجار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أفضل، والجمع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العبارات المشهورة نظير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أحوط، والتمام أفضل، والجمع أكمل في حكم صلاة المسافر في مواضع التخيير بين القصر والتمام،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النبوي ومسجد الكوفة والحائر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لم يتعدَّ غائطُه مخرجَه، فهو مخير بين أنْ يطهر الموضع بالماء أو أنْ يطهره بالأحجار، ولكن التطهير بالماء أفضل، والجمع بين التطهير بكليهما أكمل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وللعبارة المتقدمة مستندٌ بلا شك؛ فأما التخيير؛ فللجمع بين كون الماء طاهرًا في نفسه مُطهِّرًا لغيره، وبين الروايات التي دلت على جواز التطهير بالأحجار، ومنها 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ويجزيك من الاستنجاء ثلاثة أحجار، وبذلك جرت السنة من رسول الله صَلَّى اَللَّهُ عَلَيْهِ وَ آلِهِ وَ سَلَّمْ، وأما البول فإنه لا بد من غسله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وأمّا كون الماء أفضل؛ فلما قالوا من إنه أبلغُ في التنظيف، وهذا أمرٌ وجداني، حيث يدرك الإنسان أنّ التنظيف بالماء أجود من التنظيف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فلما روي مُرسلًا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في الاستنجاء بثلاثة أحجارٍ أبكار، ويُتبعُ بالماء </w:t>
      </w:r>
      <w:r>
        <w:rPr>
          <w:rStyle w:val="FootnoteAnchor"/>
          <w:rtl w:val="true"/>
        </w:rPr>
        <w:footnoteReference w:id="182"/>
      </w:r>
      <w:r>
        <w:rPr>
          <w:rFonts w:ascii="Amiri" w:hAnsi="Amiri" w:eastAsia="Amiri" w:cs="Amiri"/>
          <w:color w:val="111111"/>
          <w:sz w:val="28"/>
          <w:sz w:val="28"/>
          <w:szCs w:val="28"/>
          <w:rtl w:val="true"/>
          <w:lang w:bidi="ar-SA"/>
        </w:rPr>
        <w:t>وجريان السنة على ذلك يعني أنّه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تفيدُ الرواية بتقديم الأحجار على الماء، وهو أمرٌ نقبله تعبدًا، ولكن لعلّه لأجل أنَّ إزالة الغائط بالأحجار أولًا فيه تنزيهٌ لليد عن مباشرة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بالأحجار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أقلُّ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بالاستجمار أيضًا، والاستجمار هو التمسح بالأحجار، والجُمار هي الأحجار الصغيرة، وسُمّيَ استجمارًا؛ لأنَّ التطهير يكون بالحجارة الصغيرة، والاستنجاء بالأحجار إنّما يصحُّ إذا لم يتعدَّ الغائطُ الموضعَ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الاستنجاء بالأحجار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مما ذكره المحقق قُدس سره في الاستنجاء بالأحجار عدّةَ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التطهير بالأحجار فقط فيما إذا لم تتعدَّ النجاسةُ الموضعَ،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الاستنجاء به هو ثلاثة أحجار؛ للروايات الخاصة، من قبيل ما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ويُجزيك من الاستنجاء ثلاثة أحجار </w:t>
      </w:r>
      <w:r>
        <w:rPr>
          <w:rStyle w:val="FootnoteAnchor"/>
          <w:rtl w:val="true"/>
        </w:rPr>
        <w:footnoteReference w:id="183"/>
      </w:r>
      <w:r>
        <w:rPr>
          <w:rFonts w:ascii="Amiri" w:hAnsi="Amiri" w:eastAsia="Amiri" w:cs="Amiri"/>
          <w:color w:val="111111"/>
          <w:sz w:val="28"/>
          <w:sz w:val="28"/>
          <w:szCs w:val="28"/>
          <w:rtl w:val="true"/>
          <w:lang w:bidi="ar-SA"/>
        </w:rPr>
        <w:t>وهذا يدلُّ على عدم الاجزاءِ بالأقل من ثلاثة؛ فإنَّ تطهير البدن حكمٌ شرعي، ولا يحرز هذا الحكم الشرعي إلا إذا حصلَ سببه الشرعي، وفي المقام دلَّ النصُّ الشرعي على أنَّ الذي يُجزي هو ثلاثةُ أحجار، وأما ما دون الثلاثة أحجار فلم يثبت كونها سببًا لحصول الطهارة، ومن ثم فلا تتحقق الطهارة بالأقل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الرأي يوجد رأيٌّ آخر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في تطهير موضع الغائط هو الإنقاء، والإنقاءُ يعني إزالة عين النجو، فإذا تحقّق الإنقاء بأقلِّ من ثلاثةِ 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حصل الإنقاءُ بحجرين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ذلك؛ لتحقق المطلوب وهو الإنقاء، ومن ثم فلو لم يتحقق الإنقاء إلا بأربعة أحجار وجب، وهكذا حتى يتحقق الإنقاء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استند من ذهب إلى هذا الرأي إلى ما ورد في رواية ابن المغيرة مع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حيث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w:t>
      </w:r>
      <w:r>
        <w:rPr>
          <w:rFonts w:eastAsia="Amiri" w:cs="Amiri" w:ascii="Amiri" w:hAnsi="Amiri"/>
          <w:color w:val="111111"/>
          <w:sz w:val="28"/>
          <w:szCs w:val="28"/>
          <w:rtl w:val="true"/>
          <w:lang w:bidi="ar-SA"/>
        </w:rPr>
        <w:t xml:space="preserve">... </w:t>
      </w:r>
      <w:r>
        <w:rPr>
          <w:rStyle w:val="FootnoteAnchor"/>
          <w:rtl w:val="true"/>
        </w:rPr>
        <w:footnoteReference w:id="184"/>
      </w:r>
      <w:bookmarkStart w:id="291" w:name="pg7928_85455"/>
    </w:p>
    <w:p>
      <w:pPr>
        <w:pStyle w:val="BookText"/>
        <w:rPr/>
      </w:pPr>
      <w:bookmarkEnd w:id="291"/>
      <w:r>
        <w:rPr>
          <w:rFonts w:ascii="Amiri" w:hAnsi="Amiri" w:eastAsia="Amiri" w:cs="Amiri"/>
          <w:color w:val="111111"/>
          <w:sz w:val="28"/>
          <w:sz w:val="28"/>
          <w:szCs w:val="28"/>
          <w:rtl w:val="true"/>
          <w:lang w:bidi="ar-SA"/>
        </w:rPr>
        <w:t>فالإمامُ لم يجعل حدًا للاستنجاء، وإنّما اشترط تحقق النقاء، فلو حصل النقاء بالأقل من ثلاثة فقد تحقّق الاستنجاء، وإن لم يتحقق بها، فعليه أن يزيد إلى أن يحصل النقاء</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503055_1051229030"/>
      <w:bookmarkStart w:id="293" w:name="_Toc97"/>
      <w:bookmarkEnd w:id="292"/>
      <w:r>
        <w:rPr>
          <w:rtl w:val="true"/>
        </w:rPr>
        <w:t>الأمر الثالث</w:t>
      </w:r>
      <w:r>
        <w:rPr>
          <w:rtl w:val="true"/>
        </w:rPr>
        <w:t xml:space="preserve">: </w:t>
      </w:r>
      <w:r>
        <w:rPr>
          <w:rtl w:val="true"/>
        </w:rPr>
        <w:t>شروط التطهير بالأحجار</w:t>
      </w:r>
      <w:r>
        <w:rPr>
          <w:rtl w:val="true"/>
        </w:rPr>
        <w:t>:</w:t>
      </w:r>
      <w:bookmarkEnd w:id="293"/>
    </w:p>
    <w:p>
      <w:pPr>
        <w:pStyle w:val="BookText"/>
        <w:rPr/>
      </w:pPr>
      <w:r>
        <w:rPr>
          <w:rFonts w:ascii="Amiri" w:hAnsi="Amiri" w:eastAsia="Amiri" w:cs="Amiri"/>
          <w:color w:val="111111"/>
          <w:sz w:val="28"/>
          <w:sz w:val="28"/>
          <w:szCs w:val="28"/>
          <w:rtl w:val="true"/>
          <w:lang w:bidi="ar-SA"/>
        </w:rPr>
        <w:t>علاوة على ما تقدم في الأمرين الأولين، فإنه ذكر المُصنف قُدس سره شروطًا عديدةً ليصحَّ التطهيرُ بالأحجار،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الأحجار على موضع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كُلِّ حجرٍ على موضع النجاسة؛ بأنْ يقومَ الشخص بمسح النجاسة كلها بالحجر في كُلِّ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التوزيع؛ بأن يمسح بعض محل النجاسة ببعض الأحجار، والبعض الآخر من موضع النجاسة ببعضٍ آخر من الأحجار، مع حصول النقاء المعتبر، وقد استُدلَّ له بعدم الدليل على وجوب استيعاب المحلِّ كُلِّه في كُلِّ حجرٍ حجر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عبارة المحقق قُدس سره أنّه يبني على القول الأول؛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إمرار كل حجرٍ على موضع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أثرها فلا تجب إزالته فضلًا عن رائحتها؛ ذلك لأنّ النصوص دلّت على لزومِ الإنقاء، ويتحقق الإنقاء بزوال عين النجاسة ورطوبتها؛ بحيث يصبح الموضع نقيًا ليس عليه شيءٌ من أجزاء النجاسة؛ ولذلك ذكروا شرطًا ثالثًا وهو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ينقَ الموضع بمسحه بالأحجار الثلاثة؛ بحيث لم ينقَ الحجر الثالث بعد المسح به، مما يعني أنَّ عين النجاسة مازالت على الموضع، فحينئذٍ لا بُدّ من زيادة المسح بمزيد من الأحجار حتى يحصل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المطلوب من التطهير بالأحجار مركبًا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تتعدّدَ الأحجارَ بما لا يقِلُّ عن ثلاثةِ أحجار وإنْ حصل النقاء بالحجر الأول أو بالحجر الثاني، لأجل أن الرواية حدّدت للإجزاء في الاستنجاء ثلاثةَ أحجار، وتعدّد المسح بحجرٍ واحد أو اثنين لا يصدق معه المسح بثلاثة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النقاء بالمسح بالأحجار، ولو تطلّب ذلك المسح بأكثر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بكفاية ثلاث مسحات ولو بحجر واحد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قبال رأي المحقق، هناك رأيٌ آخر ذهب إلى كفاية ثلاث مسحات ولو بحجر واحد </w:t>
      </w:r>
      <w:r>
        <w:rPr>
          <w:rStyle w:val="FootnoteAnchor"/>
          <w:rtl w:val="true"/>
        </w:rPr>
        <w:footnoteReference w:id="185"/>
      </w:r>
      <w:r>
        <w:rPr>
          <w:rFonts w:ascii="IRNazanin" w:hAnsi="IRNazanin" w:eastAsia="IRNazanin"/>
          <w:color w:val="111111"/>
          <w:sz w:val="28"/>
          <w:sz w:val="28"/>
          <w:szCs w:val="28"/>
          <w:rtl w:val="true"/>
          <w:lang w:bidi="fa-IR"/>
        </w:rPr>
        <w:t>باعتبار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أرادت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الاستنجاء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المسح ثلاث مرات، لكن جرت العادة أنْ يكونالحجر الذي يُمسَحُ به صغيرًا، والحجر الصغير عادةً يُمسَحُ به مرةً واحدة فقط، فبهذا الاعتبار عبّرتِ الرواية بالثلاثة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نظير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عشرة أسواط؛ فهل يفهم منه أن تأتي بعشرة أسواط وتضربه بكل واحد منها 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يقينًا لا، بل المقصود ضربه عشر مراتٍ ولو بسوطٍ واحدٍ، فثلاثة أحجار في الرواية يقصد بها الكناية عن الثلاث مسحات، وهي تتحقق ولو بحجر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أحدكم لحاجةٍ فليمسح ثلاث مسحات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ورُدَّ هذا القول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الكناية هي إرادة غير الظاهر من الكلام، ومعلوم أن الحجة من الكلام هو ظاهره فقط، فينبغي التمسك به ولا يصار إلى خلافه إلا بوجود قرينة تدلُّ عليه، وعليه، فالقول بأنَّ الثلاثة أحجار كنايةٌ عن أنّ المقصودَ بها </w:t>
      </w:r>
    </w:p>
    <w:p>
      <w:pPr>
        <w:pStyle w:val="BookText"/>
        <w:rPr/>
      </w:pPr>
      <w:r>
        <w:rPr>
          <w:rFonts w:ascii="Amiri" w:hAnsi="Amiri" w:eastAsia="Amiri" w:cs="Amiri"/>
          <w:color w:val="111111"/>
          <w:sz w:val="28"/>
          <w:sz w:val="28"/>
          <w:szCs w:val="28"/>
          <w:rtl w:val="true"/>
          <w:lang w:bidi="ar-SA"/>
        </w:rPr>
        <w:t>ثلاث مسحات لا يُصار إليه إلا مع وجود قرينة؛ لأنّه خلاف الظاهر، وليس عندنا في المقام قرينةٌ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التنظير بالسوط قياسٌ مع الفارق؛ إذ الضرب بعشرة أسواط معنى مُستعمل، يدلُّ عليه سياقُ الحديث من دونِ قرينةٍ، بخلاف القول بالمسح بثلاثة أحجار الذي ظاهره التعدد في نفس الأحجار، لا تعدد المسح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إنما يُستدلُّ بالرواية إذا كان طريقها صحيحًا، والحال أنّ هذه رواية ضعيفة السند،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رواها بعض العامة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وقبلنا الرواية، فلا بد من تفسير الثلاث مسحات على أنّها ثلاث مسحات بثلاثة أحجار؛ لأنّها روايةٌ مطلقةٌ تصدق على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ثلاث مسحات بحجرٍ واحد، والمسح بثلاث مسحاتٍ بثلاثة أحجار، وقد وردت رواية أخرى تدل صراحة على أنّ الاستنجاء من الغائط لا بد فيه من ثلاثة أحجار، والأصوليون يقولون بحمل المطلق على المقيد، ومن ثَمّ فلا بد من تقييد إطلاق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المسح بثلاثة أحجار ثلاث مرات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الأحجار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يلزم أنْ يكون الحجر المستعمل في الإزالة ممّا لم يستعمل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صريح عبارة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يُستعملُ الحجرُ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الرأي هناك رأيٌ آخر يقول بكفاية الحجر المستعمل في الاستنجاء، شرط أنْ يكون طاهرًا؛ إذ لا المانع من استعماله في المسح إذا ما أزيلت عنه عين النجاسة وتمّ تطهيره، فالمطلوب في الاستنجاء أن يكون بحجرٍ طاهر؛ ليطهر به الموضع، وهذا ما يتحقق سواء أكان الحجر مستعملًا من قبلُ أم لا، طالما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قيّد البعض قول المحقق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يُستعمل الحجر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إضافي،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الحجر مازال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يشترط في المُطهِّر أنْ يكون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الأحجار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المُطهِّر لا بد أنْ يكون طاهرًا، وعليه فلا يصح التطهير بعينٍ نجسة، وهذا حكمٌ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استعمال الأعيان النجسة ينجس الموضع مع الرطوبة؛ فلا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أشياء لا يصح التطهير بها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وبمناسبة حديث المصنف قُدس سره عن عدم الإمكان بالتطهير بالعين النجسة، يستمر في ذكره لبعض ما لا يصح التطهير به من أشياء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العظم، ولا الروث، ولا المطعوم</w:t>
      </w:r>
      <w:r>
        <w:rPr>
          <w:rFonts w:eastAsia="Amiri" w:cs="Amiri" w:ascii="Amiri" w:hAnsi="Amiri"/>
          <w:color w:val="111111"/>
          <w:sz w:val="28"/>
          <w:szCs w:val="28"/>
          <w:rtl w:val="true"/>
          <w:lang w:bidi="ar-SA"/>
        </w:rPr>
        <w:t xml:space="preserve">). </w:t>
      </w:r>
      <w:bookmarkStart w:id="294" w:name="pg7928_85465"/>
    </w:p>
    <w:p>
      <w:pPr>
        <w:pStyle w:val="BookText"/>
        <w:rPr/>
      </w:pPr>
      <w:bookmarkEnd w:id="294"/>
      <w:r>
        <w:rPr>
          <w:rFonts w:ascii="Amiri" w:hAnsi="Amiri" w:eastAsia="Amiri" w:cs="Amiri"/>
          <w:color w:val="111111"/>
          <w:sz w:val="28"/>
          <w:sz w:val="28"/>
          <w:szCs w:val="28"/>
          <w:rtl w:val="true"/>
          <w:lang w:bidi="ar-SA"/>
        </w:rPr>
        <w:t>كلُّ ذلك لعدم كفايته؛ لأنّ الروايات حدّدت التطهير بالأحجار فقط، وقد تقدّم أنّ الأحكام تدور مدار العناوين الشرعية، فإذا ما رتّب الشارع حكمًا على عنوانٍ معينٍ، فمتى ما صدق ذلك العنوان حُمِل عليه الحكم الشرعي،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المسح بالعظم أو بالروث إلى إزالة النجاسة وإنقاء المحل كفى؛ لأنَّ المطلوب هو إنقاء المحل، والأحجار أُخذت كطريقٍ أو كوسيلةٍ إليه، فإذا حصل الإنقاء بغيرِ الحجرِ كالعظم والروث، كفى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الأحجار صقيلةً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صيقلٌ يزلق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واضحةٌ في ذلك؛ لأنَّ الصقيل لا يزيل النجاسة، بل إنّها تنزلق عنه، فلا يحصل الإنقاء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أنه لو أمكن إزالة النجاسة بالحجر الصقيل، لأمكن القول بكفايته في التطهير؛ لأن العبارة قيّدت الحجر الصقيل الذي لا يصح التطهير به بصفة عدم إزالته للنجاسة، فإن أمكن إزالتها به أجزأ</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503057_1051229030"/>
      <w:bookmarkStart w:id="296" w:name="_Toc98"/>
      <w:bookmarkEnd w:id="295"/>
      <w:r>
        <w:rPr>
          <w:rtl w:val="true"/>
        </w:rPr>
        <w:t>النوع الثالث</w:t>
      </w:r>
      <w:r>
        <w:rPr>
          <w:rtl w:val="true"/>
        </w:rPr>
        <w:t xml:space="preserve">: </w:t>
      </w:r>
      <w:r>
        <w:rPr>
          <w:rtl w:val="true"/>
        </w:rPr>
        <w:t xml:space="preserve">في سنن الخلوة </w:t>
      </w:r>
      <w:r>
        <w:rPr>
          <w:rtl w:val="true"/>
        </w:rPr>
        <w:t>(</w:t>
      </w:r>
      <w:r>
        <w:rPr>
          <w:rtl w:val="true"/>
        </w:rPr>
        <w:t>المندوباتٌ والمكروهات</w:t>
      </w:r>
      <w:r>
        <w:rPr>
          <w:rtl w:val="true"/>
        </w:rPr>
        <w:t>):</w:t>
      </w:r>
      <w:bookmarkEnd w:id="296"/>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سُنن الخلوة، وهي مندوبات ومكروهات، فالمندوبات تغطية الرأس، والتسمية، وتقديم الرجل اليسرى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تستند جميع المندوبات والمكروهات إلى أدلة شرعية صحيحة تتمتع </w:t>
      </w:r>
    </w:p>
    <w:p>
      <w:pPr>
        <w:pStyle w:val="BookText"/>
        <w:rPr/>
      </w:pPr>
      <w:r>
        <w:rPr>
          <w:rFonts w:ascii="Amiri" w:hAnsi="Amiri" w:eastAsia="Amiri" w:cs="Amiri"/>
          <w:color w:val="111111"/>
          <w:sz w:val="28"/>
          <w:sz w:val="28"/>
          <w:szCs w:val="28"/>
          <w:rtl w:val="true"/>
          <w:lang w:bidi="ar-SA"/>
        </w:rPr>
        <w:t>بقابليتها للاستدلال بها على الأحكام الشرعية، فمن المندوبات والمكروهات ما تستند إلى روايةٍ ضعيفة السند، أو غير صالحة للاستدلال بها؛ إلا أنّها رغم ذلك ربما تكفي في الاستناد عليها في المقام –المندوبات والمكروهات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التسامح في أدلة السُنن، أو حتى للإتيان بتلك الموارد المستحبة والامتناع عن الموارد المكروهة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والمندوبات هي المستحبات، وهي في باب الخلوة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الرأس مكشوفًا وأراد التخلي، استُحِبَّ له أن يغطي رأسه، بل ورد في بعض الروايات ما يُستفادُ منه التقنُع على الرأس، ففي روايةٍ عن عليٍ بن أسباط مُرسلًا عن الإمام الصادق عَلَيْهِ السَّلاَمُ أنّه كان إذا دخل الكنيف يُقنِّع رأسه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الَّذِي عَافَانِي مِنَ الخَبِيثِ المُخْبِثِ وأَمَاطَ عَنِّي الأَذَى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اللَّهُمَّ اجْعَلْنِي مِنَ التَّوَّابِينَ واجْعَلْنِي مِنَ المُتَطَهِّرِينَ والحَمْدُ لله رَبِّ العَالَمِينَ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هذا الحكم على المتخلي في البناء إذا أراد أن يدخل بيت الخلاء، وأما إذا كان في الأرض المكشوفة كالصحراء فيقدم الرجل اليسرى عند الجلوس للتخلّي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المحقق قُدس سره على نحو الإطلاق، ولذا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إلى استحبابه للرجل والمرأة على حدٍّ سواء وإن لم يصرح بذلك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بعض الفقهاء ذهبوا إلى أنه لا استبراء على النساء، ومنهم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على النساء، والبلل الخارج منهن طاهرٌ لا يجب له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للمرأة أن تصبر قليلًا وتتنحنح وتعصر فرجها عرضًا ثم تغسله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فالاستبراء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يبدأ من أصل المقعد يسحبه ثلاث مرات، ثم من أصل العضو إلى رأس الحشفة ثلاث مرات، ثم ينتره ثلاث مرات، وهذا مستحبٌ للرجال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الاستنجاء وعند اصلفراغ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الاستنجاء كما تقدم هو غسل الموضع أو مسح الموضع، والمستحب أن يدعو الإنسان وهو في هذه الحال، وقد ورد فيه الدعاء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واسْتُرْ عَوْرَتِي وحَرِّمْهَا عَلَى النَّارِ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وأما عند الفراغ من الاستنجاء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الذي عافاني من البلاء وأماط عني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الغائط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الرجس النجس الخبيث المخبث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فرغت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وأماط عني الأذى</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اليُمنى عند الخروج</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المتخلي أن يخرج من بيت الخلاء استحب له أن يقدم الرجل اليمنى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الخروج من بيت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جاء في رواية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الَّذِي عَافَانِي مِنَ الخَبِيثِ المُخْبِثِ وأَمَاطَ عَنِّي الأَذَى، وإِذَا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اجْعَلْنِي مِنَ التَّوَّابِينَ واجْعَلْنِي مِنَ المُتَطَهِّرِينَ،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ثم انتقل المحقق قُدس سره إلى ذكر بعض المكروهات،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الشوارع، والمشارع، وتحت الأشجار المثمرة، ومواطن النُّزّال، ومواضع اللعن، واستقبال الشمس والقمر بفرجه، أو الريح بالبول، والبول في الأرض الصلبة، وفي ثقوب الحيوان، وفي الماء واقفاً وجارياً، والأكل، والشرب، والسواك، والاستنجاء باليمين، وباليسار وفيها خاتم عليه اسم الله سبحانه، والكلام إلا بذكر الله تعالى، أو آية الكرسي أو حاجة يضر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الشوارع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الشوارع هي جمع شارع، وقيل هو الطريق الأعظم، وهو المُسمى اليوم بالطريق العام، أي هو الطريق المشترك بين الناس ليسلكه كُلُّ الناس، وقد </w:t>
      </w:r>
    </w:p>
    <w:p>
      <w:pPr>
        <w:pStyle w:val="BookText"/>
        <w:rPr/>
      </w:pPr>
      <w:r>
        <w:rPr>
          <w:rFonts w:ascii="Amiri" w:hAnsi="Amiri" w:eastAsia="Amiri" w:cs="Amiri"/>
          <w:color w:val="111111"/>
          <w:sz w:val="28"/>
          <w:sz w:val="28"/>
          <w:szCs w:val="28"/>
          <w:rtl w:val="true"/>
          <w:lang w:bidi="ar-SA"/>
        </w:rPr>
        <w:t>يُرادُ منه حتى الطرق الفرعية في إطلاقنا اليوم،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الشوارع هي كل طريق ليس بخاص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المشارع جمع مشرعة، وهي مورد الماء، كشطوط الأنهار ورؤوس الآبار، وبشكل عام هي المكان الذي يؤخذ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كراهة التخلي في الشوارع والمشارع الأخبار العديدة، منها ما روي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يَتَّقِيشُطُوطَ الأَنْهَارِ، والطُّرُقَ النَّافِذَةَ، وتَحْتَ الأَشْجَارِ المُثْمِرَةِ،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الدُّورِ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ولا يقصد من الوضوء هنا ما كان مقدّمةً للعبادات التي تشترط فيها الطهارة كالصلاة، بل المقصود منه الاستنجاء، وهي كناية عن التخلّي وقضاء الحاجة، وقد خصَّ السائل الغرباء في سؤاله؛ لأن أبناء المدينة عادةً لهم بيوتٌ يتخلون فيها، وأما من يستدعي السؤال عن موضع تخليه فهو الغريب الذي لا موضع عنده لذلك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الأشجار المُثمرة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الملاحظ أنَّ المُحقق قُدس سره قيّد كراهة التخلّي تحت الأشجار بما إذا كانت مثمرةً، كأشجار الفواكه مثلًا؛ مما يُفهم منه أنْ لا كراهة في التخلّي </w:t>
      </w:r>
    </w:p>
    <w:p>
      <w:pPr>
        <w:pStyle w:val="BookText"/>
        <w:rPr/>
      </w:pPr>
      <w:r>
        <w:rPr>
          <w:rFonts w:ascii="Amiri" w:hAnsi="Amiri" w:eastAsia="Amiri" w:cs="Amiri"/>
          <w:color w:val="111111"/>
          <w:sz w:val="28"/>
          <w:sz w:val="28"/>
          <w:szCs w:val="28"/>
          <w:rtl w:val="true"/>
          <w:lang w:bidi="ar-SA"/>
        </w:rPr>
        <w:t>تحت الأشجار غير المثمرة، أي التي ليس لها ثمار، كأشجار الزينة والأشجار التي تنمو في الغابة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هذا الحكم بعض الروايات، من قبيل مرفوعة علي بن إبراهيم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مِنْ عِنْدِ أَبِي عَبْدِ الله عَلَيْهِ السَّلاَمُ وأَبُو الحَسَنِ مُوسَى عَلَيْهِ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وشُطُوطَ الأَنْهَارِ، ومَسَاقِطَ الثِّمَارِ، ومَنَازِلَ النُّزَّالِ، ولَا تَسْتَقْبِلِ القِبْلَةَ بِغَائِطٍ ولَا بَوْلٍ، وارْفَعْ ثَوْبَكَ، وضَعْ حَيْثُ شِئْتَ </w:t>
      </w:r>
      <w:r>
        <w:rPr>
          <w:rStyle w:val="FootnoteAnchor"/>
          <w:rtl w:val="true"/>
        </w:rPr>
        <w:footnoteReference w:id="196"/>
      </w:r>
      <w:r>
        <w:rPr>
          <w:rFonts w:ascii="Amiri" w:hAnsi="Amiri" w:eastAsia="Amiri" w:cs="Amiri"/>
          <w:color w:val="111111"/>
          <w:sz w:val="28"/>
          <w:sz w:val="28"/>
          <w:szCs w:val="28"/>
          <w:rtl w:val="true"/>
          <w:lang w:bidi="ar-SA"/>
        </w:rPr>
        <w:t>ومن الواضح أن الرواية أرادت بمساقط الثمار هو ما تحت الأشجار المثمرة؛ لأنها الموضع الذي تسقط فيه الثمار عند انفصالها من شجرتها، ولعل الحكمة من هذا الحكم أنَّ الثمار سيكون سقوطها على نجو الإنسان عند تخلّيه تحت الأشجار المثمرة، مما يتسبب في هتك حرمتها، كما يتسبب ذلك في كراهة النفس لتلك الثمار ومن ثَمّ التسبب في هدرها وعدم الاستفادة منها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الأشجار المثمرة لا تحمل الثمار على مدار العام، بل تحملها في مواسم دون أخرى، كالنخيل مثلًا، فهي لا تثمر في فصل الشتاء حتمًا، 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يمتد حكم الكراهة ليشمل المواسم التي لا تثمر فيها تلك الأشجار فضلًا عن مواسم إثمارها؟ أو إنَّ حكم الكراهة مقتصر على الثانية دون الأولى؟ </w:t>
      </w:r>
    </w:p>
    <w:p>
      <w:pPr>
        <w:pStyle w:val="BookText"/>
        <w:rPr/>
      </w:pPr>
      <w:r>
        <w:rPr>
          <w:rFonts w:ascii="Amiri" w:hAnsi="Amiri" w:eastAsia="Amiri" w:cs="Amiri"/>
          <w:color w:val="111111"/>
          <w:sz w:val="28"/>
          <w:sz w:val="28"/>
          <w:szCs w:val="28"/>
          <w:rtl w:val="true"/>
          <w:lang w:bidi="ar-SA"/>
        </w:rPr>
        <w:t>يمكن الإجابة عن هذا السؤال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المتقدم يُرجعنا إلى بحثٍ يُذكر في علم الأصول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والمشتق هو الوصف العارض على الذات، الذي لا تزول الذات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الخاصة في علم المنطق، كصفة الضاحك مثلًا، التي تشتق من طبيعة الإنسان، ولكنه لا يزول بزوالها؛ إذ يبقى الإنسان إنسانًا وإن زالت عنه 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الأمر في وصف الكاتب والماشي وغيرها من الصفات العرضية التي تعرض على صاحبها، وهي ليست جزءًا من ذاته أو ماهيته، فلا يتأثر بزوالها ويبقى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 الأصولي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الحكم الشرعي يدور مدار ذلك المشتق وجودًا وعدمًا، أي يُحمل على الموضوع فيما إذا كان ذلك الموضوع متلبسًا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الوصف العرضي؟</w:t>
      </w:r>
    </w:p>
    <w:p>
      <w:pPr>
        <w:pStyle w:val="BookText"/>
        <w:rPr/>
      </w:pPr>
      <w:r>
        <w:rPr>
          <w:rFonts w:ascii="Amiri" w:hAnsi="Amiri" w:eastAsia="Amiri" w:cs="Amiri"/>
          <w:color w:val="111111"/>
          <w:sz w:val="28"/>
          <w:sz w:val="28"/>
          <w:szCs w:val="28"/>
          <w:rtl w:val="true"/>
          <w:lang w:bidi="ar-SA"/>
        </w:rPr>
        <w:t>أو إنَّ الحكم يُحمل على الموضوع طالما كان ذلك الموضوع من شأنه أن يتلبس بذلك الوصف العرضي وإنْ لم يكن متلبسًا به فعلًا؟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للأصوليين قولان في ذلك؛ فمنهم من قال بلابُدية تلبس الذات أو الموضوع بالمشتق أو الصفة العارضة للحكم عليه، ومنهم من قال بكفاية أن </w:t>
      </w:r>
    </w:p>
    <w:p>
      <w:pPr>
        <w:pStyle w:val="BookText"/>
        <w:rPr/>
      </w:pPr>
      <w:r>
        <w:rPr>
          <w:rFonts w:ascii="Amiri" w:hAnsi="Amiri" w:eastAsia="Amiri" w:cs="Amiri"/>
          <w:color w:val="111111"/>
          <w:sz w:val="28"/>
          <w:sz w:val="28"/>
          <w:szCs w:val="28"/>
          <w:rtl w:val="true"/>
          <w:lang w:bidi="ar-SA"/>
        </w:rPr>
        <w:t>يكون ذلك الموضوع أو تلك الذات من شأنها أن تتصف بتلك الصفة، وإن لم تكن متصفة بها فعلًا؛ لأنَّ المشتق موضوع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ما تقدّم، يكون موقف الأصوليين من حكم كراهة التخلّي تحت الأشجار المثمرة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تحقق الحكم بالكراهة على الاتصاف الفعلي، أي تلبس الأشجار بصفة الإثمار فعلًا، أي لا يكون التخلي تحت الأشجار المثمرة مكروهًا إلا إذا كانت تلك الأشجار تحمل الثمار فعلًا، أما إذا لم تكن كذلك فلا كراهة في التخلّي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فأشجار النخيل مثلًا يكره التخلي تحتها في فصل الصيف حينما تحمل الرطب والتمر، دون فصل الشتاء عادةً؛ وذلك لأنها تتلبس بالصفة العرضية فتحمل الثمار فعلًا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بالكراهة الأشجار المثمرة مطلقًا، أي في جميع أحوالها، سواء أكانت تحمل الثمر فعلًا أم لا؛ وذلك لأنَّ من شأنها الاتصاف بالإثمار وإن لم تكن مثمرةً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يكره التخلّي تحت أشجار النخيل مطلقًا، أي على مدار العام، سواء أكانت تحمل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فصل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تكن كذلك، كما في فصل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روائيًا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الروايات كراهة التخلي تحت الشجرة التي تحمل ثمارًا </w:t>
      </w:r>
    </w:p>
    <w:p>
      <w:pPr>
        <w:pStyle w:val="BookText"/>
        <w:rPr/>
      </w:pPr>
      <w:r>
        <w:rPr>
          <w:rFonts w:ascii="Amiri" w:hAnsi="Amiri" w:eastAsia="Amiri" w:cs="Amiri"/>
          <w:color w:val="111111"/>
          <w:sz w:val="28"/>
          <w:sz w:val="28"/>
          <w:szCs w:val="28"/>
          <w:rtl w:val="true"/>
          <w:lang w:bidi="ar-SA"/>
        </w:rPr>
        <w:t>فعلًا، أي إنّ الموقف الروائي يوافق القول الأصولي الأول، فلا يكره التخلي تحت الأشجار المثمرة إلا في حال تلبس تلك الأشجار بصفة الإثمار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الروايات رواية السكوني عن أبي جعفرٍ عن أبيه عن آبائه عَلَيْهِم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أن يتغوّط على شفيرِ ماءِ بئرٍ يُستعذَب منها، أو نهرٍ يُستعذَبُ، أو تحتَ شجرةٍ فيها ثمرتها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والرواية صريحةٌ في تحديد كراهة التخلي تحت الأشجار المثمرة التي فيها ثمرتها فقط، مما يعني عدم كراهة التخلي تحت الأشجار التي لا تحمل ثمارًا فعلاً، وإن كانت هي مثمرةً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رواه الصدوق قُدس سره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نهى رسول الله صَلَّى اَللَّهُ عَلَيْهِ وَ آلِهِ وَ سَلَّمْ أن يضرب أحدٌ من المسلمين تحت شجرةٍ أو نخلةٍ قد أثمرت؛ لمكان الملائكة الموكلين بها، ولذلك يكون الشجر والنخل أُنسًا إذا كان فيه حمله لأن الملائكة تحضره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فظاهر هذه الروايات أنَّ المقصود من الأشجار المُثمرة خصوص الأشجار التي تحمل الثمار فعلًا، لا عموم ما من شأنها أن تكون مثمرةً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النزال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بمواطن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المُعدّة لنزول القوافل والمُترددين في الطرق وفي الصحاري لغرض الاستراحة، وهي أشبه بالفنادق اليوم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مثل أبواب الدور كما تقدم في رواية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الأَنْهَارِ، والطُّرُقَ النَّافِذَةَ، وتَحْتَ الأَشْجَارِ المُثْمِرَةِ،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الدُّورِ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كما يدل على كراهة التخلي في مواطن النزال ومواضع اللعن مرفوعة علي بن إبراهيم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مِنْ عِنْدِ أَبِي عَبْدِ الله عَلَيْهِ السَّلاَمُ وأَبُو الحَسَنِ مُوسَى عَلَيْهِ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وشُطُوطَ الأَنْهَارِ، ومَسَاقِطَ الثِّمَارِ، ومَنَازِلَ النُّزَّالِ، ولَا تَسْتَقْبِلِ القِبْلَةَ بِغَائِطٍ ولَا بَوْلٍ، وارْفَعْ ثَوْبَكَ، وضَعْ حَيْثُ شِئْتَ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الشمس والقمر بفرجه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للمتخلي أن يتخلى وهو مستقبل للشمس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يفهم هذا الحكم من بعض الروايات، ولكن هل يشمل هذا الحكم التخلّي للتبول والتغوط على حدٍّ سواء أم لا؟ وما المقصود من الاستقبال؟ هذا ما سيتم إيضاحه في النقاط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الاستقبال بالبول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الظاهر من عبارة المحقق قُدس سره الإطلاق وشمول حكم كراهة استقبال الشمس والقمر لحالتي التبول والتغوط معًا، إلا أنَّ عبارته مقيدة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وذلك لأنَّ جملة استقبال الريح بالبول معطوفة على جملة استقبال الشمس والقمر،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واستقبال الشمس والقمر بفرجه والريح بالبول، ومن ثَمّ يُقيّد كل منهما بنفس القيد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 في ذلك ما جاء في بعض الروايات من أنَّ حكم الكراهة لا يشمل إلا خصوص التبول من حالتي التخلي؛ من قبيل ما روي عن السكوني عن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أن يستقبل الرجل الشمس والقمر بفرجه وهو يبول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الاستقبال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الاستقبال ويراد به التوجه إلى نفس قرص الشمس والقمر تارةً، أو التوجه إلى الجهة التي يكون فيها الشمس والقمرتارةً أخرى، إلا أنَّ الظاهر من كلام المحقق قُدس سره أنّ المقصود هو استقبال نفس القرص، وليس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بالمواجهة المباشرة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حكم الكراهة هذا في المستقبِل للشمس والقمر بالمباشرة، كما لو كان في أرض مكشوفة، كالصحراء مثلًا، ولا يشمل من </w:t>
      </w:r>
    </w:p>
    <w:p>
      <w:pPr>
        <w:pStyle w:val="BookText"/>
        <w:rPr/>
      </w:pPr>
      <w:r>
        <w:rPr>
          <w:rFonts w:ascii="Amiri" w:hAnsi="Amiri" w:eastAsia="Amiri" w:cs="Amiri"/>
          <w:color w:val="111111"/>
          <w:sz w:val="28"/>
          <w:sz w:val="28"/>
          <w:szCs w:val="28"/>
          <w:rtl w:val="true"/>
          <w:lang w:bidi="ar-SA"/>
        </w:rPr>
        <w:t>كان كذلك إذا فصل بينه وبينهما حائلٌ، كما لو كان في داخل الأبنية أو الخيمة؛ وذلك لما روي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يبولن أحدكم وفرجه بادٍ للقمر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فقوله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وفرجه بادٍ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استقبال مباشر، ولا يوجد حائل بينه وبين القمر، أما إذا لم يكن فرجه باديًا للقمر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في بناءٍ كما هو الحاصل عادةً في زمننا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بالاستقبال دون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حكم الكراهة بحالة استقبال قرص الشمس والقمر، ولا يشمل استدبارهما أيضًا؛ لعدم وجود دليل على ذلك، خاصة وأن الرواية المتقدمة عن النبي صَلَّى اَللَّهُ عَلَيْهِ وَ آلِهِ وَ سَلَّمْ نهت عن استقبالهما فحسب في خصوص حالة التبول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الريح بالبول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ورد في بعض الروايات الشريفة، منها ما روي أنّه 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مَا حَدُّ الغَائِطِ؟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ولَا تَسْتَدْبِرْهَا، ولَا تَسْتَقْبِلِ الرِّيحَ ولَا تَسْتَدْبِرْهَا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أرض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يبول الإنسان في أرضٍ صلبة؛ ولعله لكيلا يتطافر البول عليه، ودلَّت على ذلك روايات، منها ما ورد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أشد الناس توقّياً للبول، حتى أنه كان إذا أراد البول عمد إلى مكان مرتفع من الأرض أو مكان يكون فيه التراب الكثير؛ كراهية أن ينضح عليه البول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ثقوب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ثقوب الحيوان هو جحر الحيوان الذي تحتفره الهوام لأنفسها، ويكره ذلك لورود النهي عنه في بعض الأخبار، وربما لأنه لا يؤمن من خروج الحيوان وإيذائه للمتخلي، وقد حُكيَ أنّ سعدًا بن عبادة بال في جحرٍ بالشام فاستلقى ميتًا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الجاري والواقف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فالجاري من الماء معروفٌ، والواقف هو الراكد؛ وذلك لورود النهي عنه في حديث الأربعمائة، وهو حديثٌ واحدٌ اشتمل على أربعمائة خصلة علّمها رسول الله صَلَّى اَللَّهُ عَلَيْهِ وَ آلِهِ وَ سَلَّمْ لأمير المؤمنين عَلَيْهِ السَّلاَمُ في مجلسٍ واحد، والحديث في كتاب الخصال للشيخ الصدوق قُدس سره </w:t>
      </w:r>
      <w:r>
        <w:rPr>
          <w:rStyle w:val="FootnoteAnchor"/>
          <w:rtl w:val="true"/>
        </w:rPr>
        <w:footnoteReference w:id="206"/>
      </w:r>
      <w:r>
        <w:rPr>
          <w:rFonts w:ascii="Amiri" w:hAnsi="Amiri" w:eastAsia="Amiri" w:cs="Amiri"/>
          <w:color w:val="111111"/>
          <w:sz w:val="28"/>
          <w:sz w:val="28"/>
          <w:szCs w:val="28"/>
          <w:rtl w:val="true"/>
          <w:lang w:bidi="ar-SA"/>
        </w:rPr>
        <w:t xml:space="preserve">، إذ ورد فيه أنّ رسول الله صَلَّى اَللَّهُ عَلَيْهِ وَ آلِهِ وَ سَلَّمْ قال </w:t>
      </w:r>
    </w:p>
    <w:p>
      <w:pPr>
        <w:pStyle w:val="BookText"/>
        <w:rPr/>
      </w:pP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يبولنّ من سطح في الهواء، ولا يبولن في ماء جارٍ، فإن فعل ذلك فأصابه شيء فلا يلومن إلا نفسه، فإن للماء أهلاً، وللهواء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أحدكم فلا يطمحن ببوله في الهواء ولا يستقبل الريح</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يكره أيضًا حالَ التخلّي الأكل والشرب، وعُلِّل في بعض كلمات المحقِّق قُدس سره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 الأكل والشرب؛ لما يتضمن من الاستقذار الدال على مهانة نفسٍ متعمدة </w:t>
      </w:r>
      <w:r>
        <w:rPr>
          <w:rStyle w:val="FootnoteAnchor"/>
          <w:rtl w:val="true"/>
        </w:rPr>
        <w:footnoteReference w:id="208"/>
      </w:r>
      <w:r>
        <w:rPr>
          <w:rFonts w:ascii="Amiri" w:hAnsi="Amiri" w:eastAsia="Amiri" w:cs="Amiri"/>
          <w:color w:val="111111"/>
          <w:sz w:val="28"/>
          <w:sz w:val="28"/>
          <w:szCs w:val="28"/>
          <w:rtl w:val="true"/>
          <w:lang w:bidi="ar-SA"/>
        </w:rPr>
        <w:t>كما يكره السواك، أي تخليل الأسنان بالسواك، وهو مكروه؛ لما روي عن الإمام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في الخلاء يورث البَخَر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والبَخَر بفتحتين نتن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أبخر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باليمين، وباليسار وفيها خاتمٌ عليه اسم الله تعالى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للمتخلي أن يستنجي بيمينه، إذ روي عن النبي الأعظم صَلَّى اَللَّهُ عَلَيْهِ وَ آلِهِ وَ سَلَّمْ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باليمين من الجفاء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وعَنِ السَّكُونِيِّ عَنْ أَبِي عَبْدِ الله عَلَيْهِ السَّلاَمُ قَالَ الِاسْتِنْجَاءُ بِاليَمِينِ مِنَ الجَفَاءِ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وأما الاستنجاء باليسار، فلا يكره إلا إذا كان فيها خاتمٌ عليه اسم الله تعالى، وفي ذلك روي عن عمار الساباطي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الجنب درهماً ولا ديناراً عليه اسم الله تعالى، ولايستنجي وعليه خاتم فيه اسم الله تعالى، ولا يجامع وهو عليه، ولا يدخل المخرج وهو عليه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 هذا يُعلمُ أنَّ الاستنجاء باليسار إذا كان فيها خاتمٌ ولكن ليس فيه اسم الله تعالى فهذا ليس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الاستنجاء باليسار وفيها خاتمٌ عليه اسم الله تعالى إذا استلزم أو وصل إلى حدِّ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إلا بذكر الله تعالى أو آية الكرسي أو حاجةٍ يضر فوتها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المكروهات أنْ يتكلم المتخلّي، يدلُّ على ذلك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أنْ يجيبَ الرجل آخر وهو على الغائط، أو يكلمه حتى يفرغ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وحُمِلَ هذا النهي على الكراهة؛ لأنّه ليس من المُحتمل أنْ يكونَ الكلامُ أثناءَ التخلّي مُحرّمًا، فالحكم العام إذًا كراهة الكلام أثناء التخلّي، ويُستثنى منه الأحوال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يضرُّ 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هذه المستثنيات في بعض الروايات الشريفة، منها ما روي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بِذِكْرِ الله وأَنْتَ تَبُولُ، فَإِنَّ ذِكْرَ الله عَزَّوَجَل حَسَنٌ عَلَى كُلِّ حَالٍ، فَلَا تَسْأَمْ مِنْ ذِكْرِ الله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وخُصّت آية الكرسي بالذكر؛ لما ورد من النص عليها في بعض الروايات، ومنها ما روي أنه سأل عمر بن يزيد أبا عبد الله عَلَيْهِ السَّلاَمُ عن التسبيح في المخرج وقراءة القرآن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يرخص في الكنيف أكثر من آية الكرسي ويحمد الله تعالى، 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سمع الأذان فليقل كما يقول المؤذن، ولا يمتنع من الدعاء والتحميد من أجل أنه على الخلاء، فإن ذكر الله تعالى حسن على كل حال </w:t>
      </w:r>
      <w:r>
        <w:rPr>
          <w:rStyle w:val="FootnoteAnchor"/>
          <w:rtl w:val="true"/>
        </w:rPr>
        <w:footnoteReference w:id="21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الحاجة التي يضر فوتها، فيعني بها الضرورة، فإذا كانت هناك حاجةٌ ضروريةٌ تدعو الإنسان إلى أن يتحدّث أثناء التخلّي، بحيث يترتب على تأجيل الحديث بها ضرر معتد به، فحينئذٍ يرتفع الحكم بالكراهة؛ </w:t>
      </w:r>
    </w:p>
    <w:p>
      <w:pPr>
        <w:pStyle w:val="BookText"/>
        <w:rPr/>
      </w:pPr>
      <w:r>
        <w:rPr>
          <w:rFonts w:ascii="Amiri" w:hAnsi="Amiri" w:eastAsia="Amiri" w:cs="Amiri"/>
          <w:color w:val="111111"/>
          <w:sz w:val="28"/>
          <w:sz w:val="28"/>
          <w:szCs w:val="28"/>
          <w:rtl w:val="true"/>
          <w:lang w:bidi="ar-SA"/>
        </w:rPr>
        <w:t xml:space="preserve">وذلك لأنَّ الضرر منفي عن المكلفين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وقد أضاف بعض الفقهاء مستثنى رابعًا ترتفع فيه كراهة الكلام به عند التخلي، وهو حكاية الأذان، أي ترديد عبارات الأذان معالمؤذن، وهو فعلٌ قال باستحبابه بعض الفقهاء؛ وذلك لما ورد في رواية عمر بن يزيد المتقدمة، ولما روي أنه قال الإمام أبو جعفر عَلَيْهِ السَّلاَمُ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لا تدعنَّ ذكر الله على كل حال، ولو سمعت المنادي ينادي بالأذان وأنت على الخلاء فاذكر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وقل كما يقول المؤذن </w:t>
      </w:r>
      <w:r>
        <w:rPr>
          <w:rStyle w:val="FootnoteAnchor"/>
          <w:rtl w:val="true"/>
        </w:rPr>
        <w:footnoteReference w:id="21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الحديث عن أحكام الخلوة، وبها ينتهي الحديث عن الفصل الثاني من الفصول المتعلقة بالوضوء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7928_85497"/>
      <w:bookmarkStart w:id="298" w:name="pg7928_85497"/>
      <w:bookmarkEnd w:id="298"/>
    </w:p>
    <w:p>
      <w:pPr>
        <w:pStyle w:val="Heading3"/>
        <w:numPr>
          <w:ilvl w:val="2"/>
          <w:numId w:val="1"/>
        </w:numPr>
        <w:rPr/>
      </w:pPr>
      <w:bookmarkStart w:id="299" w:name="pg7928_85497"/>
      <w:bookmarkStart w:id="300" w:name="__RefHeading___Toc6503059_1051229030"/>
      <w:bookmarkStart w:id="301" w:name="_Toc99"/>
      <w:bookmarkEnd w:id="299"/>
      <w:bookmarkEnd w:id="300"/>
      <w:r>
        <w:rPr>
          <w:rtl w:val="true"/>
        </w:rPr>
        <w:t>الفصل الثالث في كيفية الوضوء</w:t>
      </w:r>
      <w:bookmarkEnd w:id="301"/>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كيفية الوضوء، وفروضه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المحقق قُدس سره كيفية الوضوء في فروضٍ خمسة، وهي</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503061_1051229030"/>
      <w:bookmarkStart w:id="303" w:name="_Toc100"/>
      <w:bookmarkEnd w:id="302"/>
      <w:r>
        <w:rPr>
          <w:rtl w:val="true"/>
        </w:rPr>
        <w:t>الفرض الأول</w:t>
      </w:r>
      <w:r>
        <w:rPr>
          <w:rtl w:val="true"/>
        </w:rPr>
        <w:t xml:space="preserve">: </w:t>
      </w:r>
      <w:r>
        <w:rPr>
          <w:rtl w:val="true"/>
        </w:rPr>
        <w:t>النية</w:t>
      </w:r>
      <w:r>
        <w:rPr>
          <w:rtl w:val="true"/>
        </w:rPr>
        <w:t>:</w:t>
      </w:r>
      <w:bookmarkEnd w:id="303"/>
    </w:p>
    <w:p>
      <w:pPr>
        <w:pStyle w:val="BookText"/>
        <w:rPr/>
      </w:pPr>
      <w:r>
        <w:rPr>
          <w:rFonts w:ascii="Amiri" w:hAnsi="Amiri" w:eastAsia="Amiri" w:cs="Amiri"/>
          <w:color w:val="111111"/>
          <w:sz w:val="28"/>
          <w:sz w:val="28"/>
          <w:szCs w:val="28"/>
          <w:rtl w:val="true"/>
          <w:lang w:bidi="ar-SA"/>
        </w:rPr>
        <w:t>وذكر فيها أموراً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503063_1051229030"/>
      <w:bookmarkStart w:id="305" w:name="_Toc101"/>
      <w:bookmarkEnd w:id="304"/>
      <w:r>
        <w:rPr>
          <w:rtl w:val="true"/>
        </w:rPr>
        <w:t>الأمر الأول</w:t>
      </w:r>
      <w:r>
        <w:rPr>
          <w:rtl w:val="true"/>
        </w:rPr>
        <w:t xml:space="preserve">: </w:t>
      </w:r>
      <w:r>
        <w:rPr>
          <w:rtl w:val="true"/>
        </w:rPr>
        <w:t>في معنى النية</w:t>
      </w:r>
      <w:r>
        <w:rPr>
          <w:rtl w:val="true"/>
        </w:rPr>
        <w:t>:</w:t>
      </w:r>
      <w:bookmarkEnd w:id="305"/>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تُفعل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 العزم والإرادة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النية فعلًا خارجيًا، ولا الكلام اللفظي كما قد يتصوّره بعضٌ، حيث يتلفظ بها عند الصلاة بالصيغة المعروفة بينهم، بل هي فعلٌ جانحي، فِنيةُ الظمآن مثلَا تتحقّق عندما يريد شرب الماء، فيتصوره ويستشعر الحاجة إليه، ثم يحدث عنده تصديق وقناعة بأنَّ الماء هو الذي يروي عطشه، فتتولّد عنده رغبة وحب وشوق لتحصيل الماء، فتقوى تلك الرغبة حتى تصبح عزمًا، يُحرِّكالعضلات لتلبية تلك الرغبة، فيتناول كأس الماء، فذلك العزم هي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ريب في أنَّ النية لغةً فعلٌ داخلي جانحي، وهي مطلق العزم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شرعًا فهي إرادة وعزم أيضًا، ولكنها إرادةٌ مقارنةٌ للفعل على الوجه المأمور به شرعًا، بأن يأتي المكلف بالفعل الخارجي على الوجه الذي أمره الله عَزَّوَجَل بنية القربة المُطلقة 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بعث النفس والقصد إلى إيقاع العبادة المخصوصة على وجه 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عرّفها المحقق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إرادةٌ تُفعَلُ بالقلب، أي إنَّ الفعل الخارجي له فعلٌ داخلي قلبي جانحي وهو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كون النية فعلاً قلبياً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النية هي فعلٌ قلبي، وهي الإتيانُ بالفعل على الوجه المأمور به شرعًا، ومنه تتبيّنُ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هي العزم على الفعل، وهي الإرادة الداخلية أو هي الدافع الذاتي نحو العمل، فهي طاقة داخلية تدفع الإنسان إلى أنْ يحرك عضلاته باتجاه العمل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ليس مقومًا للنية، ومن ثَمّ فليس هو المطلوب، بل المطلوب هو ذلك الشيء الداخلي القلبي الذي يحكي عنه اللفظ، وهوالعزم، وهي النية، وهو المكشوف عنه باللفظ، وأما اللفظ فلا يعدو كونه كاشفًا عن النية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نظيرُ ما يُقال من أنّ الدليل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أكان آيةً كريمة أم روايةً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الحكم الشرعي، وإنّما هو الكاشف عنه،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هو الحكم الشرعي بما هو قولٌ، وبما يشتمل عليه من ألفاظ، بل هو كاشفٌ عن الحكم الشرعي الذي شرّعه الله عَزَّوَجَل، وهو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تتقوّمُ بالعزمِ الداخلي، ولا تتقوّم باللفظ؛ فالتلفظ بالنية ليس بواجب بل ليس بمستحب بشكل عام، نعم ورد استحبابه في الإحرام للحج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الإخلاص في العبادة إنّما يتحقق بإخلاص النية؛ لأنّ النية هي الدافع الذي يدفع المكلف نحو الفعل، وهي المحرك الذي يبث في عضلاته الحركة للقيام بالفعل، فإنْ كان هو خالصًا لله عَزَّوَجَل عندئذٍ تكون العبادة خالصةً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في العبادات، فلو وقع الفعل الشرعي من دون عزمٍ ومن دون إرادةٍ مُسبقة، حينئذٍ لا يقعُ عبادةً، وإنْ جيء به على الوجه الظاهري المطلوب شرعًا، بل وإن جيء بواجباته وبمستحباته؛ لأنه يكون حينئذٍ مجرد حركاتٍ تخلو من معنى العبادة، وهي نية التقرب لله عَزَّوَجَل، فيقع مجرد فعلٍ فيزيائي خارجي، لا يحملمن وصف العبادة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كمن كان مجنبًا ووقع في حوض ماء، أو كمن أمره الطبيب بالإتيان بحركات المصلي من قيام وركوع وسجود وبكل تفصيلاتها الدقيقة لأجل علاج </w:t>
      </w:r>
    </w:p>
    <w:p>
      <w:pPr>
        <w:pStyle w:val="BookText"/>
        <w:rPr/>
      </w:pPr>
      <w:r>
        <w:rPr>
          <w:rFonts w:ascii="Amiri" w:hAnsi="Amiri" w:eastAsia="Amiri" w:cs="Amiri"/>
          <w:color w:val="111111"/>
          <w:sz w:val="28"/>
          <w:sz w:val="28"/>
          <w:szCs w:val="28"/>
          <w:rtl w:val="true"/>
          <w:lang w:bidi="ar-SA"/>
        </w:rPr>
        <w:t>عارضٍ معين في جسده، فيأتي بها لأجل ذلك، فلا يُقال للأول إنه قد اغتسل من الجنابة غسلًا ارتماسيًا متقرّبًا إلى الله تعالى، ولا إنَّ الثاني أقام الصلاة بما يقوم به من حركات متقربًا 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فالنية إذن هي التي تنفخ في الفعل الفيزيائي الخارجي روح العبادة، وتخرجه من مجرد حركاتٍ لا يؤجر عليها المكلف ولا يُثاب، وتدخله في دائرة العبادات ينال العبد عليها من الله تعالى وبلطفه الأجر والثواب والرفعة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يُرجعنا إلى الفرق بين العبادات والمعاملات، حيث قال الفقهاء باشتراط النية في الأولى دون الثانية، وبناءً على ذلك تم تقسيم أبواب الفقه إلى عبادات ومعاملات في الكتب الفقهية، ومنها الكتاب الذي نحن بصدد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ليس قصد التقرب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 وفي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الفيصل بين العبادات والمعاملات، بل وجوب ذلك القصد في ذلك الفعل؛ وذلك لأنّ كل فعلٍ مباحٍ يمكن للمكلف أن يصبغه بصبغة العبادة ويحصل على الأجر والثواب أيضًا؛ وذلك بالإتيان به بنية التقرب إلى الله تعالى كأن يتّجر بهذه النية أو ينام أو يأكل أو يشرب،فحينئذٍ تتحول تلك الأعمال بل والعادات اليومية إلى أفعال يؤجر عليها ويُثاب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الناحية يمكن الإتيان بالأفعال جميعاً بداعي القربة إلى الله تبارك وتعالى، إلا أن الفرق بين العبادات وبين سائر المعاملات والأفعال </w:t>
      </w:r>
      <w:bookmarkStart w:id="306" w:name="pg7928_85501"/>
    </w:p>
    <w:p>
      <w:pPr>
        <w:pStyle w:val="BookText"/>
        <w:rPr/>
      </w:pPr>
      <w:bookmarkEnd w:id="306"/>
      <w:r>
        <w:rPr>
          <w:rFonts w:ascii="Amiri" w:hAnsi="Amiri" w:eastAsia="Amiri" w:cs="Amiri"/>
          <w:color w:val="111111"/>
          <w:sz w:val="28"/>
          <w:sz w:val="28"/>
          <w:szCs w:val="28"/>
          <w:rtl w:val="true"/>
          <w:lang w:bidi="ar-SA"/>
        </w:rPr>
        <w:t>يكمن في وجوب ذلك القصد عند الإتيان بالفعل؛ فما وجبت فيه نية القربة كان عبادة، وإلا فلا؛ ولذا كانت الصلاة والصوم والحج والجهاد والزكاة والخمس من العبادات؛ لوجوب اشتمالها على قصد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كان البيع والشراء والإيجار والرهان وما شابهها من العقود، وكان الطلاق والوقف والخلع وما شابهها من الإيقاعات، هي من المعاملات لا العبادات؛ لعدم وجوب توفرها على نية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المعاملات بشقيها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قصد القربة، فلا شيء من البيع والإيجار والطلاق والرهان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لو لم تتوفر فيه نية القربة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حين تبطل كُلٌّ من الصلاة والصوم والحج والزكاة والخمس عند افتقادها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تتحقق طهارة الثوب المتنجس مثلاً إذا سال المطر عليه، بحيث أزال النجاسة وتخلّل فيه؛ لأنَّ إزالة النجاسة وتطهير المتنجسات ليست من العبادات، بل هي أفعالٌ توصُلية، ولاتشترط في الأفعال التوصلية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التنبيه عليه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503065_1051229030"/>
      <w:bookmarkStart w:id="308" w:name="_Toc102"/>
      <w:bookmarkEnd w:id="307"/>
      <w:r>
        <w:rPr>
          <w:rtl w:val="true"/>
        </w:rPr>
        <w:t>الأمر الثاني</w:t>
      </w:r>
      <w:r>
        <w:rPr>
          <w:rtl w:val="true"/>
        </w:rPr>
        <w:t xml:space="preserve">: </w:t>
      </w:r>
      <w:r>
        <w:rPr>
          <w:rtl w:val="true"/>
        </w:rPr>
        <w:t>في كيفية النية</w:t>
      </w:r>
      <w:r>
        <w:rPr>
          <w:rtl w:val="true"/>
        </w:rPr>
        <w:t>:</w:t>
      </w:r>
      <w:bookmarkEnd w:id="308"/>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وكيفيتها أن ينوي الوجوب أو الندبة والقربة، وهل يجب نية رفع الحدث؟ أو استباحة شيءٍ مما يشترط فيه الطهارة؟ الأظهر أنّه لا يجب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اتضح أنَّ النية هي العزم على الفعل، ذكر قُدس سره أموراً عديدة في كيفية الوضوء نوجزها فيما 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ذاتي النية، وهو القدر المتيقن من الشيء الواجب في النية، ومن دون ذلك العزم لا يكون للنية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قصد موافقة إرادة الله تعالى، فعند إقامة الصلاة يكون المصلي قد امتثل للفعل الذي أراده الله تعالى ووافق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فالنية هي قصد التقرب من الله تعالى الذي يحقق الرفعة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ونيل الثواب لديه، تشبيهًا بالقرب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تقصد بالفعل، وتعتبر أن الله تعالى هو الإله، وأنك عابد له، وأنه معبود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قُدس سره يشترط قصد القربة في النية، وهذا ما يظهر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 يُذكر في علم الأصول في عدم وجوب قصد القربة، وأنه يكفي أن يكون الدافع للإتيان بالفعل هو فعل ما أمر الله عَزَّوَجَل به، أعرضنا عن الخوض فيه رعاية للاختصار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الفقهاء على ضرورة النية وقصد القربة بأدلةٍ شرعية عديدة، منها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فقد أمرنا الله تعالى أن نعبده مخلصين، ولكي نكون مخلصين في </w:t>
      </w:r>
    </w:p>
    <w:p>
      <w:pPr>
        <w:pStyle w:val="BookText"/>
        <w:rPr/>
      </w:pPr>
      <w:r>
        <w:rPr>
          <w:rFonts w:ascii="Amiri" w:hAnsi="Amiri" w:eastAsia="Amiri" w:cs="Amiri"/>
          <w:color w:val="111111"/>
          <w:sz w:val="28"/>
          <w:sz w:val="28"/>
          <w:szCs w:val="28"/>
          <w:rtl w:val="true"/>
          <w:lang w:bidi="ar-SA"/>
        </w:rPr>
        <w:t>عبادته لابُدّ أنْ تتحقّق العبادة بإخلاص، والإخلاص في العبادة يتحقق بنية القربة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نية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ينوي المكلف عند الإتيان بفعلٍ معينٍ أنّه يأتي به بنية الوجوب أو الندب، وبما أنَّ النية فعل جانحي كما تقدّم، إذن نية الوجوب أو الندب تكون جانحيةً أيضًا، بمعنى عدم وجوب التلفظ أو النطق بها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من العبادات ما تكون واجبة، ومنها ما تكون مستحبة، فالصلاة قد تكون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كصلاة الليل وصلاة جعفر الطيار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الوضوء منهما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كالوضوء الذي تتوقف عليه عبادة يشترط فيها الطهارة كالصلاة أو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يكون مستحبًا، كالكون على الطهارة أو الوضوء قبل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أدلة وجوب نية الندب أو الوجوب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وجوب أن ينوي المكلف الوجوب أو الندب –بحيث إنه لو أراد الوضوء فلا بُدّ أنْ ينوي كونه واجبًا 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إيقاع الفعل الشرعي على وجهِه التام لا يكون إلا ببيان كونه واجبًا أو مندوبًا؛ لأن إتيان المكلف بفعلٍ باعتقادِ أنّه تكليفٌ من </w:t>
      </w:r>
    </w:p>
    <w:p>
      <w:pPr>
        <w:pStyle w:val="BookText"/>
        <w:rPr/>
      </w:pPr>
      <w:r>
        <w:rPr>
          <w:rFonts w:ascii="Amiri" w:hAnsi="Amiri" w:eastAsia="Amiri" w:cs="Amiri"/>
          <w:color w:val="111111"/>
          <w:sz w:val="28"/>
          <w:sz w:val="28"/>
          <w:szCs w:val="28"/>
          <w:rtl w:val="true"/>
          <w:lang w:bidi="ar-SA"/>
        </w:rPr>
        <w:t>التكاليف الشرعية التي شرّعها الله عَزَّوَجَل على المكلفين، لا بد أن يكون على وجهه التام، أي بكُلِّ صفاته التي تجعله تكليفًا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التكليف في واقعه إما أنْ يكون واجبًا أو مستحبًا، فلكي يأتي به المكلف على وجهه التام، فلا بُدَّ أن يذكر إذا كان واجبًا أو مستحبًا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الأول، وربما يرجع كلاهما إلى وجهٍ واحد،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الوضوء في حدَّ نفسه ليس بواجبٍ نفسي، بل هو واجب غيري، أي إنّه مقدمة لغيره، ومن ثم يكتسب صفة وجوبه أو استحبابه من ذي المقدمة، ولهذا لا بُدّ للمكلف من بيان صفته ليكون قد أتى به على وجهه التام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الرأي المتقدم قد رُدَّ برأيٍ آخر، وربما هو المشهور عند المتأخرين، ويذهب إلى عدم وجوب أكثر من قصد الفعل المأمور به من قبل الله عَزَّوَجَل، ومن ثم فلا داعي إلى نية الوجوب أو الندب؛ لأن المطلوب من الإنسان هو فعلٌ واحدٌ فقط، أي عندما يدخل وقت الصلاة، لا يُطلب من المكلف سوى وضوء واحد، فلا يفتقر بعد ذلك إلى تحديده بالوجوب أو الندب لفصله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المفروض هو أن المكلف قد عزم على أداء الصلاة الواجبة، وهذا العزم كافٍ في تحديد صفة الوضوء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أنه لا تردد عند المكلف ليتوجب عليه التعيين لحسم ذلك التردد لمكان العزم لديه</w:t>
      </w:r>
      <w:r>
        <w:rPr>
          <w:rFonts w:eastAsia="Amiri" w:cs="Amiri" w:ascii="Amiri" w:hAnsi="Amiri"/>
          <w:color w:val="111111"/>
          <w:sz w:val="28"/>
          <w:szCs w:val="28"/>
          <w:rtl w:val="true"/>
          <w:lang w:bidi="ar-SA"/>
        </w:rPr>
        <w:t xml:space="preserve">. </w:t>
      </w:r>
      <w:bookmarkStart w:id="309" w:name="pg7928_85505"/>
    </w:p>
    <w:p>
      <w:pPr>
        <w:pStyle w:val="BookText"/>
        <w:rPr/>
      </w:pPr>
      <w:bookmarkEnd w:id="309"/>
      <w:r>
        <w:rPr>
          <w:rFonts w:ascii="Amiri" w:hAnsi="Amiri" w:eastAsia="Amiri" w:cs="Amiri"/>
          <w:color w:val="111111"/>
          <w:sz w:val="28"/>
          <w:sz w:val="28"/>
          <w:szCs w:val="28"/>
          <w:rtl w:val="true"/>
          <w:lang w:bidi="ar-SA"/>
        </w:rPr>
        <w:t>فحيث كان المطلوب من المكلف هو الوضوء للصلاة الواجبة مثلًا، فلا يجب عليه سوى أن يقصد ما كلّفه الله عَزَّوَجَل به، وهو ما يُسمّى بنية قصد 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هذا الأمر على الوضوء فقط، بل في كل العبادات، فعندما يريد أن يصلي، لا يجب عليه أكثر من أن ينوي أنه يأتي بصلاة الظهر مثلًا التي يريدها الله عَزَّوَجَل،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رأيهم هذا بعدم وجود دليل معتبر يدلُّ على لزومِ تقييدِ النية بذلك</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503067_1051229030"/>
      <w:bookmarkStart w:id="311" w:name="_Toc103"/>
      <w:bookmarkEnd w:id="310"/>
      <w:r>
        <w:rPr>
          <w:rtl w:val="true"/>
        </w:rPr>
        <w:t>الأمر الثالث</w:t>
      </w:r>
      <w:r>
        <w:rPr>
          <w:rtl w:val="true"/>
        </w:rPr>
        <w:t xml:space="preserve">: </w:t>
      </w:r>
      <w:r>
        <w:rPr>
          <w:rtl w:val="true"/>
        </w:rPr>
        <w:t>عدم وجوب نية رفع الحدث أو الاستباحة</w:t>
      </w:r>
      <w:r>
        <w:rPr>
          <w:rtl w:val="true"/>
        </w:rPr>
        <w:t>:</w:t>
      </w:r>
      <w:bookmarkEnd w:id="311"/>
    </w:p>
    <w:p>
      <w:pPr>
        <w:pStyle w:val="BookText"/>
        <w:rPr/>
      </w:pPr>
      <w:r>
        <w:rPr>
          <w:rFonts w:ascii="Amiri" w:hAnsi="Amiri" w:eastAsia="Amiri" w:cs="Amiri"/>
          <w:color w:val="111111"/>
          <w:sz w:val="28"/>
          <w:sz w:val="28"/>
          <w:szCs w:val="28"/>
          <w:rtl w:val="true"/>
          <w:lang w:bidi="ar-SA"/>
        </w:rPr>
        <w:t>في الوضوء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رافعٌ للحدث،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مُبيحٌ للصلاة، بمعنى أنَّ المكلف عندما يستيقظ من النوم مثلًا، لا يُباحُ له الإتيان بكل عبادةٍ تُشترط في صحتها الطهارة كالصلاة مثلًا؛ لأنه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توضأ صارت الصلاة مباحةً له بهذا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على المكلف عند إتيانه بالوضوء استحضار نية رافعية الوضوء للحدث أو إباحته للصلاة؟</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لا يجب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يدلُّ على وجوب نية كون الوضوء رافعًا للحدث أو مُبيحًا للعبادة التي تشترط فيها الطهارة</w:t>
      </w:r>
      <w:r>
        <w:rPr>
          <w:rFonts w:eastAsia="Amiri" w:cs="Amiri" w:ascii="Amiri" w:hAnsi="Amiri"/>
          <w:color w:val="111111"/>
          <w:sz w:val="28"/>
          <w:szCs w:val="28"/>
          <w:rtl w:val="true"/>
          <w:lang w:bidi="ar-SA"/>
        </w:rPr>
        <w:t xml:space="preserve">. </w:t>
      </w:r>
      <w:bookmarkStart w:id="312" w:name="pg7928_85506"/>
    </w:p>
    <w:p>
      <w:pPr>
        <w:pStyle w:val="Heading3"/>
        <w:numPr>
          <w:ilvl w:val="2"/>
          <w:numId w:val="1"/>
        </w:numPr>
        <w:rPr/>
      </w:pPr>
      <w:bookmarkStart w:id="313" w:name="__RefHeading___Toc6503069_1051229030"/>
      <w:bookmarkStart w:id="314" w:name="_Toc104"/>
      <w:bookmarkEnd w:id="312"/>
      <w:bookmarkEnd w:id="313"/>
      <w:r>
        <w:rPr>
          <w:rtl w:val="true"/>
        </w:rPr>
        <w:t>تنبيهان</w:t>
      </w:r>
      <w:r>
        <w:rPr>
          <w:rtl w:val="true"/>
        </w:rPr>
        <w:t>:</w:t>
      </w:r>
      <w:bookmarkEnd w:id="314"/>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النية في التوصليات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تعتبر النية في طهارة الثياب، ولا غير ذلك مما يقصد به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الأفعال من الناحية الشرعية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تعبدية، وأفعال 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الأفعال التعبدية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الأفعال التي يطلب الشارع الإتيان بها بكيفيةٍ خاصة، بأن تقع على وجه القربة إلى الله تعالى، ليتحقق الفعل على الوجه المطلوب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الأفعال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الأفعال التي يُطلب الوصول إلى النتيجة منها وإيقاعها خارجًا، ولا تشترط فيها نية القربة، ومن ثم يصحُّ أن يقع هذا الفعل بأي وجهٍ كان، أي سواء أَوَقع بنية القربة أم وقع من دون نية القربة، وسواء أَوَقع بإخلاص أم وقع عن رياء، وسواء أَوَقع بفعلٍ اختياري أم بفعلٍ غير اختياري، وسواء أَصَدر من فاعلٍ عاقل أم من غير عاقل، فهي أفعال لا يُراد فيها سوى الوصول إلى النتيجة فقط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فبعد أن بيّن المحقق قُدس سره وجوب النية في الأفعال التعبدية كالصلاة والصوم والزكاة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إلى عدم وجوبها في الأفعال التوصلية مثل طهارة الثياب أو إزالة الدم وإزالة الخبث وما شابهها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تصحُّ طهارة الثوب من الخبث مثلًا وإن تم التطهير من غير عاقل، أو أمطرت السماء عليه، أو جاء حيوانٌ وأراق الماء عليه، أو حملته الريح إلى نهرٍ مثلًا؛ وذلك لأن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إزالة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تحققت وقد تم التوصل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نذكّر بما تقدم من أنَّ عدم وجوب نية القربة في الأعمال التوصلية، لا يعني عدم جوازها، مما يعني جواز الإتيان بهذهالأفعال بنية القربة إلى الله تعالى، فيطهر المكلف بدنه أو ثيابه مثلًا بنية التقرب إلى الله تعالى؛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بأنه مستحب؛ لما يترتب عليه من أجر وثواب؛ ولذلك يبني بعض العلماء على أنّ كل الأفعال التوصلية يمكن أن يقصد منها التقرب إلى الله تعالى، فلو عمل المكلف للكدِّ على عياله مثلًا بقصد نية القربة إلى الله عَزَّوَجَل فعمله عبادة؛ لأنه تقرّب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ونفس عمله مما يُتقرّب به إلى الله تعالى؛ إذ إنّه تعالى يحبُّ المؤمن المستغني عن أن يمد يد الحاجة إلى مخلوق غيره، كما يحبُّ الكاد على عياله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ولدينا العديد من الروايات التي دعت المؤمن إلى أن تكون له نيةُ خيرٍ في كُلِّ فعلٍ من أفعاله حتى في الأكل والنوم؛ ولذلك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المؤمن أنْ يرفع من سقف النية قربةً إلى الله عَزَّوَجَل، ولا يكتفي بنيّة القربة فقط عند إتيانه بالأفعال العبادية، وكذا في الأفعال التوصلية؛ لأنّها تحوِّلُ الفعل من توصلي إلى تعبُّدي، أو بما يشبه التعبدي من جهة الحصول على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أنه قال رسول الله صَلَّى اَللَّهُ عَلَيْهِ وَ آلِهِ وَ سَلَّمْ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شيء نيَّة صالحة، حتَّىٰ في النوم والأكل</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للعبد من خالص النيَّة في كلِّ حركة وسكون، لأنَّه إذا لم يكن بهذا المعنىٰ يكون غافلاً، والغافلون قد وصفهم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الضميمة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 إلى نية التقرُبِ إرادةَ التبرُّد أو غير ذلك، كانت طهارتُه مُجزيةً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يُقصد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الثانية التي تشكل غاية للمكلف من الوضوء، بالإضافة إلى نية القربة، لكن تبقى لنية القربة المركزية والمحورية، فتكون هي النية الأولى والأصل، وأما الثانية فلا تكون إلا تبعًا لها، كما لو أراد المكلف الوضوء قربةً إلى الله تعالى، فضمَّ إلى هذه النية نيةً أخرى مثل نية التبرد، فلا تؤثر هذه الضميمة في إخلاص المكلف، فضلًا عن تأثيرها في صحة الوضوء، 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لا تكون الضميمة بقصد الرياء؛ لمنافاتها للإخلاص، كما هو واضح وإن لم يذكرها المحقق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حالات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للضميمة أربع حالاتٍ تختلف باختلافها الآراء، وكل حالة يدور أمرها بين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الضميمة منافيةً للإخلاص أو لا، والأولى كالرياء مثلًا؛ حيث يضم المكلف إلى نية القربة نية الرياء، والثانية نحو إرادة التبرُّد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تنافي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راجحةً في حدِّ نفسها أو لا؛ بأن تكون مباحةً وليست راجحةً، والأولى كالتنظُّفِ من الأوساخ؛ فإنّه راجحٌ في حدِّ نفسه شرعاً، والثانية مثل إرادة التبرُّد؛ فهي ليست راجحة في حدِّ نفسِها، بل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النيةُ الراجحةُ والمباحةُ كلتاهما بقصد القربة إلى الله تعالى،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الضميمة هي الباعث للعمل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نكن لنذكر هذه الحالة الرابعة لولا وجود رأي مبتنٍ عليها؛ وذلك لما تقدّم من أنَّ الضميمة هي النية التي تتبع نية الأصل، وهي نية القربة، وعليه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باعثيتها إلى الفعل أولاً وبالذات، وتكون نية القربة هي التابعة 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هذه الحالات، فهنا عدة آراء، نذكر منها خمسة،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في العمل، وهو المستفاد من ظاهر عبارة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يستبطن أن لا تكون الضميمة هي الرياء؛ باعتبار أن الرياء ينافي قصد القربة لله عَزَّوَجَل، فعليه يبطل العمل، فيكون مفاد الرأي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في الضميمة بين كونها رياءً فيبطل العمل،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كانت لأجل التبرُّد أو لأجل دفع النعاس،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 قُدس سره لم يصرح به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أن لا تكون منافية للإخلاص، فتشمل ما إذا كانت راجحة في حدّ نفسها، وما إذا لم تكن راجحة في حد نفسها، بل وتشمل ما أُتي بها بقصد القربة، وما لم يؤت بها بهذا القصد، وإنما أُتي بها من دون أي نية، بل عبثاً مثلاً، فالمهم أن لا تكون منافية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تفصيل بين أن تكون الضميمة منافية للإخلاص، مثل الرياء، فيبطل العمل، وبين أن لا تكون منافية للإخلاص، والثانية أيضًا فيها تفصيل، فإما أن يقصد بها القربة فيصح العمل، وأما إذا لم يقصد بها القربة فلا يصح، ولا فرق بين الضميمة أن تكون راجحة في حد نفسها كالتنظيف من الوسخ، أو مباحة كالتبريد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هو ما ذهب إليه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الإخلاص، فلو ضمَّ إليها الرياء بطُلَ، ولو ضمَّ </w:t>
      </w:r>
      <w:bookmarkStart w:id="315" w:name="pg7928_85511"/>
    </w:p>
    <w:p>
      <w:pPr>
        <w:pStyle w:val="BookText"/>
        <w:rPr/>
      </w:pPr>
      <w:bookmarkEnd w:id="315"/>
      <w:r>
        <w:rPr>
          <w:rFonts w:ascii="Amiri" w:hAnsi="Amiri" w:eastAsia="Amiri" w:cs="Amiri"/>
          <w:color w:val="111111"/>
          <w:sz w:val="28"/>
          <w:sz w:val="28"/>
          <w:szCs w:val="28"/>
          <w:rtl w:val="true"/>
          <w:lang w:bidi="ar-SA"/>
        </w:rPr>
        <w:t xml:space="preserve">إليها غيره من الضمائم الراجحة، كالتنظيف من الوسخ أو المباحة كالتبريد، فإنْ قصد بها القربة أيضًا لم تقدح، وفي غير ذلك تقدح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تفصيل أيضًا بين النية التي تنافي الإخلاص، كالرياء، فيبطل العمل، وبين غيرها فهنا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النية راجحة في حد نفسها فيصح العمل مطلقاً، أي سواء قصد بها نية القربة أم لا، وأما إذا كانت مباحة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فيها نية القربة صح العمل، وإلا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الباعث للعمل هي نية القربة، ثم طرأت النية الأخرى فلا تؤثر في صحة العمل، أما إذا كان الباعث هي نية التبريد أو نية التنظيف أو ما شابه أو الرياء، ثم جاءت نية القربة، أو كانت كلتاهما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والنية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 فإنّها تؤثر في صحة العمل فيكون غير صحيح</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503071_1051229030"/>
      <w:bookmarkStart w:id="317" w:name="_Toc105"/>
      <w:bookmarkEnd w:id="316"/>
      <w:r>
        <w:rPr>
          <w:rtl w:val="true"/>
        </w:rPr>
        <w:t>الأمر الرابع</w:t>
      </w:r>
      <w:r>
        <w:rPr>
          <w:rtl w:val="true"/>
        </w:rPr>
        <w:t xml:space="preserve">: </w:t>
      </w:r>
      <w:r>
        <w:rPr>
          <w:rtl w:val="true"/>
        </w:rPr>
        <w:t>وقت النية</w:t>
      </w:r>
      <w:r>
        <w:rPr>
          <w:rtl w:val="true"/>
        </w:rPr>
        <w:t>:</w:t>
      </w:r>
      <w:bookmarkEnd w:id="317"/>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غسل الكفين، وتتضيق عند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الوضوء من عدة مقدماتٍ وأجزاء، والسؤال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يلزم على المتوضئ أنْ ينويَ الوضوء؟</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في المقام عدّةَ 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النية عندَ غسل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الكفين بشكلٍ عام يمكن أن يتصوّر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الكفين المستحب الذي يسبق الوضوء؛ إذ ذكر الفقهاء أنّه يُستحبُّ غسلُ الكفين قبل الوضوء إذا كان قد أحدث بحدث النوم أو البول أو الغائط دون مثل الريح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الكفين قبل الوضوء لأي غرضٍ آخر، كما لو كان لإزالةِ النجاسة أو الوسخ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غسل الكفين لأجل أي غرضٍ كان، كما لو كان لأجلِ إزالة النجاسة أو الوسخ مثلًا، فلا يُتصوّر فيه أنْ يكون موضعًا للنية؛ لأنه ليس من مقدمات الوضوء، ولا من أجزائه</w:t>
      </w:r>
    </w:p>
    <w:p>
      <w:pPr>
        <w:pStyle w:val="BookText"/>
        <w:rPr/>
      </w:pPr>
      <w:r>
        <w:rPr>
          <w:rFonts w:ascii="Amiri" w:hAnsi="Amiri" w:eastAsia="Amiri" w:cs="Amiri"/>
          <w:color w:val="111111"/>
          <w:sz w:val="28"/>
          <w:sz w:val="28"/>
          <w:szCs w:val="28"/>
          <w:rtl w:val="true"/>
          <w:lang w:bidi="ar-SA"/>
        </w:rPr>
        <w:t>فيتعيّن أن يكون المقصود من غسل الكفين هو المستحب، على الرغم من أنّه ليس من أجزاء الوضوء كما تقدّم، وبإمكان المكلف تركه، وذلك بناءً على جواز تقديم النية على العمل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هو رأي المحقق قُدس سره؛ لصريح عبارته المذكورة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بيّنَ قُدس سره أنّ وقت هذه النية يتضيق عند إرادةِ غسلِ الوجه، فلو لم يأتِ المكلف بغسل الكفين المستحب؛ لعدم وجوبه، أو جاء به من دون نية، فإنه يجب أنْ تكون النية عند أول جزءٍ من أجزاء الوضوء، وهو غسل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النية جزءٌ من الوضوء، على قول العلماء وعلى قول المحقق قُدس سره نفسه؛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وفروضه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وغسل اليدين المستحب ليس جزءًا من الوضوء كما هو واضح، بل هو خارجٌ عن حقيقةِ الوضوء، وعليه، فكيف تكون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واجبةٌ وجزءٌ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بما هو خارجٌ عن حقيقةِ الوضوء؟</w:t>
      </w:r>
    </w:p>
    <w:p>
      <w:pPr>
        <w:pStyle w:val="BookText"/>
        <w:rPr/>
      </w:pPr>
      <w:r>
        <w:rPr>
          <w:rFonts w:ascii="Amiri" w:hAnsi="Amiri" w:eastAsia="Amiri" w:cs="Amiri"/>
          <w:color w:val="111111"/>
          <w:sz w:val="28"/>
          <w:sz w:val="28"/>
          <w:szCs w:val="28"/>
          <w:rtl w:val="true"/>
          <w:lang w:bidi="ar-SA"/>
        </w:rPr>
        <w:t>ولذا عبّر المحقق الفقيه السيد محمد بن علي الموسوي العاملي في كتابه مدارك الأحكام في شرح شرائع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تأخير النية إلى غسل الوجه، وإفراد المستحبات المتقدمة عليه بالنية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أي إنَّ الأولى والأفضل أن يؤخِّر المكلف نية الوضوء إلى غسل الوجه؛ لأنه الجزء الأول من الأجزاء الواجبة في الوضوء، وأما ماقبل غسل الوجه من 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كغسل اليدين والمضمضة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الأفضل أن يُفرد لكل واحدةٍ منها نيةً خاصةً بها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ذهب الشهيد الثاني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مسالك الأفهام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جواز النية عند المضمضة والاستنشاق مُقارنةً لدخول الماء إلى الفم أو الأنف </w:t>
      </w:r>
      <w:r>
        <w:rPr>
          <w:rStyle w:val="FootnoteAnchor"/>
          <w:rtl w:val="true"/>
        </w:rPr>
        <w:footnoteReference w:id="226"/>
      </w:r>
      <w:bookmarkStart w:id="318" w:name="pg7928_85514"/>
    </w:p>
    <w:p>
      <w:pPr>
        <w:pStyle w:val="BookText"/>
        <w:rPr/>
      </w:pPr>
      <w:bookmarkEnd w:id="318"/>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نلتفت إلى أنّ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نحن بصدد بيان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عبارةٌ عن الإرادة التفصيلية التي قد يُعبَّرُ عنها بالإخطار، أي أنْ تُخطِرَ في ذهنِك بأنّك تتوضأ مثلًا للصلاة أو لغيرها من العبادات، وأنَّ وضوءك واجبٌ أو مُستحبٌ، وهذه هي النية التفصيلية، فهذا الإخطار له وقتٌ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الصحيح من كونِ النيةِ هي الداعي إلى العمل، أو الدافع الذاتي الذي دفع المكلف للتحرك والتوجُّه إلى الوضوء، فيكفي صدور الفعل بهذا الداعي كيفما اتفق؛ أي سواء أكانت النية عند المضمضة أم الاستنشاق أم غير ذلك</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503073_1051229030"/>
      <w:bookmarkStart w:id="320" w:name="_Toc106"/>
      <w:bookmarkEnd w:id="319"/>
      <w:r>
        <w:rPr>
          <w:rtl w:val="true"/>
        </w:rPr>
        <w:t>الأمر الخامس والأخير</w:t>
      </w:r>
      <w:r>
        <w:rPr>
          <w:rtl w:val="true"/>
        </w:rPr>
        <w:t xml:space="preserve">: </w:t>
      </w:r>
      <w:r>
        <w:rPr>
          <w:rtl w:val="true"/>
        </w:rPr>
        <w:t>لزوم استدامة النية</w:t>
      </w:r>
      <w:r>
        <w:rPr>
          <w:rtl w:val="true"/>
        </w:rPr>
        <w:t>:</w:t>
      </w:r>
      <w:bookmarkEnd w:id="320"/>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استدامة حكمها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ولتتضح هذه المسألة نذكر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الاستدامة؟</w:t>
      </w:r>
    </w:p>
    <w:p>
      <w:pPr>
        <w:pStyle w:val="BookText"/>
        <w:rPr/>
      </w:pPr>
      <w:r>
        <w:rPr>
          <w:rFonts w:ascii="Amiri" w:hAnsi="Amiri" w:eastAsia="Amiri" w:cs="Amiri"/>
          <w:color w:val="111111"/>
          <w:sz w:val="28"/>
          <w:sz w:val="28"/>
          <w:szCs w:val="28"/>
          <w:rtl w:val="true"/>
          <w:lang w:bidi="ar-SA"/>
        </w:rPr>
        <w:t>في استدامة النية رأيان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الاستدامة أمرٌ وجودي، وهو البقاء على حكم النية، والعزم على مقتضاها إلى نهاية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الاستدامة أمرٌ عدمي، أي أن لا ينتقل المكلف من تلك النية الأولى التي بدأ بها الوضوء إلى نيةٍ أُخرى تُخالفها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أثر الاستدامة؟</w:t>
      </w:r>
    </w:p>
    <w:p>
      <w:pPr>
        <w:pStyle w:val="BookText"/>
        <w:rPr/>
      </w:pPr>
      <w:r>
        <w:rPr>
          <w:rFonts w:ascii="Amiri" w:hAnsi="Amiri" w:eastAsia="Amiri" w:cs="Amiri"/>
          <w:color w:val="111111"/>
          <w:sz w:val="28"/>
          <w:sz w:val="28"/>
          <w:szCs w:val="28"/>
          <w:rtl w:val="true"/>
          <w:lang w:bidi="ar-SA"/>
        </w:rPr>
        <w:t>إنَّ الوضوء واجبٌ مركبٌ من عدة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ومسح الرأس والقدمين، ولا بد من رابطٍ مشترك أو خيطٍ يربط تلك الأجزاء كُلّها ويجعلها عملًا واحدًا، وذلك الرابط المشترك هي النية، فاللازم إيقاع كُلِّ تلك الأجزاء بنيةٍ واحدة، ليُصبح مجموع تلك الأجزاء عملًا واحدًا، أمّا إذا كان كُلُّ جزءٍ منها بنيةٍ مستقلة، لم يعد مجموعها حينئذٍ عملًا واحدًا، فهذا هو أثر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أخلَّ المكلف بالنية؟</w:t>
      </w:r>
    </w:p>
    <w:p>
      <w:pPr>
        <w:pStyle w:val="BookText"/>
        <w:rPr/>
      </w:pPr>
      <w:r>
        <w:rPr>
          <w:rFonts w:ascii="Amiri" w:hAnsi="Amiri" w:eastAsia="Amiri" w:cs="Amiri"/>
          <w:color w:val="111111"/>
          <w:sz w:val="28"/>
          <w:sz w:val="28"/>
          <w:szCs w:val="28"/>
          <w:rtl w:val="true"/>
          <w:lang w:bidi="ar-SA"/>
        </w:rPr>
        <w:t>لم يتعرّض المحقق قُدس سره لذلك مكتفيًا بتصريحه بوجوب استدامة حكم النية إلى الفراغ من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بعض الفقهاء حالتين لعدم استدامتها، لكُلٍّ منهما حكمها الخاص</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 بالنية الأولى، بأنْ نوى نيةً ثانية مثلًا، ثم رجع إلى النية الأولى قبل فوات الموالاة، حينئذٍ يصحُّ الوضوء، سواء أرجع إلى النية الأولى قبل أنْ يأتي بغسل أو مسح عضوٍ من دونها، أم بعد أن غسل أو مسح عضوًا من دونها، فالمهم أن الموالاة لم 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النية الأولى بعدَ فوات الموالاة، حينئذٍ يبطلُ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تعبير المحقق قُدس سره بحكم النية لا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استدامة حكم النية،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استدامة النية، فلماذا عبر المحقق بحكم النية ولم يقل النية؟</w:t>
      </w:r>
    </w:p>
    <w:p>
      <w:pPr>
        <w:pStyle w:val="BookText"/>
        <w:rPr/>
      </w:pPr>
      <w:r>
        <w:rPr>
          <w:rFonts w:ascii="Amiri" w:hAnsi="Amiri" w:eastAsia="Amiri" w:cs="Amiri"/>
          <w:color w:val="111111"/>
          <w:sz w:val="28"/>
          <w:sz w:val="28"/>
          <w:szCs w:val="28"/>
          <w:rtl w:val="true"/>
          <w:lang w:bidi="ar-SA"/>
        </w:rPr>
        <w:t>يعود هذا إلى أنّ لاستدامة النية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الاستدامة الحقيقية، بأن يبقى المكلف مُخطرًا في ذهنه الإرادة التفصيلية، بأنه يتوضأ وجوبًا أو استحبابًا، للصلاة أو لسواها من الأعمال العبادية، وما إلى ذلك، حتى انتهائه من جميع أجزاء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والاستدامة الحقيقية للنية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المُتعسرة التي يعسر تحصيلها عادةً؛ ولذا ترك المحقق قُدس سره القولَ بلزومها، واختار النوع الثاني من الاستدامة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الاستدامة الحُكمية، بمعنى أنْ يبقى المُكلف على قصده الأول الذي أخطره في ذهنه عند بداية الوضوء، أي يبقى على إرادته الأولى، ولا يرفع يده عنها، بأن لا يحدث نيةً جديدة، ولا ينوي قطع النية الأولى إلى آخر الوضوء</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والاستدامة الحكمية بهذا المعنى ممكنةٌ وغير عسيرة، وهو الذي اختاره المحقق قُدس سره</w:t>
      </w:r>
      <w:r>
        <w:rPr>
          <w:rFonts w:eastAsia="Amiri" w:cs="Amiri" w:ascii="Amiri" w:hAnsi="Amiri"/>
          <w:color w:val="111111"/>
          <w:sz w:val="28"/>
          <w:szCs w:val="28"/>
          <w:rtl w:val="true"/>
          <w:lang w:bidi="ar-SA"/>
        </w:rPr>
        <w:t xml:space="preserve">. </w:t>
      </w:r>
      <w:bookmarkStart w:id="321" w:name="pg7928_85517"/>
    </w:p>
    <w:p>
      <w:pPr>
        <w:pStyle w:val="Heading3"/>
        <w:numPr>
          <w:ilvl w:val="2"/>
          <w:numId w:val="1"/>
        </w:numPr>
        <w:rPr/>
      </w:pPr>
      <w:bookmarkStart w:id="322" w:name="__RefHeading___Toc6503075_1051229030"/>
      <w:bookmarkStart w:id="323" w:name="_Toc107"/>
      <w:bookmarkEnd w:id="321"/>
      <w:bookmarkEnd w:id="322"/>
      <w:r>
        <w:rPr>
          <w:rtl w:val="true"/>
        </w:rPr>
        <w:t>تداخُل الأسباب</w:t>
      </w:r>
      <w:r>
        <w:rPr>
          <w:rtl w:val="true"/>
        </w:rPr>
        <w:t>:</w:t>
      </w:r>
      <w:bookmarkEnd w:id="32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إذا اجتمعت أسبابٌ مُختلفةٌ توجبُ الوضوءَ، كفى وضوءٌ واحدٌ بنية التقرب، ولا يفتقرُ إلى تعيينِ الحدثِ الذي يتطهر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للوضوء موجباتٍ وأسبابًا، فلو اجتمعت على المكلف أسباب عديدة للوضوء أو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لكُلّ سببٍ نية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يلزم تعدّد الوضوء لتعدد الأسباب، أيّ يكون لكلِ سببٍ وضوءٌ؟ أو يكفي وضوءٌ واحدٌ لكل تلك الأسباب؟هذا التفريعُ يريد أن يعالج هذه المسألة، وقد ذكر المحقق قُدس سره فيه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أسباب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أسبابٌ متعددةٌ للوضوء، كما لو طرأت على المكلف أحداثٌ عديدة، كالتبول، والتغوط، والنوم، وخروج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 يصلي، فهل يجب عليه أنْ يعدِّد الوضوء بعدد تلك الأسباب، بحيث يأتي بوضوءٍ لكل سبب بنية منفردة، أم يجزيه وضوءٌ واحدٌ عن كُلِّ تلك الأسباب المتعدّدة؟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أجزاه لرفع كل تلك الأحداث وضوءٌ واحد، فهل يجب أن يُعدِّد النية بعدد تلك الأسباب، أو تُجزيه نيةٌ واحدة لرفع جميع تلك الأسباب؟ </w:t>
      </w:r>
      <w:bookmarkStart w:id="324" w:name="pg7928_85518"/>
    </w:p>
    <w:p>
      <w:pPr>
        <w:pStyle w:val="BookText"/>
        <w:rPr/>
      </w:pPr>
      <w:bookmarkEnd w:id="324"/>
      <w:r>
        <w:rPr>
          <w:rFonts w:ascii="Amiri" w:hAnsi="Amiri" w:eastAsia="Amiri" w:cs="Amiri"/>
          <w:color w:val="111111"/>
          <w:sz w:val="28"/>
          <w:sz w:val="28"/>
          <w:szCs w:val="28"/>
          <w:rtl w:val="true"/>
          <w:lang w:bidi="ar-SA"/>
        </w:rPr>
        <w:t xml:space="preserve">ذهب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كفايةِ وضوءٍ واحدٍ بنيةِ التقرُّبِ إلى الله تعالى، من دون الحاجة إلى تعيين كونه لرفع الحدث الأول أو الثاني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الوضوء الذي يرفع الحدث المانع من استباحة الصلاة، فهناك مانعٌ من استباحة الصلاة وهو الحدث،بقطع النظر عن كونه واحدًا أو متعددًا، ويتحقق رفع هذا المانع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رفع الحدث، ويكفي فيه وضوء واحد بنية واحدة، أما تعيين كون هذا الوضوء لحدث التبول أو الريح أو غيرهما، فلا دليل على لزومه، فتجري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شكَّ المكلف في وجوب نية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نية رفع حدثٍ معينٍ مع نية القربة لاستباحة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شكٌ في أصل التكليف، أي شكٌ في أصل وجوبه أو عدم وجوبه على المكلف، وحيثُ لا دليل على الوجوب، فحينئذٍ تجري أصالة البراءة، وبهذا يكفيه وضوء واحد</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6503077_1051229030"/>
      <w:bookmarkStart w:id="326" w:name="_Toc108"/>
      <w:bookmarkEnd w:id="325"/>
      <w:r>
        <w:rPr>
          <w:rtl w:val="true"/>
        </w:rPr>
        <w:t>فائدة</w:t>
      </w:r>
      <w:r>
        <w:rPr>
          <w:rtl w:val="true"/>
        </w:rPr>
        <w:t xml:space="preserve">: </w:t>
      </w:r>
      <w:r>
        <w:rPr>
          <w:rtl w:val="true"/>
        </w:rPr>
        <w:t>منهجية استنباط الحكم الشرعي</w:t>
      </w:r>
      <w:r>
        <w:rPr>
          <w:rtl w:val="true"/>
        </w:rPr>
        <w:t>:</w:t>
      </w:r>
      <w:bookmarkEnd w:id="326"/>
    </w:p>
    <w:p>
      <w:pPr>
        <w:pStyle w:val="BookText"/>
        <w:rPr/>
      </w:pPr>
      <w:r>
        <w:rPr>
          <w:rFonts w:ascii="Amiri" w:hAnsi="Amiri" w:eastAsia="Amiri" w:cs="Amiri"/>
          <w:color w:val="111111"/>
          <w:sz w:val="28"/>
          <w:sz w:val="28"/>
          <w:szCs w:val="28"/>
          <w:rtl w:val="true"/>
          <w:lang w:bidi="ar-SA"/>
        </w:rPr>
        <w:t xml:space="preserve">عندما يريد الفقيه استنباط حكمٍ شرعي لمسألةٍ ما، فإنَّ هناك ضوابط لابُدّ منها، ومنهجية علمية منضبطة تمامًا؛ والمسألة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فوضوية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 تلك المنهجية العلمية تتلخص في خطوات مترتبة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نوع الحادثة من جهة كونها ضرورية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المسألة من ضرورات الدين والمذهب فحكمها واضحٌ ولا يحتاج إلى استنباط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ضرورات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الصلاة، والصوم، ومن ضرورات المذهب حكم جواز الزواج المنقطع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التنبيه إلى أنَّ مصطلح الضروري يذكر في علم المنطق بمعنى البديهي،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النقيضين وارتفاعهما محال، أو إنَّ الكل أكبر من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الضرورة بالضرورة العقلية البديهية، ومن أهم سماتها استغناؤها عن الاستدلال على صحتها، بل هي تكون دليلاً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ما يُمكن أن نسميه بالضرورة النظرية، وهي الضرورة الني تُبحث في الفقه، وتُسمّى ضرورة دينية أو ضرورة 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عن الأولى في أن استغناءها عن الاستدلال على صحتها لا لذاتها، بل هي لا تحتاج إلى استدلال من جهة أنها بلغت من الوضوح والجلاء بحيث لم تعد بحاجةٍ إلى الاستدلال؛ لأنها حكم شرعي واضحٌ اتفق عليه المسلمون جميعًا، بحيث لا يختلف فيه اثنان منهم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ضرورات الدين والمذهب ليست بحاجةٍ إلى اجتهاد، فهي كذلك ليست بحاجةٍ إلى 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تلك الحادثة من ضرورات الدين والمذهب، حينئذٍ تحتاج إلى اجتهادٍ وحكمٍ واستدلال بدليل اجتهادي،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الآيةً أو الروايةً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والخبر المتواتر والخبر المستفيض، وهي بحوث تفصيلية وطويلة وعميقة تُذكر فيه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فيبحث الفقيه عن آيةٍ تدلُّ على حكم هذه الحادثة من حيث الوجوب أو الاستحباب أو الإباحة أو الكراهة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 آيةً أو رواية حكم وفقها، وإلا وجَّه بوصلة بحثه إلى الأصول العملية، وهي ما سنتعرض إليه في الخطوة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أنه مع وجود الدليل الاجتهادي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الاستصحاب ولا البراءة ولا الاحتياط ولا التخيير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عليه المدرسة الإمامية من منهجيةٍ علمية منضبطة، فالدليل عندهم ليس هو إلا الآية أو الرواية عن المعصوم، ولا حجية لغير ذلك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نعم، هناك الإجماع، وهو لا يكون حجة إلا إذا كشف عن رأي المعصوم، وللعقل موارد معدودة يكون حجة فيها، فيما يكون حداً أوسط لإثبات حكم شرعي، والتفاصيل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فقدان الأمارة على الحكم الشرعي في حادثة ما، والشك فيه، يبحث الفقيه تحت أيّ أصل من الأصول العملية تقع هذه الحادثة، ليُعطي حكمه الشرعي وفق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والأصول العملية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ومورده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أصل التكليف، أي في أصل ثبوت حكمٍ شرعي أو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عدم التكليف إلا إذا ثبت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البراءة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ذمة المكلف من التكليف طالما لم يتوفر دليلٌ يدل عليه</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بالاحتياط أيضًا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المكلف بأصل التكليف، مع حصول شكٌ في أنّ ما قام به من الفعل هل أسقط عنه التكليف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لو كان المكلف عالمًا بوجوب صلاة الصبح عليه، وأنّها عبارة عن ركعتين، ولكنه شكَّ في إجزاء صلاته التي صلاها أو لا؛ لنسيانه قراءة سورةٍ بعد سورة الفاتحة مثلًا، أي شك في فراغ ذمته من الوجوب المتعلق بها، فمورد أصل الاحتياط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في أصل التكليف وشكٌّ في فراغ الذمة منه، فتجري أصالة الاحتياط أو أصل الاشتغال،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اليقيني يستدعي الفراغ اليقيني، فالمكلف على يقين باشتغال ذمته بالصلاة، فلا بُدّ من أن يكون على يقينٍ أيضًا بفراغ ذمته من الصلاة، ومن ثم يجب على المكلف أن يأتي بالصلاة مع السورة لو شك في إجزاء الصلاة التي جاء بها من دون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يقينٌ سابقٌ بالتكليف مثلاً، ثم شكٌ لاحقٌ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يد المكلف متنجسة بالبول، وبعد مدةٍ من الزمن شكَّ في أنّه طهرها من تلك النجاسة أو لا، فهنا يجري أصل الاستصحاب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السابق بشكٍ لاحق،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لا ينقضه إلا يقينٌ مثله، فيحكم على يده بأنها ما زالت 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مخيرٌ في الإتيان بأحد عملين، أيُّهما أتى به أجزاه، كما لو دل دليلٌ على وجوب شيئين في آنٍ واحدٍ، ولم يثبت أنّ أحدهما أهمُّ من </w:t>
      </w:r>
    </w:p>
    <w:p>
      <w:pPr>
        <w:pStyle w:val="BookText"/>
        <w:rPr/>
      </w:pPr>
      <w:r>
        <w:rPr>
          <w:rFonts w:ascii="Amiri" w:hAnsi="Amiri" w:eastAsia="Amiri" w:cs="Amiri"/>
          <w:color w:val="111111"/>
          <w:sz w:val="28"/>
          <w:sz w:val="28"/>
          <w:szCs w:val="28"/>
          <w:rtl w:val="true"/>
          <w:lang w:bidi="ar-SA"/>
        </w:rPr>
        <w:t>الآخر، حينئذٍ يكونُ المكلفُ مخيرًا في فعلِ أيٍ منهما، كما لو لم يتبقَ على انتهاء وقت صلاةٍ مفروضةٍ إلا خمسُ دقائق، وكانت ذمة المكلف مشتغلةً بتكليفين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الصلاة المفروضة،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من المسجد، فالمكلف مخيرٌ في أداء أيّ تكليفٍ منهما شاء أولاً، إذ لا فرق بينهما، فكلاهما واجب، وكلاهما بنفس الأهمية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أمثلة إنما هي على سبيل الإجمال ولتقريب معاني الأصول العملية، وإلا فهناك أمثلة على مستوى عالٍ من 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أوردناه من عمل الفقيه في استنباط الحكم الشرعي لحادثةٍ ما إنّما كان على نحو الإجمال، ولتقريب المعنى ليس إلا، فلا يتصوّرن أحدٌ أنَّ استنباط الحكم الشرعي بهذه الدرجة من السهولة واليسر والوضوح، بل هو عملٌ علميٌ وفيه الكثير من التفاصيل ويحتاج إلى جهود مضنية وبحوث طويلة وعميقة، يواجه خلالها الفقيه صعوبات عديدة إلى أن يصل إلى حكم شرعي في مسألةٍ معينة أو حادثةٍ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أسباب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عليه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غسل الجنابة أجزأ عن غيره، ولو نوى غيره لم يجزِ عنه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اجتمعت عدّةُ أسباب للغسل الواجب، كما لو كانت المرأة مثلاً مجنبةً وحائض وقد مسّت ميتًا، فهنا اجتمعت عليها ثلاثة أسبابٍ، كلّ منها يقتضي غُسلًا، فهل يلزمها ثلاثةُ أغسال أو يكفيها غسلٌ واحد فقط؟ </w:t>
      </w:r>
    </w:p>
    <w:p>
      <w:pPr>
        <w:pStyle w:val="BookText"/>
        <w:rPr/>
      </w:pPr>
      <w:r>
        <w:rPr>
          <w:rFonts w:ascii="Amiri" w:hAnsi="Amiri" w:eastAsia="Amiri" w:cs="Amiri"/>
          <w:color w:val="111111"/>
          <w:sz w:val="28"/>
          <w:sz w:val="28"/>
          <w:szCs w:val="28"/>
          <w:rtl w:val="true"/>
          <w:lang w:bidi="ar-SA"/>
        </w:rPr>
        <w:t>وكذلك لو كان شخصٌ مجنبًا وأراد أن يغتسل غُسل الجمعة وغُسل عرفة مثلًا، فاجتمعت عدة أسباب للغسل، بعضها واجبة وبعضها مستحبة، فما اللازم عليه، هل لا بُدّ من تعدد الغسل لتعدد السبب، أو يكفيه غسل واحد؟</w:t>
      </w:r>
    </w:p>
    <w:p>
      <w:pPr>
        <w:pStyle w:val="BookText"/>
        <w:rPr/>
      </w:pPr>
      <w:r>
        <w:rPr>
          <w:rFonts w:ascii="Amiri" w:hAnsi="Amiri" w:eastAsia="Amiri" w:cs="Amiri"/>
          <w:color w:val="111111"/>
          <w:sz w:val="28"/>
          <w:sz w:val="28"/>
          <w:szCs w:val="28"/>
          <w:rtl w:val="true"/>
          <w:lang w:bidi="ar-SA"/>
        </w:rPr>
        <w:t>ونفس الكلام يُقال فيما لو كانت عليه أغسال 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توجد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نيةٍ واحدةٍ لكل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فسواء أكانت الأسباب التي تقتضي الغسل واجبةً أم مستحبةً، أم كان بعضها واجبًا وبعضها مستحبًا، فإنه يكفي أن يأتي المكلف بغسلٍ واحد يُجزي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رأي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هذا الرأي رواية زرارة، التي نقلها الشيخ الكليني قُدس سره في كتابه الكافي، إذ قال ما نصّه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الفَجْرِ أَجْزَأَكَ غُسْلُكَ ذَلِكَ لِلْجَنَابَةِ والجُمُعَةِ، وعَرَفَةَ والنَّحْرِ والحَلْقِ والذَّبْحِ والزِّيَارَةِ، وإِذَا اجْتَمَعَتْ عَلَيْكَ حُقُوقٌ 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المَرْأَةُ يُجْزِئُهَا غُسْلٌ وَاحِدٌ لِجَنَابَتِهَا وإِحْرَامِهَا وجُمُعَتِهَا وغُسْلِهَا مِنْ حَيْضِهَا وعِيدِهَا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الرواية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سند الرواية خمسة رجالٍ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التفسير،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القمي، ثقة في الحديث ثبت معتمد صحيح المذهب، سمع فأكثر، وصنّف كتباً، وأضر في وسط عمره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وقد عاصر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إلى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وقد أكثر ثقة الإسلام الشيخ الكليني قُدس سره النقل عنه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إبراهيم بن هاشم، أبو إسحاق القمي، وهو أول من نشر حديث الكوفيين في قم،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لقيَ الرضا عَلَيْهِ السَّلاَمُ، وله كتب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ابن طاووس، وادّعى الاتفاق على وثاقته، وهو من رجال كامل الزيارات والقمي، وعلى كل حال، فإنه يمكن توثيقه بأحد طريقين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 الثقة علي بن إبراهيم قد أكثر الرواية عنه، وإكثار الثقة الرواية عن شخصٍ يدلُّ على وثاقته، وهذا على خلاف مبنى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إبراهيم بن هاشم أنّه نشر أحاديث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قم، وهذا يدلُّ على أنَّه شخصٌ مقبول عندهم وإلَّا لأعرضوا عنه وهجروه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 غريق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الجهني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أصله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حديثه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حماد بن عيسى غريقًا بوادي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واد يسيل من الشجرة إلى المدينة وهو غريق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Style w:val="FootnoteAnchor"/>
          <w:rtl w:val="true"/>
        </w:rPr>
        <w:footnoteReference w:id="23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حماد بن عيسى، قال، دخلت على أبي الحسن الأول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وحججت ثمانيًا وأربعين سنة، وهذه داري قد رزقتها، وهذه زوجتي وراء الستر تسمع كلامي، وهذا ابني، وهذا خادمي قد رزقت كُلّ ذلك، فحج بعد هذا الكلام حجتين تمام الخمسين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ثم خرج بعد الخمسين حاجًا، فزامل أبا العباس النوفلي القصير، فلما صار في موضع الإحرام دخل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الوادي فحمله فغرقه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رحمنا الله وإياه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يحج زيادة على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الله السجستاني، ثقة، كوفي، سكن 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عبد الله السجستاني أبو محمد الأزدي من أهل الكوفة، أكثر السفر والتجارة إلى سجستان، فعرف بها،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تجارته في السمن والزيت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فالسند صحيح، ومن ثم الرواية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تبقى مشكلة واحدة، وهي أن الروايات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القائل، هل هو الإمام الصادق عَلَيْهِ السَّلاَمُ مثلًا، أو غيره، ومثل هذه الرواية تسمى بالمضمرة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معنى الرواية المضمرة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تصحح المضمرة بأحد طريقين، وكان الأول منهما هو البحث عن سندها التام في كتاب آخر، أي أن نلاحظ الكتب الأخرى التي ذكرت هذه الرواية، فلعلها ذكرت الشخص الذي قال عنه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وجدنا أنه هو المعصوم عَلَيْهِ السَّلاَمُ، فالمشكلة حُلَّت، وتكون الرواية صحيحة ومسندة لا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الحلُّ متوفرٌ في خصوص هذه الرواية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هذه الرواية وإن كانت مضمرة في الكافي، إلا أن إسنادها في التهذيب تام، وإسنادها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السندي، عن حماد بن عيسى، عن حريز، عن زرارة، عن أحدهما عَلَيْهِما السَّلاَمُ </w:t>
      </w:r>
      <w:r>
        <w:rPr>
          <w:rStyle w:val="FootnoteAnchor"/>
          <w:rtl w:val="true"/>
        </w:rPr>
        <w:footnoteReference w:id="235"/>
      </w:r>
      <w:r>
        <w:rPr>
          <w:rFonts w:ascii="Amiri" w:hAnsi="Amiri" w:eastAsia="Amiri" w:cs="Amiri"/>
          <w:color w:val="111111"/>
          <w:sz w:val="28"/>
          <w:sz w:val="28"/>
          <w:szCs w:val="28"/>
          <w:rtl w:val="true"/>
          <w:lang w:bidi="ar-SA"/>
        </w:rPr>
        <w:t>أي الإمام الباقر أو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إدريس رحمة الله أورد في آخر سرائره جملة من الأحاديث المنتزعة من كتب المشيخة المتقدمين </w:t>
      </w:r>
      <w:r>
        <w:rPr>
          <w:rStyle w:val="FootnoteAnchor"/>
          <w:rtl w:val="true"/>
        </w:rPr>
        <w:footnoteReference w:id="236"/>
      </w:r>
      <w:r>
        <w:rPr>
          <w:rFonts w:ascii="Amiri" w:hAnsi="Amiri" w:eastAsia="Amiri" w:cs="Amiri"/>
          <w:color w:val="111111"/>
          <w:sz w:val="28"/>
          <w:sz w:val="28"/>
          <w:szCs w:val="28"/>
          <w:rtl w:val="true"/>
          <w:lang w:bidi="ar-SA"/>
        </w:rPr>
        <w:t>، فنقل هذه الرواية من كتاب حريز بن عبد الله السجستاني رحمة الله، فقال نقلًا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طلوع الفرج أجزأك غسلك ذلك للجنابة والجمعة وعرفة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الحديث إلى آخره كما في الكافي، ثم قال بعد ما نقل ما أراده من الأحاديث المنتزعة من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الأحاديث المنتزعة من كتاب </w:t>
      </w:r>
    </w:p>
    <w:p>
      <w:pPr>
        <w:pStyle w:val="BookText"/>
        <w:rPr/>
      </w:pPr>
      <w:r>
        <w:rPr>
          <w:rFonts w:ascii="Amiri" w:hAnsi="Amiri" w:eastAsia="Amiri" w:cs="Amiri"/>
          <w:color w:val="111111"/>
          <w:sz w:val="28"/>
          <w:sz w:val="28"/>
          <w:szCs w:val="28"/>
          <w:rtl w:val="true"/>
          <w:lang w:bidi="ar-SA"/>
        </w:rPr>
        <w:t xml:space="preserve">حريز بن عبد الله السجستاني رحمة الله وكتاب حريز أصل معتمد معمول عليه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وعلى هذا فتكون الرواية صحيحة السند متصلة بالإمام عَلَيْهِ السَّلاَمُ، وهي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نيةِ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ذمة المكلف عدةُ أغسال، منها غسل الجنابة؛ فإذا نوى غسل الجنابة فهذه النية تكفي لغسل الجنابة، وتُجزي عن غيرِ غسلِ الجنابة، وأما لو نوى غير غُسلِ الجنابة، كما لو نوى غُسل الجمعة مثلًا، فحينئذٍ لا يُجزي عن الجنابة، فغسلٌ واحدٌ يكفي ويجزي عن بقية الأغسال ولكن بشرط أنْ يكون بنية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قُدس سره إلى هذا الرأي، وعبّرَ عن عدم صحته؛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غسل الجنابة أجزأ عن غيره، ولو نوى غيره لم يُجزِ عنه وليس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نيةٍ واحدةٍ لعدّةِ أغسالٍ إلا أن يكون من ضمنها غسل الجمعة فلا بُدّ من النية له حينئذٍ</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على المكلف عدة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غسل الدخول للحرم المكي، وغسل الجمعة مثلًا، فإنْ نوى نيةً واحدةً أجزأته عن الغسلين </w:t>
      </w:r>
    </w:p>
    <w:p>
      <w:pPr>
        <w:pStyle w:val="BookText"/>
        <w:rPr/>
      </w:pPr>
      <w:r>
        <w:rPr>
          <w:rFonts w:ascii="Amiri" w:hAnsi="Amiri" w:eastAsia="Amiri" w:cs="Amiri"/>
          <w:color w:val="111111"/>
          <w:sz w:val="28"/>
          <w:sz w:val="28"/>
          <w:szCs w:val="28"/>
          <w:rtl w:val="true"/>
          <w:lang w:bidi="ar-SA"/>
        </w:rPr>
        <w:t>الأولين، دون الأخير؛ وذلك لأنَّ غسل الجمعة إذا كان من بين عدة أغسالٍ فلا بد من قصده ولو إجمالًا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الرأي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نعم، في إجزاء أي غسل عن غُسل الجمعة من دون قصده ولو إجمالاً إشكال، فلا يترك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كان على المكلف عدة أغسال، فلا بُدّ في امتثال جميع الأوامر من أحد أمرين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قصدها جميعًا؛ بأن ينوي الجميع في غسله ليجزي غسلُه عنها،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كان عليه غسل الجنابة وغسل دخول الحرم المكي وغسل الجمعة لا بُدّ من أنْ ينويها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جنس الحدث نفسه، أو قصد استباحة العبادة؛ فمن اجتمعت لديه عدة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الجنابة، حدث مس الميت، حدث الحيض، وغيرها من الأحداث، يُجزيه غسلٌ واحدٌ بنية رفع جنس الحدث، أي رفع الحدث بما هو حدث، بقطع النظر عن تفاصيله، أو بنيةِ استباحة الصلاة أو استباحة قراءة القرآن وما شابه ذلك</w:t>
      </w:r>
      <w:r>
        <w:rPr>
          <w:rFonts w:eastAsia="Amiri" w:cs="Amiri" w:ascii="Amiri" w:hAnsi="Amiri"/>
          <w:color w:val="111111"/>
          <w:sz w:val="28"/>
          <w:szCs w:val="28"/>
          <w:rtl w:val="true"/>
          <w:lang w:bidi="ar-SA"/>
        </w:rPr>
        <w:t xml:space="preserve">. </w:t>
      </w:r>
      <w:bookmarkStart w:id="327" w:name="pg7928_85531"/>
    </w:p>
    <w:p>
      <w:pPr>
        <w:pStyle w:val="BookText"/>
        <w:rPr/>
      </w:pPr>
      <w:bookmarkEnd w:id="327"/>
      <w:r>
        <w:rPr>
          <w:rFonts w:ascii="Amiri" w:hAnsi="Amiri" w:eastAsia="Amiri" w:cs="Amiri"/>
          <w:color w:val="111111"/>
          <w:sz w:val="28"/>
          <w:sz w:val="28"/>
          <w:szCs w:val="28"/>
          <w:rtl w:val="true"/>
          <w:lang w:bidi="ar-SA"/>
        </w:rPr>
        <w:t xml:space="preserve">وقد ذهب إلى هذا الرأي الشيخ محمد رضا الطهراني في كتابه حقائق الفقه </w:t>
      </w:r>
      <w:r>
        <w:rPr>
          <w:rStyle w:val="FootnoteAnchor"/>
          <w:rtl w:val="true"/>
        </w:rPr>
        <w:footnoteReference w:id="239"/>
      </w:r>
    </w:p>
    <w:p>
      <w:pPr>
        <w:pStyle w:val="Heading3"/>
        <w:numPr>
          <w:ilvl w:val="2"/>
          <w:numId w:val="1"/>
        </w:numPr>
        <w:rPr/>
      </w:pPr>
      <w:bookmarkStart w:id="328" w:name="__RefHeading___Toc6503079_1051229030"/>
      <w:bookmarkStart w:id="329" w:name="_Toc109"/>
      <w:bookmarkEnd w:id="328"/>
      <w:r>
        <w:rPr>
          <w:rtl w:val="true"/>
        </w:rPr>
        <w:t>الفرض الثاني</w:t>
      </w:r>
      <w:r>
        <w:rPr>
          <w:rtl w:val="true"/>
        </w:rPr>
        <w:t xml:space="preserve">: </w:t>
      </w:r>
      <w:r>
        <w:rPr>
          <w:rtl w:val="true"/>
        </w:rPr>
        <w:t>غسل الوجه</w:t>
      </w:r>
      <w:r>
        <w:rPr>
          <w:rtl w:val="true"/>
        </w:rPr>
        <w:t>:</w:t>
      </w:r>
      <w:bookmarkEnd w:id="329"/>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وهو ما بينَ منابتِ الشعر في مقدم الرأس إلى طرفِ الذقن طولًا، وما اشتملت عليه الإبهام والوسطى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المقدار الواجب من غسل الوجه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المحقق قُدس سره بأنّ الواجب هو غسل ما بين منابت الشعر في مقدم الرأس إلى طرف الذقن طولًا، وما اشتملت عليه الإبهام والوسطى 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تحديدٌ متفقٌ عليه مجمعٌ عليه، وتدل عليه العديد من الروايات، منها ما رواه زرارة ݤ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حد الوجه الذي ينبغي أن يوضّأ الذي قال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وأمر الله عَزَّوَجَل بغسله الذي لا ينبغي لأحد أن يزيد عليه ولا ينقص منه، إن زاد عليه لم يؤجر، وإن نقص منه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دارت عليه الوسطى والإبهام، من قصاص شعر الرأس إلى الذقن، وما جرت عليه الإصبعان مستديراً فهو من الوجه، وما سوى ذلك فليس من </w:t>
      </w:r>
    </w:p>
    <w:p>
      <w:pPr>
        <w:pStyle w:val="BookText"/>
        <w:rPr/>
      </w:pPr>
      <w:r>
        <w:rPr>
          <w:rFonts w:ascii="Amiri" w:hAnsi="Amiri" w:eastAsia="Amiri" w:cs="Amiri"/>
          <w:color w:val="111111"/>
          <w:sz w:val="28"/>
          <w:sz w:val="28"/>
          <w:szCs w:val="28"/>
          <w:rtl w:val="true"/>
          <w:lang w:bidi="ar-SA"/>
        </w:rPr>
        <w:t>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أحاط به من الشعر فليس على العباد أن يطلبوه ولا يبحثوا عنه، ولكن يجري عليه الماء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وفي هذه الرواية تنبيهاتٌ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ما زاد على هذا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على المكلف في غسل الوجه إلا أن يغسل من قصاص الشعر إلى الذقن طولًا، وما دارت عليه الوسطى والإبهام عرضًا، وأما ما زاد على ذلك الحدّ فلا يجب عليه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 الواضحِ أنّ المطلوب من المكلف هو غسل هذا المقدار الذي ذكرته الرواية الشريفة من جهةٍ، وهو مقدارٌ من الصعب وربما من المحال أن يأتي المكلف بغسله بشكلٍ دقيقٍ، بحيث لا يزيد عليه ولا يُنقص ولو مقدار يسيرٍ جدًا من جهةٍ أُخرى؛ مما يولّد شكًا عند المكلفين في مدى أدائهم لتكليفهم على الوجه المُجزي، الأمر الذي دعا الفقهاء إلى القول بالمقدمة العلمية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العلمية هي المقدمة التي إنْ أتى المكلف بها حصل لديه قطعٌ ويقينٌ بامتثاله للواجب وأدائه التكليف بصورة مجزية ومفرغة للذمة، وفي المقام يغسل المكلف مقدارًا أزيد من المقدار المُحدّد، لا بنيةِ الوجوب؛ بل ليكون على يقينٍ من أدائه التكليف بصورةٍ صحيحةٍ مجزية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كل المقدار المحدد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أنقص منه مقداراً ما، أو شكَّ في ذلك، جرت في حقه قاعدة الاشتغال التي تنص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شكّ المكلف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مقدار ما، مما يعني أنّه لم يصل إلى درجة الفراغ اليقيني في أدائه التكليف الواجب عليه بعد،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ذمته ما زالت مشتغلةً بتكليف غسل الوجه، فلا بد من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مقدار غسل الوجه إنّما هو بلحاظ مستوي الخلقة، أي بلحاظ ذي الخلقة الطبيعية وفق المعدل العام لطول وعرض الوجه والأصابع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الخارج عن هذا المعدل العام يرجع إلى مستوي الخلقة، لا إلى ما هو عليه؛ فمثلًا لو كان أنزع الشعر، فلا يكون مقدار الواجب غسله من وجهه من قصاص شعره هو، بل من قصاص شعر مستوي الخلقة، وكذا لو كان العكس، بأن كان أغمّ؛ وهو الذي ينزل منبت شعره إلى الجبهة أكثر من المتعارف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لو كانت أصابعُ الشخص طويلةً أكثر من المعتاد، فإنْ أراد أنْ يغسل ما دارت عليه الوسطى والسبابة فإنه قد يغسل أذنيه مثلًا، والكلام نفسه يأتي فيمن كانت أصابعه قصيرة؛ بحيث لو أراد أن يغسل ما دارت عليه الإبهام والوسطى فإنه يغسل جزءًا يسيرًا من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الحكم هو أنْ يغسل المكلف وجهه بالتحديد المتوسط العام المُتعارف عليه لدى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التنبيهات أو بعضها أشار قُدس سره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 عن ذلك فليس من الوجه، ولا عبرة بالأنزع ولا بالأغم، ولا بمن تجاوزت أصابعه العذار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والعذار هو العظم المرتفع قليلًا بين العين والأذن، وهو مما لا يجب غسله؛ لأنّه خارج عما دارت عليه الوسطى والإبهام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يغسل من أعلى الوجه إلى الذقن، ولو غسل منكوسًا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غسل الوجه من طرف الشعر من أعلى الوجه إلى الذقن نزولًا، من الأعلى إلى الأسفل، 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 ببعض الروايات، منها ما روي عن زرارة 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أبو جعفرٍ عَلَيْهِ السَّلاَمُ وضوء رسول الله صَلَّى اَللَّهُ عَلَيْهِ وَ آلِهِ وَ سَلَّمْ، فدعا بقدحٍ من ماء فأدخل يده اليمنى، فأخذ كفًا من ماء فأسدله على وجهه من أعلى الوجه</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وضوء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توضأ كما كان رسول الله صَلَّى اَللَّهُ عَلَيْهِ وَ آلِهِ وَ سَلَّمْ يتوضأ، وسُميّت الروايات التي تحكي وتبين كيفيات بعض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كهذه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البيانية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التطرق إلى بيان كيفية الاستدلال بهذه الرواية من المناسب أن نقدم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المطهرة حجةٌ على المكلفين، وتنقسم السنة المطهرة إلى قولية وفعلية وتقريرية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القولية فهي أقوال المعصومين عَلَيْهِم السَّلاَمُ، وظواهرها حجة علينا؛ فإن هم أمروا بشيءٍ وجب علينا، وإن هم نهوا عن شيءٍ وجب اجتنابه،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التقريرية فهي كسكوتهم عَلَيْهِم السَّلاَمُ عن فعلٍ ما، مما يدلُّ على جوازه، وكسكوتهم وعدم تعليقهم عَلَيْهِم السَّلاَمُ على قولٍ قاله أحدٌ جوابًا عن سؤالٍ تم طرحه بمحضر أحدهم عَلَيْهِم السَّلاَمُ مثلاً، مما يدل على صحة ذلك القول أو الجواب؛ لأنه لو لم يكن صحيحًا لاعترضوا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إذ من واجبهم الحفاظ على الشريعة والتشريعات، هذا فيما لم يكن سكوتهم عَلَيْهِم السَّلاَمُ ناشئًا عن تقية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الفعلية، فهي أن يأتي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كما لو غطّى الإمام عَلَيْهِ السَّلاَمُ رأسه قبل التخلي، وهي دليلٌ على عدم حرمة هذا الفعل، أو ترك فعلاً، فإنه يدل على عدم وجوبه،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فعله وتركه يدل على الإباحة بالمعنى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الإباحة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بالمعنى الأعم، وإباحة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الأولى فتشمل كلّ الأحكام التكليفية ما عدا الحُرمة، أي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المستحب، المباح، المكروه، فهي بمعنى ما لا يحرم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الإباحة بالمعنى الأخص فهي تعني أحد الأحكام التكليفية الخمسة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فهو ما لا يكون واجباً ولا مستحباً ولا حراماً ولا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السنة الفعلية تدل على الإباحة بالمعنى الأعم، أي إن ما فعله المعصوم ربما يكون واجًبا أو مستحبًا أو مباحًا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يمكن أن نستدل على وجوب فعلٍ ما لمجرد أنه قام به المعصوم عَلَيْهِ السَّلاَمُ، إذ ربما يكون مستحبًا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رواية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حكى فيها وضوء رسول الله صَلَّى اَللَّهُ عَلَيْهِ وَ آلِهِ وَ سَلَّمْ، فإن حكايته عَلَيْهِ السَّلاَمُ لوضوئه صَلَّى اَللَّهُ عَلَيْهِ وَ آلِهِ وَ سَلَّمْ لم تكن إلا فعلًا، وفعل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الإباحة بالمعنى الأعم، أي قد يكون غسله لوجهه عَلَيْهِ السَّلاَمُ بهذه الكيفية من الأعلى إلى الأسفل واجبًا، وقد يكون مستحبًا، وقد يكون مُباحًا بالمعنى الأخص، وعليه، فلا مُثبت لكونه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الأمر كذلك، فكيف نستدل بهذه الرواية على وجوب غسل الوجه من الأعلى إلى الأسفل؟</w:t>
      </w:r>
    </w:p>
    <w:p>
      <w:pPr>
        <w:pStyle w:val="BookText"/>
        <w:rPr/>
      </w:pPr>
      <w:r>
        <w:rPr>
          <w:rFonts w:ascii="Amiri" w:hAnsi="Amiri" w:eastAsia="Amiri" w:cs="Amiri"/>
          <w:color w:val="111111"/>
          <w:sz w:val="28"/>
          <w:sz w:val="28"/>
          <w:szCs w:val="28"/>
          <w:rtl w:val="true"/>
          <w:lang w:bidi="ar-SA"/>
        </w:rPr>
        <w:t>إن هذه الرواية ذكرت فعلاً للمعصوم، والفعل يدل على الاباحة بالمعنى الأعم، ولذلك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يمكن أن نستدل بهذه الرواية على وجوب غسل الوجه من الأعلى إلى الأسفل، لا سيما إنَّ الرواية تشتمل على ما لا يُمكن أن يكون واجبًا في الوضوء، كإدخال اليد اليمنى في القدح لأخذ الماء منه، كما ورد فيها، مما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الأقل يُحتمل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المعصوم يحكي الوضوء الجائز شرعًا لا الواجب، وإلا لوجب على المكلف إحضار قدحٍ، ووجب إدخال خصوص اليد اليمنى فيه، ولا يقول بهذا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كان السبب وراء قول السيد المرتضى وابن ادريس 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نسب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البدء من الأعلى إلى الأسفل،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قُدس سره فقد استظهر الوجوب، وقال بعدم إجزاء الغسل المنكوس؛ لدليلٍ آخر لا نذكره اختصاراً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المحقق إلى رأي السيد المرتضى وابن إدريس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وجود أكثر من رأي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يجب غسله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غسل ما استرسل من اللحية، ولا تخليلها، بل يغسل الظاهر، ولو نبت للمرأة لحيةٌ لم يجب تخليلها، وكفى إفاضة الماء على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مسترسل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المقدار النازل من اللحية عن الذقن، فهذا المقدار لا يجب غسله؛ لأن الواجب هو غسل الوجه بالحدِّ الذي تقدّم طولًا وعرضًا، ومسترسل اللحية خارجٌ عن هذا الحد الواجب؛ فلا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الماء وإيصاله إلى البشرة التي تكون تحت اللحية؛ من خلال دلك اللحية أو إدخال الأصابع فيما بين الشعر وما شابه، وهو ليس واجبًا، بل يكفي غسل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رأي المحقق قُدس سره في عدم وجوب غسل اللحية وعدم وجوب تخليلها، هناك رأيٌ فيه تفصيلٌ في مسألة تخليل اللحية؛ فإنْ كانت كثيفةً فلا يجب، بل يكفي غسل ظاهرها، وإلا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عبارة المحقق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تخليل اللحية ويكفي غسل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أنّه لم يُفرق بين كون اللحية كثيفةً أو خفيفة، مما يعني أنّه يذهب إلى عدم وجوب التخليل مطلقًا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المحقق قُدس سره هو الموافق لظاهر الروايات الشريفة الواردة في هذا المجال؛ ففي رواية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w:t>
      </w:r>
      <w:bookmarkStart w:id="330" w:name="pg7928_85539"/>
    </w:p>
    <w:p>
      <w:pPr>
        <w:pStyle w:val="BookText"/>
        <w:rPr/>
      </w:pPr>
      <w:bookmarkEnd w:id="330"/>
      <w:r>
        <w:rPr>
          <w:rFonts w:ascii="Amiri" w:hAnsi="Amiri" w:eastAsia="Amiri" w:cs="Amiri"/>
          <w:color w:val="111111"/>
          <w:sz w:val="28"/>
          <w:sz w:val="28"/>
          <w:szCs w:val="28"/>
          <w:rtl w:val="true"/>
          <w:lang w:bidi="ar-SA"/>
        </w:rPr>
        <w:t xml:space="preserve">أحاط به الشعر؟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أحاط به الشعر، فليس على العباد أنْ يطلبوه، ولا يبحثوا عنه، ولكن يجرى عليه الماء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فجوابه عَلَيْهِ السَّلاَمُ مطلقٌ، ولم يفرق بين كون الشعر كثيفًا أو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يَتَوَضَّأُ أيُبَطِّنُ لِحْيَتَه؟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فظاهرُ الروايات هو عدم وجوب تخليل اللحية في الوضوء، سواء أكانت كثيفةً أم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المحقق قُدس سره إلى أنه لو فُرِضَ أنّ المرأة نبتت لها لحيةٌ فحكمها حكم الرجل في عدم لزوم التخليل، فهذا الحكم شاملٌ للرجل وللمرأة لو فرض أنّها نبتت لها لحيةٌ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503081_1051229030"/>
      <w:bookmarkStart w:id="332" w:name="_Toc110"/>
      <w:bookmarkEnd w:id="331"/>
      <w:r>
        <w:rPr>
          <w:rtl w:val="true"/>
        </w:rPr>
        <w:t>الفرض الثالث</w:t>
      </w:r>
      <w:r>
        <w:rPr>
          <w:rtl w:val="true"/>
        </w:rPr>
        <w:t xml:space="preserve">: </w:t>
      </w:r>
      <w:r>
        <w:rPr>
          <w:rtl w:val="true"/>
        </w:rPr>
        <w:t>غسل اليدين</w:t>
      </w:r>
      <w:r>
        <w:rPr>
          <w:rtl w:val="true"/>
        </w:rPr>
        <w:t>:</w:t>
      </w:r>
      <w:bookmarkEnd w:id="33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غسلُ الذراعين، والمرفقين، والابتداء من المرفق، ولو غسل منكوسًا لم يُجزِ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الفرض عدة أمور نذكرها بالتتالي</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503083_1051229030"/>
      <w:bookmarkStart w:id="334" w:name="_Toc111"/>
      <w:bookmarkEnd w:id="333"/>
      <w:r>
        <w:rPr>
          <w:rtl w:val="true"/>
        </w:rPr>
        <w:t>الأمر الأول</w:t>
      </w:r>
      <w:r>
        <w:rPr>
          <w:rtl w:val="true"/>
        </w:rPr>
        <w:t xml:space="preserve">: </w:t>
      </w:r>
      <w:r>
        <w:rPr>
          <w:rtl w:val="true"/>
        </w:rPr>
        <w:t>حدُّ غسلِ اليدين</w:t>
      </w:r>
      <w:r>
        <w:rPr>
          <w:rtl w:val="true"/>
        </w:rPr>
        <w:t>:</w:t>
      </w:r>
      <w:bookmarkEnd w:id="33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الأصحاب على أنّ الواجب هو الغسل من مرفق اليد إلى أطراف </w:t>
      </w:r>
    </w:p>
    <w:p>
      <w:pPr>
        <w:pStyle w:val="BookText"/>
        <w:rPr/>
      </w:pPr>
      <w:r>
        <w:rPr>
          <w:rFonts w:ascii="Amiri" w:hAnsi="Amiri" w:eastAsia="Amiri" w:cs="Amiri"/>
          <w:color w:val="111111"/>
          <w:sz w:val="28"/>
          <w:sz w:val="28"/>
          <w:szCs w:val="28"/>
          <w:rtl w:val="true"/>
          <w:lang w:bidi="ar-SA"/>
        </w:rPr>
        <w:t>الأصابع، وقد عبّرَ المحقق قُدس سره عن ذلك بوجوب غسل الذراعين والمرفقين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والذراع واضحُ المعنى، وأما المرفق فهو مفصل يربط بين الذراع والعضد، ولا خلاف فيه، مثلما لا خلاف في لزوم غسل الذراع أو الكف والأصابع، إنّما الخلاف في الدليل على لزوم غسل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هذا الخلاف من اختلاف فهم آية الوضوء، والذي بدوره ألقى بظلاله على بعض المسائل المتعلقة بالوضوء؛ فاختُلِفَ في الدليل على غسل المرفق، وفي نوع غسله فيما إذا كان أصالةً أو من باب المقدمة العلمية، وبيان ذلك مختصرًا، والتطرق إلى كيفية استدلال كل قولٍ عليها بشيءٍ من الإيجاز، في الأمرين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غسل الذراعين والمرفقين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لا خلاف في غسل الذراعين، إنما يكمن الخلاف في غسل المرفقين، ومنشأ الخلاف 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إِذا قُمْتُمْ إِلَىٰ الصَّلاةِ فَاغْسِلُوا وُجُوهَكُمْ وَأَيْدِيَكُمْ إِلَىٰ المَرافِقِ وَامْسَحُوا بِرُؤُسِكُمْ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والذي نتج عنه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المرفقين أصالةً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 الكثير من الفقهاء، وإن اختلفوا في كيفية الاستدلال عليه</w:t>
      </w:r>
      <w:r>
        <w:rPr>
          <w:rFonts w:eastAsia="Amiri" w:cs="Amiri" w:ascii="Amiri" w:hAnsi="Amiri"/>
          <w:color w:val="111111"/>
          <w:sz w:val="28"/>
          <w:szCs w:val="28"/>
          <w:rtl w:val="true"/>
          <w:lang w:bidi="ar-SA"/>
        </w:rPr>
        <w:t xml:space="preserve">: </w:t>
      </w:r>
      <w:bookmarkStart w:id="335" w:name="pg7928_85541"/>
    </w:p>
    <w:p>
      <w:pPr>
        <w:pStyle w:val="BookText"/>
        <w:rPr/>
      </w:pPr>
      <w:bookmarkEnd w:id="335"/>
      <w:r>
        <w:rPr>
          <w:rFonts w:ascii="Amiri" w:hAnsi="Amiri" w:eastAsia="Amiri" w:cs="Amiri"/>
          <w:color w:val="111111"/>
          <w:sz w:val="28"/>
          <w:sz w:val="28"/>
          <w:szCs w:val="28"/>
          <w:rtl w:val="true"/>
          <w:lang w:bidi="ar-SA"/>
        </w:rPr>
        <w:t xml:space="preserve">فمنهم من قال بوجوب غسل المرفقين بناءً على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يجب غسل اليد مع المرفق، وهو ما ذهب إليه السيد المرتضى وابن ادريس كما نُقِلَ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تفيد معنى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كيفية استدلال هذا البعض الثاني على وجوب غسل المرفقين بناءً على ذلك، لا بُدّ من بيان مقدمةٍ نلخص فيها بحثاً من بحوث الأصول بشكلٍ موجز</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503085_1051229030"/>
      <w:bookmarkStart w:id="337" w:name="_Toc112"/>
      <w:bookmarkEnd w:id="336"/>
      <w:r>
        <w:rPr>
          <w:rtl w:val="true"/>
        </w:rPr>
        <w:t>هل الغاية تدخل في المُغيّى أو لا؟</w:t>
      </w:r>
      <w:bookmarkEnd w:id="337"/>
    </w:p>
    <w:p>
      <w:pPr>
        <w:pStyle w:val="BookText"/>
        <w:rPr/>
      </w:pPr>
      <w:r>
        <w:rPr>
          <w:rFonts w:ascii="Amiri" w:hAnsi="Amiri" w:eastAsia="Amiri" w:cs="Amiri"/>
          <w:color w:val="111111"/>
          <w:sz w:val="28"/>
          <w:sz w:val="28"/>
          <w:szCs w:val="28"/>
          <w:rtl w:val="true"/>
          <w:lang w:bidi="ar-SA"/>
        </w:rPr>
        <w:t>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الغاية في المُغيّى، أي إنّ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حكم ما قبلها، فعندما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 من النجف إلى بغداد، فإلى تفيدُ الغاية من السفر، والسفر نفسه هو المُغيّى، وبغداد هي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إدخال الغاية في المُغيّى، أي إنَّ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في حكم ما قبلها؛ لأنها تعدُّ حدًّا ونهاية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الآية المباركة وكيفية الاستدلال بها على وجوب غسل المرفقين؛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الغاية، والغسل هو المُغيّى، والمرافق هي الغاية، وبناءً على أن الغاية داخلةٌ في المُغيّى، فلا بُدّ من إدخال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قبلها، فيجب غسل المرفقين</w:t>
      </w:r>
      <w:r>
        <w:rPr>
          <w:rFonts w:eastAsia="Amiri" w:cs="Amiri" w:ascii="Amiri" w:hAnsi="Amiri"/>
          <w:color w:val="111111"/>
          <w:sz w:val="28"/>
          <w:szCs w:val="28"/>
          <w:rtl w:val="true"/>
          <w:lang w:bidi="ar-SA"/>
        </w:rPr>
        <w:t xml:space="preserve">. </w:t>
      </w:r>
      <w:bookmarkStart w:id="338" w:name="pg7928_85542"/>
    </w:p>
    <w:p>
      <w:pPr>
        <w:pStyle w:val="BookText"/>
        <w:rPr/>
      </w:pPr>
      <w:bookmarkEnd w:id="338"/>
      <w:r>
        <w:rPr>
          <w:rFonts w:ascii="Amiri" w:hAnsi="Amiri" w:eastAsia="Amiri" w:cs="Amiri"/>
          <w:color w:val="111111"/>
          <w:sz w:val="28"/>
          <w:sz w:val="28"/>
          <w:szCs w:val="28"/>
          <w:rtl w:val="true"/>
          <w:lang w:bidi="ar-SA"/>
        </w:rPr>
        <w:t>وأما على الرأي الثاني فلا يجب غسل المرفقين، وهو ما استدل به أبناء العامة كما سيأتي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المرفقين أصالةً، وإنما يجب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أن يحرز المكلف امتثاله للتكليف المتوجه إليه بوجوب غسل الذراعين، يجب عليه غسل المرفقين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المرفقين لا أصالةً ولا من باب المقدمة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قال به العامة، مستدلين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الغاية، وهي غير داخلة في المُغيّى</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503087_1051229030"/>
      <w:bookmarkStart w:id="340" w:name="_Toc113"/>
      <w:bookmarkEnd w:id="339"/>
      <w:r>
        <w:rPr>
          <w:rtl w:val="true"/>
        </w:rPr>
        <w:t>الأمر الثاني</w:t>
      </w:r>
      <w:r>
        <w:rPr>
          <w:rtl w:val="true"/>
        </w:rPr>
        <w:t xml:space="preserve">: </w:t>
      </w:r>
      <w:r>
        <w:rPr>
          <w:rtl w:val="true"/>
        </w:rPr>
        <w:t>في كيفية غسل اليدين في الوضوء</w:t>
      </w:r>
      <w:r>
        <w:rPr>
          <w:rtl w:val="true"/>
        </w:rPr>
        <w:t>:</w:t>
      </w:r>
      <w:bookmarkEnd w:id="340"/>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والابتداء من المرفق، ولو غسل منكوسًا لم يُجزِ، ويجب البدء باليمنى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تمَّ تحديد مقدار الواجب غسله من اليدين، لا بُدّ من معرفة الكيفية الواجبة في غسلهما؛ إذ يمكن أن يُغسلا ابتداءً من المرافق إلى الأصابع، كما يمكن أن يُغسلا على العكس من ذلك بالابتداء من الأصابع إلى المرافق، بل ويمكن غسلهما من الوسط، وهكذا تتعدد الكيفيات في غسلهما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وليتبين مراد المحقق قُدس سره نذكر خطوتين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البدء من المرفقين، ولا يصح النكس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يبدأ المكلف بغسل يده من المرفق إلى أطراف الأصابع، وهذه الكيفية واجبةٌ شرعًا، فإنْ عكس الأمر وغسل منكوسًا من أطراف الأصابع صعودًا إلى المرفق فلا يُجزيه، ووضوؤه باطل ما لم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ذلك أدلة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والتسالم هو الاتفاق بين جميع علماء المذهب على مسألةٍ، بحيث تُصبِحُ معه تلك المسألة أشبه بالضرورية أو قريبة الأفق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من الضرورة هنا الضرورة المذهبية التي لا يختلف فيها اثنان من أبناء المذهب، وبذا فهي لا تحتاج إلى دليل، وتستغني عنه، كأنّها بديهية، كضرورة وجوب الخمس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تسالم علماء المذهب على أنّ الغسل يبدأ من المرفق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قوة التسالم في الدلالة على المطلوب أعلى من قوة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العديدة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روي عَنْ زُرَارَةَ وبُكَيْرٍ أَنَّهُمَا سَأَلَا أَبَا جَعْفَرٍ عَلَيْهِ السَّلاَمُ عَنْ وُضُوءِ رَسُولِ الله صَلَّى اَللَّهُ عَلَيْهِ وَ آلِهِ وَ سَلَّمْ، فَدَعَا بِطَسْتٍ أَوْ تَوْرٍ فِيه مَاءٌ فَغَمَسَ يَدَه اليُمْنَى فَغَرَفَ بِهَا </w:t>
      </w:r>
    </w:p>
    <w:p>
      <w:pPr>
        <w:pStyle w:val="BookText"/>
        <w:rPr/>
      </w:pPr>
      <w:r>
        <w:rPr>
          <w:rFonts w:ascii="Amiri" w:hAnsi="Amiri" w:eastAsia="Amiri" w:cs="Amiri"/>
          <w:color w:val="111111"/>
          <w:sz w:val="28"/>
          <w:sz w:val="28"/>
          <w:szCs w:val="28"/>
          <w:rtl w:val="true"/>
          <w:lang w:bidi="ar-SA"/>
        </w:rPr>
        <w:t>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 صَنَعَ بِاليُمْنَى، ثُمَّ مَسَحَ رَأْسَه وقَدَمَيْه بِبَلَلِ كَفِّه لَمْ يُحْدِثْ لَهُمَا مَاءً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أَنْ يَدَعَ شَيْئاً مِنْ وَجْهِه إِلَّا غَسَلَه، وأَمَرَ بِغَسْلِ اليَدَيْنِ إِلَى المِرْفَقَيْنِ فَلَيْسَ لَه أَنْ يَدَعَ شَيْئاً مِنْ يَدَيْه إِلَى المِرْفَقَيْنِ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المَفْصِلَ دُونَ عَظْمِ 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تُجْزِئُ لِلْوَجْه، وغُرْفَةٌ لِلذِّرَاعِ؟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بَالَغْتَ فِيهَا، والثِّنْتَانِ تَأْتِيَانِ عَلَى ذَلِكَ كُلِّه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فالرواية واضحة في أنّ غسل اليدين لا بد أن يكون من المرفق، نزولًا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فعل المعصوم لا يُستفاد منه الوجوب، بل هو يدل على أصل المشروعية،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الإباحة بالمعنى الأعم؟قلتُ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هذا هو الحكم الأولي لفعل المعصوم، وإلا فإنه يمكن أن يدل على الوجوب إذا اقترنت به قرائن أو ضُمّت له ضمائم، يُستفاد منها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فإن هناك العديد من القرائن والضمائم، بضمها إلى الروايات البيانية، يُستفاد منها الوجوب،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نلاحظ أن زرارة وبكيراً كرّرا في الرواية أن الغسل كان من المرفق نزولًا،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اهتمامهما بحكاية عدم رد الباقر عَلَيْهِ السَّلاَمُ يده إلى المرفق، أقوى دليل على أن ذلك من الخصوصيات المعتبرة في الوضوء، قد أراد عَلَيْهِ السَّلاَمُ أن يعرِّفها ويبيِّنها في تلك الروايات</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الأخرى التي تصرح بضرورة ذلك </w:t>
      </w:r>
      <w:r>
        <w:rPr>
          <w:rStyle w:val="FootnoteAnchor"/>
          <w:rtl w:val="true"/>
        </w:rPr>
        <w:footnoteReference w:id="247"/>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الهَيْثَمِ بْنِ عُرْوَةَ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ومَسَحْتُ مِنْ ظَهْرِ كَفِّي إِلَى المِرْفَقِ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w:t>
      </w:r>
    </w:p>
    <w:p>
      <w:pPr>
        <w:pStyle w:val="BookText"/>
        <w:rPr/>
      </w:pPr>
      <w:r>
        <w:rPr>
          <w:rFonts w:ascii="Amiri" w:hAnsi="Amiri" w:eastAsia="Amiri" w:cs="Amiri"/>
          <w:color w:val="111111"/>
          <w:sz w:val="28"/>
          <w:sz w:val="28"/>
          <w:szCs w:val="28"/>
          <w:rtl w:val="true"/>
          <w:lang w:bidi="ar-SA"/>
        </w:rPr>
        <w:t xml:space="preserve">هِيَ فَاغْسِلُوا وُجُوهَكُمْ وأَيْدِيَكُمْ مِنَ المَرَافِقِ، ثُمَّ أَمَرَّ يَدَه مِنْ مِرْفَقِه إِلَى أَصَابِعِه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ومعناها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علي بن يقطين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على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رأيت أن تكتب ما يكون عملي عليه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آمرك به أن تتمضمض ثلاثًا، وتستنشق ثلاثًا، وتغسل وجهك ثلاثًا، وتخلل شعر لحيتك، وتغسل يديك ثلاثًا، وتمسح رأسك كله، وتمسح ظاهر أُذنيك وباطنهما، وتغسل رجليك ثلاثًا، ولا تخالف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فامتثل أمره، وعمل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أستبرئ أمر علي بن يقطين،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رافضي، والرافضة يخففون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فناطه بشيء من الشغل في الدار حتى دخل وقت الصلاة، فوقف الرشيد من وراء حائط الحجرة بحيث يرى علي بن يقطين، ولا يراه هو، وقد بعث إليه بالماء للوضوء، فتوضأ كما أمره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رافضي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على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توضأ 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وجهك مرة فريضة، وأخرى إسباغًا، واغسل </w:t>
      </w:r>
      <w:bookmarkStart w:id="341" w:name="pg7928_85548"/>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كذلك، وامسح مقدم رأسك، وظاهر قدميك من فضل نداوة وضوئك، فقد زال ما يخاف عليك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فالرواية واضحة في أن الغسل الشرعي يكون من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خالف في ذلك السيد المرتضى وابن ادريس، كما نسب إليهما، وجوّزا النكس على كراهة؛ لأنهما ذهبا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البدء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التسالم أيضاً، إذ قد تسالمَ فقهاء المذهب واتفقوا على أنه لا بد أن تغسل اليد اليمنى ثم اليسرى، بالإضافة إلى الروايات البيانية ومنها رواية زرارة وبكير المتقدمة، مع الأخذ بعين الاعتبار القرائن المتقدمة الدالّة على استفادة الوجوب من بيان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6503089_1051229030"/>
      <w:bookmarkStart w:id="343" w:name="_Toc114"/>
      <w:bookmarkEnd w:id="342"/>
      <w:r>
        <w:rPr>
          <w:rtl w:val="true"/>
        </w:rPr>
        <w:t>الأمر الثالث</w:t>
      </w:r>
      <w:r>
        <w:rPr>
          <w:rtl w:val="true"/>
        </w:rPr>
        <w:t xml:space="preserve">: </w:t>
      </w:r>
      <w:r>
        <w:rPr>
          <w:rtl w:val="true"/>
        </w:rPr>
        <w:t>فروع</w:t>
      </w:r>
      <w:r>
        <w:rPr>
          <w:rtl w:val="true"/>
        </w:rPr>
        <w:t>:</w:t>
      </w:r>
      <w:bookmarkEnd w:id="343"/>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قُطعتْ ذراعُه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قُطع بعضُ يدِه غَسَلَ ما بقي من المرفق، فإنْ قُطعتْ من المرفق سقَطَ فرضُ غسلها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الذراع على ثلاثة أنحاء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تُقطَع الذراع من تحت المرفق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يُقطَع رُبعُها أو نصفها أو ثلاثة أرباعها وما شابه من تحت المرفق، وحينئذٍ يجب أن يغسل المُتبقي من الذراع، وهذا ما عليه الإجماع، بالإضافة إلى ما روي عن عبد الله بن رفاعة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اليد والرجل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ذلك المكان الذي قطع منه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من الجدير بالذكر أنَّ الإجماع المتقدم إجماعٌ مدركي؛ لورود الحكم الذي أُجمِع عليه في الرواية المتقدمة، نعم، قد يذكر الإجماع لأجل التبرك، أو لأجل زيادة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الذراع من فوق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سقوط غسل اليد المقطوعة؛ من باب السالبة بانتفاءِ الموضوع، فإذا قُطعت من أعلى المرفق، انعدم المقدار الواجب غسله من اليد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من نفس المرفق، أي تقطع كُلُّ الذراع ويبقى المرفق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الفقهاء اتفقوا على لزوم غسل المرفق، لكنهم اختلفوا في الدليل عليه؛ فذهب البعض إلى وجوب غسل المرفق بالأصالة، وذهب البعض الآخر إلى عدم وجوب غسل المرفق بالأصالة، وإنّما من </w:t>
      </w:r>
    </w:p>
    <w:p>
      <w:pPr>
        <w:pStyle w:val="BookText"/>
        <w:rPr/>
      </w:pPr>
      <w:r>
        <w:rPr>
          <w:rFonts w:ascii="Amiri" w:hAnsi="Amiri" w:eastAsia="Amiri" w:cs="Amiri"/>
          <w:color w:val="111111"/>
          <w:sz w:val="28"/>
          <w:sz w:val="28"/>
          <w:szCs w:val="28"/>
          <w:rtl w:val="true"/>
          <w:lang w:bidi="ar-SA"/>
        </w:rPr>
        <w:t>باب المقدمة العلمية، أي لتحصيل العلم بتحقُّقِ غسل المأمور به، وهو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تولّد رأيان في المسألة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بوجوب غسل المرفق أصالةً، قال بوجوب غسله فيما لو قُطعت الذراع وبقي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قال بوجوب غسل المرفق من باب المقدمة العلمية، قال بعدم وجوب غسله هنا؛ لعدم وجود ما يجب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الفرض أن وجوب غسل المرفق إنما هو مقدمة لغسل الذراع، فإذا قُطعت الذراع لم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عبارته، ذكر المحقق قُدس سره حالتين من حالات قطع الذراع،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من تحت المرفق، وقطعها من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السيد العاملي في كتابه مدارك الأحكام إلى أنّ المحقق قُدس سره يقصد بعبارته قطع اليد كُلِّها مع المرفق؛ وذلك لوجود قرينتين تدلان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قُدس سره بوجوب غسل المرفق أصالةً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السيد العاملي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قطعِت من المرفق سقط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قطع المرفق بأسره، بأن يتحقق معه قطع رأس العضد؛ لأنّ مذهبه رحمة الله وجوب غسل المرفق أصالةً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فلو كان قد قصد من عبارته قطع الذراع من دون المرفق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المرفق؛ لأنّه يذهب إلى وجوب غسله بالأصالة، فإذا كان غسل المرفق واجبًا بالأصالة وجب غسله إذا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المحقق قُدس سره بوجوب غسل المرفق فيما لو قطعت اليد وبقي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السيد العاملي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ولتصريحه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كتاب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لو قُطعت وبقي المرفق وجب غسله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فهاتان قرينتان على أنّ المقصودَ من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قطعت من المرفق، يعني قطعت الذراع مع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كان له ذراعان أو زيادة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ذراعان دون المرفق أو أصابع زائدة، أو لحمٌ نابتٌ، وجب غسل الجميع، ولو كان فوق المرفق لم يجب غسله، ولو كان له يدٌ زائدة وجب 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حالتان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أصبع أو لحم أو ذراع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يمكن تصور تلك الزيادة على 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الزائد تحت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يجب غسلها أيًا كانت، أصبعًا أم ذراعًا أم لحمًا؛ لأنه كالجزء من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عبّر عنها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ذراعان دون المرفق أو أصابع زائدة أو لحمٌ نابت وجب غسل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الزائد فوق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يجب غسله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يد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يدٌ زائدة وجب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أطلق حكمه، مما يدلُّ على وجوب غسلها سواء كانت هذه اليد فوق المرفق أم تحته، متميزة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لها مفصلٌ 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ما إذا كان لليد الزائدة مرفقٌ خاصٌ بها، وبين ما لم يكن لها ذلك، فعلى الأول يجب غسلها هي ومفصلها ومرفقها، وعلى الثاني فتغسل اليد الأصلية، فقط أي التي تشتمل على مرفق</w:t>
      </w:r>
      <w:r>
        <w:rPr>
          <w:rFonts w:eastAsia="Amiri" w:cs="Amiri" w:ascii="Amiri" w:hAnsi="Amiri"/>
          <w:color w:val="111111"/>
          <w:sz w:val="28"/>
          <w:szCs w:val="28"/>
          <w:rtl w:val="true"/>
          <w:lang w:bidi="ar-SA"/>
        </w:rPr>
        <w:t xml:space="preserve">. </w:t>
      </w:r>
      <w:bookmarkStart w:id="344" w:name="pg7928_85553"/>
    </w:p>
    <w:p>
      <w:pPr>
        <w:pStyle w:val="Heading3"/>
        <w:numPr>
          <w:ilvl w:val="2"/>
          <w:numId w:val="1"/>
        </w:numPr>
        <w:rPr/>
      </w:pPr>
      <w:bookmarkStart w:id="345" w:name="__RefHeading___Toc6503091_1051229030"/>
      <w:bookmarkStart w:id="346" w:name="_Toc115"/>
      <w:bookmarkEnd w:id="344"/>
      <w:bookmarkEnd w:id="345"/>
      <w:r>
        <w:rPr>
          <w:rtl w:val="true"/>
        </w:rPr>
        <w:t>الفرض الرابع</w:t>
      </w:r>
      <w:r>
        <w:rPr>
          <w:rtl w:val="true"/>
        </w:rPr>
        <w:t xml:space="preserve">: </w:t>
      </w:r>
      <w:r>
        <w:rPr>
          <w:rtl w:val="true"/>
        </w:rPr>
        <w:t>مسح الرأس</w:t>
      </w:r>
      <w:r>
        <w:rPr>
          <w:rtl w:val="true"/>
        </w:rPr>
        <w:t>:</w:t>
      </w:r>
      <w:bookmarkEnd w:id="346"/>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منه ما يُسمّى به ماسحًا، والمندوب مقدار ثلاثة أصابع عرضًا، ويختص المسح بمقدم الرأس، ويجب أن يكون بنداوة الوضوء، ولا يجوز استئناف ماء جديد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الفرض أمور عديدة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6503093_1051229030"/>
      <w:bookmarkStart w:id="348" w:name="_Toc116"/>
      <w:bookmarkEnd w:id="347"/>
      <w:r>
        <w:rPr>
          <w:rtl w:val="true"/>
        </w:rPr>
        <w:t>الأمر الأول</w:t>
      </w:r>
      <w:r>
        <w:rPr>
          <w:rtl w:val="true"/>
        </w:rPr>
        <w:t xml:space="preserve">: </w:t>
      </w:r>
      <w:r>
        <w:rPr>
          <w:rtl w:val="true"/>
        </w:rPr>
        <w:t>في بيان مقدار المسح الواجب</w:t>
      </w:r>
      <w:r>
        <w:rPr>
          <w:rtl w:val="true"/>
        </w:rPr>
        <w:t>:</w:t>
      </w:r>
      <w:bookmarkEnd w:id="348"/>
    </w:p>
    <w:p>
      <w:pPr>
        <w:pStyle w:val="BookText"/>
        <w:rPr/>
      </w:pPr>
      <w:r>
        <w:rPr>
          <w:rFonts w:ascii="Amiri" w:hAnsi="Amiri" w:eastAsia="Amiri" w:cs="Amiri"/>
          <w:color w:val="111111"/>
          <w:sz w:val="28"/>
          <w:sz w:val="28"/>
          <w:szCs w:val="28"/>
          <w:rtl w:val="true"/>
          <w:lang w:bidi="ar-SA"/>
        </w:rPr>
        <w:t>ذكر المحقق في هذا المجال واجبين</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503095_1051229030"/>
      <w:bookmarkStart w:id="350" w:name="_Toc117"/>
      <w:bookmarkEnd w:id="349"/>
      <w:r>
        <w:rPr>
          <w:rtl w:val="true"/>
        </w:rPr>
        <w:t>الواجب الأول</w:t>
      </w:r>
      <w:r>
        <w:rPr>
          <w:rtl w:val="true"/>
        </w:rPr>
        <w:t xml:space="preserve">: </w:t>
      </w:r>
      <w:r>
        <w:rPr>
          <w:rtl w:val="true"/>
        </w:rPr>
        <w:t>أنْ يتحقّقَ مُسمّى المسح</w:t>
      </w:r>
      <w:r>
        <w:rPr>
          <w:rtl w:val="true"/>
        </w:rPr>
        <w:t>:</w:t>
      </w:r>
      <w:bookmarkEnd w:id="350"/>
    </w:p>
    <w:p>
      <w:pPr>
        <w:pStyle w:val="BookText"/>
        <w:rPr/>
      </w:pPr>
      <w:r>
        <w:rPr>
          <w:rFonts w:ascii="Amiri" w:hAnsi="Amiri" w:eastAsia="Amiri" w:cs="Amiri"/>
          <w:color w:val="111111"/>
          <w:sz w:val="28"/>
          <w:sz w:val="28"/>
          <w:szCs w:val="28"/>
          <w:rtl w:val="true"/>
          <w:lang w:bidi="ar-SA"/>
        </w:rPr>
        <w:t xml:space="preserve">وهذا هو المشهور بينَ الأصحاب، فما يصدق عليه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بإصبعٍ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ويدلّ على هذا الحكم رواياتٌ عديدة، منها 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بِبَعْضِ الرَّأْسِ وبَعْضِ الرِّجْلَيْنِ؟ </w:t>
      </w:r>
      <w:r>
        <w:rPr>
          <w:rStyle w:val="FootnoteAnchor"/>
          <w:rtl w:val="true"/>
        </w:rPr>
        <w:footnoteReference w:id="25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 الكِتَابُ مِنَ الله؛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أَنَّ الوَجْه كُلَّه يَنْبَغِي أَنْ يُغْسَلَ،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فَصَّلَ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المَسْحَ </w:t>
      </w:r>
    </w:p>
    <w:p>
      <w:pPr>
        <w:pStyle w:val="BookText"/>
        <w:rPr/>
      </w:pPr>
      <w:r>
        <w:rPr>
          <w:rFonts w:ascii="Amiri" w:hAnsi="Amiri" w:eastAsia="Amiri" w:cs="Amiri"/>
          <w:color w:val="111111"/>
          <w:sz w:val="28"/>
          <w:sz w:val="28"/>
          <w:szCs w:val="28"/>
          <w:rtl w:val="true"/>
          <w:lang w:bidi="ar-SA"/>
        </w:rPr>
        <w:t xml:space="preserve">بِبَعْضِ الرَّأْسِ؛ لِمَكَانِ البَاءِ </w:t>
      </w:r>
      <w:r>
        <w:rPr>
          <w:rStyle w:val="FootnoteAnchor"/>
          <w:rtl w:val="true"/>
        </w:rPr>
        <w:footnoteReference w:id="254"/>
      </w:r>
      <w:r>
        <w:rPr>
          <w:rFonts w:ascii="Amiri" w:hAnsi="Amiri" w:eastAsia="Amiri" w:cs="Amiri"/>
          <w:color w:val="111111"/>
          <w:sz w:val="28"/>
          <w:sz w:val="28"/>
          <w:szCs w:val="28"/>
          <w:rtl w:val="true"/>
          <w:lang w:bidi="ar-SA"/>
        </w:rPr>
        <w:t>، 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حِينَ وَصَلَهَا بِالرَّأْسِ أَنَّ المَسْحَ عَلَى بَعْضِهَا، ثُمَّ فَسَّرَ ذَلِكَ رَسُولُ الله صَلَّى اَللَّهُ عَلَيْهِ وَ آلِهِ وَ سَلَّمْ لِلنَّاسِ فَضَيَّعُوه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وعن حماد بن عيسى عن بعض أصحابه عن أحدهما عَلَيْهِما السَّلاَمُ في الرجل يتوضأ وعليه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العمامة بقدر ما يدخل إصبعه فيمسح على مقدم رأسه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وإلى جانب ما ذهب إليه مشهور الفقهاء، هناك رأيان آخران،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الطوسي قُدس سره في كتابه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 بالرأس لا يجوز أقل من ثلاث أصابع مضمومة مع الاختيار، فإن خاف البرد من كشف الرأس، أجزأه مقدار إصبع واحدة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بابويه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مسح الرأس أن يمسح بثلاثة أصابع مضمومة من مقدم الرأس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فأما رأي الشيخ الطوسي فيُمكن أن يُستدل له برواية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يجزيها من مسح الرأس أن تمسح مقدمه قدر ثلاث أصابع، ولا تلقي عنها خمارها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والإجزاء هو العمل بأقل الواجب، ومنه عُلِم أنَّ أقل الواجب هو المسح بمقدار ثلاثة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ونضمُّ إلى ذلك عدم الفصل وعدم الفرق بين وضوء المرأة ووضوء الرجل،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المجزي هو المسح بثلاثة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مَعْمَرِ بْنِ عُمَرَ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مِنَ المَسْحِ عَلَى الرَّأْسِ مَوْضِعُ ثَلَاثِ أَصَابِعَ، وكَذَلِكَ الرِّجْلُ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نكون أمام طائفتين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كفاية مسمى المسح، وقد اخترنا منها رواية زرارة ورواية حماد،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المسح بمقدار ثلاثة أصابع، وقد اخترنا منها رواية زرارة ورواية معمر بن عمر، فكيف يتم الجمع بينهما؟</w:t>
      </w:r>
    </w:p>
    <w:p>
      <w:pPr>
        <w:pStyle w:val="BookText"/>
        <w:rPr/>
      </w:pPr>
      <w:r>
        <w:rPr>
          <w:rFonts w:ascii="Amiri" w:hAnsi="Amiri" w:eastAsia="Amiri" w:cs="Amiri"/>
          <w:color w:val="111111"/>
          <w:sz w:val="28"/>
          <w:sz w:val="28"/>
          <w:szCs w:val="28"/>
          <w:rtl w:val="true"/>
          <w:lang w:bidi="ar-SA"/>
        </w:rPr>
        <w:t>هناك موقفان للفقهاء في الجمع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الأخبار الدالة على كفاية مسح المسمى بالروايات الدالة على لزوم المسح بثلاثة أصابع،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بثلاثة أصابع</w:t>
      </w:r>
      <w:r>
        <w:rPr>
          <w:rFonts w:eastAsia="Amiri" w:cs="Amiri" w:ascii="Amiri" w:hAnsi="Amiri"/>
          <w:color w:val="111111"/>
          <w:sz w:val="28"/>
          <w:szCs w:val="28"/>
          <w:rtl w:val="true"/>
          <w:lang w:bidi="ar-SA"/>
        </w:rPr>
        <w:t xml:space="preserve">. </w:t>
      </w:r>
      <w:bookmarkStart w:id="351" w:name="pg7928_85556"/>
    </w:p>
    <w:p>
      <w:pPr>
        <w:pStyle w:val="BookText"/>
        <w:rPr/>
      </w:pPr>
      <w:bookmarkEnd w:id="351"/>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الدالة على مسمى المسح تدل على الإجزاء، فتأتي الروايات الدالة على لزوم الثلاثة أصابع 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المجزي الذي ذكرته الطائفة الأولى هو الثلاثة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الأولى من الروايات على الوجوب، وحمل الطائفة الثانية على الاستحباب،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مسمى المسح، وأما المسح بثلاثة أصابع فهو مستحبٌ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المحقق قُدس سره أنّه يختار الثاني،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والواجب منه ما يُسمّى به ماسحًا، والمندوبُ مقدارُ ثلاثة أصابع عرضًا</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503097_1051229030"/>
      <w:bookmarkStart w:id="353" w:name="_Toc118"/>
      <w:bookmarkEnd w:id="352"/>
      <w:r>
        <w:rPr>
          <w:rtl w:val="true"/>
        </w:rPr>
        <w:t>الواجب الثاني</w:t>
      </w:r>
      <w:r>
        <w:rPr>
          <w:rtl w:val="true"/>
        </w:rPr>
        <w:t xml:space="preserve">: </w:t>
      </w:r>
      <w:r>
        <w:rPr>
          <w:rtl w:val="true"/>
        </w:rPr>
        <w:t>أن يكون المسح على مقدم الرأس</w:t>
      </w:r>
      <w:r>
        <w:rPr>
          <w:rtl w:val="true"/>
        </w:rPr>
        <w:t>:</w:t>
      </w:r>
      <w:bookmarkEnd w:id="35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المسح بمقدم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البيانية التي تقدم بعضها، مثل رواية زرارة وبكير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منها ما روي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على مقدمه </w:t>
      </w:r>
      <w:r>
        <w:rPr>
          <w:rStyle w:val="FootnoteAnchor"/>
          <w:rtl w:val="true"/>
        </w:rPr>
        <w:footnoteReference w:id="261"/>
      </w:r>
      <w:r>
        <w:rPr>
          <w:rFonts w:ascii="Amiri" w:hAnsi="Amiri" w:eastAsia="Amiri" w:cs="Amiri"/>
          <w:color w:val="111111"/>
          <w:sz w:val="28"/>
          <w:sz w:val="28"/>
          <w:szCs w:val="28"/>
          <w:rtl w:val="true"/>
          <w:lang w:bidi="ar-SA"/>
        </w:rPr>
        <w:t>وعَنْ مُحَمَّدِ بْنِ مُسْلِمٍ عَنْ أَبِي عَبْدِ الله عَلَيْهِ السَّلاَمُ أنه ذُكِرَ المَسْحُ فَقَالَ عَلَيْهِ السَّلاَمُ امْسَحْ عَلَى مُقَدَّمِ رَأْسِكَ</w:t>
      </w:r>
      <w:r>
        <w:rPr>
          <w:rFonts w:eastAsia="Amiri" w:cs="Amiri" w:ascii="Amiri" w:hAnsi="Amiri"/>
          <w:color w:val="111111"/>
          <w:sz w:val="28"/>
          <w:szCs w:val="28"/>
          <w:rtl w:val="true"/>
          <w:lang w:bidi="ar-SA"/>
        </w:rPr>
        <w:t xml:space="preserve">... </w:t>
      </w:r>
      <w:r>
        <w:rPr>
          <w:rStyle w:val="FootnoteAnchor"/>
          <w:rtl w:val="true"/>
        </w:rPr>
        <w:footnoteReference w:id="262"/>
      </w:r>
      <w:bookmarkStart w:id="354" w:name="pg7928_85557"/>
    </w:p>
    <w:p>
      <w:pPr>
        <w:pStyle w:val="Heading3"/>
        <w:numPr>
          <w:ilvl w:val="2"/>
          <w:numId w:val="1"/>
        </w:numPr>
        <w:rPr/>
      </w:pPr>
      <w:bookmarkStart w:id="355" w:name="__RefHeading___Toc6503099_1051229030"/>
      <w:bookmarkStart w:id="356" w:name="_Toc119"/>
      <w:bookmarkEnd w:id="354"/>
      <w:bookmarkEnd w:id="355"/>
      <w:r>
        <w:rPr>
          <w:rtl w:val="true"/>
        </w:rPr>
        <w:t>الأمر الثاني</w:t>
      </w:r>
      <w:r>
        <w:rPr>
          <w:rtl w:val="true"/>
        </w:rPr>
        <w:t xml:space="preserve">: </w:t>
      </w:r>
      <w:r>
        <w:rPr>
          <w:rtl w:val="true"/>
        </w:rPr>
        <w:t>الماء المسموح به في المسح</w:t>
      </w:r>
      <w:r>
        <w:rPr>
          <w:rtl w:val="true"/>
        </w:rPr>
        <w:t>:</w:t>
      </w:r>
      <w:bookmarkEnd w:id="356"/>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بنداوة الوضوء، ولا يجوز استئناف ماءٍ جديدٍ له، ولو جفّ ما على يديه أخذ من لحيته أو أشفار عينيه، فإن لم يبقَ نداوةٌ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المسح بنداوة الوضوء، ولا يجوز استئناف 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يجب أن يكون المسح بالماء المتبقّي من غسل اليد اليسرى، ولا يجوز المسح بماءٍ جديد، كأنْ يضع المكلف يده تحت الماء مثلًا، ويأخذ ماءً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استقر عليه مذهبنا، ودلت عليه روايات عديدة، منها الروايات البيانية التي تقدم بعضها، كرواية زرارة وبكير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رَأْسَه وقَدَمَيْه بِبَلَلِ كَفِّه لَمْ يُحْدِثْ لَهُمَا مَاءً جَدِيداً </w:t>
      </w:r>
      <w:r>
        <w:rPr>
          <w:rStyle w:val="FootnoteAnchor"/>
          <w:rtl w:val="true"/>
        </w:rPr>
        <w:footnoteReference w:id="26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يدل عليه ما روي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 فَقَدْ يُجْزِئُكَ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w:t>
      </w:r>
    </w:p>
    <w:p>
      <w:pPr>
        <w:pStyle w:val="BookText"/>
        <w:rPr/>
      </w:pPr>
      <w:r>
        <w:rPr>
          <w:rFonts w:ascii="Amiri" w:hAnsi="Amiri" w:eastAsia="Amiri" w:cs="Amiri"/>
          <w:color w:val="111111"/>
          <w:sz w:val="28"/>
          <w:sz w:val="28"/>
          <w:szCs w:val="28"/>
          <w:rtl w:val="true"/>
          <w:lang w:bidi="ar-SA"/>
        </w:rPr>
        <w:t>واثْنَتَانِ لِلذِّرَاعَيْنِ، 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في الرواية عنه لم يذكر إلا خبرًا، والخبر لا يدل على الطلب، بل الإنشاء يدل على ذلك، فكيف يمكن الاستدلال بها على وجوب الوضوء بما ورد فيها؟</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يمكن أن يدلّ على الوجوب، بل هو أدلُّ على الوجوب ببيانٍ تقدّمَ في الدروس الأولى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جفاف النداوة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جف ما على يديه، أخذ من لحيته أو أشفار عينيه، فإن لم يبق نداوة، استأنف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توضأ المكلف وجفّتِ النداوة على يده قبل أنْ يمسح رأسه، فما الحل في هذه الحال؟</w:t>
      </w:r>
    </w:p>
    <w:p>
      <w:pPr>
        <w:pStyle w:val="BookText"/>
        <w:rPr/>
      </w:pPr>
      <w:r>
        <w:rPr>
          <w:rFonts w:ascii="Amiri" w:hAnsi="Amiri" w:eastAsia="Amiri" w:cs="Amiri"/>
          <w:color w:val="111111"/>
          <w:sz w:val="28"/>
          <w:sz w:val="28"/>
          <w:szCs w:val="28"/>
          <w:rtl w:val="true"/>
          <w:lang w:bidi="ar-SA"/>
        </w:rPr>
        <w:t>اختلف الفقهاء في هذه المسألة على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يرطب المكلف يده بنداوة لحيته فقط، فإن جفّ ما على لحيته، بطل وضوؤه واستأنف من جديد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يرطب المكلف يده بنداوة مطلق أعضاء الوضوء ومحالّه؛ فيمكنه أن يأخذ الرطوبة من نداوة لحيته أو وجهه أو يده أو حاجبه بلا فرق، وإلا فيبطل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المحقق قُدس سره، التفصيل بين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نداوةً على لحيته وأشفار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يمكنه أنْ يأخذ من تلك النداوة ما يرطب به يده، ثم يمسح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يجد نداوةً على لحيته أو 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يبطل وضوؤه، وعليه أنْ يستأنفَ وضوءً جديدًا؛ لأن الواجب أن يمسح على رأسه ببلة يده، وقد استحال إتيانه بهذا الواجب لجفاف يده ولحيته، والوضوء موضوعٌ مركب من عدة أجزاء، منها مسح الرأس ببلة اليد، وقد انتفى هذا الجزء، فينتفي حينئذٍ المركب كله من رأس، فيلزمه أن يستأنف الوضوء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مسح الرأس مقبلاً، ويُكره مدبراً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فيجزي مسح المكلف رأسه مقبلًا، أي ابتداءً من الأعلى إلى الأسفل، أي من قمة الرأس إلى قصاص الشعر، كما يجوز مسحه مُدبرًا، ابتداءً من الأسفل إلى الأعلى، أي من قصاص الشعر إلى قمة الرأس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أدلة عديدة،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مطلقًا، ولم يقيّد المسح بكيفية خاصة، فيشمل ما لو كان المسح مُقبلًا أو مدبرًا بل وحتى عرضًا، من اليمين إلى اليسار أو من اليسار إلى اليمين، فإطلاق الآية دليلٌ على جواز المسح بحالتي الإقبال والإدبار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الروايات بجواز المسح مقبلًا ومدبرًا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حماد بن عثمان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بمسح الوضوء مقبلًا ومدبرًا </w:t>
      </w:r>
      <w:r>
        <w:rPr>
          <w:rStyle w:val="FootnoteAnchor"/>
          <w:rtl w:val="true"/>
        </w:rPr>
        <w:footnoteReference w:id="265"/>
      </w:r>
      <w:r>
        <w:rPr>
          <w:rFonts w:ascii="Amiri" w:hAnsi="Amiri" w:eastAsia="Amiri" w:cs="Amiri"/>
          <w:color w:val="111111"/>
          <w:sz w:val="28"/>
          <w:sz w:val="28"/>
          <w:szCs w:val="28"/>
          <w:rtl w:val="true"/>
          <w:lang w:bidi="ar-SA"/>
        </w:rPr>
        <w:t>ولا تنحصر دلالة هذه الرواية على جواز مسح الرأس مقبلًا ومدبرًا فقط، بل وتنفع أيضًا في الاستدلال على جواز مسح الرجلين منكوسًا كما سيأتي؛ إذ الرواية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الوضوء يشمل مسح الرأس ومسح الرجلين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جواز مسح الرأس مقبلًا ومدبرًا، إلا أنَّ المحقق قُدس سره حمل الحالة الأولى على الأفضلية، والثانية على الكراهة،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مسح الرأس مقبلاً، ويُكره مدبراً على الأشبه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المحقق قُدس سره ذهب إلى ذلك؛ لأن الاحتياط يقتضي المسح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قمة الرأس إلى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يعود الاحتياط هذا إلى أن كيفية غسل الوجه وغسل اليدين هي من الأعلى إلى الأسفل، فلعله كذلك في المسح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هو مسح الرأس لا غسله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موضع المسح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آية الوضوء المباركة أجزاء الوضوء، وذكرت الواجب في كل جزءٍ منها؛ فأوجبت الغسل في كلٍ من الوجه واليدين، والمسح في كل من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في الرأس هو المسح، فإنْ غسل المكلف رأسه عوضًا عن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يتخيل أنَّ الغسل أفضل من المسح؛ لأنه يتضمن المسح وزيادة، كما أنّه الأكثر تحقيقًا للنظافة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يُجزيه؛ لأنَّالغسل حقيقةٌ أخرى غير المسح، فما أتى به لم يكن مطلوباً منها، وما طُلب منه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الغسل والمسح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يتحقق بجريان الماء، أما الثاني فيتحقق بإمرار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الملاك في تحديد الغسل والمسح هو العرف، والنسبة بين الغسل والمسح ليست هي التباين، وإنما هي العموم والخصوص من وجه؛ فقد يتحقق الغسل ولا يتحقق المسح، وقد يتحقق المسح ولا يتحقق الغسل، وقد يجتمعان معًا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قال الفقهاء بأنَّ المسح يصدق ولو أدى المسح إلى جريان الماء، منهم السيد السيستاني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 كثرةُ بللِ الماسحِ وإنْ حصلَ معه الغسل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فالمسح يتحقق بإمرار اليد وإن جرى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والغسل يتحقق بجريان الماء ولو كان بإمرار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الممسوح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وويجوز المسح على الشعر المختص بالمقدم وعلى البشرة، ولو جمع عليه شعراً من غيره ومسح عليه لم يُجْزِ، وكذلك لو مسح على العمامة أو غيرها، مما يستر موضع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المحقق قُدس سره أنَّ الموضع الواجب مسحه من الرأس هو مقدم الرأس، ويصدق المسح عليه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على الشعر النابت على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جاء المكلف بشعره من اليسار إلى اليمين، 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ما يحصل عادةً عند النساء كنوعٍ من التزيُّن، أو عند من يخف شعره أو ينعدم من مقدم الرأس من الرجال، فيأتي بالشعر من الجانب ليضعه على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على مقدم رأسه وهو على تلك الحال، لم يُجزِه ذلك المسح؛ لأنه لم يمسح على الشعر النابت على مقدم رأسه، بل مسح على الشعر الذي وضعه على مقدم الرأس بعد أنْ جاء به من يسار الرأس أو يمينه أو خلفه، فلا يصدق عليه أنه مسحٌ على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على بشرة الرأس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فيما لو أزال المكلف شعر رأسه حلقًا، أو كان أصلع لا شعر لديه ولو في مقدم الرأس فقط</w:t>
      </w:r>
      <w:r>
        <w:rPr>
          <w:rFonts w:eastAsia="Amiri" w:cs="Amiri" w:ascii="Amiri" w:hAnsi="Amiri"/>
          <w:color w:val="111111"/>
          <w:sz w:val="28"/>
          <w:szCs w:val="28"/>
          <w:rtl w:val="true"/>
          <w:lang w:bidi="ar-SA"/>
        </w:rPr>
        <w:t xml:space="preserve">. </w:t>
      </w:r>
      <w:bookmarkStart w:id="357" w:name="pg7928_85568"/>
    </w:p>
    <w:p>
      <w:pPr>
        <w:pStyle w:val="BookText"/>
        <w:rPr/>
      </w:pPr>
      <w:bookmarkEnd w:id="357"/>
      <w:r>
        <w:rPr>
          <w:rFonts w:ascii="Amiri" w:hAnsi="Amiri" w:eastAsia="Amiri" w:cs="Amiri"/>
          <w:color w:val="111111"/>
          <w:sz w:val="28"/>
          <w:sz w:val="28"/>
          <w:szCs w:val="28"/>
          <w:rtl w:val="true"/>
          <w:lang w:bidi="ar-SA"/>
        </w:rPr>
        <w:t>ومنه يتبين أنَّ المسح على الحائل، كالخمار أو العمامة لا يُجزي؛ لعدم تحقق المسح على الرأس بأيٍّ من مصداقيه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الأحكام ثابتةٌ بالإجماع، وتدل عليها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على مقدمه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وكذلك ما روي عن زرارة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 xml:space="preserve">... </w:t>
      </w:r>
      <w:r>
        <w:rPr>
          <w:rStyle w:val="FootnoteAnchor"/>
          <w:rtl w:val="true"/>
        </w:rPr>
        <w:footnoteReference w:id="268"/>
      </w:r>
    </w:p>
    <w:p>
      <w:pPr>
        <w:pStyle w:val="Heading3"/>
        <w:numPr>
          <w:ilvl w:val="2"/>
          <w:numId w:val="1"/>
        </w:numPr>
        <w:rPr/>
      </w:pPr>
      <w:bookmarkStart w:id="358" w:name="__RefHeading___Toc6503101_1051229030"/>
      <w:bookmarkStart w:id="359" w:name="_Toc120"/>
      <w:bookmarkEnd w:id="358"/>
      <w:r>
        <w:rPr>
          <w:rtl w:val="true"/>
        </w:rPr>
        <w:t>الفرض الخامس</w:t>
      </w:r>
      <w:r>
        <w:rPr>
          <w:rtl w:val="true"/>
        </w:rPr>
        <w:t xml:space="preserve">: </w:t>
      </w:r>
      <w:r>
        <w:rPr>
          <w:rtl w:val="true"/>
        </w:rPr>
        <w:t>مسح الرجلين</w:t>
      </w:r>
      <w:r>
        <w:rPr>
          <w:rtl w:val="true"/>
        </w:rPr>
        <w:t>:</w:t>
      </w:r>
      <w:bookmarkEnd w:id="359"/>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مسح القدمين من رؤوس الأصابع إلى الكعبين، وهما قبتا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منكوساً، وليس بين الرجلين ترتيب، وإذا قُطع بعض موضع المسح، مسح على ما بقي، ولو قطع من الكعب، سقط المسح 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لتوضيح ما أفاده المحقق قُدس سره نذكر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المسلمون في الوضوء في مسائل عديدة، منها في الواجب في الرجلين، فقالت العامة بوجوب غسلهما، وقلنا بوجوب مسحهما، ودليلنا على ذلك كل من الكتاب الكريم، والسنة الشريفة،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أنَّ الإجماع على حكمٍ دلّ عليه مدركٌ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إجماعًا مدركيًا، فلا حجية له؛ لأن الحجية حينئذٍ تكون لذلك المدرك؛ وعليه فذكرُه هنا على سبيل الاستئناس به والتأييد ليس إلا، وعلى كل حال، سنقتصر على الدليل القرآني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القرآني على لزوم مسح القدمين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تُقرأ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قراءتين،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القراءة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الأرجل معطوفةٌ على رؤوس، والعطف يقتضي الاشتراك في الحكم،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الأرجل مع الرؤوس في الحكم، وهو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القراءة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وراء الخلاف بين الفريقين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أبناء العامة، فقد استدلوا بها على الغسل، مُدّعين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لنصب الأولى وجر الثانية، والعطف ينبغي </w:t>
      </w:r>
    </w:p>
    <w:p>
      <w:pPr>
        <w:pStyle w:val="BookText"/>
        <w:rPr/>
      </w:pPr>
      <w:r>
        <w:rPr>
          <w:rFonts w:ascii="Amiri" w:hAnsi="Amiri" w:eastAsia="Amiri" w:cs="Amiri"/>
          <w:color w:val="111111"/>
          <w:sz w:val="28"/>
          <w:sz w:val="28"/>
          <w:szCs w:val="28"/>
          <w:rtl w:val="true"/>
          <w:lang w:bidi="ar-SA"/>
        </w:rPr>
        <w:t xml:space="preserve">فيه الاشتراك في الحركة الإعرابية، فلا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الكلمتين في نفس الحركة الإعرابية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قالوا بوجوب غسل الرجلين؛ لأنها معطوفة على الأيدي، وحكم الأيدي هو الغسل، والعطف يقتضي الاشتراك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مسح الأرجل وإن كانت بالفتح؛ وذلك لأنَّ العطف على الأيدي غير صحيح بلاغيًا، والقرآن الكريم أبلغ ما قيل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عدم صحة ذلك بلاغيًا؛ لأنَّ العطف على البعيد، والفصل بين المعطوف والمعطوف عليه بجملة أجنبية مذمومٌ في مقاييس البلاغة العربية، ولا يقبل به أديب، فكيف بالله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البليغ عندما يريد أن يعطف عدة أشياء على بعض، ليُشركها في حكمٍ واحدٍ، لا يأتي بجملة أجنبية بين المعطوف والمعطوف عليه، وإن كان قاصدًا إعطاء المعطوف عليه حكم المعطوف؛ لأنَّ التركيب اللفظي حينئذٍ يحول دون وصول ما يقصده إلى السامع، فهو من قبيل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وعمروًا واضربْ خالدًا وبكرًا، مع قصد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بعطفه على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لاضربه بعطفه على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في اللغة والمعاني فضلًا عن البلاغة والبيان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يعقل أنْ تعطف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الفصل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 وَامْسَحُوا بِرُءُوسِكُمْ إِلَى الكَعْبَيْنِ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النصب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في المحل الإعرابي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مجرورة بالباء، إلا أنَّها لم تأتِ مجرورة بالباء إلا لإفادة معنى جديد، وهو التبعيض، علاوةً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فتعرب مفعول به منصوب بالفتحة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معطوفة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والعطف يقتضي الاشتراك في الحكم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قُدس سره في شرح العروة الوثقى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الآية المباركة فهو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 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أو النصب على اختلاف القراءتين، فإن قرأنا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فيكون معطوفة على رؤوسكم،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برؤوسكم وامسحوا بأرجلكم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قرأنا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قراءة عاصم في رواية حفص، وهو الذي كُتِبَ القرآنُ على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معطوفة على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وامسحوا أرجلكم، وعلى كلا التقديرين تدلَّنا الآية المباركة على وجوب مسح الرجلين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النصب معطوفة على أيديكم ووجوهكم؛ ليكون معنى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وامسحوا برؤوسكم واغسلوا 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مما لا يناسب الأديب، لعدم جواز </w:t>
      </w:r>
    </w:p>
    <w:p>
      <w:pPr>
        <w:pStyle w:val="BookText"/>
        <w:rPr/>
      </w:pPr>
      <w:r>
        <w:rPr>
          <w:rFonts w:ascii="Amiri" w:hAnsi="Amiri" w:eastAsia="Amiri" w:cs="Amiri"/>
          <w:color w:val="111111"/>
          <w:sz w:val="28"/>
          <w:sz w:val="28"/>
          <w:szCs w:val="28"/>
          <w:rtl w:val="true"/>
          <w:lang w:bidi="ar-SA"/>
        </w:rPr>
        <w:t xml:space="preserve">الفصل بين المعطوف والمعطوف عليه بالجملة الأجنبية، فضلًا عن كلام الخالق الذي هو في أرقى درجات البلاغة والإعجاز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الواجب من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المحقق قُدس سره بأنَ المسح يكون من رؤوس الأصابع إلى الكعبين، وهذا هو التحديد الطولي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التحديد العرضي فلم يُصرِّحْ به، إلا أنّ ما عليه الإجماع هو كفاية مسمى المسح، ولو بإصبعٍ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مراد المحقق قُدس سره نذكرُ عدّة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الكعبان؟</w:t>
      </w:r>
    </w:p>
    <w:p>
      <w:pPr>
        <w:pStyle w:val="BookText"/>
        <w:rPr/>
      </w:pPr>
      <w:r>
        <w:rPr>
          <w:rFonts w:ascii="Amiri" w:hAnsi="Amiri" w:eastAsia="Amiri" w:cs="Amiri"/>
          <w:color w:val="111111"/>
          <w:sz w:val="28"/>
          <w:sz w:val="28"/>
          <w:szCs w:val="28"/>
          <w:rtl w:val="true"/>
          <w:lang w:bidi="ar-SA"/>
        </w:rPr>
        <w:t>ذُكِر في بيان الكعبين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قبتا 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الكعب هو قبة القدم، أي العظم البارز قليلًا على ظاهر القدم قريبًا من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صرّح به المحقق قُدس سره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مسح القدمين من رؤوس الأصابع إلى الكعبين، وهما قبتا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المعروف من مذهب الأصحاب</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نراجع المعاجم التي وضعت لبيان المعاني اللغوية المستعملة والموضوعة، يتضح أنّ اللغويين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الكعبين هما قبتا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في كتابه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الإنسان ما أشرفَ فوقَ رُسُغه عند قدمه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ويُلاحظ على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اللغوي ليس حُجةً شرعيةً في حدِّ نفسه، إلا إذا أورث الاطمئنان؛ لأنّ اللغوي هو خبير في مجال عمله، وهو صاحب اطّلاع واسع وخبرة في مجال معرفة الاستعمالات والأوضاع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قائمة على الرجوع إلى الخبير النزيه في مجال تخصّصه، فإذا أخبَرَنا اللغوي بمعنىً معين وأورثنا الاطمئنان، حينئذٍ يمكن أنْ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إجماعٌ مدركي؛ لوجود الروايات، وقد تقدّم أنّ الحجية حينئذٍ يكون للروايات، وأما هو فإنما يُذكر على سبيل الاستئناس والتأييد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رواياتٌ يظهر منها أنّ الكعب هو قبة القدم، منها ما روي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المَسْحِ </w:t>
      </w:r>
    </w:p>
    <w:p>
      <w:pPr>
        <w:pStyle w:val="BookText"/>
        <w:rPr/>
      </w:pPr>
      <w:r>
        <w:rPr>
          <w:rFonts w:ascii="Amiri" w:hAnsi="Amiri" w:eastAsia="Amiri" w:cs="Amiri"/>
          <w:color w:val="111111"/>
          <w:sz w:val="28"/>
          <w:sz w:val="28"/>
          <w:szCs w:val="28"/>
          <w:rtl w:val="true"/>
          <w:lang w:bidi="ar-SA"/>
        </w:rPr>
        <w:t>عَلَى القَدَمَيْنِ كَيْفَ هُوَ؟ فَوَضَعَ كَفَّه عَلَى الأَصَابِعِ، فَمَسَحَهَا إِلَى الكَعْبَيْنِ إِلَى ظَاهِرِ القَدَمِ</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وعَنْ مَيْسَرَةَ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وَاحِدَةٌ وَاحِدَةٌ، ووَصَفَ الكَعْبَ فِي ظَهْرِ القَدَمِ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أنّ غايةَ المسح تكون إلى الكعبين، فهل يجب إدخالهما في المسح؟</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رأيان، كما هو الحال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الكعبين غاية المسح، فلا يجب مسح الكعبين؛ لأن الغاية غير داخلة في المغيى، كما تقدّم في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مسح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القائلون بوجوب مسحه على قولين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الكعبين أصالةً، أي إنه يجب مسح الكعبين في حدِّ نفسيهما؛ إما لدخول الغاية في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الرأي القائل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مسح الكعبين أصالةً، وإنما يجب مسحهما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يقتضي العمل وفقًا للرأي الثاني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يجب استيعاب المسح من أطراف الأصابع إلى الكعبين، أو يكفي المُسمى طولًا؟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الآية والروايات صرّحتا بوجوب مسح الرجلين إلى الكعبين، والتحديد إلى الكعبين 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تحديدٌ للممسوح، أي إنَّ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على أنَّ مسح القدمين لا بد أن يقع في ما حدَّدتْه منالقدمين، من أطراف الأصابع إلى الكعبين، ومن ثَمّ يصح المسح ويكفي في أي موضعٍ من هذه المساحة المحددة، ولا يجب الوصول إلى الكعبين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الاحتمال ما روي في الخبر البياني المُتقدِّم عن زُرارة وبكير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وضوء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مَسَحَ بِشَيْءٍ مِنْ رَأْسِه أَوْ بِشَيْءٍ مِنْ قَدَمَيْه مَا بَيْنَ الكَعْبَيْنِ إِلَى أَطْرَافِ الأَصَابِعِ فَقَدْ أَجْزَأَه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وبناءً على هذه الرواية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الكعبين إلى أطراف الأصابع هو تحديدٌ للممسوح، وللمكلف الحق في مسح أي موضعٍ منه، وعليه، يكفي أن يمسح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تحديدٌ للمسح وليس للممسوح، أي إنّ ما تم تحديده هو المساحة التي يجب مسحها كلها، وحينئذٍ يلزم استيعاب القدم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الاحتياط يقتضي استيعاب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المسح منكوسًا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يجب عند مسح الرجلين أنْ يكون ابتداءً من أطراف الأصابع إلى الكعبين، أو يجوز العكس؟</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مسح القدمين منكوسًا، وهو ما صرح به المحقق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منكوسًا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نصوص عديدة، منها ما روي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بمسح الوضوء مقبلًا ومدبرًا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مسح الرأس والقدمين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ورد الجواز صريحًا في رواية حماد بن عثمان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ولعلها نفس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بمسح القدمين مقبلاً ومدبراً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مسح القدمين منكوسًا </w:t>
      </w:r>
      <w:r>
        <w:rPr>
          <w:rStyle w:val="FootnoteAnchor"/>
          <w:rtl w:val="true"/>
        </w:rPr>
        <w:footnoteReference w:id="277"/>
      </w:r>
      <w:r>
        <w:rPr>
          <w:rFonts w:ascii="Amiri" w:hAnsi="Amiri" w:eastAsia="Amiri" w:cs="Amiri"/>
          <w:color w:val="111111"/>
          <w:sz w:val="28"/>
          <w:sz w:val="28"/>
          <w:szCs w:val="28"/>
          <w:rtl w:val="true"/>
          <w:lang w:bidi="ar-SA"/>
        </w:rPr>
        <w:t>فيجب البدء بالمسح من أطراف الأصابع والانتهاء بالكعبين، وهو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المسح بين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ثلاثة 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يجوز للمكلف أنْ يمسح اليمنى قبل اليسرى، أو العكس فضلاً عن مسحهما معاً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بإطلاق الآية المباركة؛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لم توجب الترتيب بينهما، فيجوز للمكلف مسح اليمنى قبل اليسرى، ويجوز العكس، ويجوز مسحهما معًا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عليه المحقق قُدس سره؛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الرجلين 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ذلك بالأخبار البيانية؛ فلما حكى الإمام الباقر عَلَيْهِ السَّلاَمُ وضوء النبي صَلَّى اَللَّهُ عَلَيْهِ وَ آلِهِ وَ سَلَّمْ مسح القدم اليمنى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لَيْسَا مِنَ الوَجْه، ولَا مِنَ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المَسْحُ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عَلَى مُقَدَّمِ رَأْسِكَ، وامْسَحْ عَلَى القَدَمَيْنِ، وابْدَأْ بِالشِّقِّ الأَيْمَنِ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فقد صرّح عَلَيْهِ السَّلاَمُ بوجوب الترتيب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بالشقِّ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فعل أمر، والأمر ظاهره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تقديم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للمكلف أن يمسحهما معًا، كما يجوز أن يقدم اليمنى على اليسرى، والثاني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مسْح من قُطعت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قُطع بعضُ موضع المسح، مسح على ما بقي، ولو قطع من الكعب، سقط المسح 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قُطعت إحدى قدمي المكلف أو كلتاهما، فما الواجب عليه؟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في قطع القدم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بعض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تُقطعُ نصفُها مثلًا، أو ربعها، وحينئذٍ يجب أن يمسح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القدم والكعب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يسقط وجوب المسح؛ لانعدام موضوعه بانقطاع القدم كلها بما فيها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يُسمّى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تُقطعَ القدم دون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يبقَ من القدم إلا الكعب، وأما ما بعده فمقطوع،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مسح الكعب أو لا؟وإذا كان واجبًا؛ هل يجب أصالةً أو من باب المقدمة؟</w:t>
      </w:r>
    </w:p>
    <w:p>
      <w:pPr>
        <w:pStyle w:val="BookText"/>
        <w:rPr/>
      </w:pPr>
      <w:r>
        <w:rPr>
          <w:rFonts w:ascii="Amiri" w:hAnsi="Amiri" w:eastAsia="Amiri" w:cs="Amiri"/>
          <w:color w:val="111111"/>
          <w:sz w:val="28"/>
          <w:sz w:val="28"/>
          <w:szCs w:val="28"/>
          <w:rtl w:val="true"/>
          <w:lang w:bidi="ar-SA"/>
        </w:rPr>
        <w:t>في المسألة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بوجوب مسح الكعب أصالةً؛ لأنَّ الغاية داخلةٌ في المُغيى، أو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يجب مسحه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بوجوب مسح الكعب، ولكن لا بالأصالة، وإنّما من باب المقدمة العلمية؛ أي ليُحرز المكلَّف ويتيقن بفراغ ذمته من مسح القدم، لكنَّ القدم منعدمة حسب الفرض، فينعدم وجوب مسح الكعبين تبعًا لانعدام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بعدم وجوب مسح الكعب، لا أصالةً، ولا من باب المقدمة العلمية، فالحكم حينئذٍ هو عدم وجوب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أشار إليه المحقق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قطع بعض موضع المسح مسح على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من الكعب سقطَ المسح على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مسح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بشرة القدم، ولا يجوز على حائل، من خُفٍّ أو غيره، إلا للتقية أو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النقطة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الأولي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على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مذهب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كحكمٍ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يُجزي في مسح القدمين المسحُ على الحائل، كما لو كان الشخص لابسًا جورباً، أو حذاءً، أو وضع خرقة على قدمه؛ بل يجب أن يكون المسح على البشرة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والأخبار الكثيرة التي قد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المسح على غير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التقية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متهمًا بشتى التهم، من الكفر والشرك والابتداع، من قِبل بعض الفرق التي تدّعي الإسلام، كالوهابية، الذين </w:t>
      </w:r>
    </w:p>
    <w:p>
      <w:pPr>
        <w:pStyle w:val="BookText"/>
        <w:rPr/>
      </w:pPr>
      <w:r>
        <w:rPr>
          <w:rFonts w:ascii="Amiri" w:hAnsi="Amiri" w:eastAsia="Amiri" w:cs="Amiri"/>
          <w:color w:val="111111"/>
          <w:sz w:val="28"/>
          <w:sz w:val="28"/>
          <w:szCs w:val="28"/>
          <w:rtl w:val="true"/>
          <w:lang w:bidi="ar-SA"/>
        </w:rPr>
        <w:t xml:space="preserve">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بهدر دمه وإباحة ماله وعرضه، بل وسمحوا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يعاملوه وفقًا لتلك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المخالفين يجوّزون المسح على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كالجورب والحذاء وما شابه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خلاف مذهب أهل البيت عَلَيْهِم السَّلاَمُ الذي لا يجيز ذلك، ومن ثم يكون عدم المسح على الحائل أمارةً واضحةً على التشيع، ويكفيهم ذلك في إدانة الشيعي، مما يعرضه لشتى أنواع المخاطر التي قد تصل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ذلك وأمثاله، شُرِّعتِ التقية؛ لتقي دم المؤمن وعرضه وماله من الخطر المحدق به لأجل معتقده؛ وذلك بأن يُظهِرَ موافقته لمعتقد المخالفين ومخالفته لمعتقده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المكلف في مكانٍ يخشى الأذى من التكفيريين، جاز أن يُظهِر الالتزام بأحكامهم الشرعية؛ لإيهامهم بأنه على معتقدهم، ومن تلك الأحكام المسح على الحائل، فيحل هذا الحكم لأجل التقية كحكمٍ ثانوي محل الحكم الأولي، وهو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المحقق قُدس سره فردًا آخر لجواز المسح على الحائل، وهي الضرورة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وتتمثل الضرورة بالبرد مثلًا، فلو كان الجو باردًا بردًا لا يُطاق، بحيث يكون معه نزع الجورب والمسح على بشرة القدمين متعسرًا وفيه حرج، فحينئذٍ يجوز المسح على الحائل</w:t>
      </w:r>
      <w:r>
        <w:rPr>
          <w:rFonts w:eastAsia="Amiri" w:cs="Amiri" w:ascii="Amiri" w:hAnsi="Amiri"/>
          <w:color w:val="111111"/>
          <w:sz w:val="28"/>
          <w:szCs w:val="28"/>
          <w:rtl w:val="true"/>
          <w:lang w:bidi="ar-SA"/>
        </w:rPr>
        <w:t xml:space="preserve">. </w:t>
      </w:r>
      <w:bookmarkStart w:id="360" w:name="pg7928_85595"/>
    </w:p>
    <w:p>
      <w:pPr>
        <w:pStyle w:val="Heading3"/>
        <w:numPr>
          <w:ilvl w:val="2"/>
          <w:numId w:val="1"/>
        </w:numPr>
        <w:rPr/>
      </w:pPr>
      <w:bookmarkStart w:id="361" w:name="__RefHeading___Toc6503103_1051229030"/>
      <w:bookmarkStart w:id="362" w:name="_Toc121"/>
      <w:bookmarkEnd w:id="360"/>
      <w:bookmarkEnd w:id="361"/>
      <w:r>
        <w:rPr>
          <w:rtl w:val="true"/>
        </w:rPr>
        <w:t>سؤالان</w:t>
      </w:r>
      <w:r>
        <w:rPr>
          <w:rtl w:val="true"/>
        </w:rPr>
        <w:t>:</w:t>
      </w:r>
      <w:bookmarkEnd w:id="362"/>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وجب على المكلف الامتثال لحكم المسح على القدمين الثانوي؛ تقيةً، ولكنه خالفه وأدى الوضوء وفقًا للحكم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الأثر الوضعي لوضوئه حينئذٍ،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وضوءه صحيحٌ أو لا؟وما الأثر التكليفي، هل إنّه يؤثم؛ لارتكابه محرّمًا، أو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شك أنّ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 الامتثال لما وجب عليه، وهو المسح على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فعلًا محرّمًا؛ لأنّ الشرع الأقدس أمره في تلك الحالة بأن يترك الوضوء الواقعي بالمسح على القدمين، وأن يمسح على الحائل؛ لوجوب التقية عليه، وقد ورد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ديني ودين آبائي، ولا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وهذا هو الحكم التكليفي المترتب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يتضح أنَّ مخالفة التقية يترتب عليها حكم تكليفي،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لحكم مخالفة التقية الوضعي، فهناك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هي حكمٌ تكليفيٌ فقط</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خالفها المكلف، ترتب عليه حكم تكليفي فقط، وهي الحرمة، ومن ثم فلا أثر لتلك المخالفة على الوضوء، فوضوؤه صحيحٌ، وإنْ كان آثمًا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ويذهب إلى هذا الرأي الكثير من الفقهاء، منهم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من منهاج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على خِلافِ مقتضى التقية لم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وجوب الإعادة دليلٌ على أنَّ وضوءه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حكمٌ تكليفي ووضعي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يترتب على مخالفتها ارتكابُ محرّمٍ، فيأثم، كما تترتب مخالفةُ حكمٍ وضعي، فيبطل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عليه 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الوضوء على مذهب المخالفين بالمسح على الحائل في حال التقية، فلو زالت التقية بعد ذلك، هل يبقى الوضوء صحيحاً، ويمكن للمكلف الصلاة به؟</w:t>
      </w:r>
    </w:p>
    <w:p>
      <w:pPr>
        <w:pStyle w:val="BookText"/>
        <w:rPr/>
      </w:pPr>
      <w:r>
        <w:rPr>
          <w:rFonts w:ascii="Amiri" w:hAnsi="Amiri" w:eastAsia="Amiri" w:cs="Amiri"/>
          <w:color w:val="111111"/>
          <w:sz w:val="28"/>
          <w:sz w:val="28"/>
          <w:szCs w:val="28"/>
          <w:rtl w:val="true"/>
          <w:lang w:bidi="ar-SA"/>
        </w:rPr>
        <w:t>وهكذا الكلام فيما لو زالت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زال السبب، أعاد الطهارة على 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لحدثٍ، والأول أحوط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المكلف توضّأ؛ تقيةً أو لضرورة، بأن مسح على الحائل، وصلى صلاة الظهر، وبعدئذٍ زالت التقية، فهل له أن يصلي صلاة العصر بنفس الوضوء، أو يجب عليه وضوءٌ جديد؟ </w:t>
      </w:r>
    </w:p>
    <w:p>
      <w:pPr>
        <w:pStyle w:val="BookText"/>
        <w:rPr/>
      </w:pPr>
      <w:r>
        <w:rPr>
          <w:rFonts w:ascii="Amiri" w:hAnsi="Amiri" w:eastAsia="Amiri" w:cs="Amiri"/>
          <w:color w:val="111111"/>
          <w:sz w:val="28"/>
          <w:sz w:val="28"/>
          <w:szCs w:val="28"/>
          <w:rtl w:val="true"/>
          <w:lang w:bidi="ar-SA"/>
        </w:rPr>
        <w:t>أشار المحقق قُدس سره إلى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لزوم تحصيل طهارةٍ جديدةٍ بوضوءٍ جديدٍ؛ وذكروا أن سبب 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الطهارة الحاصلة بسبب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الحقيقة خلاف الطهارة المقررة شرعًا، فالطهارة المقررة شرعًا هي المتحققة عن وضوءٍ اشتمل على المسح على البشرة نفسها، لا على الحائل، وأما الأولى فإنّما جازت لأجل التقية أو الضرورة، فإن زالت التقية والضرورة، زال حكم الجواز تبعًا لهما، ووجب تحصيل الطهارة التي قرّرها الشرع بالحكم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تكون طهارة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على الوجه الذي أراده الشرع بالحكم الأولي، فلا تصح صلاته بها، ووجب عليه تحصيل طهارةٍ أخرى تشتمل على المسح على بشرة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الضرورة تقدر بقدرها، فقد اقتضت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وضوء المكلف بالمسح على الحائل؛ دفعًا للضرر المحتمل، فعند زوال تلك الضرورة، يزول المقتضي لذلك الوضوء، وكان عمل المكلف لا شرعية له، أي إنه مخالف للحكم الشرعي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نظير جواز أكل الميتة بمقدار قليلٍ؛ اضطرارًا وحفظًا للنفس من الهلاك، فإنه لا يسوغ له ذلك في غير حال الاضطرار، فإنْ هو فعل، فإنه يكون قد خالف الشرع، وأثم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جواز شرب الصائم للماء بمقدار ما يحفظ معه نفسه من الهلاك المحتم، أو الضرر البليغ الذي لا يُتحمل عادةً، فإن زال ذلكالخطر لا يسوغ له شرب الماء ولو بمقدار قطرةٍ منه، فإن هو فعل يكون قد خالف بذلك الشرع، وأثم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تلزم الإعادة على أول القولين الذين ذكرهما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ذلك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الوضوء لوقوعه وفقًا لأمر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الوضوء وفق ما تقتضيه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بالمسح على الحائل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صحيح؛ لأنّه وقع عن أمر شرعي، فإذا توضّأ كذلك، يكون قد امتثل الأمر الشرعي، ويكون الوضوء صحيحاً في حدّ نفسه، ويكون الحدث قد ارتفع عن حكم شرعي، فلا 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لإعادته مع فرض عدم صدور حدث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يقتضي الإجزاء، وهو أمرٌ وجداني؛ إذ لا موجب لعدم الإجزاء بعد أن كان أداء العمل مطابقًا للحكم الشرعي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امتثل المكلف للحكم الشرعي، فوضوؤه صحيح؛ لأنَّ الامتثال يقتضي الإجزاء، والفرض أنّه لم ينتقض وضوؤه بأحد نواقض الوضوء، ومن ثم تصحُّ صلاته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شرعياً على وجوب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امتثال المكلف للأمر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وفقًا للتقية أو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بإجزاء وضوئه، يكون الحكم بلزوم إعادة الوضوء من دون دليل أو أمر شرعي، إذ لو قيل بوجوب إعادة الوضوء، فلا بد من أمرٍ شرعي جديد، والحال أنه لا أمْرَ جديداً، فلا تجب إعادة الوضوء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رأي المحقق، فبعد أن ذكر القولين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 أي إن الاحتياط يقتضي الإعادة</w:t>
      </w:r>
      <w:r>
        <w:rPr>
          <w:rFonts w:eastAsia="Amiri" w:cs="Amiri" w:ascii="Amiri" w:hAnsi="Amiri"/>
          <w:color w:val="111111"/>
          <w:sz w:val="28"/>
          <w:szCs w:val="28"/>
          <w:rtl w:val="true"/>
          <w:lang w:bidi="ar-SA"/>
        </w:rPr>
        <w:t>.</w:t>
      </w:r>
      <w:bookmarkStart w:id="363" w:name="pg7928_85605"/>
    </w:p>
    <w:p>
      <w:pPr>
        <w:pStyle w:val="Heading3"/>
        <w:numPr>
          <w:ilvl w:val="2"/>
          <w:numId w:val="1"/>
        </w:numPr>
        <w:rPr/>
      </w:pPr>
      <w:bookmarkStart w:id="364" w:name="__RefHeading___Toc6503105_1051229030"/>
      <w:bookmarkStart w:id="365" w:name="_Toc122"/>
      <w:bookmarkEnd w:id="363"/>
      <w:bookmarkEnd w:id="364"/>
      <w:r>
        <w:rPr>
          <w:rtl w:val="true"/>
        </w:rPr>
        <w:t>مسائلُ ثمان</w:t>
      </w:r>
      <w:bookmarkEnd w:id="365"/>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واجب في الوضوء، يبدأ غسل الوجه قبل اليمنى، واليسرى بعدها، ومسح الرأس ثالثاً، والرجلين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خالف، أعاد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جف الوضوء، وإنْ كان البلل باقياً، أعاد على ما يحصل معه الترتيب</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503107_1051229030"/>
      <w:bookmarkStart w:id="367" w:name="_Toc123"/>
      <w:bookmarkEnd w:id="366"/>
      <w:r>
        <w:rPr>
          <w:rtl w:val="true"/>
        </w:rPr>
        <w:t>المسألة الأولى</w:t>
      </w:r>
      <w:r>
        <w:rPr>
          <w:rtl w:val="true"/>
        </w:rPr>
        <w:t xml:space="preserve">: </w:t>
      </w:r>
      <w:r>
        <w:rPr>
          <w:rtl w:val="true"/>
        </w:rPr>
        <w:t>في الترتيب</w:t>
      </w:r>
      <w:r>
        <w:rPr>
          <w:rtl w:val="true"/>
        </w:rPr>
        <w:t>:</w:t>
      </w:r>
      <w:bookmarkEnd w:id="367"/>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البدء بغسل الوجه، ثم غسل اليد اليمنى، ثم غسل اليد اليسرى، ثم مسح الرأس، ثم مسح القدمين ولا 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قُدس سره أنّ الترتيب واجبٌ في الوضوء، فإن خالف المكلف الترتيب، كما لو غسل يده اليمنى مثلًا قبل الوجه، وجب عليه الإعادة بحيث يحقق به الترتيب، فيعدّ غسل اليد اليمنى ملغيًا، ويقوم بغسل الوجه ثم يغسل اليد اليمنى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ويجدي التصحيح السابق نفعًا كحلٍّ للخلل في الترتيب فيما لو كان البلل لا زال باقيًا على أعضاء الوضوء؛ لأن وجود البلل علامة على بقاء الموالاة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جفّت الأعضاء؛ فالوضوء باطل، فيلزم استئنافه من جديد؛ لفوات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وجوب الترتيب بين أعضاء الوضوء بين العلماء، وقد دلّت عليه النصوص المستفيضة، منها 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بَيْنَ الوُضُوءِ، كَمَا قَالَ اللهُ عَزَّوَجَل، ابْدَأْ بِالوَجْه، ثُمَّ بِاليَدَيْنِ، ثُمَّ امْسَحِ الرَّأْسَ والرِّجْلَيْنِ، ولَا تُقَدِّمَنَّ شَيْئاً بَيْنَ يَدَيْ شَيْءٍ، تُخَالِفْ مَا أُمِرْتَ بِه، وإِنْ غَسَلْتَ الذِّرَاعَ قَبْلَ الوَجْه، فَابْدَأْ بِالوَجْه، وأَعِدْ عَلَى الذِّرَاعِ، وإِنْ مَسَحْتَ الرِّجْلَ قَبْلَ الرَّأْسِ، فَامْسَحْ عَلَى الرَّأْسِ قَبْلَ الرِّجْلِ، ثُمَّ أَعِدْ عَلَى الرِّجْلِ، ابْدَأْ بِمَا بَدَأَ اللهُ بِه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فقد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آية الوضوء دليلًا على وجوب الترتيب بين الأعضاء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وروي عن منصور بن حازم عن أبي عبد الله عَلَيْهِ السَّلاَمُ، في الرجل يتوضأ فيبدأ بالشمال قبل اليمين؟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اليمين ويعيد اليسار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أعاد الوضوء، عمدًا كان أو نسيانًا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وجبت الإعادة في حالتي العمد والنسيان؟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للجواب عن ذلك لا بُدّ من تقديم</w:t>
      </w:r>
      <w:r>
        <w:rPr>
          <w:rFonts w:eastAsia="Amiri" w:cs="Amiri" w:ascii="Amiri" w:hAnsi="Amiri"/>
          <w:color w:val="111111"/>
          <w:sz w:val="28"/>
          <w:szCs w:val="28"/>
          <w:rtl w:val="true"/>
          <w:lang w:bidi="ar-SA"/>
        </w:rPr>
        <w:t xml:space="preserve">: </w:t>
      </w:r>
      <w:bookmarkStart w:id="368" w:name="pg7928_85609"/>
    </w:p>
    <w:p>
      <w:pPr>
        <w:pStyle w:val="Heading3"/>
        <w:numPr>
          <w:ilvl w:val="2"/>
          <w:numId w:val="1"/>
        </w:numPr>
        <w:rPr/>
      </w:pPr>
      <w:bookmarkStart w:id="369" w:name="__RefHeading___Toc6503109_1051229030"/>
      <w:bookmarkStart w:id="370" w:name="_Toc124"/>
      <w:bookmarkEnd w:id="368"/>
      <w:bookmarkEnd w:id="369"/>
      <w:r>
        <w:rPr>
          <w:rtl w:val="true"/>
        </w:rPr>
        <w:t>مقدمة</w:t>
      </w:r>
      <w:r>
        <w:rPr>
          <w:rtl w:val="true"/>
        </w:rPr>
        <w:t xml:space="preserve">: </w:t>
      </w:r>
      <w:r>
        <w:rPr>
          <w:rtl w:val="true"/>
        </w:rPr>
        <w:t>بيان الشروط العلمية والواقعية</w:t>
      </w:r>
      <w:r>
        <w:rPr>
          <w:rtl w:val="true"/>
        </w:rPr>
        <w:t>:</w:t>
      </w:r>
      <w:bookmarkEnd w:id="370"/>
    </w:p>
    <w:p>
      <w:pPr>
        <w:pStyle w:val="BookText"/>
        <w:rPr/>
      </w:pPr>
      <w:r>
        <w:rPr>
          <w:rFonts w:ascii="Amiri" w:hAnsi="Amiri" w:eastAsia="Amiri" w:cs="Amiri"/>
          <w:color w:val="111111"/>
          <w:sz w:val="28"/>
          <w:sz w:val="28"/>
          <w:szCs w:val="28"/>
          <w:rtl w:val="true"/>
          <w:lang w:bidi="ar-SA"/>
        </w:rPr>
        <w:t>تنقسم الشروط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العلمية،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الشروط التي يلزم توفيرُها حالَ العلمِ بها، أو حال تذكُّرِها، فلو لم يعلم المكلف بها أو نسيَها، يمكن الحكم بتصحيح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شرطية طهارة ثوب المصلي من النجاسة، فلو أكمل المصلي صلاته، ثم التفت إلى أنَّ ثوبه متنجس بنجاسة غير معفو عنها، فصلاته صحيحة، طالما كان جاهلًا بتلك النجاسة؛ لأن طهارة ثوب المصلي شرط علمي أو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شروط تدخل في صميم العمل، بحيث لو لم تتحقق، لا يتحقق العمل واقعًا، ومن ثم يلزم توفرها فيه مطلقًا؛ أي في حالة العلم والعمد والجهل والنسيان، فإن لم يتحقق لأي سبب من الأسباب المتقدمة 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شرطية الوضوء للصلاة، فإن لم يأتِ به المكلف بطلت صلاته، سواء أكان جهلًا منه أم عمدًا أم نسيانًا أم غفلةً؛ لأنَّ الوضوء شرطٌ واقعي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وجوب الترتيب بين الأعضاء في الوضوء شرطٌ واقعيٌ؛ لذا 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خالف، أعاد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جفّ الوضوء، وإنْ كان البلل باقيًا، أعاد على ما يحصل معه الترتيب</w:t>
      </w:r>
      <w:r>
        <w:rPr>
          <w:rFonts w:eastAsia="Amiri" w:cs="Amiri" w:ascii="Amiri" w:hAnsi="Amiri"/>
          <w:color w:val="111111"/>
          <w:sz w:val="28"/>
          <w:szCs w:val="28"/>
          <w:rtl w:val="true"/>
          <w:lang w:bidi="ar-SA"/>
        </w:rPr>
        <w:t xml:space="preserve">. </w:t>
      </w:r>
      <w:bookmarkStart w:id="371" w:name="pg7928_85611"/>
    </w:p>
    <w:p>
      <w:pPr>
        <w:pStyle w:val="BookText"/>
        <w:rPr/>
      </w:pPr>
      <w:bookmarkEnd w:id="37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الترتيب بين الأعضاء في الوضوء واجب؛ فإن كان البلل لا زال باقيًا على أعضاء الوضوء أمكن التصحيح بأن يرجع إلى ما يحصل به الترتيب،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جفّت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الوضوء؛ لفوات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استئناف وضوءٍ جديد</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503111_1051229030"/>
      <w:bookmarkStart w:id="373" w:name="_Toc125"/>
      <w:bookmarkEnd w:id="372"/>
      <w:r>
        <w:rPr>
          <w:rtl w:val="true"/>
        </w:rPr>
        <w:t>المسألة الثانية</w:t>
      </w:r>
      <w:r>
        <w:rPr>
          <w:rtl w:val="true"/>
        </w:rPr>
        <w:t xml:space="preserve">: </w:t>
      </w:r>
      <w:r>
        <w:rPr>
          <w:rtl w:val="true"/>
        </w:rPr>
        <w:t>في الموالاة</w:t>
      </w:r>
      <w:r>
        <w:rPr>
          <w:rtl w:val="true"/>
        </w:rPr>
        <w:t>:</w:t>
      </w:r>
      <w:bookmarkEnd w:id="373"/>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واجبة، وهي أن يغسل كل عضو قبل أن يجف ما تقدمه،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 ومراعاة الجفاف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اشتراط الموالاة في الوضوء، إلا أنّهم اختلفوا في معنى الموالاة نفسها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الموالاة هي غسل كُلِّ عضوٍ قبلَ أنْ يجفَّ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فالموالاة تتحقق بغسل العضو التالي قبل أنْ يجف السابق، فيغسل المكلف يده اليمنى مثلًا قبلَ أنْ يجفَّ وجهه، ويغسل يدهاليسرى قبل أن تجف يده اليمنى، ويمسح رأسه قبل أنْ تجفَّ يده اليسرى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للموالاة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في حال الاختيار، وآخر في حال الاضطرار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حال الاختيار تعني المتابعة بين الأعضاء وعدم الفصل بينها عرفًا، أي لو رؤيَ لقيلَ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يتوضأ، ومعنى ذلك عدم الفصل بين أجزاء الوضوء بالاشتغال بما ليس منها، ولو كان الفصل بينها بالسكون </w:t>
      </w:r>
    </w:p>
    <w:p>
      <w:pPr>
        <w:pStyle w:val="BookText"/>
        <w:rPr/>
      </w:pPr>
      <w:r>
        <w:rPr>
          <w:rFonts w:ascii="Amiri" w:hAnsi="Amiri" w:eastAsia="Amiri" w:cs="Amiri"/>
          <w:color w:val="111111"/>
          <w:sz w:val="28"/>
          <w:sz w:val="28"/>
          <w:szCs w:val="28"/>
          <w:rtl w:val="true"/>
          <w:lang w:bidi="ar-SA"/>
        </w:rPr>
        <w:t>وعدم الحركة، فالموالاة في حال الاختيار تعني التتابع بين أجزاء الوضوء وعدم الفصل بيها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 الاضطرار، كانقطاع الماء أثناء الوضوء مثلًا، وانشغال المكلف بإحضار ماء جديد لإكمال الوضوء مثلاً، حينها يكون معنى الموالاة هو عدم جفاف أعضاء الوضوء، فإذا انقطع الماء وأراد المكلف إحضار ماء جديد لإكمال وضوئه، فإن لم تكن أعضاء وضوئه السابقة قد جفّت، فالموالاة متحققة،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الموالاة، وبالتالي يبطل الوضوء وعليه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القولان هما ما أشار إليهما المحقق قُدس سره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واجبة، وهي أن يغسل كل عضو قبل أن يجف ما تقدمه،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 ومراعاة الجفاف مع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المحقق قُدس سره القول الأول، وذكر الموالاة شرطًا واجبًا في الوضوء، ويبدو من عبارته أنّها من الشروط الواقعية، باعتبار أنه صرّح بأنه لو كان المكلف قد توضّأ من دونِ موالاةٍ، فوضوؤه باطلٌ مطلقًا، عالمًا كان أم جاهلًا، وعامدًا كان أم ناسيًا أم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وبلحاظ ما تقدّم،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البطلان هو ما إذا جفَّ البلل من تمام الأعضاء السابقة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جفّت الأعضاء السابقة جميعها أثناء وضوء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إكمال الواجب في العضو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وضوؤه، كما لو جفَّ كُلٌّ من الوجه </w:t>
      </w:r>
    </w:p>
    <w:p>
      <w:pPr>
        <w:pStyle w:val="BookText"/>
        <w:rPr/>
      </w:pPr>
      <w:r>
        <w:rPr>
          <w:rFonts w:ascii="Amiri" w:hAnsi="Amiri" w:eastAsia="Amiri" w:cs="Amiri"/>
          <w:color w:val="111111"/>
          <w:sz w:val="28"/>
          <w:sz w:val="28"/>
          <w:szCs w:val="28"/>
          <w:rtl w:val="true"/>
          <w:lang w:bidi="ar-SA"/>
        </w:rPr>
        <w:t>واليد اليمنى بتمامهما قبل غسل اليد اليسرى مثلًا، فهذا باطلٌ باتفاق الفقهاء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بعض النصوص، منها ما روي عَنْ مُعَاوِيَةَ بْنِ عَمَّارٍ،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وكذلك ما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بَعْضَ وُضُوئِكَ، فَعَرَضَتْ لَكَ حَاجَةٌ حَتَّى يَنْشَفَ وَضُوؤُكَ، فَأَعِدْ وُضُوءَكَ، فَإِنَّ الوُضُوءَ لَا يَتَبَعَّضُ </w:t>
      </w:r>
      <w:r>
        <w:rPr>
          <w:rStyle w:val="FootnoteAnchor"/>
          <w:rtl w:val="true"/>
        </w:rPr>
        <w:footnoteReference w:id="284"/>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نشف وضوؤك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جفاف الماء على الأعضاء </w:t>
      </w:r>
      <w:r>
        <w:rPr>
          <w:rStyle w:val="FootnoteAnchor"/>
          <w:rtl w:val="true"/>
        </w:rPr>
        <w:footnoteReference w:id="285"/>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الوضوء لا 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الوضوء حقيقةٌ واحدة، فلا بد من الإتيان بأجزائه متتابعة كعملٍ واحد، وهذا معنى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الروايات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البيانية التي حكت وضوء رسول الله صَلَّى اَللَّهُ عَلَيْهِ وَ آلِهِ وَ سَلَّمْ تدل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التتابع بين أجزاء الوضوء، ومن دون فصل، كالروايات التي تقدّمت عن الإمام الصادق أو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p>
    <w:p>
      <w:pPr>
        <w:pStyle w:val="BookText"/>
        <w:rPr/>
      </w:pPr>
      <w:r>
        <w:rPr>
          <w:rFonts w:ascii="Amiri" w:hAnsi="Amiri" w:eastAsia="Amiri" w:cs="Amiri"/>
          <w:color w:val="111111"/>
          <w:sz w:val="28"/>
          <w:sz w:val="28"/>
          <w:szCs w:val="28"/>
          <w:rtl w:val="true"/>
          <w:lang w:bidi="ar-SA"/>
        </w:rPr>
        <w:t>حكوا لأصحابهما وضوء رسول الله صَلَّى اَللَّهُ عَلَيْهِ وَ آلِهِ وَ سَلَّمْ؛ إذ غسل وجهه مباشرةً بعده غسل يده اليمنى فاليسرى، مما يدل على التتابع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ونبين 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يعني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ماءً، فإنّه يدلُّ على الإحضار الفوري، لا تباطؤ فيه ولا تراخي، إلا إذا وُجِدت قرينة تدلُّ على خلاف ذلك،فنتبع القرينة حينئذٍ، لكن إذا جاء الأمر من دون قرينةٍ، فظاهره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غسل الوجه واليدين ومسح الرأس والرجلين بأمرٍ واحدٍ في آية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فلزم فور الانتهاء من غسل الوجه غسلُ اليد اليمنى، وفور الانتهاء من غسلها غسل اليد اليسرى، وفور الانتهاء من غسلها، مسح الرأس، وفور الالتزام من مسح الرأس مسح الرجلين، فضلًا عن أنَّ الأمر يدل على الفورية كما تقدّم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أنَّ الآية الكريمة أمرت بالغسلتين والمسحتين بأمرٍ واحد، وهذا يعني لزوم الإتيان بهما فورًا، أي بالتتابع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الروايات بلزوم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الحلبي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وُضُوءَكَ بَعْضَه بَعْضاً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تحققت الموالاة والتتابع في الوضوء، ولكن جفَّ العضو السابق لعارضٍ من حرٍّ أو ريح قوية وما شابه، فهذا لا يؤثر على الموالاة؛ وذلك لأنّ جفاف أعضاء الوضوء يعود إلى أحد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أجزاء الوضوء؛ ويترتب عليه فوات الموالاة، فبطلان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 في رواية معاوية بن عمار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وكذا في رواية أبي بصير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بَعْضَ وُضُوئِكَ، فَعَرَضَتْ لَكَ حَاجَةٌ حَتَّى يَنْشَفَ وَضُوؤُكَ، فَأَعِدْ وُضُوءَكَ، فَإِنَّ الوُضُوءَ لَا يَتَبَعَّضُ </w:t>
      </w:r>
      <w:r>
        <w:rPr>
          <w:rStyle w:val="FootnoteAnchor"/>
          <w:rtl w:val="true"/>
        </w:rPr>
        <w:footnoteReference w:id="28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فالجفاف في هاتين الروايتين كان بسبب تأخر الجارية في إحضار الماء في الأولى، وبسبب انشغال المكلف بحاجةٍ ما عرضت له في الثانية، وكلاهما </w:t>
      </w:r>
      <w:bookmarkStart w:id="374" w:name="pg7928_85621"/>
    </w:p>
    <w:p>
      <w:pPr>
        <w:pStyle w:val="BookText"/>
        <w:rPr/>
      </w:pPr>
      <w:bookmarkEnd w:id="374"/>
      <w:r>
        <w:rPr>
          <w:rFonts w:ascii="Amiri" w:hAnsi="Amiri" w:eastAsia="Amiri" w:cs="Amiri"/>
          <w:color w:val="111111"/>
          <w:sz w:val="28"/>
          <w:sz w:val="28"/>
          <w:szCs w:val="28"/>
          <w:rtl w:val="true"/>
          <w:lang w:bidi="ar-SA"/>
        </w:rPr>
        <w:t>يُسبّب التفريق بين أعضاء الوضوء، وهذا معنى فوات الموالاة؛ لذا حكم الإمام بلزوم 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سوى التفريق بين أجزاء الوضوء؛ كالجو الحار أو الريح القوية أو لحرارة جسم المتوضئ مثلًا، بحيثلا يتمكن المكلف من إتمام وضوئه دون أن تجف أعضاؤه، فحينئذٍ لا يُعد ذلك فواتًا للموالاة، ولا يتسبب في بطلان الوضوء؛ لعدم صدق التفريق</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6503113_1051229030"/>
      <w:bookmarkStart w:id="376" w:name="_Toc126"/>
      <w:bookmarkEnd w:id="375"/>
      <w:r>
        <w:rPr>
          <w:rtl w:val="true"/>
        </w:rPr>
        <w:t>المسألة الثالثة</w:t>
      </w:r>
      <w:r>
        <w:rPr>
          <w:rtl w:val="true"/>
        </w:rPr>
        <w:t xml:space="preserve">: </w:t>
      </w:r>
      <w:r>
        <w:rPr>
          <w:rtl w:val="true"/>
        </w:rPr>
        <w:t>عدد الغسلات والمسحات</w:t>
      </w:r>
      <w:r>
        <w:rPr>
          <w:rtl w:val="true"/>
        </w:rPr>
        <w:t>:</w:t>
      </w:r>
      <w:bookmarkEnd w:id="376"/>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الغسلات مرة واحدة، والثانية سنة، والثالثة بدعة، وليس في المسح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أمورٌ أربعةٌ يذكرها المحقق قُدس سره في هذه المسألة، هي</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503115_1051229030"/>
      <w:bookmarkStart w:id="378" w:name="_Toc127"/>
      <w:bookmarkEnd w:id="377"/>
      <w:r>
        <w:rPr>
          <w:rtl w:val="true"/>
        </w:rPr>
        <w:t>الأمر الأول</w:t>
      </w:r>
      <w:r>
        <w:rPr>
          <w:rtl w:val="true"/>
        </w:rPr>
        <w:t xml:space="preserve">: </w:t>
      </w:r>
      <w:r>
        <w:rPr>
          <w:rtl w:val="true"/>
        </w:rPr>
        <w:t>أن الواجب في غسل الوجه واليدين هي غسلة واحدة فقط</w:t>
      </w:r>
      <w:r>
        <w:rPr>
          <w:rtl w:val="true"/>
        </w:rPr>
        <w:t>:</w:t>
      </w:r>
      <w:bookmarkEnd w:id="378"/>
    </w:p>
    <w:p>
      <w:pPr>
        <w:pStyle w:val="BookText"/>
        <w:rPr/>
      </w:pPr>
      <w:r>
        <w:rPr>
          <w:rFonts w:ascii="Amiri" w:hAnsi="Amiri" w:eastAsia="Amiri" w:cs="Amiri"/>
          <w:color w:val="111111"/>
          <w:sz w:val="28"/>
          <w:sz w:val="28"/>
          <w:szCs w:val="28"/>
          <w:rtl w:val="true"/>
          <w:lang w:bidi="ar-SA"/>
        </w:rPr>
        <w:t>بأن يغسل المكلف وجهه مرة واحدة، ويده اليمنى مرة واحدة، ويده اليسرى مرة واحدة، وهذا مما لا خلاف فيه؛ ويمكن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المرة الواحدة هو القدر المُتيقن من الأمر بالغسل ما لم تكن هناك قرينة تدل على أكثر من 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هو لزوم المرة الواحدة، وما عداها يحتاج إلى دليل آخر، أو قرينة تدل على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يحتاج إلى دليل آخر؛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الفاتحة، وقرأتها مرةً واحدةً، تكون قد امتثلت للأمر وأدّيت المأمور به، إذ لا يُفهم من الأمر ذلك سوى وجوب الإتيان بالمأموربه مرةً واحدةً، فإن أراد الآمر أن تأتي به أكثر من مرة، لزم أن يبين ذلك ببيانٍ إضافي، أي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يأتِ بدليلٍ آخر كان الواجب مرة واحدة فقط، وكذا في غسل أعضاء الوضوء، فلمّا لم يأتِ دليل يدل على لزوم غسلها أكثر من مرة واحدة، كان الواجب مرة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المبيّنة لوضوء النبي صَلَّى اَللَّهُ عَلَيْهِ وَ آلِهِ وَ سَلَّمْ، إذ كان الإمام يغسل وجهه مرة واحدة ويغسل يده اليمنى مرة واحدة وكذا في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بعض الروايات بهذا المعنى منها ما روي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عَلِيٍّ عَلَيْهِ السَّلاَمُ إِلَّا مَرَّةً مَرَّةً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وفي روايةٍ أخرى أيضًا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وضوء رسول الله صَلَّى اَللَّهُ عَلَيْهِ وَ آلِهِ وَ سَلَّمْ إلا مرةً واحدة </w:t>
      </w:r>
      <w:r>
        <w:rPr>
          <w:rStyle w:val="FootnoteAnchor"/>
          <w:rtl w:val="true"/>
        </w:rPr>
        <w:footnoteReference w:id="29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الروايات أن الواجب في غسل أعضاء الوضوء مرة واحدة فقط، وهو ما عبّر عته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في الغسلات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والفرض أي الواجب</w:t>
      </w:r>
      <w:r>
        <w:rPr>
          <w:rFonts w:eastAsia="Amiri" w:cs="Amiri" w:ascii="Amiri" w:hAnsi="Amiri"/>
          <w:color w:val="111111"/>
          <w:sz w:val="28"/>
          <w:szCs w:val="28"/>
          <w:rtl w:val="true"/>
          <w:lang w:bidi="ar-SA"/>
        </w:rPr>
        <w:t xml:space="preserve">. </w:t>
      </w:r>
      <w:bookmarkStart w:id="379" w:name="pg7928_85624"/>
    </w:p>
    <w:p>
      <w:pPr>
        <w:pStyle w:val="Heading3"/>
        <w:numPr>
          <w:ilvl w:val="2"/>
          <w:numId w:val="1"/>
        </w:numPr>
        <w:rPr/>
      </w:pPr>
      <w:bookmarkStart w:id="380" w:name="__RefHeading___Toc6503117_1051229030"/>
      <w:bookmarkStart w:id="381" w:name="_Toc128"/>
      <w:bookmarkEnd w:id="379"/>
      <w:bookmarkEnd w:id="380"/>
      <w:r>
        <w:rPr>
          <w:rtl w:val="true"/>
        </w:rPr>
        <w:t>الأمر الثاني</w:t>
      </w:r>
      <w:r>
        <w:rPr>
          <w:rtl w:val="true"/>
        </w:rPr>
        <w:t xml:space="preserve">: </w:t>
      </w:r>
      <w:r>
        <w:rPr>
          <w:rtl w:val="true"/>
        </w:rPr>
        <w:t>استحباب غسل الوجه واليدين مرةً ثانية</w:t>
      </w:r>
      <w:r>
        <w:rPr>
          <w:rtl w:val="true"/>
        </w:rPr>
        <w:t>:</w:t>
      </w:r>
      <w:bookmarkEnd w:id="381"/>
    </w:p>
    <w:p>
      <w:pPr>
        <w:pStyle w:val="BookText"/>
        <w:rPr/>
      </w:pPr>
      <w:r>
        <w:rPr>
          <w:rFonts w:ascii="Amiri" w:hAnsi="Amiri" w:eastAsia="Amiri" w:cs="Amiri"/>
          <w:color w:val="111111"/>
          <w:sz w:val="28"/>
          <w:sz w:val="28"/>
          <w:szCs w:val="28"/>
          <w:rtl w:val="true"/>
          <w:lang w:bidi="ar-SA"/>
        </w:rPr>
        <w:t>وهذا ما تدلُّ عليه بعض النصوص، منها ما روي عن صفوان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مثنى مثنى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وهنا يتبادر سؤالٌ إلى الذهن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هذه الرواية هو وجوب غسل أعضاء الوضوء مرتين، فكيف فهم منها الفقهاء الاستحباب لا الوجوب؟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وإنْ سلّمنا أنّ ظاهر هذه الرواية هو الوجوب، فلا بُدّ من حملها على الاستحباب؛ لتصريح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الغسل مرة واحدة فقط، وبذا تكون قرينة على أنّ المقصود من الروايات التي ذكرت الغسل مثنى مثنى هو الاستحباب لا الوجوب</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6503119_1051229030"/>
      <w:bookmarkStart w:id="383" w:name="_Toc129"/>
      <w:bookmarkEnd w:id="382"/>
      <w:r>
        <w:rPr>
          <w:rtl w:val="true"/>
        </w:rPr>
        <w:t>الأمر الثالث</w:t>
      </w:r>
      <w:r>
        <w:rPr>
          <w:rtl w:val="true"/>
        </w:rPr>
        <w:t xml:space="preserve">: </w:t>
      </w:r>
      <w:r>
        <w:rPr>
          <w:rtl w:val="true"/>
        </w:rPr>
        <w:t>الغسلة الثالثة بدعةٌ</w:t>
      </w:r>
      <w:r>
        <w:rPr>
          <w:rtl w:val="true"/>
        </w:rPr>
        <w:t>:</w:t>
      </w:r>
      <w:bookmarkEnd w:id="383"/>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إدخال ما ليس من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وجود دليلٍ عليه من آية كريمة أو سنة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بدعوى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التكليفي هي الحرمة بلا شك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لم يدل الدليل الشرعي على الغسلة الثالثة في الوضوء، فيكون الإتيان بها بدعوى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أنّها مشرّعة من قبل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وهذا ما ذكره المحقق قُدس سره في المسألة الثالثة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بدعة</w:t>
      </w:r>
      <w:r>
        <w:rPr>
          <w:rFonts w:eastAsia="Amiri" w:cs="Amiri" w:ascii="Amiri" w:hAnsi="Amiri"/>
          <w:color w:val="111111"/>
          <w:sz w:val="28"/>
          <w:szCs w:val="28"/>
          <w:rtl w:val="true"/>
          <w:lang w:bidi="ar-SA"/>
        </w:rPr>
        <w:t xml:space="preserve">. </w:t>
      </w:r>
      <w:bookmarkStart w:id="384" w:name="pg7928_85626"/>
    </w:p>
    <w:p>
      <w:pPr>
        <w:pStyle w:val="BookText"/>
        <w:rPr/>
      </w:pPr>
      <w:bookmarkEnd w:id="384"/>
      <w:r>
        <w:rPr>
          <w:rFonts w:ascii="Amiri" w:hAnsi="Amiri" w:eastAsia="Amiri" w:cs="Amiri"/>
          <w:color w:val="111111"/>
          <w:sz w:val="28"/>
          <w:sz w:val="28"/>
          <w:szCs w:val="28"/>
          <w:rtl w:val="true"/>
          <w:lang w:bidi="ar-SA"/>
        </w:rPr>
        <w:t>وأما الإتيان بها سهوًا، أو نسيانًا، أو لأجل التبريد، فليست من البدعة بشيء، لانعدام قصد التشريع عند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عن الحكم الوضعي، فهل يبطل الوضوء بالغسلة الثالثة أو لا؟</w:t>
      </w:r>
    </w:p>
    <w:p>
      <w:pPr>
        <w:pStyle w:val="BookText"/>
        <w:rPr/>
      </w:pPr>
      <w:r>
        <w:rPr>
          <w:rFonts w:ascii="IRNazanin" w:hAnsi="IRNazanin" w:eastAsia="IRNazanin"/>
          <w:color w:val="111111"/>
          <w:sz w:val="28"/>
          <w:sz w:val="28"/>
          <w:szCs w:val="28"/>
          <w:rtl w:val="true"/>
          <w:lang w:bidi="fa-IR"/>
        </w:rPr>
        <w:t>هنا 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مُحرّمةٌ تكليفًا ووضعًا؛ فإذا جاء المكلف بها بقصد التشريع، فقد اكتسب إثمًا؛ لحرمتها التكليفية، وكان وضوؤه باطلًا؛ للأثر الوضعي المترتب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محرمةٌ تكليفًا، ولكنّها لا أثر وضعيًا يترتب عليها؛ ومن ثَمّ فلا يبطل الوضوء بالإتيان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الإتيان بها بدعوى التشريع عن جهل تقصيري بطل الوضوء، وإن كان الإتيان بها بدعوى التشريع عن جهل قصوري لم يبطل الوضوء</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503121_1051229030"/>
      <w:bookmarkStart w:id="386" w:name="_Toc130"/>
      <w:bookmarkEnd w:id="385"/>
      <w:r>
        <w:rPr>
          <w:rtl w:val="true"/>
        </w:rPr>
        <w:t>الأمر الرابع</w:t>
      </w:r>
      <w:r>
        <w:rPr>
          <w:rtl w:val="true"/>
        </w:rPr>
        <w:t xml:space="preserve">: </w:t>
      </w:r>
      <w:r>
        <w:rPr>
          <w:rtl w:val="true"/>
        </w:rPr>
        <w:t>عدم استحباب تكرار المسح</w:t>
      </w:r>
      <w:r>
        <w:rPr>
          <w:rtl w:val="true"/>
        </w:rPr>
        <w:t>:</w:t>
      </w:r>
      <w:bookmarkEnd w:id="386"/>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المسح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يستحب تكرار المسح؛ وذلك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بمسح الرأس والرجلين يتحقق بالمرة الواحدة بلا خلاف</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المسح يحتاج إلى دليل، ولا دليل على ذلك</w:t>
      </w:r>
      <w:r>
        <w:rPr>
          <w:rFonts w:eastAsia="Amiri" w:cs="Amiri" w:ascii="Amiri" w:hAnsi="Amiri"/>
          <w:color w:val="111111"/>
          <w:sz w:val="28"/>
          <w:szCs w:val="28"/>
          <w:rtl w:val="true"/>
          <w:lang w:bidi="ar-SA"/>
        </w:rPr>
        <w:t xml:space="preserve">. </w:t>
      </w:r>
      <w:bookmarkStart w:id="387" w:name="pg7928_85629"/>
    </w:p>
    <w:p>
      <w:pPr>
        <w:pStyle w:val="BookText"/>
        <w:rPr/>
      </w:pPr>
      <w:bookmarkEnd w:id="387"/>
      <w:r>
        <w:rPr>
          <w:rFonts w:ascii="Amiri" w:hAnsi="Amiri" w:eastAsia="Amiri" w:cs="Amiri"/>
          <w:color w:val="111111"/>
          <w:sz w:val="28"/>
          <w:sz w:val="28"/>
          <w:szCs w:val="28"/>
          <w:rtl w:val="true"/>
          <w:lang w:bidi="ar-SA"/>
        </w:rPr>
        <w:t>فإنْ كرَّر المكلف المسح؛ بأنْ مسح رأسه مرتين، أو مسح رجليه مرتين، فما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مع قصد التشريع، فعمله بدعة، فيؤثم، ولكن لا يبطل وضوؤه؛ للإجماع</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503123_1051229030"/>
      <w:bookmarkStart w:id="389" w:name="_Toc131"/>
      <w:bookmarkEnd w:id="388"/>
      <w:r>
        <w:rPr>
          <w:rtl w:val="true"/>
        </w:rPr>
        <w:t>المسألة الرابعة</w:t>
      </w:r>
      <w:r>
        <w:rPr>
          <w:rtl w:val="true"/>
        </w:rPr>
        <w:t xml:space="preserve">: </w:t>
      </w:r>
      <w:r>
        <w:rPr>
          <w:rtl w:val="true"/>
        </w:rPr>
        <w:t>الواجب في الغسل</w:t>
      </w:r>
      <w:r>
        <w:rPr>
          <w:rtl w:val="true"/>
        </w:rPr>
        <w:t>:</w:t>
      </w:r>
      <w:bookmarkEnd w:id="389"/>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في الغسل ما يسمى به غاسلًا، وإن كان مثل الدهن، ومن كان في يده خاتمٌ أو سير، فعليه إيصال الماء إلى ما تحته، وإن كان واسعًا استُحبّ له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المحقق قُدس سره بعض أحكام الغسل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يتحقق به أقل المسمى؟</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يحصل به المسمى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مقدارٌ من الماء على البشرة، ولو بمعاون، أي يُجزي أن يأخذ المكلف الماء بيده، فيضعه على مقدار من البشرة، ثم يُجري هذا المقدار من الماءإلى مقدار آخر منها، وبذلك يتحقق مسمى الغسل عرفاً، وأما باقي البشرة فيكفي في تحقق غسلها ولو بمثل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في هذا التعبير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تعبير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يقصد المحقق قُدس سره الدهن حقيقةً، كما لو أخذ شخصٌ مقدارًا من الماء وقام بدهن بشرته به، بل هو كناية عن جريان الماء، ولو كان الجريان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تعبير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المحقق قُدس سره يقصد الدهن حقيقةً، ويكون بغسل القليل من الوجه، وأما الباقي فيكفي دهنه ببلة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هذا الاحتمال بوروده في الروايات، حيث إنَّ اللفظ يُحمل على ظاهره ومعناه الحقيقي، إلا إذا جاءت قرينة تدل على أنّ المراد من الدهن هو المجاز والكناية وليس الحقيقة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ذكرت بعض الروايات الدهن فقط،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جريان الماء ولو قليلًا، ولا قرينة تدل على هذا المعنى أيضاً، فنحمل الدهن على معناه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الروايات ما ورد عَنْ زُرَارَةَ ومُحَمَّدِ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تعالى، لِيَعْلَمَ اللهُ تعالى مَنْ يُطِيعُه ومَنْ يَعْصِيه، وإِنَّ المُؤْمِنَ لَا يُنَجِّسُه شَيْءٌ، 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وفي روايةٍ أُخرى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أَحَدُكُمُ الرَّاحَةَ مِنَ الدُّهْنِ، فَيَمْلأُ بِهَا جَسَدَه، والماءُ أَوْسَعُ مِنْ ذَلِكَ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وجود خاتمٍ أو سوار على الغسل إذا تحقَّق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المطلوب هو إيصال الماء إلى البشرة، فإن كان الخاتم أو السوار واسعًا، بحيث يمكن للماء أن يصل إلى ما تحته، كفى، وإنْ كان يُستحب التحريك؛ لأنّه الأحوط في تحقق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الخاتم أو السوار ضيقًا، فحينئذٍ يجب تحريكه؛ لأجل أنْ يصل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تمام اليد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والامتثال لهذا الأمر لا يتحقق إلا بغسل تمام اليد، وذلك بإيصال الماء إلى جميع أجزائها، ومن هنا، فلو كان الخاتم ضيقًا، فإنَّ المكلف لا يحرز وصول الماء إلى ما تحته، وعليه لا بُدّ من تحريك الخاتم أو السوار لأجل إيصال الماء إلى ما تحته</w:t>
      </w:r>
      <w:r>
        <w:rPr>
          <w:rFonts w:eastAsia="Amiri" w:cs="Amiri" w:ascii="Amiri" w:hAnsi="Amiri"/>
          <w:color w:val="111111"/>
          <w:sz w:val="28"/>
          <w:szCs w:val="28"/>
          <w:rtl w:val="true"/>
          <w:lang w:bidi="ar-SA"/>
        </w:rPr>
        <w:t xml:space="preserve">. </w:t>
      </w:r>
      <w:bookmarkStart w:id="390" w:name="pg7928_85634"/>
    </w:p>
    <w:p>
      <w:pPr>
        <w:pStyle w:val="BookText"/>
        <w:rPr/>
      </w:pPr>
      <w:bookmarkEnd w:id="390"/>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دلّت على لزومِ تحريك الخاتم أو 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المَرْأَةِ، عَلَيْهَا السِّوَارُ والدُّمْلُجُ فِي بَعْضِ ذِرَاعِهَا، لَا تَدْرِي يَجْرِي الماءُ تَحْتَه أَمْ لَا، كَيْفَ تَصْنَعُ إِذَا تَوَضَّأَتْ أَوِ اغْتَسَلَتْ؟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الخَاتَمِ الضَّيِّقِ لَا يَدْرِي هَلْ يَجْرِي الماءُ تَحْتَه إِذَا تَوَضَّأَ أَمْ لَا،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 المَاءَ لَا يَدْخُلُه فَلْيُخْرِجْه إِذَا تَوَضَّأَ </w:t>
      </w:r>
      <w:r>
        <w:rPr>
          <w:rStyle w:val="FootnoteAnchor"/>
          <w:rtl w:val="true"/>
        </w:rPr>
        <w:footnoteReference w:id="294"/>
      </w:r>
      <w:r>
        <w:rPr>
          <w:rFonts w:ascii="Amiri" w:hAnsi="Amiri" w:eastAsia="Amiri" w:cs="Amiri"/>
          <w:color w:val="111111"/>
          <w:sz w:val="28"/>
          <w:sz w:val="28"/>
          <w:szCs w:val="28"/>
          <w:rtl w:val="true"/>
          <w:lang w:bidi="ar-SA"/>
        </w:rPr>
        <w:t>فلا بد من إحراز وصول الماء إلى ما تحت السوار أو الخاتم، سواء أكان بخلعهما أم تحريكهما، والأول غير واجب، وإن كان جائزًا، وأما الثاني فهو أقل ما يمكن به تحقيق المطلوب، وهو إيصال الماء إلى البشرة</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6503125_1051229030"/>
      <w:bookmarkStart w:id="392" w:name="_Toc132"/>
      <w:bookmarkEnd w:id="391"/>
      <w:r>
        <w:rPr>
          <w:rtl w:val="true"/>
        </w:rPr>
        <w:t>المسألة الخامسة</w:t>
      </w:r>
      <w:r>
        <w:rPr>
          <w:rtl w:val="true"/>
        </w:rPr>
        <w:t xml:space="preserve">: </w:t>
      </w:r>
      <w:r>
        <w:rPr>
          <w:rtl w:val="true"/>
        </w:rPr>
        <w:t>الوضوء الجبيري</w:t>
      </w:r>
      <w:r>
        <w:rPr>
          <w:rtl w:val="true"/>
        </w:rPr>
        <w:t>:</w:t>
      </w:r>
      <w:bookmarkEnd w:id="39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بعض أعضاء طهارته جبائر؛ فإنْ أمكنه نزعها أو تكرار الماء عليها حتى يصل إلى البشرة وجب، وإلا أجزأه المسح عليها، سواء كان ما تحتها طاهرًا أو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زال العذر، استأنف الطهارة، على تردد فيه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موضوع الجبائر توجد الكثير من المسائل، ولكننا سنقتصر بالحديث عمّا ذكره المحقق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المحقق قُدس سره في هذه المسألة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أولاً وبالذات، وبالحكم الأولي، هو إيصال الماء إلى البشرة عند الوضوء، ومعه، فوجود جبيرةٍ على بشرة العضو الذي يجب غسله أو مسحه، مانع من هذا الحكم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يُتصوَّر هذا المانع في ثلاث حالات، لكل منها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يُمكِنَ نزع الجبيرة من دون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للمكلف أن ينزع الجبيرة وأداء الوضوء ثم إرجاعها، ولا ضرر يلحقه من ذلك، فحينئذٍ تجب إزالة الجبيرة، ثم الوضوء، ثم إرجاعها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وجود الجبيرة مانعًا من وصول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لو صبَّ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إلى ما تحت الجبيرة، فحينئذٍ لا يجب عليه نزع الجبيرة، بل يكفي إيصال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نزعها ولا يسهل ولا يتيسر إيصال الماء إلى البشرة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كانت الجبيرة كبيرة وملتصقةً على البشرة، كجبيرة العظم المكسور عادةً، فهذه لا يمكن نزعها ولا يمكن إيصال الماء إلى البشرة التي تحتها، فحينئذٍ يكفي المسح على الجبيرة، سواء أكانت على عضوٍ يجب غسله أم مسحه، وسواء أكان ما تحت الجبيرة طاهرًا أم نجسًا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الأحكام الثلاثة التي ذكرها المحقق قُدس سره في الأمر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عليها الروايات، منها ما روي عَنِ الحَلَبِيِّ عَنْ أَبِي عَبْدِ الله عَلَيْهِ السَّلاَمُ أَنَّه سُئِلَ عَنِ الرَّجُلِ يَكُونُ بِه القَرْحَةُ فِي ذِرَاعِه، أَوْ نَحْوِ ذَلِكَ، فِي مَوْضِعِ الوُضُوءِ، فَيُعَصِّبُهَا بِالخِرْقَةِ، ويَتَوَضَّأُ ويَمْسَحُ عَلَيْهَا إِذَاتَوَضَّأَ؟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وإِنْ كَانَ لَا يُؤْذِيه الماءُ فَلْيَنْزِعِ الخِرْقَةَ ثُمَّ 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الجُرْحِ كَيْفَ أَصْنَعُ بِه فِي غَسْلِه؟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حَوْلَه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الوضوء الجبيري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أثر الوضوء الجبيري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 المفعول حتى بعد رفعها؟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توضأ المكلف بالوضوء الجبيري؛ لعذر، وبعدئذٍ زال العذر، فرفع الجبيرة، ولم يكن قد صدر منه ما ينقض الوضوء، ففي سريان مفعول وضوئه الجبيري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إمكانه القيام بما تجب به الطهارة كالصلاة مثلًا بنفس وضوئه الجبيري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 يمكن استفادتهما من تردد المحقق فيه،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استأنف الطهارة على ترددٍ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وللتردد هذا وجهان،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الجبيرية طهارة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يأتِ المكلف إلا بما هو مأمورٌ به شرعًا حال وجود الجبيرة، ولم يُحْدِث بعد الوضوء، لذلك يمكنه الإتيان بما تجب فيه الطهارة ومنها الصلاة، ولا وجه لوجوب الاستئناف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الجبيري إنما شُرِّع لضرورةٍ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من خلال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يمكنه نزع الجبيرة، ولا يمكنه إيصال الماء إلى البشرة التي تحت الجبيرة، ولأجل تلك الضرورة شُرِّع الوضوء الجبيري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الضرورات تُقدَّر بقدرها، فإذا ارتفعت الضرورة فلا وجه لبقاء الوضوء الجبيري، وحينئذٍ يلزمه أنْ يستأنف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المضطر لأكل الميتة؛ لضرورة إنقاذ النفس من الهلاك، فإنه إذا تيّسر له طعامٌ آخر وجب عليه التوقف عن أكل الميتة؛ لحرمتها بالحكم الأولي، وزوال الحكم الثانوي بالحلية بزوال الضرورة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فطالما تيسّر للمكلف الإتيان بالوضوء الاعتيادي؛ لزوال ضرورة وجود الجبيرة بزوال الحاجة إليها، ومن ثم زوال الحكم الثانوي بجواز الوضوء الجبيري ووجوب الامتثال للحكم الأولي، وجب عليه استئناف الوضوء</w:t>
      </w:r>
      <w:r>
        <w:rPr>
          <w:rFonts w:eastAsia="Amiri" w:cs="Amiri" w:ascii="Amiri" w:hAnsi="Amiri"/>
          <w:color w:val="111111"/>
          <w:sz w:val="28"/>
          <w:szCs w:val="28"/>
          <w:rtl w:val="true"/>
          <w:lang w:bidi="ar-SA"/>
        </w:rPr>
        <w:t xml:space="preserve">. </w:t>
      </w:r>
      <w:bookmarkStart w:id="393" w:name="pg7928_85642"/>
    </w:p>
    <w:p>
      <w:pPr>
        <w:pStyle w:val="BookText"/>
        <w:rPr/>
      </w:pPr>
      <w:bookmarkEnd w:id="393"/>
      <w:r>
        <w:rPr>
          <w:rFonts w:ascii="Amiri" w:hAnsi="Amiri" w:eastAsia="Amiri" w:cs="Amiri"/>
          <w:color w:val="111111"/>
          <w:sz w:val="28"/>
          <w:sz w:val="28"/>
          <w:szCs w:val="28"/>
          <w:rtl w:val="true"/>
          <w:lang w:bidi="ar-SA"/>
        </w:rPr>
        <w:t>ومن الواضح أنَّ الاحتياط يتحقق باستئناف الوضوء؛ ولعله لذلك صرّح المحقق قُدس سره باستئناف الطهارة، ولكنه تردد للوجهين المتقدمين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503127_1051229030"/>
      <w:bookmarkStart w:id="395" w:name="_Toc133"/>
      <w:bookmarkEnd w:id="394"/>
      <w:r>
        <w:rPr>
          <w:rtl w:val="true"/>
        </w:rPr>
        <w:t>المسألة السادسة</w:t>
      </w:r>
      <w:r>
        <w:rPr>
          <w:rtl w:val="true"/>
        </w:rPr>
        <w:t xml:space="preserve">: </w:t>
      </w:r>
      <w:r>
        <w:rPr>
          <w:rtl w:val="true"/>
        </w:rPr>
        <w:t>المباشرة بالوضوء</w:t>
      </w:r>
      <w:r>
        <w:rPr>
          <w:rtl w:val="true"/>
        </w:rPr>
        <w:t>:</w:t>
      </w:r>
      <w:bookmarkEnd w:id="395"/>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يتولى وضوءه غيره مع الاختيار، ويجوز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المحقق قُدس سره في هذه المسألة إلى شرط مباشرة المكلف نفسه للوضوء، عبر ذكر حكمي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والثانوي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وجوب مباشرة الفرد وضوء نفسه، أي أن يقوم هو بالغسلتين والمسحتين؛ وذلك لأنّ امتثال الأوامر الشرعية إنّما يتحقّق بالمباشرة، فكما أنَّ الامتثال للأمر الإلهي بالصلاة يوجب على المكلف أن يباشر هو نفسه بالصلاة، ولا تصح صلاة غيره عنه، فكذا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أنْ يقوم المكلف نفسه بتنفيذ الأمر الشرعي بالوضوء، فيغسل وجهه ويديه، ويمسح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أي مع عدم قدرة المكلف على مباشرة الوضوء بنفسه لسببٍ أو لآخر، حينئذٍ يجوز أن يوضّئه غيرُه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ذكره المحقق قُدس سره باختصار، وإلا ففي المسألة تفاصيل يُرجع فيها إلى الرسالة العملية</w:t>
      </w:r>
      <w:r>
        <w:rPr>
          <w:rFonts w:eastAsia="Amiri" w:cs="Amiri" w:ascii="Amiri" w:hAnsi="Amiri"/>
          <w:color w:val="111111"/>
          <w:sz w:val="28"/>
          <w:szCs w:val="28"/>
          <w:rtl w:val="true"/>
          <w:lang w:bidi="ar-SA"/>
        </w:rPr>
        <w:t xml:space="preserve">. </w:t>
      </w:r>
      <w:bookmarkStart w:id="396" w:name="pg7928_85643"/>
    </w:p>
    <w:p>
      <w:pPr>
        <w:pStyle w:val="Heading3"/>
        <w:numPr>
          <w:ilvl w:val="2"/>
          <w:numId w:val="1"/>
        </w:numPr>
        <w:rPr/>
      </w:pPr>
      <w:bookmarkStart w:id="397" w:name="__RefHeading___Toc6503129_1051229030"/>
      <w:bookmarkStart w:id="398" w:name="_Toc134"/>
      <w:bookmarkEnd w:id="396"/>
      <w:bookmarkEnd w:id="397"/>
      <w:r>
        <w:rPr>
          <w:rtl w:val="true"/>
        </w:rPr>
        <w:t>المسألة السابعة</w:t>
      </w:r>
      <w:r>
        <w:rPr>
          <w:rtl w:val="true"/>
        </w:rPr>
        <w:t xml:space="preserve">: </w:t>
      </w:r>
      <w:r>
        <w:rPr>
          <w:rtl w:val="true"/>
        </w:rPr>
        <w:t>حكم مسّ المحدث للقرآن الكريم</w:t>
      </w:r>
      <w:r>
        <w:rPr>
          <w:rtl w:val="true"/>
        </w:rPr>
        <w:t>:</w:t>
      </w:r>
      <w:bookmarkEnd w:id="398"/>
    </w:p>
    <w:p>
      <w:pPr>
        <w:pStyle w:val="BookText"/>
        <w:rPr/>
      </w:pPr>
      <w:r>
        <w:rPr>
          <w:rFonts w:ascii="Amiri" w:hAnsi="Amiri" w:eastAsia="Amiri" w:cs="Amiri"/>
          <w:color w:val="111111"/>
          <w:sz w:val="28"/>
          <w:sz w:val="28"/>
          <w:szCs w:val="28"/>
          <w:rtl w:val="true"/>
          <w:lang w:bidi="ar-SA"/>
        </w:rPr>
        <w:t>قال قُدس سره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للمحدث مسّ كتابة القرآن، ويجوز له أنْ يمس ما عدا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مسألة جواز مسّ كتابة القرآن لغير المتوضئ أو عدم جوازه من المسائل الابتلائية، وقبل تناول ما تعرّض به المحقق قُدس سره لهذه المسألة لا بد من التسليم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القرآن من دون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كحكمٍ أولي يجوز للمكلف أن يقرأ القرآن من دون وضوء، فإن ابتغى أنْ يجعل من قراءته وسيلةً للتقرُّب إلى الله تعالى أكثر، ويرتقي في مدارج الكمال ويحصل على ثوابٍ أعظم عبرها، فيُستحَبُّ له أنْ يتطهّر بأنْ يتوضّأ مثلًا قبل البدء بتلاوته،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يقرأ العبدُ القرآنَ إذا كان على غير طهور حتى يتطهر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 غير الكتابة من القرآن الكريم من دون وضوء، كغلاف القرآن وحواشي الأوراق وما بين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كتابة القرآن الكريم، فهل يجوز للمحدث مسّها؟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المقام توجد آراء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بعدم الجواز وبحرمة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له بعدّةِ أدلةٍ، نذكر منها دليلين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فقد استُدِلّ بهذه الآية على عدم جواز مس كتابة القرآن الكريم للمحدث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ويتوقف هذا الاستدلال على ثلاث مقدمات، بعد تسليم أن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لا إنشائية؛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لا ناهية،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استثناء ملغاة،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جملة خبرية، إلا أنَّ المقصود منها النهي لا النفي؛ لما تقدّم من أنّ الجملة الخبرية في بعض الأحيان تدلُّ على الوجوب، نحو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الإعادة كالفعل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المتوضئين أو المغتسلين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توفرت لديهم الطهارة الشرعية الرافعة للحدث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تمّت هذه المقدمات حينئذٍ يكون منطوق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المتطهِّر أنْ يمسَّ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الدليل في كُلِّ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الضمير يرجع إلى أقرب عائد، والعائد الأقرب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يعود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يكون النهي عن مس الكتاب المكنون لا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فيه أن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يُحتمل فيه أن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حينئذٍ مجملة، ومن ثم يبطل الاستدلال على أي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لا الإنشاء، فلا تدل على النهي، بل تدل على النفي؛ وقد تقدّم أنَّ الظاهر حجة، ولا يصح الانتقال عنه إلى ما يخالفه إلا بوجود قرينة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أي من وقع عليه فعل التطهير، لا من هو قام بالتطهير، والقائم بالطهارة لا بُدّ أنْ يكوناسم فاعلٍ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المتوضئين أو المغتسلين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ليست في معرض بيان حكم فقهي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مسِّ القرآن الكريم إلا إذا كان الشخص مُتطهرًا، أي متوضئًا، بل تدلُّ على أنَّ القرآن الكريم موجود في كتاب مكنون، ذلك الكتاب المكنون لا يمسه،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 ولا يفهمه؛ لعظمة معانيه ودقتها، إلا المطهَّرون، أي الذين طهرهم الله تعالى تطهيرًا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قال المحقق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مسُّ كتابة القرآن الكريم من غير وضوء؟</w:t>
      </w:r>
    </w:p>
    <w:p>
      <w:pPr>
        <w:pStyle w:val="BookText"/>
        <w:rPr/>
      </w:pPr>
      <w:r>
        <w:rPr>
          <w:rFonts w:ascii="Amiri" w:hAnsi="Amiri" w:eastAsia="Amiri" w:cs="Amiri"/>
          <w:color w:val="111111"/>
          <w:sz w:val="28"/>
          <w:sz w:val="28"/>
          <w:szCs w:val="28"/>
          <w:rtl w:val="true"/>
          <w:lang w:bidi="ar-SA"/>
        </w:rPr>
        <w:t>المشهور بين المتقدمين والمتأخرين حرمةُ المسِّ من غير طهر، بل عن ظاهر جماعةٍ دعوى الإجماع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ذهب إليه المشهور هو الصحيح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الآية المباركة أنّ الكتابةَ لعظمة معاني آياته ودقة مطالبه لا ينال فهمها ولا يدركها إلا من طهّره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عَلَيْهِم السَّلاَمُ؛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دلالةٍ على حصر جواز المسِّ للمُتطهِّر؛ لأنّ المُطهَّر غيرُ المُتطهِّر،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الكتاب المكنون وهو اللوح المحفوظ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أنّ الكتاب المكنون لا يمسّه إلا المُطهّرون هو ما قدّمناه من أنّه لا يناله ولا يصل إلى دركِه إلا الأئمةُ المعصومون عَلَيْهِم السَّلاَمُ، إذًا الآية أجنبيةٌ عن المقام بالكُلية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حماد عن حريز عمّن أخبره عن أبي عبد الله عَلَيْهِ السَّلاَمُ أنّه قال الإمام الصادق عَلَيْهِ السَّلاَمُ لولده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الكتاب، ومسَّ الورقَ واقرأ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والرواية واضحة الدلالة على جواز القراءة من دون وضوء، وجواز مسّ ما دون الكتابة من ورق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يتم الاستدلال برواية على مطلب شرعي، لا بد أنْ يكون سندها معتبراً، كأن يكون صحيحًا أو موثوقًا أو حسنًا، لا ضعيفًا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قُسّم الحديث 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جميع رواته عدولا 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رواته كلهم أو بعضهم من غير الإمامية ولكنهم وُثّقوا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ݛ</w:t>
      </w:r>
    </w:p>
    <w:p>
      <w:pPr>
        <w:pStyle w:val="BookText"/>
        <w:rPr/>
      </w:pPr>
      <w:r>
        <w:rPr>
          <w:rFonts w:ascii="Amiri" w:hAnsi="Amiri" w:eastAsia="Amiri" w:cs="Amiri"/>
          <w:color w:val="111111"/>
          <w:sz w:val="28"/>
          <w:sz w:val="28"/>
          <w:szCs w:val="28"/>
          <w:rtl w:val="true"/>
          <w:lang w:bidi="ar-SA"/>
        </w:rPr>
        <w:t>ݚ</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رواته كلهم أو بعضهم من الإمامية ولكنهم لم يُعدّلوا بل مُدِحوا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لم يكن واحداً من الأقسام الثلاثة، بان كان رواته مجهولين أو قد ضُعّفوا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النظر إلى أن الخبر إذا كان متواتراً أو محفوفاً بقرائن تورث العلم بحقانيته فلا إشكال في حجيته وقبوله، وإنما الكلام في غير هذين القسمين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الرواية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الرواية راوٍ مجهول، وهو الذي عُبِّر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نعرف من هو الذي أخبر حريزاً بهذه الرواية، فلعله ثقة، ولعله ليس بثقة، وبالتالي، فهذا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عدم كونه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الرواية عن الحُجيّة، فتسقط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مسّ غير المتوضئ كتابةَ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أصحاب هذا الرأي إلى الكراهة لا الحرمة؛ لعدم كفاية الأدلة الناهية عن مسِّ كتابة القرآن الكريم من الآية والروايةالمتقدمتين، فتُحملان على الكراهة بناءً على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معنى هذه القاعدة، 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الضعيف السند ربما لا يمكن الاستناد إليه للإفتاء بأحدِ الحكمين التكليفيين الإلزاميين، وهما الحُرمة والوجوب، فيُصار إلى الاستعانة به للإفتاء بأحدِ الحكمين التكليفيين غير الإلزاميين، وهما الاستحباب والكراهة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نصّا الآية والرواية ظاهرين في النهي، ولكنهما غير تامّي الدلالة على الحرمة؛ لضعفٍ في دلالة الأولى، وفي سند الثانية، إذًا ننتقلُ إلى الكراهة</w:t>
      </w:r>
      <w:r>
        <w:rPr>
          <w:rFonts w:eastAsia="Amiri" w:cs="Amiri" w:ascii="Amiri" w:hAnsi="Amiri"/>
          <w:color w:val="111111"/>
          <w:sz w:val="28"/>
          <w:szCs w:val="28"/>
          <w:rtl w:val="true"/>
          <w:lang w:bidi="ar-SA"/>
        </w:rPr>
        <w:t xml:space="preserve">. </w:t>
      </w:r>
      <w:bookmarkStart w:id="399" w:name="pg7928_85654"/>
    </w:p>
    <w:p>
      <w:pPr>
        <w:pStyle w:val="BookText"/>
        <w:rPr/>
      </w:pPr>
      <w:bookmarkEnd w:id="399"/>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مس كتابة القرآن الكريم لغير المتوضئ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عليه فتوى مُتأخري فقهائنا، لا سيما إنَّ المشهور بين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مسّ المحدث كتابةَ القرآن الكريم، بل واُدّعيَ الإجماع عليه، كما ذكر السيد قُدس سره </w:t>
      </w:r>
      <w:r>
        <w:rPr>
          <w:rStyle w:val="FootnoteAnchor"/>
          <w:rtl w:val="true"/>
        </w:rPr>
        <w:footnoteReference w:id="302"/>
      </w:r>
      <w:r>
        <w:rPr>
          <w:rFonts w:ascii="Amiri" w:hAnsi="Amiri" w:eastAsia="Amiri" w:cs="Amiri"/>
          <w:color w:val="111111"/>
          <w:sz w:val="28"/>
          <w:sz w:val="28"/>
          <w:szCs w:val="28"/>
          <w:rtl w:val="true"/>
          <w:lang w:bidi="ar-SA"/>
        </w:rPr>
        <w:t>ومن ثم، فإنَّ الفقيه وإنْ توصّل بعد بحثٍ وتحقيق إلى أنَّ الأدلة على حرمة مسّ كتابة القرآن الكريم يشوبها الضعف الذي يبعدها عن الحجية، إلا أنّ فتوى المشهور بين المتأخرين والمتقدمين بالحرمة يجعله يسلك طريق الاحتياط؛ وبناءً على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جوبًا عدم مسّ كتابة القرآن الكريم لغير المتوضئ، والاحتياط طريق النجاة، وهو حسن على أي حال</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6503131_1051229030"/>
      <w:bookmarkStart w:id="401" w:name="_Toc135"/>
      <w:bookmarkEnd w:id="400"/>
      <w:r>
        <w:rPr>
          <w:rtl w:val="true"/>
        </w:rPr>
        <w:t>المسألة الثامنة</w:t>
      </w:r>
      <w:r>
        <w:rPr>
          <w:rtl w:val="true"/>
        </w:rPr>
        <w:t>:</w:t>
      </w:r>
      <w:bookmarkEnd w:id="401"/>
    </w:p>
    <w:p>
      <w:pPr>
        <w:pStyle w:val="BookText"/>
        <w:rPr/>
      </w:pPr>
      <w:r>
        <w:rPr>
          <w:rFonts w:ascii="Amiri" w:hAnsi="Amiri" w:eastAsia="Amiri" w:cs="Amiri"/>
          <w:color w:val="111111"/>
          <w:sz w:val="28"/>
          <w:sz w:val="28"/>
          <w:szCs w:val="28"/>
          <w:rtl w:val="true"/>
          <w:lang w:bidi="ar-SA"/>
        </w:rPr>
        <w:t>قال المحقق قُدس سره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السلس،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 إذا تجدّد حدثه في الصلاة، يتطهر ويبني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المسألة يتعرض المحقق قُدس سره لحكم المسلوس والمبطون، والأول هو من لا يملك بوله؛ أي لا يستطيع التحكم في منع بوله من النزول، فبوله ينزل بغير إرادته، وأما الثاني فهو من لا يملك الغائط؛ أي لا يتحكم بخروج الغائط منه، وقد يلحق به من لا يملك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وللتفصيل في المسألة نذكر حكم المسلوس أولًا، ثم نتعرّض إلى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أقوالٌ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المكلف المسلوس الوضوء لكُلِّ صلاةٍ، فإنْ نزل بوله، فذلك حدثٌ، ولا يتجرد عن صفة الحدثية، ولكنّه مغتفر أثناء الصلاة في حقه؛ لعدم إمكانه التحكم به والسيطرة عليه، فإن هو أتمَّ صلاته وأراد الشروع في صلاةٍ أخرى، فعليه الوضوء للصلاة الثانية لو خرج منه البول، وإلا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بلحاظ وجوب إيقاع الصلاة بطهارة من جهةٍ، وعجز المسلوس عن ذلك من جهةٍ أخرى، وقد أشار المحقق قُدس سره إلى هذا الرأي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السلس،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لكُلّ صلاة، ولكن إذا جمع بين الظهرين أو بين العشائين فيكتفي لهما بوضوءٍ واحد، ولكنْ إن فرّق بينهما، وجب الوضوء لكل صلاة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ما رواه حريز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p>
    <w:p>
      <w:pPr>
        <w:pStyle w:val="BookText"/>
        <w:rPr/>
      </w:pPr>
      <w:r>
        <w:rPr>
          <w:rFonts w:ascii="Amiri" w:hAnsi="Amiri" w:eastAsia="Amiri" w:cs="Amiri"/>
          <w:color w:val="111111"/>
          <w:sz w:val="28"/>
          <w:sz w:val="28"/>
          <w:szCs w:val="28"/>
          <w:rtl w:val="true"/>
          <w:lang w:bidi="ar-SA"/>
        </w:rPr>
        <w:t xml:space="preserve">والعصر، يؤخر الظهر ويعجّل العصر، بأذان وإقامتين، ويؤخر المغرب ويعجّل العشاء بأذان إقامتين، ويفعل ذلك في الصبح </w:t>
      </w:r>
      <w:r>
        <w:rPr>
          <w:rStyle w:val="FootnoteAnchor"/>
          <w:rtl w:val="true"/>
        </w:rPr>
        <w:footnoteReference w:id="303"/>
      </w:r>
      <w:r>
        <w:rPr>
          <w:rFonts w:ascii="Amiri" w:hAnsi="Amiri" w:eastAsia="Amiri" w:cs="Amiri"/>
          <w:color w:val="111111"/>
          <w:sz w:val="28"/>
          <w:sz w:val="28"/>
          <w:szCs w:val="28"/>
          <w:rtl w:val="true"/>
          <w:lang w:bidi="ar-SA"/>
        </w:rPr>
        <w:t>ومن الواضح دلالة الرواية على جواز الجمع بين صلاتين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البول من دون تحكم به هو مرض، فهو معذور في الحدث المبتلى به فقط، ويبقى على طهارته حتى يصدر منه حدثٌ آخر، أو يُحدث بنفس الحدث المبتلى به، ولكن بإرادته لا على نحوٍ مستندٍ إلى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إذا لم يكن للمسلوس فترة يمكنه الطهارة والصلاة فيها، وإلا وجب عليه انتظارها وأداء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كُلّما تجدّد الحدث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وفي صلاته أحدث، وجب عليه قطع الصلاة وتجديد الطهارة وإتمام الصلاة من حيث قطعها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 ما روي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البَطَن الغالب يتوضّأ ثم يرجع في صلاته فيُتِمُّ ما بقي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وهذا الذي ذكره المحقق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 إذا تجدّد حدثه في الصلاة يتطهّر ويبني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يُكمِلُ من حيث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لديه وقت يسع الطهارة والصلاة، فيجب عليه انتظاره، فيتطهر ويصلي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فتصح الصلاة مع الحدث؛ لأن البَطَن مرضٌ، فصاحبه معذورٌ في خصوص الحدث المبتلى به، فإن أحدث بغير الحدث المبتلى به، أو أحدث بنفس الحدث المبتلى به ولكن باختياره، لم يكن معذورًا ووجب عليه تجديد الطهارة</w:t>
      </w:r>
      <w:r>
        <w:rPr>
          <w:rFonts w:eastAsia="Amiri" w:cs="Amiri" w:ascii="Amiri" w:hAnsi="Amiri"/>
          <w:color w:val="111111"/>
          <w:sz w:val="28"/>
          <w:szCs w:val="28"/>
          <w:rtl w:val="true"/>
          <w:lang w:bidi="ar-SA"/>
        </w:rPr>
        <w:t>.</w:t>
      </w:r>
      <w:bookmarkStart w:id="402" w:name="pg7928_856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6503133_1051229030"/>
      <w:bookmarkStart w:id="404" w:name="_Toc136"/>
      <w:bookmarkEnd w:id="402"/>
      <w:bookmarkEnd w:id="403"/>
      <w:r>
        <w:rPr>
          <w:rtl w:val="true"/>
        </w:rPr>
        <w:t>سُننُ الوضوء</w:t>
      </w:r>
      <w:bookmarkEnd w:id="4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الوضوء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على اليمين، والاغتراف بها، والتسمية، والدعاء، وغسل اليدين قبل إدخالهم الإناء، من حدث النوم أو البول مرة، ومن الغائط مرتين، والمضمضة، والاستنشاق، والدعاء عندهما، وعند غسل الوجه واليدين، وعند مسح الرأس والرجلين، وأن يبدأ الرجل بغسل ظاهر ذراعيه، وفي الثانية بباطنهما، والمرأة بالعكس، وأن يكون الوضوء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سنن أو مستحبات الوضوء، نتناولها بالتوضيح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للمكلَّف وضع الإناء على يمينه عندَ الوضوء، وقد علّلوا ذلك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الأمكن في الاستعمال، وهو نوعٌ من التدبير </w:t>
      </w:r>
      <w:r>
        <w:rPr>
          <w:rStyle w:val="FootnoteAnchor"/>
          <w:rtl w:val="true"/>
        </w:rPr>
        <w:footnoteReference w:id="305"/>
      </w:r>
      <w:r>
        <w:rPr>
          <w:rFonts w:ascii="Amiri" w:hAnsi="Amiri" w:eastAsia="Amiri" w:cs="Amiri"/>
          <w:color w:val="111111"/>
          <w:sz w:val="28"/>
          <w:sz w:val="28"/>
          <w:szCs w:val="28"/>
          <w:rtl w:val="true"/>
          <w:lang w:bidi="ar-SA"/>
        </w:rPr>
        <w:t>لإمكان الاغتراف منه بصورةٍ أفضل وأمكن ممّا لو كان على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ينهض ليكون دليلًا تامًا؛ لأنه مجرد استحسان، ولا يصلح اعتماده للاستدلال الفقهي في مذهبنا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أمكن لمن كان يستعمل اليد اليمنى في القيام بأعماله، أمّا الأعسر فلا؛ لأن وضع الإناء على شماله له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ذكروا بعض الروايات التي قد تدلُّ على استحباب ذلك، منها ما روي عن النبي الأعظم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ووضع الإناء على اليمين أثناء الوضوء ممّا يصدق عليه التيامن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ضعيفة السند؛ لأنّها مروية في كتاب عوالي اللآلي، وقد تقدّم الحديث في أنّ الطابع العام لروايات عوالي اللآلي هو أنها مُرسلة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رويت في مسند أحمد </w:t>
      </w:r>
      <w:r>
        <w:rPr>
          <w:rStyle w:val="FootnoteAnchor"/>
          <w:rtl w:val="true"/>
        </w:rPr>
        <w:footnoteReference w:id="307"/>
      </w:r>
      <w:r>
        <w:rPr>
          <w:rFonts w:ascii="Amiri" w:hAnsi="Amiri" w:eastAsia="Amiri" w:cs="Amiri"/>
          <w:color w:val="111111"/>
          <w:sz w:val="28"/>
          <w:sz w:val="28"/>
          <w:szCs w:val="28"/>
          <w:rtl w:val="true"/>
          <w:lang w:bidi="ar-SA"/>
        </w:rPr>
        <w:t xml:space="preserve">وسنن النسائي </w:t>
      </w:r>
      <w:r>
        <w:rPr>
          <w:rStyle w:val="FootnoteAnchor"/>
          <w:rtl w:val="true"/>
        </w:rPr>
        <w:footnoteReference w:id="308"/>
      </w:r>
      <w:r>
        <w:rPr>
          <w:rFonts w:ascii="Amiri" w:hAnsi="Amiri" w:eastAsia="Amiri" w:cs="Amiri"/>
          <w:color w:val="111111"/>
          <w:sz w:val="28"/>
          <w:sz w:val="28"/>
          <w:szCs w:val="28"/>
          <w:rtl w:val="true"/>
          <w:lang w:bidi="ar-SA"/>
        </w:rPr>
        <w:t>، ومن ثم فهي لم تُروَ من طرقنا؛ لأجل ذلك لم تقوَ للاستناد عليها للإفتاء، اللهم إلى بناءً على قاعدة التسامح في أدلة السنن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هذا المعنى؛ إذ رويت في حديث المعراج وهو حديث طويل نقتطع منه محل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ادْنُ مِنْ صَادٍ، فَاغْسِلْ مَسَاجِدَكَ وطَهِّرْهَا، وصَلِّ لِرَبِّكَ، فَدَنَا رَسُولُ اللهِ صَلَّى اَللَّهُ عَلَيْهِ وَ آلِهِ وَ سَلَّمْ مِنْ صَادٍ، وهُوَ مَاءٌ يَسِيلُ مِنْ سَاقِ العَرْشِ الأَيْمَنِ، فَتَلَقَّى رَسُولُ اللهِ صَلَّى اَللَّهُ عَلَيْهِ وَ آلِهِ وَ سَلَّمْ المَاءَ بِيَدِه اليُمْنَى، فَمِنْ أَجْلِ ذَلِكَ صَارَ الوُضُوءُ بِاليَمِينِ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بناءً على أن أخذه صَلَّى اَللَّهُ عَلَيْهِ وَ آلِهِ وَ سَلَّمْ الماء بيده اليمنى، يستلزم عرفاً كون الماء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فبناءً على قبول قاعدة التسامح في أدلة السُنن، يكون وضع الإناء على يمين المكلف عند الوضوء مستحباُ، وإلا، فيمكن الإتيان به بنية 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الاغتراف باليد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استدلوا على ذلك بالروايات البيانية </w:t>
      </w:r>
      <w:r>
        <w:rPr>
          <w:rStyle w:val="FootnoteAnchor"/>
          <w:rtl w:val="true"/>
        </w:rPr>
        <w:footnoteReference w:id="310"/>
      </w:r>
      <w:r>
        <w:rPr>
          <w:rFonts w:ascii="Amiri" w:hAnsi="Amiri" w:eastAsia="Amiri" w:cs="Amiri"/>
          <w:color w:val="111111"/>
          <w:sz w:val="28"/>
          <w:sz w:val="28"/>
          <w:szCs w:val="28"/>
          <w:rtl w:val="true"/>
          <w:lang w:bidi="ar-SA"/>
        </w:rPr>
        <w:t xml:space="preserve">، مثل رواية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وضوء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فِي الإِنَاءِ ولَمْ يَغْسِلْ يَدَه، فَأَخَذَ كَفّاً مِنْ مَاءٍ فَصَبَّه عَلَى وَجْهِه، ثُمَّ مَسَحَ جَانِبَيْه حَتَّى مَسَحَه كُلَّه، ثُمَّ أَخَذَ كَفّاً آخَرَ بِيَمِينِه فَصَبَّه عَلَى يَسَارِه، ثُمَّ غَسَلَ بِه ذِرَاعَه الأَيْمَنَ، ثُمَّ أَخَذَ كَفّاً آخَرَ فَغَسَلَ بِه ذِرَاعَه الأَيْسَرَ</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كافية للدلالة على المطلوب، لأنها لا تدل على أكثر من إدخال اليد في الماء، ولم تعيّن كونها اليمنى، نعم،في غسل اليسرى صرحت بأنه صَلَّى اَللَّهُ عَلَيْهِ وَ آلِهِ وَ سَلَّمْ أخذ باليمنى، وهذه حالة طبيعية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إذن الاستدلال برواية الكافي المتقدمة بتقريبها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والدعاء</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ورد في بعض الروايات الشريفة، منها ما ورد عن الإمام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اللَّهُمَّ </w:t>
      </w:r>
    </w:p>
    <w:p>
      <w:pPr>
        <w:pStyle w:val="BookText"/>
        <w:rPr/>
      </w:pPr>
      <w:r>
        <w:rPr>
          <w:rFonts w:ascii="Amiri" w:hAnsi="Amiri" w:eastAsia="Amiri" w:cs="Amiri"/>
          <w:color w:val="111111"/>
          <w:sz w:val="28"/>
          <w:sz w:val="28"/>
          <w:szCs w:val="28"/>
          <w:rtl w:val="true"/>
          <w:lang w:bidi="ar-SA"/>
        </w:rPr>
        <w:t>اجْعَلْنِي مِنَ التَّوَّابِينَ، واجْعَلْنِي مِنَ المُتَطَهِّرِينَ،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وروي أنه كان أمير المؤمنين عَلَيْهِ السَّلاَمُ 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وخير الأسماء لله، وأكبر الأسماء لله، وقاهر لمن في السماء، وقاهر لمن في الأرض، الحمد لله الذي جعل من الماء كل شيء حي، وأحيا قلبي بالإيمان، اللهم تُب علي وطهرني واقض لي بالحسنى، وأرني كل الذي أحب، وافتح لي بالخيرات من عندك يا سميع الدعاء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وفي فائدة التسمية في الوضوء،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 فِي الوُضُوءِ طَهُرَ جَسَدُكَ كُلُّه، وإِذَا لَمْ تُسَمِّ لَمْ يَطْهُرْ مِنْ جَسَدِكَ إِلَّا مَا مَرَّ عَلَيْه الماءُ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إدخالهما الإناء من حدث النوم أو البول مرة، ومن الغائط مرتين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للمحدث بحدث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نائمًا ثم استيقظ وأراد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بحدث البول، عندما يريد أنْ يتوضّأ، أنْ يغسل يديه قبل إدخالهما في الإناء مرةً واحدةً، وأما إذا كان محدثًا بالغائط فيغسلهما قبل إدخالهما في الإناء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يُستدلَّ له بما روي 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كم يُفرِغ الرجل على يده قبل أنْ يُدخلها في الإناء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حدث البول، واثنتان من الغائط وثلاث من الجنابة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إدارة الماء في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اجتذابُ الماء بالأنف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دلّت النصوص على استحباب المضمضة والاستنشاق، وقيل إنّها مستفيضة، وهما ليسا من أجزاء الوضوء، ولكنهما من مقدماته </w:t>
      </w:r>
      <w:r>
        <w:rPr>
          <w:rStyle w:val="FootnoteAnchor"/>
          <w:rtl w:val="true"/>
        </w:rPr>
        <w:footnoteReference w:id="316"/>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عندهما وعند غسل الوجه واليدين وعند مسح الرأس والرجلين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يُستدلّ عليه بما روي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عَلَيْهِ السَّلاَمُ ذاتَ يومٍ جالس مع محمدٍ بن الحنفية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أتوضّأ للصلاة، فأتاه محمدٌ بالماء فأكفأ بيده اليمنى على يده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حُجّتك يومَ ألقاك، وأطلقْ </w:t>
      </w:r>
    </w:p>
    <w:p>
      <w:pPr>
        <w:pStyle w:val="BookText"/>
        <w:rPr/>
      </w:pPr>
      <w:r>
        <w:rPr>
          <w:rFonts w:ascii="Amiri" w:hAnsi="Amiri" w:eastAsia="Amiri" w:cs="Amiri"/>
          <w:color w:val="111111"/>
          <w:sz w:val="28"/>
          <w:sz w:val="28"/>
          <w:szCs w:val="28"/>
          <w:rtl w:val="true"/>
          <w:lang w:bidi="ar-SA"/>
        </w:rPr>
        <w:t>لساني بذكرك،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في يساري، وحاسبني حسابًا يسيرًا،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بيساري، ولا تجعلْها مغلولةً إلى عنقي، وأعوذ بك من مُقطِّعات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 وعفوك،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المستقيم يومَ تزِلُّ فيه الأقدام، واجعل سعيي فيما يُرضيك عنّي، ثم رفع رأسه ونظر إلى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من توضّأ مثل وضوئي وقال مثل قولي خلق الله تبارك وتعالى من كُلِّ قطرةٍ ملكًا يُقدِّسُه ويُسبِّحُه ويُكبِّرُه فيكتب الله عَزَّوَجَل ثواب ذلك له إلى يوم القيامة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الرجل بغسل ظاهر ذراعيه، وفي الثانية بباطنهما، والمرأة بالعكس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عليه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النساء في الوضوء أنْ يبدأن بباطن أذرعهن، وفي الرجال بظاهر الذراع </w:t>
      </w:r>
      <w:r>
        <w:rPr>
          <w:rStyle w:val="FootnoteAnchor"/>
          <w:rtl w:val="true"/>
        </w:rPr>
        <w:footnoteReference w:id="318"/>
      </w:r>
      <w:bookmarkStart w:id="405" w:name="pg7928_85677"/>
    </w:p>
    <w:p>
      <w:pPr>
        <w:pStyle w:val="BookText"/>
        <w:rPr/>
      </w:pPr>
      <w:bookmarkEnd w:id="405"/>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الوضوء بمُدّ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قول علمائنا أجمع </w:t>
      </w:r>
      <w:r>
        <w:rPr>
          <w:rStyle w:val="FootnoteAnchor"/>
          <w:rtl w:val="true"/>
        </w:rPr>
        <w:footnoteReference w:id="319"/>
      </w:r>
      <w:r>
        <w:rPr>
          <w:rFonts w:ascii="Amiri" w:hAnsi="Amiri" w:eastAsia="Amiri" w:cs="Amiri"/>
          <w:color w:val="111111"/>
          <w:sz w:val="28"/>
          <w:sz w:val="28"/>
          <w:szCs w:val="28"/>
          <w:rtl w:val="true"/>
          <w:lang w:bidi="ar-SA"/>
        </w:rPr>
        <w:t xml:space="preserve">، ويمكن أنْ يُستدلَّ له بما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يغتسل بصاعٍ من ماء، ويتوضّأ بمُدٍّ من ماء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المكاييل المعروفة قديمًا لكيل المواد المختلفة، لا سيما الغذائية، وقال الفقهاء بأنّها يمكن أن تساوي أربعة أمداد تقريبًا، وأما المُدّ فيُقدّر بثلاثة أرباع كيلو غرام تقريبًا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6503135_1051229030"/>
      <w:bookmarkStart w:id="407" w:name="_Toc137"/>
      <w:bookmarkEnd w:id="406"/>
      <w:r>
        <w:rPr>
          <w:rtl w:val="true"/>
        </w:rPr>
        <w:t>مكروهات الوضوء</w:t>
      </w:r>
      <w:r>
        <w:rPr>
          <w:rtl w:val="true"/>
        </w:rPr>
        <w:t>:</w:t>
      </w:r>
      <w:bookmarkEnd w:id="407"/>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يستعين في طهارته، وأنْ يمسحَ بلل الوضوء عن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قُدس سره مكروهين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للاستعانة في الطهارة صورٌ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المُعين بغسل ومسح أعضاء المتوضئ، بأنْ يأخذ الماء ويغسل وجهه ويديه، ويمسح رأسه ورجليه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عدم جوازه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يخالف شرط المباشرة في الوضوء؛ إذ يشترط في الوضوء أنْ يباشر المتوضئ وضوءه بنفسه، فيغسل وجهه ويديه، ويمسح رأسه ورجليه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تقتصر الاستعانة بالغير على صبِّ الماء؛ بأن يصبَّ المُعينُ الماءَ في يدِ المُتوضّئ، ثم يقوم المتوضئ بمباشرة الوضوء بنفسه، فيغسل وجهه ويديه ويمسح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الصّورة هي الكراهة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بالغير للقيام بتهيئة بعض مقدمات الوضوء، كإحضار الماء أو تسخينه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إذ ذكر بعض شُرّاح كتاب شرائع الإسلام بأنَّ تهيئة المقدمات كإحضار الماء هي من الصور المكروهة في الوضوء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كراهة فيها؛ لأنّ مثل إحضار الماء وتسخينه وما شابهه هي من مقدمات الوضوء لا من أجزاء الوضوء، وما دلّ على كراهة ذلك خاصٌ بنفس الوضوء، لا بمقدماته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فإنه يمكن أن يستدل على كراهة الاستعانة بما رواه الكليني بسنده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وبَيْنَ يَدَيْه إِبْرِيقٌ، يُرِيدُ أَنْ يَتَهَيَّأَ مِنْه لِلصَّلَاةِ، فَدَنَوْتُ مِنْه لأَصُبَّ عَلَيْه، فَأَبَى </w:t>
      </w:r>
    </w:p>
    <w:p>
      <w:pPr>
        <w:pStyle w:val="BookText"/>
        <w:rPr/>
      </w:pPr>
      <w:r>
        <w:rPr>
          <w:rFonts w:ascii="Amiri" w:hAnsi="Amiri" w:eastAsia="Amiri" w:cs="Amiri"/>
          <w:color w:val="111111"/>
          <w:sz w:val="28"/>
          <w:sz w:val="28"/>
          <w:szCs w:val="28"/>
          <w:rtl w:val="true"/>
          <w:lang w:bidi="ar-SA"/>
        </w:rPr>
        <w:t>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يَدِكَ تَكْرَه أَنْ أُوجَرَ؟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وهَا أَنَا ذَا أَتَوَضَّأُ لِلصَّلَاةِ، وهِيَ العِبَادَةُ، فَأَكْرَه أَنْ يَشْرَكَنِي فِيهَا أَحَدٌ </w:t>
      </w:r>
      <w:r>
        <w:rPr>
          <w:rStyle w:val="FootnoteAnchor"/>
          <w:rtl w:val="true"/>
        </w:rPr>
        <w:footnoteReference w:id="324"/>
      </w:r>
      <w:r>
        <w:rPr>
          <w:rFonts w:ascii="Amiri" w:hAnsi="Amiri" w:eastAsia="Amiri" w:cs="Amiri"/>
          <w:color w:val="111111"/>
          <w:sz w:val="28"/>
          <w:sz w:val="28"/>
          <w:szCs w:val="28"/>
          <w:rtl w:val="true"/>
          <w:lang w:bidi="ar-SA"/>
        </w:rPr>
        <w:t>وقيل بضعف سند الرواية، ولكن مع ضعف سندها يمكن الاستدلال بها على الكراهة؛ بناءً على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يبنِ على هذه القاعدة، فيمكن أنْ يترك هذا النوع من الاستعانة بنية 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بلل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يمسح بلل الوضوء على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استعمال المنديل لمسح بلل الوضوء من الوجه واليدين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حكم بكراهة هذا المكروه هو صاحب الشرائع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روي عَنْ إِبْرَاهِيمَ بْنِ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فَتَمَنْدَلَ كَانَتْ لَه حَسَنَةٌ، وإِنْ تَوَضَّأَ ولَمْ يَتَمَنْدَلْ حَتَّى يَجِفَّ وَضُوؤُه، كَانَتْ لَه ثَلَاثُونَ حَسَنَةً </w:t>
      </w:r>
      <w:r>
        <w:rPr>
          <w:rStyle w:val="FootnoteAnchor"/>
          <w:rtl w:val="true"/>
        </w:rPr>
        <w:footnoteReference w:id="325"/>
      </w:r>
      <w:r>
        <w:rPr>
          <w:rFonts w:ascii="Amiri" w:hAnsi="Amiri" w:eastAsia="Amiri" w:cs="Amiri"/>
          <w:color w:val="111111"/>
          <w:sz w:val="28"/>
          <w:sz w:val="28"/>
          <w:szCs w:val="28"/>
          <w:rtl w:val="true"/>
          <w:lang w:bidi="ar-SA"/>
        </w:rPr>
        <w:t>إلا أنّها ذكرت بأنَّ من يتمندل له ثوابٌ أيضًا وإنْ كان أقل من ثواب من لم يتمندلْ، فيمكن القول بأن معنى الكراهة فيه هو الأقل ثواباً، لا المبغوض بحد لا يصل إلى حدّ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فإنه يمكن القول بعدم الكراهة بدلالة ما روي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المسح بالمنديل قبلَ أنْ يجفَّ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وكذا ما 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وقد توضّأ وهو مُحرِمٌ ثم أخذ منديلًا فمسح به وجهه </w:t>
      </w:r>
      <w:r>
        <w:rPr>
          <w:rStyle w:val="FootnoteAnchor"/>
          <w:rtl w:val="true"/>
        </w:rPr>
        <w:footnoteReference w:id="32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أنه كانت لعلي عَلَيْهِ السَّلاَمُ، خرقة يعلقها في مسجد بيته لوجهه، إذا توضأ يتمندل بها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سلّمنا أنّ التمندلَ مكروه، فهل تجفيف بلل الوضوء بغير المنديل مكروهٌ أيضًا، كالتجفيف بحرارة النار أو بحرارة الشمس أو بالهواء الدافئ الذي يدفعه جهاز التجفيف الذي يوضع في بعض الحمامات العامة؟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مقام الجواب هناك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لأنّ علة الكراهة الموجودة في التجفيف بغير التمندل هي ذاتها علة التجفيف بالتمندل، وهو تجفيف ماء الوضوء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بمكروه؛ لأنَّ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كراهة التجفيف بالمنديل، فنقتصر على مدلول اللفظ الذي ذكرته الرواية؛ إذ لا يصح إضافة مصاديق جديدة بدعوى وحدة علة الحكم؛ لعدم القدرة على معرفة المصالح والمفاسد الواقعية للأحكام الشرعية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7928_85688"/>
      <w:bookmarkStart w:id="409" w:name="pg7928_85688"/>
      <w:bookmarkEnd w:id="409"/>
    </w:p>
    <w:p>
      <w:pPr>
        <w:pStyle w:val="Heading3"/>
        <w:numPr>
          <w:ilvl w:val="2"/>
          <w:numId w:val="1"/>
        </w:numPr>
        <w:rPr/>
      </w:pPr>
      <w:bookmarkStart w:id="410" w:name="pg7928_85688"/>
      <w:bookmarkStart w:id="411" w:name="__RefHeading___Toc6503137_1051229030"/>
      <w:bookmarkStart w:id="412" w:name="_Toc138"/>
      <w:bookmarkEnd w:id="410"/>
      <w:bookmarkEnd w:id="411"/>
      <w:r>
        <w:rPr>
          <w:rtl w:val="true"/>
        </w:rPr>
        <w:t>الفصل الرابع في بعض أحكام الوضوء</w:t>
      </w:r>
      <w:bookmarkEnd w:id="412"/>
    </w:p>
    <w:p>
      <w:pPr>
        <w:pStyle w:val="BookText"/>
        <w:rPr/>
      </w:pPr>
      <w:r>
        <w:rPr>
          <w:rFonts w:ascii="Amiri" w:hAnsi="Amiri" w:eastAsia="Amiri" w:cs="Amiri"/>
          <w:color w:val="111111"/>
          <w:sz w:val="28"/>
          <w:sz w:val="28"/>
          <w:szCs w:val="28"/>
          <w:rtl w:val="true"/>
          <w:lang w:bidi="ar-SA"/>
        </w:rPr>
        <w:t>وفيه يذكر المحقق قُدس سره قواعد وأحكامًا عديدةً، جاء بعضها بصورةٍ سلسة وسهلة وواضحة، فيما جاء بعضها الآخر بعبارةٍ مضغوطة تحتاج إلى شرحٍ وتوضيح وبيان؛ لذلك سنحاول إيضاحها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الحدث وشك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على يقين بأنه كان محدثاً، ولكنه شك في الطهارة، فعليه أن يتطهر للصلاة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تطبيقٌ لأصل الاستصحاب، وقد تقدّم شرحه،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اجتماع اليقين السابق مع الشك اللاحق، فالبناءُ على اليقين؛ فمن تيقنّ من الحدث وشكَّ في الطهارة، وجب عليه البناء على الحدث فيلزمه التطهر، وذلك لأنَّ اليقين لا ينقضه ولا يبطله إلا يقينٌ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تيقنهما وشك في المتأخر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تيقن بكلٍ من الطهارة والحدث، ولم يشك بأي منهما، بل كان على يقين بطهارته، وعلى يقين بحدثه، إلا أنّه يشك في المتقدم منهما؛ فلا يعلم أكانت الطهارة هي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فهو متطهرٌ بالفعل ولا موجب لتجديد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الحدث هو المتأخر، ومن ثم فلا بُدّ من تجديد طهارته؟</w:t>
      </w:r>
    </w:p>
    <w:p>
      <w:pPr>
        <w:pStyle w:val="BookText"/>
        <w:rPr/>
      </w:pPr>
      <w:r>
        <w:rPr>
          <w:rFonts w:ascii="Amiri" w:hAnsi="Amiri" w:eastAsia="Amiri" w:cs="Amiri"/>
          <w:color w:val="111111"/>
          <w:sz w:val="28"/>
          <w:sz w:val="28"/>
          <w:szCs w:val="28"/>
          <w:rtl w:val="true"/>
          <w:lang w:bidi="ar-SA"/>
        </w:rPr>
        <w:t xml:space="preserve">ولمّا كان كلا الاحتمالين وارداً من جهة، وليس بالإمكان ترجيح أيٍّ منهما؛ لأنّه عندئذٍ يكون ترجيحًا بلا مرجح من جهةٍ أخرى، فإذا أضفنا إليهما جهة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ضرورة القطع بالطهارة، بمعنى عدم كفاية الظن فيها فضلًا عن الشك؛ لتوقف فراغ الذمة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الحكم هو وجوب الطهارة؛ لتحصيل ذلك القطع بالطهارة ومن ثم القطع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التنبيه إليه أنّ القطع يحصل للمكلف عن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الوجداني، أي أن يعلم المكلف بأنّه قد توضّأ فعلًا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التعبُّدي، وهو اليقين المتولّد من تطبيق بعض الأصول العملية، كقاعدة الاستصحاب مثلًا، ولها الكثير من التطبيقات،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متيقنًا من الطهارة شاكًّا بالحدث، فيقطع الشرع شكَّه هذا بالحكم بطهارته بناءً على أصل الاستصحاب،فاليقين هنا لم يحصل عليه المكلف لولا الشرع؛ ولذا فهو من اليقين التعبدي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تيقّن ترك عضوٍ، أتى به وبما بعده، وإنْ جفَّ البلل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تيقّن المكلف بأنّه ترك جزءًا من أجزاء الوضوء، كما لو تيقّن بأنّه لم يغسل يده اليمنى عند مسح رأسه مثلًا، فحينئذٍ يجب أن يرجع إلى ما تيقن من تركه ويأتي به، فيأتي بغسل اليد اليمنى في الفرض، ويأتي بما بعده من أجزاء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وللحكم المتقدّم 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فوات الموالاة، وعلامة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بلل الوضوء قد جفَّ، فإنْ جفّ، فلا بُدّ من استئناف الوضوء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شيء من أفعال الطهارة وهو على حاله، أتى بما شك فيه، ثم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شكَّ المكلف بإتيانه فعلًا من أفعال الوضوء، كما لو شكّ بغسل وجهه وهو مشغولٌ بمسح رجليه مثلًا، وجب الرجوع والإتيانبما شكَّ فيه وبما بعده، فيغسل وجهه في الفرض ويكمل باقي أجزاء الوضوء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هذا الحكم ما روي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قاعداً على وضوئك، فلم تدرِ أغسلت </w:t>
      </w:r>
    </w:p>
    <w:p>
      <w:pPr>
        <w:pStyle w:val="BookText"/>
        <w:rPr/>
      </w:pPr>
      <w:r>
        <w:rPr>
          <w:rFonts w:ascii="Amiri" w:hAnsi="Amiri" w:eastAsia="Amiri" w:cs="Amiri"/>
          <w:color w:val="111111"/>
          <w:sz w:val="28"/>
          <w:sz w:val="28"/>
          <w:szCs w:val="28"/>
          <w:rtl w:val="true"/>
          <w:lang w:bidi="ar-SA"/>
        </w:rPr>
        <w:t>ذراعيك أم لا، فأعد عليهما، وعلى جميع ما شككت فيه أنك لم تغسله أو تمسحه، مما سمى الله ما دمت في حال الوضوء، فإذا قمت عن الوضوء وفرغت منه وقد صرت في حال أخرى، في الصلاة، أو في غيرها، فشككت في بعض ما قد سمى الله مما أوجب الله عليك فيه وضوءه، لا شيء عليك فيه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الطهارة وشكّ في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تيقّن المكلف بأنّه قد توضّأ فعلًا، وشكّ في حصول الحدث، لم يلزمه إعادة الوضوء؛ للاستصحاب، إذ الشك لا ينقض اليقين، واليقين لا ينتقض إلا بمثله، أي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الطهارة، وشكّ في الحدث، أو في شيءٍ من أفعال الوضوء بعد انصرافه،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المكلف بإتيانه بأحد أفعال الوضوء بعد انصرافه من الوضوء، أي بعد فراغه منه، حينئذٍ لا تجب الإعادة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على هذا الحكم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الحكم الرابع</w:t>
      </w:r>
      <w:r>
        <w:rPr>
          <w:rFonts w:eastAsia="Amiri" w:cs="Amiri" w:ascii="Amiri" w:hAnsi="Amiri"/>
          <w:color w:val="111111"/>
          <w:sz w:val="28"/>
          <w:szCs w:val="28"/>
          <w:rtl w:val="true"/>
          <w:lang w:bidi="ar-SA"/>
        </w:rPr>
        <w:t xml:space="preserve">. </w:t>
      </w:r>
      <w:bookmarkStart w:id="413" w:name="pg7928_85695"/>
    </w:p>
    <w:p>
      <w:pPr>
        <w:pStyle w:val="BookText"/>
        <w:rPr/>
      </w:pPr>
      <w:bookmarkEnd w:id="413"/>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الشك حال الوضوء، والشك بعد الفراغ منه؛ ليختلف الحكم بينهما؟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الأولى مورد لقاعدة التجاوز، حيث يكون الشك في العمل العبادي قبل الانتهاء منه، وأن الحالة الثانية مورد لقاعدة الفراغ، حيث يكون الشك في العمل العبادي بعد الفراغ والانتهاء منه، وأن ما يجري في الوضوء هي قاعدة الفراغ دون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الحال، نذكر معنى القاعدتين</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503139_1051229030"/>
      <w:bookmarkStart w:id="415" w:name="_Toc139"/>
      <w:bookmarkEnd w:id="414"/>
      <w:r>
        <w:rPr>
          <w:rtl w:val="true"/>
        </w:rPr>
        <w:t>قاعدة التجاوز</w:t>
      </w:r>
      <w:r>
        <w:rPr>
          <w:rtl w:val="true"/>
        </w:rPr>
        <w:t>:</w:t>
      </w:r>
      <w:bookmarkEnd w:id="415"/>
    </w:p>
    <w:p>
      <w:pPr>
        <w:pStyle w:val="BookText"/>
        <w:rPr/>
      </w:pPr>
      <w:r>
        <w:rPr>
          <w:rFonts w:ascii="Amiri" w:hAnsi="Amiri" w:eastAsia="Amiri" w:cs="Amiri"/>
          <w:color w:val="111111"/>
          <w:sz w:val="28"/>
          <w:sz w:val="28"/>
          <w:szCs w:val="28"/>
          <w:rtl w:val="true"/>
          <w:lang w:bidi="ar-SA"/>
        </w:rPr>
        <w:t xml:space="preserve">هي قاعدة فقهية، موردها الشك في جزء من العمل أثناء العمل، وبعد تجاوز محل ذلك الجزء، سواء أكان الشكُّ في أصل الإتيان به، كما لو شك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إتيانه بقراءة السورة التي تلي سورة الفاتحة، أم كان الشك في صحة ذلك الجزء مع التيقن بأنهأتى به، كما لو شكَّ المكلف في صحة قراءته لتلك السورة وهو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هو عدم الاعتناء بذلك الشك، فيكمل المكلف صلاته في الفرضين المتقدّمين ولا شيء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القاعدة تجري في جميع الأعمال العبادية المركبة، إلا الوضوء؛ وذلك للروايات الدالة على ذلك، منها ما تقدم 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قاعداً على وضوئك، فلم </w:t>
      </w:r>
      <w:bookmarkStart w:id="416" w:name="pg7928_85697"/>
    </w:p>
    <w:p>
      <w:pPr>
        <w:pStyle w:val="BookText"/>
        <w:rPr/>
      </w:pPr>
      <w:bookmarkEnd w:id="416"/>
      <w:r>
        <w:rPr>
          <w:rFonts w:ascii="Amiri" w:hAnsi="Amiri" w:eastAsia="Amiri" w:cs="Amiri"/>
          <w:color w:val="111111"/>
          <w:sz w:val="28"/>
          <w:sz w:val="28"/>
          <w:szCs w:val="28"/>
          <w:rtl w:val="true"/>
          <w:lang w:bidi="ar-SA"/>
        </w:rPr>
        <w:t>تدرِ أغسلت ذراعيك أم لا، فأعد عليهما، وعلى جميع ما شككت فيه أنك لم تغسله أو تمسحه، مما سمى الله ما دمت في حال الوضوء</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وعليه، فلو شك المكلف في فعلٍ سابق من الوضوء أثناءه، وجب الاعتناء بذلك الشك، ولزم الرجوع والإتيان به وبما بعده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503141_1051229030"/>
      <w:bookmarkStart w:id="418" w:name="_Toc140"/>
      <w:bookmarkEnd w:id="417"/>
      <w:r>
        <w:rPr>
          <w:rtl w:val="true"/>
        </w:rPr>
        <w:t>قاعدة الفراغ</w:t>
      </w:r>
      <w:r>
        <w:rPr>
          <w:rtl w:val="true"/>
        </w:rPr>
        <w:t>:</w:t>
      </w:r>
      <w:bookmarkEnd w:id="418"/>
    </w:p>
    <w:p>
      <w:pPr>
        <w:pStyle w:val="BookText"/>
        <w:rPr/>
      </w:pPr>
      <w:r>
        <w:rPr>
          <w:rFonts w:ascii="Amiri" w:hAnsi="Amiri" w:eastAsia="Amiri" w:cs="Amiri"/>
          <w:color w:val="111111"/>
          <w:sz w:val="28"/>
          <w:sz w:val="28"/>
          <w:szCs w:val="28"/>
          <w:rtl w:val="true"/>
          <w:lang w:bidi="ar-SA"/>
        </w:rPr>
        <w:t>وموردها الشك في جزءٍ من أجزاء العمل العبادي بعد الانتهاء من كل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قاعدة تجري في كل العبادات، بما فيها الوضوء؛ لدلالة الروايات على ذلك، منها ما تقدم في رواية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قمت عن الوضوء وفرغت منه وقد صرت في حال أخرى، في الصلاة، أو في غيرها، فشككت في بعض ما قد سمى الله مما أوجب الله عليك فيه وضوءه، لا شيء عليك فيه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وعليه، فلو شكَّ المكلف بإتيانه بالقراءة بعد فراغه من الصلاة، أو شك بإتيانه بغسل اليد اليمنى بعد فراغه من الوضوء، لم يعتنِ بشكه، فلا يعيد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علّلت بعض الروايات سبب عدم الإعادة بعد الفراغ من العمل العبادي؛ بأنّ المكلف يكون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العمل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مما هو </w:t>
      </w:r>
    </w:p>
    <w:p>
      <w:pPr>
        <w:pStyle w:val="BookText"/>
        <w:rPr/>
      </w:pPr>
      <w:r>
        <w:rPr>
          <w:rFonts w:ascii="Amiri" w:hAnsi="Amiri" w:eastAsia="Amiri" w:cs="Amiri"/>
          <w:color w:val="111111"/>
          <w:sz w:val="28"/>
          <w:sz w:val="28"/>
          <w:szCs w:val="28"/>
          <w:rtl w:val="true"/>
          <w:lang w:bidi="ar-SA"/>
        </w:rPr>
        <w:t>بعده، كما في رواية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الحكم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غسل موضع النجو أو البول، وصلى، أعاد الصلاة، عامدًا كانَ أو ناسيًا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مما يُشترط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من النجاسات؛ فمن لم يستنجِ، لم يحقق هذا الشرط؛ لأنّ خروج البول أو الغائط يتسبّب في تنجيس البدن، وقد تقدّم أنّ الاستنجاء إنّما يجب لافي حدّ نفسه، وإنّما لأجل تطهيرِ البدن للدخول في الصلاة، فإذا تعمّدَ الشخص عدم الاستنجاء، لا يكون قد حقّق هذا الشرط، وحينئذٍ تلزمه إعادة الصلاة بعد تطهير المحل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المحقق قُدس سره لزوم إعادة الصلاة للعامد والناسي والجاهل، وبذا فقد عدَّ الاستنجاء شرطًا واقعيًا في صحة الصلاة، وليس شرطًا ذكريًا علميًا، وقد تقدّم بيان معنى الشرط الذكري والشرط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تلزم إعادة الوضوء أيضًا؟</w:t>
      </w:r>
    </w:p>
    <w:p>
      <w:pPr>
        <w:pStyle w:val="BookText"/>
        <w:rPr/>
      </w:pPr>
      <w:r>
        <w:rPr>
          <w:rFonts w:ascii="Amiri" w:hAnsi="Amiri" w:eastAsia="Amiri" w:cs="Amiri"/>
          <w:color w:val="111111"/>
          <w:sz w:val="28"/>
          <w:sz w:val="28"/>
          <w:szCs w:val="28"/>
          <w:rtl w:val="true"/>
          <w:lang w:bidi="ar-SA"/>
        </w:rPr>
        <w:t>فلو أحدث بالتخلّي بأحد الحدثين، ثم توضّأ من دون أن يستنجي، ثم صلى، هل تجب عليه إعادة الوضوء؟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المقام توجد ثلاثة 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لم يُحدث، نعم، هو لم يستنجِ، وبذا أوجب عليه المحقق قُدس سره إعادة الصلاة بعد تطهير الموضع فقط؛ لأنّه لم يُحقّق شرط طهارة البدن في الصلاة كما تبين، أما وضوؤه فصحيح؛ لأنّه لم ينتقض بحدثٍ آخر من جهةٍ، ولأن طهارة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أعضاء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شرطًا في صحة الوضوء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إلى هذا الرأي المحقق قُدس سره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غسل موضع النجو أو البول، وصلى، أعاد الصلاة عامدًا كانَ أو ناسيًا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أن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مبنياً على نوع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أحدث بالغائط فلا تلزم إعادة الوضوء، أي لو ترك الاستنجاء من حدث الغائط وتوضّأ وصلّى، حينئذٍ لا يجب عليه إلا تطهير الموضع، وإنْ أحدث بحدث البول ولم يتطهر منه، لزمه إعادة الوضوء </w:t>
      </w:r>
      <w:r>
        <w:rPr>
          <w:rStyle w:val="FootnoteAnchor"/>
          <w:rtl w:val="true"/>
        </w:rPr>
        <w:footnoteReference w:id="33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استند هذا الرأي إلى بعض الروايات، من قبيل ما روي عن سليمان بن خالد عن أبي جعفرٍ عَلَيْهِ السَّلاَمُ في الرجل يتوضأ فينسى غسل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ثم يعيد الوضوء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إعادة الوضوء في حدث البول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توجب الوضوء إذا ما أحدث بالبول ثم توضّأ وصلى من دون استنجاء، منها الرواية التي تقدّمت في الرأي الثاني،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أخرى صحيحة لا توجب الوضوء، منها رواية عليٍ بن يقطين عن أبي الحسن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يبول فلا يغسل ذكره حتى يتوضأ وضوء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ولا يعيد وضوءه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يبول فينسى أن يغسل ذكره ويتوضأ؟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ولا يعيد وضوءه </w:t>
      </w:r>
      <w:r>
        <w:rPr>
          <w:rStyle w:val="FootnoteAnchor"/>
          <w:rtl w:val="true"/>
        </w:rPr>
        <w:footnoteReference w:id="33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الجمع بين هاتين الطائفتين من الروايات، حمل جمعٌ من الفقهاء الروايات التي يظهر منها الوجوب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جدّد وضوءه بنية الندب، ثم صلّى، وذكر أنّه أخلّ بعضوٍ من إحدى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اقتصرنا على نية القربة، فالطهارة والصلاة صحيحتان، وإن أوجبنا نية الاستباحة أعادهما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الوضوء الرافع للحدث تشترط فيه نية القربة، وأما نية الاستباحة للصلاة فهناك رأيان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باشتراطها، ومنهم من قال 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الوضوء التجديدي فلا تُشترط فيه نية الاستباحة قطعًا؛ لعدم وجود حدثٍ ليرفعه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المُكلف متوضئًا وضوءًا رافعًا للحدث، ثم توضّأ ثانيةً استحبابًا، ثم صلى، ثم تذكّر أنّه قد أخلَّ بجزءٍ من أجزاء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الخلل في غسلِ عضوٍ أم مسحه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الخلل قد وقع في إحدى الطهارتين، أي في أحد الوضوئين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الرافع للحدث أو الوضوء التجديدي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يعلم في أي من الوضوئين وقع الخلل، ممّا يعني أنّ أحد الوضوئين باطل يقينًا، فإما أنْ يكون الوضوء الرافع للحدث هو الباطل، أو أن يكون الوضوء التجديدي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التنبيه على أن المقصود من الخلل هو عدم الإتيان بجزء من أجزاء الوضوء الواجبة، وليس المقصود هو حصول حدث بعد إحدى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الحكم حينئذٍ؟</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الفرض صورتان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صحة الوضوء الرافع للحدث والمُبيح للصلاة، وكفاية الإتيان به بنية القربة إلى الله عَزَّوَجَل، ولا تلزم فيه نية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فهو متطهر، فلا موجب لإعادة الوضوء أولًا، ومن ثم فصلاته صحيحة، ولا موجب لإعادتها؛ وذلك لأنَّ القول بكفايةالإتيان بالوضوء بنية القربة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خلا من نية الاستباحة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منه صحة أحد الوضوئين قطعًا، فإن كان الوضوء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الخلل، فالمكلف طاهر وصلاته صحيحة؛ لإتيانه بالوضوء بنية القربة إلى الله تعالى، وهي نيةٌ كافيةٌ في صحة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الوضوء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التجديدي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الخلل، فهو طاهرٌ أيضًا وصلاته صحيحة؛ لإتيانه بالوضوء بنية القربة إلى الله تعالى، وهي نيةٌ كافيةٌ في صحة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كلتا الحالتين لا تلزمه إعادة الطهارة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أن شرط صحة الصلاة هو الإتيان بالوضوء بنيةٍ مركبةٍ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القربة، ونية استباحة الصلاة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عليه أن يُعيد الصلاة؛ لأنَّ نية استباحة الصلاة موجودة فقط في الوضوء الأول الرافع للحدث فقط، فالوضوء التجديدي يخلو حتمًا من نية الاستباحة؛ لأنّه كان بنيّة تجديد للطهارة الموجودة سابقًا وليس بينة أن يكون رافعًا لحدثٍ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فينحصر الوضوء الصحيح والمبيح للصلاة بالوضوء الأول فقط دون الثاني، وبما أنَّ أحد الوضوئين فيه خلل قطعًا حسب للفرض، ويُحتمل أنْ يكون الوضوء الأول باطلًا، من ثم يحتمل أن تكون صلاته صحيحةً كما يُحتمل أن تكون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نعلم أن اشتغال الذمة اليقيني للمكلف، يستدعي أن يكون متيقناً من فراغها بالإتيان بالعمل جزماً، بناءً على قاعدة الاشتغال التي تقدّم الحديث عنها، والتي كانت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طالما لم يتيقن بأنّ ذمته قد فرغت فراغًا يقينيًا من التكليف المتوجه إليها، يلزمه أداء ذلك العمل؛ لاشتغال ذمته اليقيني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وبالوضوء المتقدم لم يتيقن المكلف من فراغ ذمته؛ لاحتمال صحة وضوئه واحتمال بطلانه، وعدم الفراغ اليقيني يلزم منه الاشتغال، لذا لزمته إعادة الوضوء والصلاة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بكل واحدةٍ منهما أعاد الأولى بناءً على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هنا هو</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المُكلّفَ توضّأ وضوءًا رافعًا للحدث، ثم صلّى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صلاةَ الظهر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توضّأ وضوءًا تجديديًا وصلّى به صلاةً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تذكّر أو علم أنّه أخلّ بإحدى الطهارتين، فيكون أحدُ الوضوئين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تأتي كلا الصورتين في الحكم السابق، لكن حكمهما يختلف لحيثيةٍ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كفاية الوضوء بنية القربة فقط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المكلف أتى بوضوءٍ قربة إلى الله تعالى فصلاته صحيحة، وحينئذٍ تكون الصلاة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كما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على كل حال؛ لأنّها وقعت بعد وضوئين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الرافع للحدث والوضوء التجديدي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بهما المكلف بنية القربة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الخلل قد وقع في الوضوء الأول، فإنّ الوضوء الثاني يُجزي في صحة الصلاة الثانية، وإن وقع الخلل في الوضوء الثاني أجزأ الأول في صحة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الصلاة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كما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فتلزم إعادتها؛ لأنّ فيها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الخلل قد حدث في الوضوء الأول، فيبطل، ولمّا لم يأتِ المكلف بوضوءٍ جديد لها، فإنّ صلاته حينئذٍ تكون باطلة بلا أدنى شك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الخلل قد حدث في الوضوء الثاني، فيبطل، ولكن لمّا جاء المكلف بالصلاة الأولى بعد الوضوءٍ الأول، وهو صحيح، فإنّ صلاته الأولى حينئذٍ تكون صحيحة بلا أدنى شك، فالصلاة الأولى يدور أمرها بين الصحة والبطلان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عدم إمكان ترجيح أحد الاحتمالين، تبقى ذمة المكلف مشتغلة بالتكليف؛ لأنّه كما يُحتمل أن تكون صلاته صحيحة ومجزية، فإنّه يحتمل أن تكون باطلة، وما زالت ذمة المكلف مشغولةبها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يمكنه الجزم بفراغ ذمته من التكليف بالصلاة، فتلزمه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وجوب نية الاستباحة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نية القربة إلى الله تعالى في الوضوء وحدَها غير كافية في صحة الصلاة، بل لا بُدّ من الإتيان بالوضوء بنية استباحة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النية لم تتوفر إلا في الوضوء الرافع للحدث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الوضوء التجديدي حيث لم يأتِ به المكلف لرفع الحدث، لا يُتعقل فيه أو يُتصور أن يأتي به بنية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لا يخلو من احتمالين أيضًا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الخلل في الوضوء الثاني التجديدي، فيكون هو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يكون الوضوء الأول الرافع للحدث والمتوفر على نية الاستباحة صحيحًا، فتصح تبعًا لذلك صلاة الظهر وصلاة العصر معًا؛ لأنّ كليهما قد وقعتا بوضوءٍ رافعٍ للحدث ومبيحٍ للصلاة، أي توفر على نية استباحة الصلاة التي تتوقف على الوضوء بها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الخلل في الوضوء الأول الرافع للحدث والمُبيح للصلاة، فيكون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تلزم إعادة كلٍّ من صلاة الظهر وصلاة العصر؛ لأنّ الوضوء الذي جاء به المكلف بنية استباحة الصلاة باطلٌ؛ لوقوع الخلل فيه، والوضوء الثاني لم تتوفر فيه نية الاستباحة اللازم توفرها في الوضوء لتصحَّ به الصلاة، وبذلك تكون كلتا الصلاتين قد وقعت من دون وضوء مبيحٍ للصلاة، فتلزم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عقيب طهارةٍ منهما، ولم يعلمها بعينها، أعاد الصلاتين إن اختلفتا عددًا، وإلّا فصلاةً واحدةً ينوي بها ما في ذمته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شخصًا توضأ وضوءًا رافعًا للحدث، ثم صلى، ثم توضأ وضوءًا تجديديًا، ثم صلى، ثم علم أنّه أحدث بعد أحد الوضوءين </w:t>
      </w:r>
      <w:r>
        <w:rPr>
          <w:rStyle w:val="FootnoteAnchor"/>
          <w:rtl w:val="true"/>
        </w:rPr>
        <w:footnoteReference w:id="339"/>
      </w:r>
      <w:r>
        <w:rPr>
          <w:rFonts w:ascii="Amiri" w:hAnsi="Amiri" w:eastAsia="Amiri" w:cs="Amiri"/>
          <w:color w:val="111111"/>
          <w:sz w:val="28"/>
          <w:sz w:val="28"/>
          <w:szCs w:val="28"/>
          <w:rtl w:val="true"/>
          <w:lang w:bidi="ar-SA"/>
        </w:rPr>
        <w:t>، ولا يعلم فيما إذا كان الحدث بعد الوضوء الأول أو بعد الوضوء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ثلاث صور، باعتبار أنَّ الصلاتين يحتمل فيهما أن تكونا متحدتين عددًا، كما يحتمل فيهما خلاف ذلك من جهة، وأنَّ الصلاة قد لا تصح إلا بوضوءٍ يشتمل على نية الاستباحة للصلاة على أحد المباني، وقد تصح بوضوء وإنْ كان يخلو من تلك النية من جهةٍ أخرى، والصور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كفاية نية القربة إلى الله تعالى في الوضوء في صحة الصلاة، وكانت الصلاتان متحدتين عددًا، كالظهرين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يلزم على المصلي أن يعيد صلاةً واحدة، فيتوضّأ ويصلي صلاة رباعية بقصد الأمر الواقع، أي بقصد ما في ذمته؛ فإن كانت ما في ذمته صلاة الظهر مثلًا أجزأت عنها، وإن كانت ما في ذمته صلاة العصر أجزأت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كلا الوضوئين مبيح للصلاة؛ لعدم اشتراط نية استباحة الصلاة فيهما؛ فإن كان الحدث قد وقع بعد الوضوء الأول، بطلت صلاة الظهر فقط؛ لأنه جاء بصلاة العصر بوضوء آخر حسب الفرض، وإن كان الحدث قد وقع بعد الوضوء الثاني، بطلت صلاة العصر فقط؛ لأنّ صلاة الظهر قد صلاها بوضوء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الاحتمالين فصلاة واحدة فقط هي الباطلة، ولما كانت كلتا الصلاتين متحدةً عددًا، أجزأه الإتيان بصلاة رباعية واحدة بقصد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اشتراط نية الاستباحة في الوضوء في صحة الصلاة، وكانت الصلاتان متحدتين عددًا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الوضوء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فكلتا الصلاتين باطلة حينئذٍ؛ وذلك لاشتراط نية الاستباحة في الوضوء لصحة الصلاة، ولا وضوء مشتملاً على هذه النية سوى الوضوء الأول الرافع للحدث، والذي هو الوضوء الباطل حسب الفرض، وأما التجديدي فيخلو منها، وعليه، فإن بطل الوضوء الأول بطلت كلتا الصلاتين؛ فتلزم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الوضوء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تكون الصلاة الأولى صحيحة؛ لأنها وقعت بعد وضوءٍ مشتمل على نية الاستباحة، وأما الصلاة الثانية فباطلة؛ إذ حصل قبلها حدث أبطل الوضوء الأول، ولأنَّ الوضوء الذي أعقب الحدث وإن كان صحيحًا إلا أنّه ليس بمبيح للصلاة؛ لعدم اشتماله على نية الاستباحة، فتلزم إعادتها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كلا الاحتمالين المتقدمين؛ تكون صلاة العصر باطلة على كُلِّ حال، ومن ثم تلزم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الظهر، فبناءً على الاحتمال الأول تكون باطلة، وبناءً على الاحتمال الثاني تكون صحيحة، أي إنه يكون المكلف متردداً في فراغ ذمته بعد يقينه باشتغالها بصلاة الظهر، وقد تقدّم أنَّ الاشتغال اليقيني يستدعي الفراغ اليقيني، ولا يقين بالفراغ؛ فتلزم إعادتها أيضًا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يُلزم المكلف بالوضوء بنية الاستباحة، ومن ثم الإتيان بصلاتين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لتردده في فراغ ذمته منها، وصلاة العصر؛ ليقينه ببطلانها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الصلاتان مختلفتين 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البناء على كفاية نية القربة إلى الله تعالى في صحة الصلاة، أم على اشتراط نية الاستباحة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صورتان، حكمهما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كفاية نية القربة إلى الله تعالى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اشتراط نية الاستباحة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وحكمهما واحد، وهو لزوم إعادة كُلٍّ من الصلاتين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إعادة الوضوء؛ وذلك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كفاية نية القربة في الوضوء لصحة الصلاة، فلا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الحدث بعد الوضوء الأول، أو بعد الوضوء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الوضوء الأول، كانت صلاة المغرب باطلة، وأما صلاة العشاء فصحيحة؛ لكفاية نية القربة إلى الله تعالى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الوضوء الثاني، فتكون صلاة المغرب صحيحة، وأما صلاة العشاء فباطلة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فإما أن تكون صلاة المغرب هي الباطلة، أو صلاة العشاء، وحيث لا يمكن ترجيح أي منهما على الآخر، لأنه ترجيح بلا مرجح، فهذا يعني أن المكلف لم يقطع بفراغ ذمته من أيٍّ منهما، مما يعني أنّه لم يزل مشغول الذمة بهما؛ لأن الاشتغال اليقيني يستدعي الفراغ اليقيني، وبذا تلزمه إعادتهما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وبناءً على اشتراط نية الاستباحة في الوضوء لأجل الصلاة، فإنَّ الوضوء الوحيد الذي تصح به الصلاة هو الوضوء الأول؛ فإن كان الحدث بعده بطلت الصلاتان معًا؛ للإتيان بالصلاة الأولى بعد حدث، وللإتيان بالصلاة الثانية بعد وضوء لا تصح به الصلاة، لأنه لم يشتمل على نية الاستباحة للصلاة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الحدث بعد الوضوء الثاني، صحت صلاة المغرب خاصةً؛ لوقوعها بعد وضوءٍ صحيح، وأما الصلاة الثانية فباطلة لأنالوضوء الذي كان قبلها لا تصح به الصلاة حسب الفرض، فضلًا عن وقوع الحدث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فإما أن تكون كلتا الصلاتين باطلة، وفقًا للاحتمال الأول، أو أن ينحصر البطلان بصلاة العشاء وفقًا للاحتمال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يمكن ترجيح أي من الاحتمالين على الآخر، وإلا لكان ترجيحًا بلا مرجح، فعلى كليهما فإنّ المكلف لم يقطع بفراغ ذمته من أيٍّ منهما، مما يعني أنّ التكليف الشرعي ما زال متعلقًا بذمته؛ لأن الاشتغال اليقيني يستدعي الفراغ اليقيني، وبذا تلزمه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صلى بطهارة ثم أحدث، وجدّد طهارة ثم صلى أخرى، وذكر أنه أخلَّ بواجبٍ من إحدى الطهارتين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المسألة هو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توضأ المكلف وصلّى، وبعد أنْ أكمل صلاته أحدث بما يُبطِلُ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تخلّى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توضأ وضوءًا ثانيًا وصلّى صلاةً أُخرى، وبعد ذلك تذكّرَ أنّه قد أخلَّ بواجبٍ في أحد الوضوئين، كما لو لم يمسح رأسه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كلا الوضوئين كانا بعد حدثٍ، ولم يكن أيٌّ منهما تجديديًا، فنستبعد الوضوء المجرد من نية الاستباحة من دائرة الاحتمالات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هنا مبني على كفاية الطهارة المأتي بها للدخول في الصلاة، سواء أكان المبنى هو لزوم نية استباحة الصلاة، أم لا، فالمهم أن كلا الوضوئين كان مما تصح الصلاة معه، لولا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فهنا صورتان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الصلاتان متحدتين بالعدد –كالظهرين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يلزم الإتيان بصلاةٍ واحدةٍ بقصد الأمر الواقع، أي بقصد ما في ذمته؛ لأن الأمر لا يخلو من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الوضوء الأول هو الباطل، فتكون الصلاة الأولى هي الباطلة، وأما الثانية فصلاة صحيحة؛ لأنها وقعت بعد وضوء صحيح لم يفصل بينه وبينها حدث</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الوضوء الثاني هو الباطل، فتكون الصلاة الثانية هي الباطلة؛ أما الأولى فهي صحيحة؛ لوقوعها بعد وضوء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يدور الحال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الصلاة الأولى هي الباطلة والثانية هي الصحيحة، أو بالعكس، فالصلاة الباطلة واحدة فقط على كلا الاحتمالين، وبما أنَّ كلتي الصلاتين متحدةٌ عددًا، فيُجزي الإتيان بصلاةٍ واحدةٍ فقط بقصد الأمر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الصلاتان مختلفتين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قد صلى المغرب والعشاء، فحينئذٍ يلزم الإتيان بصلاتين بعد الوضوء؛ وذلك لوجود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الوضوء الأول هو الباطل، فتكون الصلاة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الباطلة، وأما صلاة العشاء فصحيحة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أي أن تكون الصلاة الأولى هي الصحيحة، وأما الصلاة الثانية فهي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فيُحتمل بطلان كلتي الصلاتين، ولمّا كان عددهما مختلفًا، لزم الإتيان بهما كليهما؛ إذ لا يقين عند المكلف بفراغ ذمته من أيٍّ منهما، والاشتغال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الخمس بخمس طهارات، وتيقن أنه أحدث عقيب إحدى الطهارات، أعاد ثلاث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واثنتين وأربعاً،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خمساً، والأول أشبه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توضأ وصلّى الفجر، ثم توضّأ وصلّى الظهر، ثم توضّأ وصلّى العصر، ثم توضّأ وصلّى المغرب، ثم توضّأ وصلّى العشاء، بعدئذٍ تيقّنَ أنَّه قد أحدث بعد إحدى الطهارات الخمس، وقبل الصلاةالتي وقعت بعدها، فبلا شك أنّ إحدى الصلوات الخمس كانت باطلة، ولكنه لا يعلم الباطلة أيًّا منهن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ثلاث صلوات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والمغرب، ورباعية بقصد 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القول ببطلان إحدى الصلوات الخمس، وإن كان يُدخل جميع الصلوات الخمس في دائرة احتمال البطلان، إلا أنَّ اتفاق ثلاث صلوات منها 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 الرباعيات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والعصر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علينا أن نختزل بطلان الرباعيات جميعًا ببطلان إحداها فقط، وذلك بالإتيان بالباطلة منها بقصد الأمر الواقع، والحصيلة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البطلان يدور مدار ثلاث صلوات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المغرب، صلاة رباعية واحدة فقط، وإن لم يحدد المكلف أيًّا من الرباعيات الثلاث هي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يلزمه أن يتوضّأ ويصلي الفجر، ويصلي المغرب، ويصلي رباعية واحدة بقصد الأمر الواقع؛ فإن كانت الباطلة هي الفجر فقد أتى بها، وإن كانت الباطلة هي المغرب فقد أتى بها، وإن كانت الباطلة هي الظهر أو العصر أو العشاء فقد أتى بها بإتيانه بالرباعية بقصد الأمر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أخذ المحقق قُدس سره بهذا الرأي؛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ثلاث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واثنتين وأربعا، وهذا الرأي مبني على كفاية النية المُردّدة بين عِدّة فروضٍ مُتحِدةٍ بعدد، الذي عبّر عنه المحقق قُدس 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نية قصد الأمر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المحقق بأنّه الأشبه؛ أي الأوفق بقواعد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يُعيد جميع الصلوات، وهو الرأي الذي أشار إليه المحقق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عدم كفاية النية الواحدة المردّدةً بين عدة فروض، والذي عبّر عنه المحقق قُدس سره في المسائل المتقدمة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الأمر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تكفي النية الواحدة المُردّدة بين عدة فروض ولو كانت متحدة بالعدد، ومن ثَمّ؛ فلا يكفي الإتيان بصلاة رباعية واحدة بقصد الأمر الواقع؛ لاحتمال بطلان إحدى الصلوات الرباعيات الثلاث، بل لا بد من الإتيان بها جميعًا، أي الإتيان بكل من صلاة الظهر والعصر والعشاء، بالإضافة إلى الفجر والمغرب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تجدر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في الرأي الأول من الحكم الثاني عشر خاص بالمقيم دون المسافر؛ وذلك لأن هذا الرأي مبني على كفاية النية المرددة بين عدّة فروض من جهة، وصلاة المقيمتختلف عن المسافر؛ لتمام الأولى وقصر الثانية، وعليه تلزم المكلف المسافر إعادة صلاتين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المغرب، وصلاة ثنائية بقصد الأمر الواقع، وتجزي عن صلاة الفجر وصلاة الظهر وصلاة العصر وصلاة العشاء</w:t>
      </w:r>
      <w:r>
        <w:rPr>
          <w:rFonts w:eastAsia="Amiri" w:cs="Amiri" w:ascii="Amiri" w:hAnsi="Amiri"/>
          <w:color w:val="111111"/>
          <w:sz w:val="28"/>
          <w:szCs w:val="28"/>
          <w:rtl w:val="true"/>
          <w:lang w:bidi="ar-SA"/>
        </w:rPr>
        <w:t>.</w:t>
      </w:r>
      <w:bookmarkStart w:id="419" w:name="pg7928_8572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6503143_1051229030"/>
      <w:bookmarkStart w:id="421" w:name="_Toc141"/>
      <w:bookmarkEnd w:id="419"/>
      <w:bookmarkEnd w:id="420"/>
      <w:r>
        <w:rPr>
          <w:rtl w:val="true"/>
        </w:rPr>
        <w:t>الغُسُل</w:t>
      </w:r>
      <w:bookmarkEnd w:id="42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7928_85728"/>
      <w:bookmarkStart w:id="423" w:name="pg7928_85728"/>
      <w:bookmarkEnd w:id="423"/>
    </w:p>
    <w:p>
      <w:pPr>
        <w:pStyle w:val="BookText"/>
        <w:rPr/>
      </w:pPr>
      <w:bookmarkStart w:id="424" w:name="pg7928_85728"/>
      <w:bookmarkEnd w:id="424"/>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الغسل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ستة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والاستحاضة التي تثقب الكرسف، والنفاس، ومس الأموات من الناس قبل تغسيلهم وبعد بردهم، وغسل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في خمسة فصول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6503145_1051229030"/>
      <w:bookmarkStart w:id="426" w:name="_Toc142"/>
      <w:bookmarkEnd w:id="425"/>
      <w:r>
        <w:rPr>
          <w:rtl w:val="true"/>
        </w:rPr>
        <w:t>الفصل الأول</w:t>
      </w:r>
      <w:r>
        <w:rPr>
          <w:rtl w:val="true"/>
        </w:rPr>
        <w:t xml:space="preserve">: </w:t>
      </w:r>
      <w:r>
        <w:rPr>
          <w:rtl w:val="true"/>
        </w:rPr>
        <w:t>في الجنابة</w:t>
      </w:r>
      <w:r>
        <w:rPr>
          <w:rtl w:val="true"/>
        </w:rPr>
        <w:t>:</w:t>
      </w:r>
      <w:bookmarkEnd w:id="426"/>
    </w:p>
    <w:p>
      <w:pPr>
        <w:pStyle w:val="BookText"/>
        <w:rPr/>
      </w:pPr>
      <w:r>
        <w:rPr>
          <w:rFonts w:ascii="Amiri" w:hAnsi="Amiri" w:eastAsia="Amiri" w:cs="Amiri"/>
          <w:color w:val="111111"/>
          <w:sz w:val="28"/>
          <w:sz w:val="28"/>
          <w:szCs w:val="28"/>
          <w:rtl w:val="true"/>
          <w:lang w:bidi="ar-SA"/>
        </w:rPr>
        <w:t>والنظر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والحكم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الجنابة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الإنزال إذا علم أن الخارج مني، فإن حصل ما يشتبه به، وكان دافقا يقارنه الشهوة وفتور الجسد وجب الغسل، ولو كان مريضاً كفت الشهوة وفتور الجسد في وجوبه، ولو تجرد عن الشهوة والدفق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المحقق قُدس سره الغُسل إلى واجبٍ ومندوب، ونُذكِّرُ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مقدمةٌ لغيره كسائر الطهارات؛ فإذا كان مقدمةً لواجبٍ كان واجبًا، وإن كان مقدمةً لمندوبٍ كان مندوبًا، وعليه فلا بُدّ أن يكون مقصود المُحقق قُدس سره من الغسل الواجب هو الواجب لغيره</w:t>
      </w:r>
      <w:r>
        <w:rPr>
          <w:rFonts w:eastAsia="Amiri" w:cs="Amiri" w:ascii="Amiri" w:hAnsi="Amiri"/>
          <w:color w:val="111111"/>
          <w:sz w:val="28"/>
          <w:szCs w:val="28"/>
          <w:rtl w:val="true"/>
          <w:lang w:bidi="ar-SA"/>
        </w:rPr>
        <w:t xml:space="preserve">. </w:t>
      </w:r>
      <w:bookmarkStart w:id="427" w:name="pg7928_85729"/>
    </w:p>
    <w:p>
      <w:pPr>
        <w:pStyle w:val="BookText"/>
        <w:rPr/>
      </w:pPr>
      <w:bookmarkEnd w:id="427"/>
      <w:r>
        <w:rPr>
          <w:rFonts w:ascii="Amiri" w:hAnsi="Amiri" w:eastAsia="Amiri" w:cs="Amiri"/>
          <w:color w:val="111111"/>
          <w:sz w:val="28"/>
          <w:sz w:val="28"/>
          <w:szCs w:val="28"/>
          <w:rtl w:val="true"/>
          <w:lang w:bidi="ar-SA"/>
        </w:rPr>
        <w:t>ثم قسّم الأغسال الواجبة إلى ستة، أوضحها في خمسة فصول، وابتدأها بغسل الجنابة، وبَحَثه في ثلاث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والحكم، والغسل</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503147_1051229030"/>
      <w:bookmarkStart w:id="429" w:name="_Toc143"/>
      <w:bookmarkEnd w:id="428"/>
      <w:r>
        <w:rPr>
          <w:rtl w:val="true"/>
        </w:rPr>
        <w:t>الجهة الأولى</w:t>
      </w:r>
      <w:r>
        <w:rPr>
          <w:rtl w:val="true"/>
        </w:rPr>
        <w:t xml:space="preserve">: </w:t>
      </w:r>
      <w:r>
        <w:rPr>
          <w:rtl w:val="true"/>
        </w:rPr>
        <w:t>سبب الجنابة</w:t>
      </w:r>
      <w:r>
        <w:rPr>
          <w:rtl w:val="true"/>
        </w:rPr>
        <w:t>:</w:t>
      </w:r>
      <w:bookmarkEnd w:id="429"/>
    </w:p>
    <w:p>
      <w:pPr>
        <w:pStyle w:val="BookText"/>
        <w:rPr/>
      </w:pPr>
      <w:r>
        <w:rPr>
          <w:rFonts w:ascii="Amiri" w:hAnsi="Amiri" w:eastAsia="Amiri" w:cs="Amiri"/>
          <w:color w:val="111111"/>
          <w:sz w:val="28"/>
          <w:sz w:val="28"/>
          <w:szCs w:val="28"/>
          <w:rtl w:val="true"/>
          <w:lang w:bidi="ar-SA"/>
        </w:rPr>
        <w:t>لا خلاف في كون الجنابة سببًا للغسل،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وأما الجنابة نفسها، فلها أسبابٌ، إنْ تحققت في الإنسان حُكِمَ عليه بالجنابة، ومن ثم لا يكون طاهرًا بالطهارة الشرعية؛ فإذا وجب عليه شيءٌ مشروطٌ بالطهارةِ الشرعية، كان عليه أنْ يُزيلَ الجنابة، ولا يتحقّق ذلك إلا بالغسل، أو التيمم في مورد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ولتحقق الجنابة سببان، لا خلاف فيهما بين الفقهاء،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في الرجل، وهنا شقّان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الشخص بأنّ النازل منه هو منيٌّ، فتتحقق الجنابة مُطلقًا، سواء أَصاحب ذلك شهوة أم لم تصاحبه، وسواء أكانما خرج منه مُتدفقًا أم مُتثاقلًا، وسواء أكان في نومٍ أم في يقظة، وسواء أكان الشخص صحيحاً أم عليلاً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يشتبه الحال في أنّ الذي خرج منه هو منيٌّ أو غيره من السوائل التي يمكن أن تخرج من الموضع، ويختلف الحكم باختلاف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 صحيحًا لا عليلًا، وحينئذٍ لا بُد من اجتماع ثلاثة أوصاف للحكم عليه بالجنابة،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وفتور الجسد، والدفق، فإنْ تحققت هذه المواصفات الثلاثة كان الشخص مجنبًا، ووجب عليه أن يغتسل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الشخص مريضًا وليس صحيحًا، وحينئذٍ دلّت النصوص على سقوط شرط الدفق، وأنه لا بُدّ من تحقق شرطين فقط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وفتور الجسد؛ فإن توفرا كان الشخص مجنبًا،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عدم اعتبار الدفق في المريض، ما روي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ويَجِدُ الشَّهْوَةَ، فَيَسْتَيْقِظُ، ويَنْظُرُ فَلَا يَجِدُ شَيْئاً، ثُمَّ يَمْكُثُ بَعْدُ فَيَخْرُجُ؟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وإِنْ لَمْ يَكُنْ مَرِيضاً فَلَا شَيْءَعَلَيْه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إِذَا كَانَ صَحِيحاً جَاءَ بِدُفْقَةٍ وقُوَّةٍ، وإِذَا كَانَ مَرِيضاً لَمْ يَجِئْ إِلَّا بَعْدُ </w:t>
      </w:r>
      <w:r>
        <w:rPr>
          <w:rStyle w:val="FootnoteAnchor"/>
          <w:rtl w:val="true"/>
        </w:rPr>
        <w:footnoteReference w:id="34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بيّنت أنّ الرجل الصحيح غير العليل يخرج المنيُّ منه بدفقٍ، فإذا لم يخرج بدفقٍ وهو صحيح فلا نحكم عليه بأنّه مجنب، أما </w:t>
      </w:r>
    </w:p>
    <w:p>
      <w:pPr>
        <w:pStyle w:val="BookText"/>
        <w:rPr/>
      </w:pPr>
      <w:r>
        <w:rPr>
          <w:rFonts w:ascii="Amiri" w:hAnsi="Amiri" w:eastAsia="Amiri" w:cs="Amiri"/>
          <w:color w:val="111111"/>
          <w:sz w:val="28"/>
          <w:sz w:val="28"/>
          <w:szCs w:val="28"/>
          <w:rtl w:val="true"/>
          <w:lang w:bidi="ar-SA"/>
        </w:rPr>
        <w:t>العليل؛ فلأن جسده ضعيف، فربما لا يخرج الماء منه بدفق، فيكفي أن يخرج المني ولو من دون 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الخارج من دون شهوةٍ ولا دفق، فحينئذٍ لا يحكم عليه بالجنابة، ولا فرق بين الصحيح والعليل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 على ثوبه أو جسده منيًّا، وجب الغسل إذا لم يشركه في الثوب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على جسده منيّاً، فيجب عليه الغسل، وأما إذا وجد على ثوبه ذلك، فقد أشار المحقق قُدس سره إلى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الثوب خاصًا بالشخص، أي لا يلبسه معه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يجب عليه الغسل؛ لأنَّ الثوب خاصٌ به، ولم يلبسه أحدٌ غيره، وقد وجد عليه منيّاً، فيُحكم عليه ظاهرًا بأنّه مجنب، ويجب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الثوب مشتركًا بينه وبين غيره، يتناوبان عليه في اللبس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الغسل على كلٍ منهما؛ وذلك لأنّ كُلاًّ منهما كان متيقناً بالطهارة، ولكنه شاكٌّ في الجنابة، والشك لا ينقض اليقين، فهما على يقينٍ بطهارتهما، فيحكم عليهما بالطهارة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للحالة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وللتوضيح أكثر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الفقهاء أنَّ الحكم الشرعي إنّما يكون واجبًا على المكلف عند توفر جملةٍ من الشروط،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واصلًا إلى المكلف، بأن يعلم به؛ إذ تكليف الجاهل محال، ومعه، فإنّما يجب الغسل على الشخص إذا علم بخروج المني منه، أما مع عدم العلم فلا 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الشخصين اللذين يتناوبان على لبس ثوب واحد وُجِدَ عليه منيٌّ، كُلٌّ منهما لا علم عنده بأنّ هذا المنيَّ منه، بل كُلٌّ منهما في شكٍّ، فقد يكون المنيُّ منه، وقد يكون من صاحبه، وكُلٌّ منهما أيضًا على يقينٍ بأنّه على طهارةٍ سابقة، فتجري قاعدة الاستصحاب،ومفادها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المكلف يقين سابق وشك لاحق، فيبني على اليقين، ويقين كُلٍّ منهما هنا هو الطهارة، فيبنيان عليها، فلا غسل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حسنٌ على كُلِّ حال؛ فإذا أرادا الاحتياط يمكنهما الاغتسال بقصدِ الأمر الواقع، ولكن هذا الغسل لا يُجزيهما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يتساءل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يلبس الثوب سواهما، فيقينًا أنَّ أحدهما هو المجنب، وإلا لا يُعقل أنْ لا مصدر لهذا المني الذي وجد على الثوب، فكيف حكمنا على كليهما بالطهارة؟</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تعذرت معرفة الأحكام الفقهية الواقعية على المكلف، فلا سبيل أمامه إلا التمسك بالأحكام الفقهية الظاهرية، وفي المقام تعذّر الوصول إلى </w:t>
      </w:r>
    </w:p>
    <w:p>
      <w:pPr>
        <w:pStyle w:val="BookText"/>
        <w:rPr/>
      </w:pPr>
      <w:r>
        <w:rPr>
          <w:rFonts w:ascii="Amiri" w:hAnsi="Amiri" w:eastAsia="Amiri" w:cs="Amiri"/>
          <w:color w:val="111111"/>
          <w:sz w:val="28"/>
          <w:sz w:val="28"/>
          <w:szCs w:val="28"/>
          <w:rtl w:val="true"/>
          <w:lang w:bidi="ar-SA"/>
        </w:rPr>
        <w:t>الحكم الواقعي عبر آيةٍ أو روايةٍ، فلا بُدّ من الرجوع للأصول العملية وفقًا لتسلسل الاستنباط، وقد ثبت بالاستصحاب عدم وجوب الغسل على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التي حكمنا بها عليهما هي طهارة تعبدية، ظاهرية، وفق الأصول العملية التي ثبتت حجيتها بالدليل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جامع امرأة في قُبُلِها، والتقى الختانان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الجماع موجبًا للجنابة أمرٌ مفروغٌ عنه ومتفقٌ عليه بين العلماء؛ للأخبار المستفيضة، منها صحيحة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الباقر أو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محمد بن مسلم من أصحابهما كليهما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الغُسْلُ عَلَى الرَّجُلِ والمَرْأَةِ؟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أَدْخَلَه، فَقَدْ وَجَبَ الغُسْلُ، والمَهْرُ، والرَّجْمُ </w:t>
      </w:r>
      <w:r>
        <w:rPr>
          <w:rStyle w:val="FootnoteAnchor"/>
          <w:rtl w:val="true"/>
        </w:rPr>
        <w:footnoteReference w:id="34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رواية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الرِّضَا عَلَيْهِ السَّلاَمُ عَنِ الرَّجُلِ يُجَامِعُ المَرْأَةَ قَرِيباً مِنَ الفَرْجِ، فَلَا يُنْزِلَانِ، مَتَى يَجِبُ الغُسْلُ؟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44"/>
      </w:r>
      <w:bookmarkStart w:id="430" w:name="pg7928_85734"/>
    </w:p>
    <w:p>
      <w:pPr>
        <w:pStyle w:val="BookText"/>
        <w:rPr/>
      </w:pPr>
      <w:bookmarkEnd w:id="430"/>
      <w:r>
        <w:rPr>
          <w:rFonts w:ascii="Amiri" w:hAnsi="Amiri" w:eastAsia="Amiri" w:cs="Amiri"/>
          <w:color w:val="111111"/>
          <w:sz w:val="28"/>
          <w:sz w:val="28"/>
          <w:szCs w:val="28"/>
          <w:rtl w:val="true"/>
          <w:lang w:bidi="ar-SA"/>
        </w:rPr>
        <w:t>فالرواية قد أوضحت تفسير عبارة المحقق قُدس سره، وفسّرت معنى التقاء الختانين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فرعيةٌ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503149_1051229030"/>
      <w:bookmarkStart w:id="432" w:name="_Toc144"/>
      <w:bookmarkEnd w:id="431"/>
      <w:r>
        <w:rPr>
          <w:rtl w:val="true"/>
        </w:rPr>
        <w:t>المسألة الأولى</w:t>
      </w:r>
      <w:r>
        <w:rPr>
          <w:rtl w:val="true"/>
        </w:rPr>
        <w:t xml:space="preserve">: </w:t>
      </w:r>
      <w:r>
        <w:rPr>
          <w:rtl w:val="true"/>
        </w:rPr>
        <w:t>وطئ المرأة الميتة</w:t>
      </w:r>
      <w:r>
        <w:rPr>
          <w:rtl w:val="true"/>
        </w:rPr>
        <w:t>:</w:t>
      </w:r>
      <w:bookmarkEnd w:id="432"/>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الموطوءة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جامع الرجل امرأة ميتة، فهل يجب عليه الغسل؟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يجب عليه الغسل، وهو ما عليه مذهبنا، بخلاف الحنفية؛ إذ نُقِل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الموطوءة ميتةً فلا تتحقَّق الجنابة، ولا يجب الغسل على الرجل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والصحيح هو لزوم الغسل؛ لعموم الأدلة؛ أي إنّ الأدلة عامة ومطلقة، قالت بتحقق الجنابة بالجماع، وهذا يشمل الحية والميّتة من النساء</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503151_1051229030"/>
      <w:bookmarkStart w:id="434" w:name="_Toc145"/>
      <w:bookmarkEnd w:id="433"/>
      <w:r>
        <w:rPr>
          <w:rtl w:val="true"/>
        </w:rPr>
        <w:t>المسألة الثانية</w:t>
      </w:r>
      <w:r>
        <w:rPr>
          <w:rtl w:val="true"/>
        </w:rPr>
        <w:t xml:space="preserve">: </w:t>
      </w:r>
      <w:r>
        <w:rPr>
          <w:rtl w:val="true"/>
        </w:rPr>
        <w:t>الجماع في الدبر</w:t>
      </w:r>
      <w:r>
        <w:rPr>
          <w:rtl w:val="true"/>
        </w:rPr>
        <w:t>:</w:t>
      </w:r>
      <w:bookmarkEnd w:id="434"/>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 في الدبر ولم ينزل، وجب الغسل على الأصح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شرح عبارة المحقق قُدس سره لا بُدّ من الإشارة إلى أنه قُدس سره قيّد الحكم بعدم الإنزال،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الإنزال وحده سببٌ مستقلٌ </w:t>
      </w:r>
    </w:p>
    <w:p>
      <w:pPr>
        <w:pStyle w:val="BookText"/>
        <w:rPr/>
      </w:pPr>
      <w:r>
        <w:rPr>
          <w:rFonts w:ascii="Amiri" w:hAnsi="Amiri" w:eastAsia="Amiri" w:cs="Amiri"/>
          <w:color w:val="111111"/>
          <w:sz w:val="28"/>
          <w:sz w:val="28"/>
          <w:szCs w:val="28"/>
          <w:rtl w:val="true"/>
          <w:lang w:bidi="ar-SA"/>
        </w:rPr>
        <w:t>للجنابة برأسه، وحينئذٍ تتحقق الجنابة ويجب الغسل سواء أَقترن بجماع في الدبر أم من دونه، فقيّد العبارة بعدم الإنزال؛ ليتضح حكم الجماع بالدبر مجرّدًا عن أي سببٍ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يتضح عدم اشتراط الإنزال بالجماع، وأنَّ الجماع غير الإنزال، فكُلٌّ منهما سببٌ مستقلٌ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عبارة المحقق قُدس سره وقوع الخلاف في هذه المسألة؛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إشارة الى خلاف بعض العلماء، حيث لم يوجبوا الغسل في الجماع من الدبر مع عدم الإنزال، إذ ذهبوا إلى أنَّ الجنابة لا تتحقق بالجماع في الدبر من دون 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تحقُّقِ الجنابة بالإدخال دبرًا أمورٌ منها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فُسِّرت الملامسة بالجماع، فقد روي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هُوَ الجِمَاعُ، ولَكِنَّ اللَّه سَتِيرٌ، يُحِبُّ السَّتْرَ، فَلَمْ يُسَمِّ كَمَا تُسَمُّونَ </w:t>
      </w:r>
      <w:r>
        <w:rPr>
          <w:rStyle w:val="FootnoteAnchor"/>
          <w:rtl w:val="true"/>
        </w:rPr>
        <w:footnoteReference w:id="34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 الجماع عام يشمل الجماع من القبل ومن الدبر</w:t>
      </w:r>
      <w:r>
        <w:rPr>
          <w:rFonts w:eastAsia="Amiri" w:cs="Amiri" w:ascii="Amiri" w:hAnsi="Amiri"/>
          <w:color w:val="111111"/>
          <w:sz w:val="28"/>
          <w:szCs w:val="28"/>
          <w:rtl w:val="true"/>
          <w:lang w:bidi="ar-SA"/>
        </w:rPr>
        <w:t xml:space="preserve">. </w:t>
      </w:r>
      <w:bookmarkStart w:id="435" w:name="pg7928_85736"/>
    </w:p>
    <w:p>
      <w:pPr>
        <w:pStyle w:val="BookText"/>
        <w:rPr/>
      </w:pPr>
      <w:bookmarkEnd w:id="435"/>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العديدة التي يُستفادُ منها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وقالالمهاجرون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 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المهاجرون، ودعوا ما قالت الأنصار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فقد وضع أمير المؤمنين عَلَيْهِ السَّلاَمُ في هذه الرواية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يجب فيه الحدّ والرجم، يجب فيه الغسل، والجماع من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حرام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الحدّ والرجم، فيجب فيه الغسل</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503153_1051229030"/>
      <w:bookmarkStart w:id="437" w:name="_Toc146"/>
      <w:bookmarkEnd w:id="436"/>
      <w:r>
        <w:rPr>
          <w:rtl w:val="true"/>
        </w:rPr>
        <w:t>المسألة الثالثة</w:t>
      </w:r>
      <w:r>
        <w:rPr>
          <w:rtl w:val="true"/>
        </w:rPr>
        <w:t xml:space="preserve">: </w:t>
      </w:r>
      <w:r>
        <w:rPr>
          <w:rtl w:val="true"/>
        </w:rPr>
        <w:t>وطء الغلام</w:t>
      </w:r>
      <w:r>
        <w:rPr>
          <w:rtl w:val="true"/>
        </w:rPr>
        <w:t>:</w:t>
      </w:r>
      <w:bookmarkEnd w:id="437"/>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وطئ غلامًا فأوقبه، ولم ينزل، قال المرتضى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معوِّلًا على الإجماع المركب،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للجنابة سببين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والجماع، ولكن ماذا لو أنَّ المكلّف لاط بغلامٍ فأوقبه، أي أدخل الحشفة في الدبر، ولم يُنزل </w:t>
      </w:r>
      <w:r>
        <w:rPr>
          <w:rStyle w:val="FootnoteAnchor"/>
          <w:rtl w:val="true"/>
        </w:rPr>
        <w:footnoteReference w:id="350"/>
      </w:r>
      <w:r>
        <w:rPr>
          <w:rFonts w:ascii="Amiri" w:hAnsi="Amiri" w:eastAsia="Amiri" w:cs="Amiri"/>
          <w:color w:val="111111"/>
          <w:sz w:val="28"/>
          <w:sz w:val="28"/>
          <w:szCs w:val="28"/>
          <w:rtl w:val="true"/>
          <w:lang w:bidi="ar-SA"/>
        </w:rPr>
        <w:t xml:space="preserve">، فهل يجب الغسل أو لا؟ </w:t>
      </w:r>
      <w:bookmarkStart w:id="438" w:name="pg7928_85737"/>
    </w:p>
    <w:p>
      <w:pPr>
        <w:pStyle w:val="BookText"/>
        <w:rPr/>
      </w:pPr>
      <w:bookmarkEnd w:id="438"/>
      <w:r>
        <w:rPr>
          <w:rFonts w:ascii="Amiri" w:hAnsi="Amiri" w:eastAsia="Amiri" w:cs="Amiri"/>
          <w:color w:val="111111"/>
          <w:sz w:val="28"/>
          <w:sz w:val="28"/>
          <w:szCs w:val="28"/>
          <w:rtl w:val="true"/>
          <w:lang w:bidi="ar-SA"/>
        </w:rPr>
        <w:t xml:space="preserve">في المقام خلاف، فرأي ذهب إلى عدم وجوب الغسل فيه </w:t>
      </w:r>
      <w:r>
        <w:rPr>
          <w:rStyle w:val="FootnoteAnchor"/>
          <w:rtl w:val="true"/>
        </w:rPr>
        <w:footnoteReference w:id="351"/>
      </w:r>
      <w:r>
        <w:rPr>
          <w:rFonts w:ascii="Amiri" w:hAnsi="Amiri" w:eastAsia="Amiri" w:cs="Amiri"/>
          <w:color w:val="111111"/>
          <w:sz w:val="28"/>
          <w:sz w:val="28"/>
          <w:szCs w:val="28"/>
          <w:rtl w:val="true"/>
          <w:lang w:bidi="ar-SA"/>
        </w:rPr>
        <w:t xml:space="preserve">، ورأيٌّ ذهب إلى وجوبه، وقد ذكر المحقق أن السيد المرتضى استدلعلى الوجوب بالإحماع المركب،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بعدم ثبوت هذا الإجماع</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503155_1051229030"/>
      <w:bookmarkStart w:id="440" w:name="_Toc147"/>
      <w:bookmarkEnd w:id="439"/>
      <w:r>
        <w:rPr>
          <w:rtl w:val="true"/>
        </w:rPr>
        <w:t>فائدة</w:t>
      </w:r>
      <w:r>
        <w:rPr>
          <w:rtl w:val="true"/>
        </w:rPr>
        <w:t>:</w:t>
      </w:r>
      <w:r>
        <w:rPr>
          <w:rtl w:val="true"/>
        </w:rPr>
        <w:t>معنى الإجماع المركب</w:t>
      </w:r>
      <w:bookmarkEnd w:id="440"/>
    </w:p>
    <w:p>
      <w:pPr>
        <w:pStyle w:val="BookText"/>
        <w:rPr/>
      </w:pPr>
      <w:r>
        <w:rPr>
          <w:rFonts w:ascii="Amiri" w:hAnsi="Amiri" w:eastAsia="Amiri" w:cs="Amiri"/>
          <w:color w:val="111111"/>
          <w:sz w:val="28"/>
          <w:sz w:val="28"/>
          <w:szCs w:val="28"/>
          <w:rtl w:val="true"/>
          <w:lang w:bidi="ar-SA"/>
        </w:rPr>
        <w:t xml:space="preserve">معنى الإجماع المركب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وقال الشهيد الثاني في مسالك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بالإجماع المركب ما تركب من قولين بحيث يلزم من مخالفتهما معا مخالفة الإجماع بأن ينحصر قول من يعتبر قوله في الإجماع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في الأصول بإحداث قول ثالث، وحاصله هنا أن المرتضى ݤ ادعى أن كل من قال بوجوب الغسل بالوطئ في دبر المرأة قال بوجوبه في دبر الغلام، ومن نفاه في الأول نفاه في الثاني، فالقول بوجوبه في إيقاب المرأة دون الغلام إحداث قول ثالث يقتضي رفع ما أجمعوا عليه، لكن لما قام الدليل على وجوبه بإيقاب المرأة لزم القول به في الغلام، ورده المصنف هنا بأن ما ادعاه من الإجماع لم يثبت وفي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أتحقق إلى الآن ما ادعاه، فالأولى التمسك فيه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بأن الإجماع المنقول بخبر الواحد حجة فكيف بمثل السيد، فلا يقدح فيه عدم تحققه، إنما يتحقق القدح بظهور عدم صحته، ولم يتحقق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ومركب، والإجماع البسيط هو اتفاق جميع الفقهاء من عصر الغيبة حتى اليوم على مسألة، كوجوب الطمأنينة في الصلاة الواجبة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المركب هو وجود قولين في مسألة فقط، فإنه إجماع على عدم صحة قول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من قولين بحيث يلزم من مخالفتِهما مخالفةُ الإجماع، بأن ينحصر القولُ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إطباق أهل الحل والعقد في عصر من الأعصار على قولين لا يتجاوزونهما إلى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المرتضى قُدس سره قال هنا بالإجماع المركب، لأن الفقهاء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على من أدخل في الدبر مطلقاً، غلاماً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الغسل على من أدخل في الدبر مطلقاً غلاماً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القول بالغسل في الإدخال في غير دبر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أدخل في دبر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الغسل في الإدخال في دبر الغلام قولاً ثالثاً، والإجماع المركب متحقق على خلافه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المرتضى قُدس سره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بوجوب الغسل بالوطئ في دبر المرأة، قال بوجوبه في دبر الغلام، ومن نفاه في الأول نفاه في الثاني، فالقول بوجوبه في إيقاب المرأة دون الغلام إحداث قول ثالث يقتضي رفع ما أجمعوا عليه، لكن لما قام الدليل على وجوبه بإيقاب المرأة، لزم القول به في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عندنا أن في المسألة قولين فقط، حتى يكون التفصيل خلاف الإجماع المركب، وذلك لوجود المخالف في وجوب </w:t>
      </w:r>
      <w:bookmarkStart w:id="441" w:name="pg7928_85739"/>
    </w:p>
    <w:p>
      <w:pPr>
        <w:pStyle w:val="BookText"/>
        <w:rPr/>
      </w:pPr>
      <w:bookmarkEnd w:id="441"/>
      <w:r>
        <w:rPr>
          <w:rFonts w:ascii="Amiri" w:hAnsi="Amiri" w:eastAsia="Amiri" w:cs="Amiri"/>
          <w:color w:val="111111"/>
          <w:sz w:val="28"/>
          <w:sz w:val="28"/>
          <w:szCs w:val="28"/>
          <w:rtl w:val="true"/>
          <w:lang w:bidi="ar-SA"/>
        </w:rPr>
        <w:t>الغسل على من أدخل في دبر المرأة، فإن هناك من قال بوجوب الغسل فيه، وهناك من قال بعدم وجوبه، فيثبت الخلاف في دبر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فلا يصحُّ ما استندَ إليه السيد المرتضى قُدس سره؛ لعدم تمامية دليله على وجوب الغسل</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503157_1051229030"/>
      <w:bookmarkStart w:id="443" w:name="_Toc148"/>
      <w:bookmarkEnd w:id="442"/>
      <w:r>
        <w:rPr>
          <w:rtl w:val="true"/>
        </w:rPr>
        <w:t>المسألة الرابعة</w:t>
      </w:r>
      <w:r>
        <w:rPr>
          <w:rtl w:val="true"/>
        </w:rPr>
        <w:t xml:space="preserve">: </w:t>
      </w:r>
      <w:r>
        <w:rPr>
          <w:rtl w:val="true"/>
        </w:rPr>
        <w:t>وطئ البهيمة</w:t>
      </w:r>
      <w:r>
        <w:rPr>
          <w:rtl w:val="true"/>
        </w:rPr>
        <w:t>:</w:t>
      </w:r>
      <w:bookmarkEnd w:id="44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الغسل بوطء بهيمةٍ إذا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مراد المحقق قُدس سره من تقييده العبارة بعدم الإنزال؛ لما تقدّم من أنّ الإنزال سببٌ مستقل للجنابة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يوجب قُدس سره الغسل على من وطئ البهيمة ولم ينزل؛ لعدم وجود دليل على وجوبه في الفرض،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الاحتياط حسنٌ</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503159_1051229030"/>
      <w:bookmarkStart w:id="445" w:name="_Toc149"/>
      <w:bookmarkEnd w:id="444"/>
      <w:r>
        <w:rPr>
          <w:rtl w:val="true"/>
        </w:rPr>
        <w:t>تفريع</w:t>
      </w:r>
      <w:r>
        <w:rPr>
          <w:rtl w:val="true"/>
        </w:rPr>
        <w:t>:</w:t>
      </w:r>
      <w:bookmarkEnd w:id="445"/>
    </w:p>
    <w:p>
      <w:pPr>
        <w:pStyle w:val="BookText"/>
        <w:rPr/>
      </w:pPr>
      <w:r>
        <w:rPr>
          <w:rFonts w:ascii="Amiri" w:hAnsi="Amiri" w:eastAsia="Amiri" w:cs="Amiri"/>
          <w:color w:val="111111"/>
          <w:sz w:val="28"/>
          <w:sz w:val="28"/>
          <w:szCs w:val="28"/>
          <w:rtl w:val="true"/>
          <w:lang w:bidi="ar-SA"/>
        </w:rPr>
        <w:t>ذكر المحقق قُدس سره في هذا التفريع مسألتين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503161_1051229030"/>
      <w:bookmarkStart w:id="447" w:name="_Toc150"/>
      <w:bookmarkEnd w:id="446"/>
      <w:r>
        <w:rPr>
          <w:rtl w:val="true"/>
        </w:rPr>
        <w:t>المسألة الأولى</w:t>
      </w:r>
      <w:r>
        <w:rPr>
          <w:rtl w:val="true"/>
        </w:rPr>
        <w:t xml:space="preserve">: </w:t>
      </w:r>
      <w:r>
        <w:rPr>
          <w:rtl w:val="true"/>
        </w:rPr>
        <w:t>تكليف الكافر</w:t>
      </w:r>
      <w:r>
        <w:rPr>
          <w:rtl w:val="true"/>
        </w:rPr>
        <w:t>:</w:t>
      </w:r>
      <w:bookmarkEnd w:id="447"/>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يجب على الكافر عند حصول سببه، لكن لا يصح منه في حال كفره، فإذا أسلم وجب عليه ويصح منه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الكافر مخاطبٌ بالتكاليف الشرعية أو لا؟ </w:t>
      </w:r>
    </w:p>
    <w:p>
      <w:pPr>
        <w:pStyle w:val="BookText"/>
        <w:rPr/>
      </w:pPr>
      <w:r>
        <w:rPr>
          <w:rFonts w:ascii="Amiri" w:hAnsi="Amiri" w:eastAsia="Amiri" w:cs="Amiri"/>
          <w:color w:val="111111"/>
          <w:sz w:val="28"/>
          <w:sz w:val="28"/>
          <w:szCs w:val="28"/>
          <w:rtl w:val="true"/>
          <w:lang w:bidi="ar-SA"/>
        </w:rPr>
        <w:t>المسألة طويلة الذيل، ولكن يمكن اختصارها بالأمرين الآتيين، ونترك التفاصيل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بالبحث عنها عقلًا؛ لأنّ كل إنسان مكلف بالبحث عن أصول دينه؛ لدليل دفع الضرر المحتمل؛ فالكافر قد سمع الكثير من الناس الصالحين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إلهًا أوجب على الناس تكاليف معينة، ومن يخالفها يستحق العذاب إلى الآخرة، فالعقل يحكم بلزوم دفع الضرر عن النفس وإن كان ذلك الضرر محتملًا، ودفعه لا يتم إلا عن طريق البحث، إذًا فالكافر مكلفٌ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 بفروع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غير مكلفٍ 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هو غير مكلف بالصلاة؛ لأنّ الصلاة إنّما تجب على المسلم، وكذا بالنسبة إلى الصوم وسائر الفروع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مكلفٌ بالأحكام الشرعية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 مكلف بالصلاة والصوم وغيرهما من الفروع؛ وذلك لأن خطاب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للمسلم وغير المسلم، فكلاهما مخاطبٌ بالحكم الشرعي وبالتكليف الشرعي، إلا أنّ ذلك التكليف لو جاء به </w:t>
      </w:r>
      <w:bookmarkStart w:id="448" w:name="pg7928_85741"/>
    </w:p>
    <w:p>
      <w:pPr>
        <w:pStyle w:val="BookText"/>
        <w:rPr/>
      </w:pPr>
      <w:bookmarkEnd w:id="448"/>
      <w:r>
        <w:rPr>
          <w:rFonts w:ascii="Amiri" w:hAnsi="Amiri" w:eastAsia="Amiri" w:cs="Amiri"/>
          <w:color w:val="111111"/>
          <w:sz w:val="28"/>
          <w:sz w:val="28"/>
          <w:szCs w:val="28"/>
          <w:rtl w:val="true"/>
          <w:lang w:bidi="ar-SA"/>
        </w:rPr>
        <w:t>المسلم فعمله صحيح، بخلاف الكافر؛ لأن الإيمان شرطٌ في صحة العمل، فإذا صلى الكافر فصلاته غير صحيحة وضعًا، هذا في عموم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الموضوعات الشرعية فتتحقق فيه؛ فمثلًا تقدّم أنّ الجنابة تتحقق بسببين،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الإنزال، والجماع، فمتى ما تحقق سبب منهما من الكافر، كان مجنبًا؛ لأن الموضوعات الشرعية تتحقق بأسبابٍ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فيجب عليه الغسل؛ لأنه مخاطب بالتكليف الشرعي ولكن لا يصح منه في حال كفره؛ لأن الإيمان شرطٌ في صحة العمل العبادي، فإذا أسلم تأكّد عليه الوجوب وصحَّ منه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وإلى هذا الرأي ذهب المحقق قُدس سره مثلما هو الواضح من عبارته</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503163_1051229030"/>
      <w:bookmarkStart w:id="450" w:name="_Toc151"/>
      <w:bookmarkEnd w:id="449"/>
      <w:r>
        <w:rPr>
          <w:rtl w:val="true"/>
        </w:rPr>
        <w:t>المسألة الثانية</w:t>
      </w:r>
      <w:r>
        <w:rPr>
          <w:rtl w:val="true"/>
        </w:rPr>
        <w:t xml:space="preserve">: </w:t>
      </w:r>
      <w:r>
        <w:rPr>
          <w:rtl w:val="true"/>
        </w:rPr>
        <w:t>غسل من ارتدّ</w:t>
      </w:r>
      <w:r>
        <w:rPr>
          <w:rtl w:val="true"/>
        </w:rPr>
        <w:t>:</w:t>
      </w:r>
      <w:bookmarkEnd w:id="450"/>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ثم ارتدّ، ثم عاد، لم يبطل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مسلمًا أجنب، فاغتسل، ثم ارتدّ، أي خرج عن الإسلام، ثم رجع إلى الإسلام، فهل يبطل غسله الذي اغتسله حال إسلامه، والذي أعقبه بالكفر ثم بالعودة إلى الإسلام؟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غسله</w:t>
      </w:r>
      <w:r>
        <w:rPr>
          <w:rFonts w:eastAsia="Amiri" w:cs="Amiri" w:ascii="Amiri" w:hAnsi="Amiri"/>
          <w:color w:val="111111"/>
          <w:sz w:val="28"/>
          <w:szCs w:val="28"/>
          <w:rtl w:val="true"/>
          <w:lang w:bidi="ar-SA"/>
        </w:rPr>
        <w:t xml:space="preserve">. </w:t>
      </w:r>
      <w:bookmarkStart w:id="451" w:name="pg7928_85742"/>
    </w:p>
    <w:p>
      <w:pPr>
        <w:pStyle w:val="BookText"/>
        <w:rPr/>
      </w:pPr>
      <w:bookmarkEnd w:id="451"/>
      <w:r>
        <w:rPr>
          <w:rFonts w:ascii="Amiri" w:hAnsi="Amiri" w:eastAsia="Amiri" w:cs="Amiri"/>
          <w:color w:val="111111"/>
          <w:sz w:val="28"/>
          <w:sz w:val="28"/>
          <w:szCs w:val="28"/>
          <w:rtl w:val="true"/>
          <w:lang w:bidi="ar-SA"/>
        </w:rPr>
        <w:t>ولعله لأجل أنّ الكفر ليس من مبطلات الغسل، إذ إنَّ الغسل لا يبطل إلا بحدثٍ أكبر من إنزالٍ أو جماعٍ أو حيض وما شابه، وليس منها الكفر</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503165_1051229030"/>
      <w:bookmarkStart w:id="453" w:name="_Toc152"/>
      <w:bookmarkEnd w:id="452"/>
      <w:r>
        <w:rPr>
          <w:rtl w:val="true"/>
        </w:rPr>
        <w:t>الجهة الثانية</w:t>
      </w:r>
      <w:r>
        <w:rPr>
          <w:rtl w:val="true"/>
        </w:rPr>
        <w:t xml:space="preserve">: </w:t>
      </w:r>
      <w:r>
        <w:rPr>
          <w:rtl w:val="true"/>
        </w:rPr>
        <w:t>حكم الجُنُب</w:t>
      </w:r>
      <w:r>
        <w:rPr>
          <w:rtl w:val="true"/>
        </w:rPr>
        <w:t>:</w:t>
      </w:r>
      <w:bookmarkEnd w:id="453"/>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فيحرم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كلّ واحدةٍ من العزائم، وقراءة بعضها حتى البسملة، إذا نوى بها إحداها، ومس كتابة القرآن، أو شيء عليه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والجلوس في المساجد، ووضع شيء فيها، والجواز في المسجد الحرام، أو مسجد النبي صَلَّى اَللَّهُ عَلَيْهِ وَ آلِهِ وَ سَلَّمْ خاصة، ولو أجنب فيهما لم يقطعهما إلا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قُدس سره نوعين من الأحكام المترتبة على الجنابة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6503167_1051229030"/>
      <w:bookmarkStart w:id="455" w:name="_Toc153"/>
      <w:bookmarkEnd w:id="454"/>
      <w:r>
        <w:rPr>
          <w:rtl w:val="true"/>
        </w:rPr>
        <w:t>النوع الأول</w:t>
      </w:r>
      <w:r>
        <w:rPr>
          <w:rtl w:val="true"/>
        </w:rPr>
        <w:t xml:space="preserve">: </w:t>
      </w:r>
      <w:r>
        <w:rPr>
          <w:rtl w:val="true"/>
        </w:rPr>
        <w:t>المحرمات</w:t>
      </w:r>
      <w:r>
        <w:rPr>
          <w:rtl w:val="true"/>
        </w:rPr>
        <w:t>:</w:t>
      </w:r>
      <w:bookmarkEnd w:id="455"/>
    </w:p>
    <w:p>
      <w:pPr>
        <w:pStyle w:val="BookText"/>
        <w:rPr/>
      </w:pPr>
      <w:r>
        <w:rPr>
          <w:rFonts w:ascii="Amiri" w:hAnsi="Amiri" w:eastAsia="Amiri" w:cs="Amiri"/>
          <w:color w:val="111111"/>
          <w:sz w:val="28"/>
          <w:sz w:val="28"/>
          <w:szCs w:val="28"/>
          <w:rtl w:val="true"/>
          <w:lang w:bidi="ar-SA"/>
        </w:rPr>
        <w:t>المحرم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 السجدة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سور النجم والعلق والسجدة وفصلت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يحرم من هذه السور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قراءة كل السورة ولو بعضًا منها، حتى البسملة إذا نوى المكلف بها إحدى سور العزائم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ويبني المحقق قُدس سره على هذا الرأي كما هو ظاهر عبارته؛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قراءة كل واحدةٍ من العزائم وقراءة بعضها حتى البسملة إذا نوى بها إحداها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قراءة آية السجدة فقط، فيجوز للمكلف قراءة سورة العلق كلها سوى الآية الأخيرة منها التي تتضمن السجدة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يبني عليه مثل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وربما يستظهر من بعض الروايات أنّ المحرم هو قراءة نفس آية السجدة لا كل السورة، من قبيل ما روي عن زرارة ومحمد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يقرآن شيئًا يقرآن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شاءا إلا السجدة، ويذكران الله على كل حال </w:t>
      </w:r>
      <w:r>
        <w:rPr>
          <w:rStyle w:val="FootnoteAnchor"/>
          <w:rtl w:val="true"/>
        </w:rPr>
        <w:footnoteReference w:id="355"/>
      </w:r>
      <w:r>
        <w:rPr>
          <w:rFonts w:ascii="Amiri" w:hAnsi="Amiri" w:eastAsia="Amiri" w:cs="Amiri"/>
          <w:color w:val="111111"/>
          <w:sz w:val="28"/>
          <w:sz w:val="28"/>
          <w:szCs w:val="28"/>
          <w:rtl w:val="true"/>
          <w:lang w:bidi="ar-SA"/>
        </w:rPr>
        <w:t>وفي روايةٍ أُخرى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والحائض يفتحان المصحف من وراء الثوب ويقرآن من القرآن ما شاءا، إلا السجدة، ويدخلان المسجد مجتازين، ولا يقعدان فيه، ولا يقربان المسجدين الحرمين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المحرم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على المجنب أنْ يُلاقي ببشرته كتابة القرآن الكريم نفسها، وأما الجلد والورق والهوامش وما بين السطور فهذا كله لا حرمة في مسّه، وسيأتي من المحقق أنه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قبال الفتوى بالحرمة هناك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يقول بالكراهة، ورأي آخر يقول بالحرمة لكن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 شيءٍ عليه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المجنب مسُّ لفظ الجلالة ولو كان مكتوبًا على درهمٍ أو قميصٍ أو ورقةٍ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مراجعة الروايات الشريفة نجد أنّ بعضها يُحرِّمُ ذلك، وبعضها لا يحرمه؛ فقد روي عن عمار بن موسى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الجنبُ درهمًا ولا دينارًا عليه اسم الله تعالى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فالرواية نهت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من مس ما عليه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روي عن أبي الربيع عن أبي عبد الله عَلَيْهِ السَّلاَمُ في الجنب يمسّ الدراهم وفيها اسم الله واسم رسوله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وربما فعلت ذلك </w:t>
      </w:r>
      <w:r>
        <w:rPr>
          <w:rStyle w:val="FootnoteAnchor"/>
          <w:rtl w:val="true"/>
        </w:rPr>
        <w:footnoteReference w:id="358"/>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الجمع بين هذه الروايات فمن اختصاص الفقهاء، ولعل هذا الاختلاف هو الذي دفع ببعض الفقهاء إلى الاحتياط بالحرمة، فحكم بحرمة مس لفظ الجلالة على الأحوط وجوبًا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الاحتياط بعدم مس لفظ الجلالة هو مطابقٌ لما يلزم من تعظيم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شك أنّنا مطالبون بتعظيم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يتعلّق به، وممّا يتعلّق به لفظ الجلالة، الاسم الدال على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بحرمته على المحدِث الأكبر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الجُنُبِ يَجْلِسُ فِي المَسَاجِدِ؟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يَمُرُّ فِيهَا كُلِّهَا، إِلَّا المَسْجِدَ الحَرَامَ ومَسْجِدَ الرَّسُولِ صَلَّى اَللَّهُ عَلَيْهِ وَ آلِهِ وَ سَلَّمْ </w:t>
      </w:r>
      <w:r>
        <w:rPr>
          <w:rStyle w:val="FootnoteAnchor"/>
          <w:rtl w:val="true"/>
        </w:rPr>
        <w:footnoteReference w:id="35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زرارة ومحمدٍ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يدخلان المسجد إلا مجتازين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يدخلان من باب ويخرجان من بابٍ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وقد أشرنا إلى هذا المطلب فيما تقدم في أحكام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ومنها ما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الجُنُبِ والحَائِضِ يَتَنَاوَلَانِ مِنَ المَسْجِدِ المَتَاعَ يَكُونُ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لَا يَضَعَانِ فِي المَسْجِدِ شَيْئاً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المحرم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الاجتياز في المسجد الحرام أو مسجد النبي صَلَّى اَللَّهُ عَلَيْهِ وَ آلِهِ وَ سَلَّمْ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المجنب يجوز له أن يجتاز المسجد؛ بأن يدخل من بابٍ مثلاً ويخرج من بابٍ آخر، إلا أنَّ ذلك لا يجوز في كلٍّ من المسجد الحرام والمسجد النبي صَلَّى اَللَّهُ عَلَيْهِ وَ آلِهِ وَ سَلَّمْ؛ لرواياتٍ وردت بشأنهما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يتبادر إلى الذهن 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لو احتلم المكلف في المسجد؛ بأن كان نائمًا مثلًا واحتلم هناك، فكيف يمكنه الخروج والروايات قد حرّمت عليه اجتياز المسجد حال كونه مجنبًا؟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التيمم لأجل اجتياز المسجد </w:t>
      </w:r>
      <w:r>
        <w:rPr>
          <w:rStyle w:val="FootnoteAnchor"/>
          <w:rtl w:val="true"/>
        </w:rPr>
        <w:footnoteReference w:id="363"/>
      </w:r>
      <w:r>
        <w:rPr>
          <w:rFonts w:ascii="Amiri" w:hAnsi="Amiri" w:eastAsia="Amiri" w:cs="Amiri"/>
          <w:color w:val="111111"/>
          <w:sz w:val="28"/>
          <w:sz w:val="28"/>
          <w:szCs w:val="28"/>
          <w:rtl w:val="true"/>
          <w:lang w:bidi="ar-SA"/>
        </w:rPr>
        <w:t xml:space="preserve">وقد دلّت على ذلك الأخبار المستفيضة، منها ما روي عَنْ أَبِي </w:t>
      </w:r>
      <w:bookmarkStart w:id="456" w:name="pg7928_85747"/>
    </w:p>
    <w:p>
      <w:pPr>
        <w:pStyle w:val="BookText"/>
        <w:rPr/>
      </w:pPr>
      <w:bookmarkEnd w:id="456"/>
      <w:r>
        <w:rPr>
          <w:rFonts w:ascii="Amiri" w:hAnsi="Amiri" w:eastAsia="Amiri" w:cs="Amiri"/>
          <w:color w:val="111111"/>
          <w:sz w:val="28"/>
          <w:sz w:val="28"/>
          <w:szCs w:val="28"/>
          <w:rtl w:val="true"/>
          <w:lang w:bidi="ar-SA"/>
        </w:rPr>
        <w:t>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صَلَّى اَللَّهُ عَلَيْهِ وَ آلِهِ وَ سَلَّمْ، فَاحْتَلَمَ، فَأَصَابَتْه جَنَابَةٌ، فَلْيَتَيَمَّمْ، ولَا يَمُرَّ فِي المَسْجِدِ إِلَّا مُتَيَمِّماً حَتَّى يَخْرُجَ مِنْه، ثُمَّ يَغْتَسِلَ، وكَذَلِكَ الحَائِضُ إِذَا أَصَابَهَا الحَيْضُ تَفْعَلُ كَذَلِكَ، ولَا بَأْسَ أَنْ يَمُرَّا فِي سَائِرِ المَسَاجِدِ ولَا يَجْلِسَانِ فِيهَا </w:t>
      </w:r>
      <w:r>
        <w:rPr>
          <w:rStyle w:val="FootnoteAnchor"/>
          <w:rtl w:val="true"/>
        </w:rPr>
        <w:footnoteReference w:id="364"/>
      </w:r>
    </w:p>
    <w:p>
      <w:pPr>
        <w:pStyle w:val="Heading3"/>
        <w:numPr>
          <w:ilvl w:val="2"/>
          <w:numId w:val="1"/>
        </w:numPr>
        <w:rPr/>
      </w:pPr>
      <w:bookmarkStart w:id="457" w:name="__RefHeading___Toc6503169_1051229030"/>
      <w:bookmarkStart w:id="458" w:name="_Toc154"/>
      <w:bookmarkEnd w:id="457"/>
      <w:r>
        <w:rPr>
          <w:rtl w:val="true"/>
        </w:rPr>
        <w:t>النوع الثاني</w:t>
      </w:r>
      <w:r>
        <w:rPr>
          <w:rtl w:val="true"/>
        </w:rPr>
        <w:t xml:space="preserve">: </w:t>
      </w:r>
      <w:r>
        <w:rPr>
          <w:rtl w:val="true"/>
        </w:rPr>
        <w:t>المكروهات</w:t>
      </w:r>
      <w:r>
        <w:rPr>
          <w:rtl w:val="true"/>
        </w:rPr>
        <w:t>:</w:t>
      </w:r>
      <w:bookmarkEnd w:id="458"/>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بالمضمضة والاستنشاق، وقراءة ما زاد على سبع آيات من غير العزائم، وأشد من ذلك قراءة سبعين، وما زاد أغلظ كراهية، ومس المصحف، والنوم حتى يغتسل أو يتوضأ أو يتيمم، والخضاب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المحقققُدس سره مكروهات عديدة لمن عليه الغسل،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المكروهان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المحقق قُدس سره إلى أن كراهتهما تخفّ عندما يتمضمض المجنب ويستنشق، وهذا يشير إلى أنَّ المبغوضات ليست على مرتبةٍ واحدة؛ بل هي على درجات متفاوتة من المبغوضية؛ فبعضها أكثر كراهةً، وبعضها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دلت على كراهة الأكل والشرب حال الجنابة روايات استدل بها الفقهاء، إلا أنّهم اختلفوا في أنَّ الكراهة تزول عند المضمضة والاستنشاق أو أنّها تبقى ولكنها تخف، فكان هناك رأيان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تخف وهو ما عليه ظاهر عبارة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يُستفاد منه كراهة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الجنب قبل أن يتوضأ؟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لنكسل، ولكن يغسل يده، والوضوء أفضل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إِذَا أَرَادَ أَنْ يَأْكُلَ ويَشْرَبَ غَسَلَ يَدَه وتَمَضْمَضَ، وغَسَلَ وَجْهَه، وأَكَلَ وشَرِبَ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المكروه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غير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المقصود من العزائم هي سور العزائم، وأن المحقق قُدس سره ذهب إلى أنه يحرم على المجنب قراءتها، أما ما سواها فتكره قراءةما زاد على سبع آياتٍ منها، والكراهة تشتد عند قراءة سبعين آية، وإن زاد المكلف في القراءة زادت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قراءة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للمحدِث بالأكبر سوى سور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آراء</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القراءة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ما زاد على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ما زاد على سبع آيات، وهو ما ذهب إليه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لحرمة قراءة آيات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العزائم؛ إذ لا خلاف في حرمتها على الخلاف المتقدم في المحرم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الروايات صرّحت بجواز أنْ يقرأ المحدث بالأكبر القرآن الكريم، منها ما روي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تتلو الحائض والجنب القرآن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الجنب يأكل ويشرب ويقرأ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ويشرب ويقرأ ويذكر الله عَزَّوَجَل ما شاء </w:t>
      </w:r>
      <w:r>
        <w:rPr>
          <w:rStyle w:val="FootnoteAnchor"/>
          <w:rtl w:val="true"/>
        </w:rPr>
        <w:footnoteReference w:id="368"/>
      </w:r>
      <w:r>
        <w:rPr>
          <w:rFonts w:ascii="Amiri" w:hAnsi="Amiri" w:eastAsia="Amiri" w:cs="Amiri"/>
          <w:color w:val="111111"/>
          <w:sz w:val="28"/>
          <w:sz w:val="28"/>
          <w:szCs w:val="28"/>
          <w:rtl w:val="true"/>
          <w:lang w:bidi="ar-SA"/>
        </w:rPr>
        <w:t>إن جواز قراءة القرآن الكريم مطلقًا واضحٌ في هاتين الروايتين، فتكون الروايات الدالة على تحريم قراءة سور العزائم التي تقدم ذكرها مقيدةً لعموم مثل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المصحف</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حرمة مسّ كتابة القرآن الكريم، وأما مسّ ما عدا الكتابة من المصحف مثل الورق والهوامش وما بين السطور فمكروه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الفقهاء على هذه الكراهة بروايةٍ ضعيفة السند، رواها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على غير طهرٍ، ولا جنبًا، ولا تمس خيطه، ولا تعلّقه،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فظاهر الرواية النهي، والنهي يدلّ على الحرمة، ولكن لضعف سندها فإنها لا ترتقي إلى درجة إثبات التحريم على نحو الفُتيا؛ لذا لم يُفتِ العلماء بالحرمة واكتفوا بالقول بالكراهة بناءً على قاعدة التسامح في أدلة السنن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الشيخ الطوسي قُدس سره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هذا الخبر أن نحمله على ضرب من الكراهية دون الحظر </w:t>
      </w:r>
      <w:r>
        <w:rPr>
          <w:rStyle w:val="FootnoteAnchor"/>
          <w:rtl w:val="true"/>
        </w:rPr>
        <w:footnoteReference w:id="371"/>
      </w:r>
      <w:r>
        <w:rPr>
          <w:rFonts w:ascii="Amiri" w:hAnsi="Amiri" w:eastAsia="Amiri" w:cs="Amiri"/>
          <w:color w:val="111111"/>
          <w:sz w:val="28"/>
          <w:sz w:val="28"/>
          <w:szCs w:val="28"/>
          <w:rtl w:val="true"/>
          <w:lang w:bidi="ar-SA"/>
        </w:rPr>
        <w:t>المكروه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إلا أن يغتسل أو يتوضأ</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للمجنب أن ينام قبل أن يغتسل أو يتوضأ، دلّت عليه بعض النصوص، منها ما روي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يواقع أهله، أينام على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يتوفى الأنفس في منامها، ولا يدري ما يطرقه من البلية، إذا فرغ فليغتسل</w:t>
      </w:r>
      <w:r>
        <w:rPr>
          <w:rFonts w:eastAsia="Amiri" w:cs="Amiri" w:ascii="Amiri" w:hAnsi="Amiri"/>
          <w:color w:val="111111"/>
          <w:sz w:val="28"/>
          <w:szCs w:val="28"/>
          <w:rtl w:val="true"/>
          <w:lang w:bidi="ar-SA"/>
        </w:rPr>
        <w:t xml:space="preserve">. </w:t>
      </w:r>
      <w:bookmarkStart w:id="459" w:name="pg7928_85751"/>
    </w:p>
    <w:p>
      <w:pPr>
        <w:pStyle w:val="BookText"/>
        <w:rPr/>
      </w:pPr>
      <w:bookmarkEnd w:id="45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الجنب قبل أن 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لنكسل </w:t>
      </w:r>
      <w:r>
        <w:rPr>
          <w:rStyle w:val="FootnoteAnchor"/>
          <w:rtl w:val="true"/>
        </w:rPr>
        <w:footnoteReference w:id="372"/>
      </w:r>
      <w:r>
        <w:rPr>
          <w:rFonts w:ascii="Amiri" w:hAnsi="Amiri" w:eastAsia="Amiri" w:cs="Amiri"/>
          <w:color w:val="111111"/>
          <w:sz w:val="28"/>
          <w:sz w:val="28"/>
          <w:szCs w:val="28"/>
          <w:rtl w:val="true"/>
          <w:lang w:bidi="ar-SA"/>
        </w:rPr>
        <w:t xml:space="preserve">، ولكن ليغسل يده، والوضوء أفضل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وروي عن عبد 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أينبغي له أن ينام وهو جنب؟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حتى يتوضأ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المكروه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الخضاب هو ما يصبغ به الشعر من حناءٍ وغيره، وفي كراهته للجنب بين الفقهاء خلاف </w:t>
      </w:r>
      <w:r>
        <w:rPr>
          <w:rStyle w:val="FootnoteAnchor"/>
          <w:rtl w:val="true"/>
        </w:rPr>
        <w:footnoteReference w:id="375"/>
      </w:r>
      <w:r>
        <w:rPr>
          <w:rFonts w:ascii="Amiri" w:hAnsi="Amiri" w:eastAsia="Amiri" w:cs="Amiri"/>
          <w:color w:val="111111"/>
          <w:sz w:val="28"/>
          <w:sz w:val="28"/>
          <w:szCs w:val="28"/>
          <w:rtl w:val="true"/>
          <w:lang w:bidi="ar-SA"/>
        </w:rPr>
        <w:t>، إذ ورد في نصوص عن الإمام عَلَيْهِ السَّلاَمُعندما سئل عن الخضاب للمجنب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استفيدَ منها الكراهة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6503171_1051229030"/>
      <w:bookmarkStart w:id="461" w:name="_Toc155"/>
      <w:bookmarkEnd w:id="460"/>
      <w:r>
        <w:rPr>
          <w:rtl w:val="true"/>
        </w:rPr>
        <w:t>الجهة الثالثة</w:t>
      </w:r>
      <w:r>
        <w:rPr>
          <w:rtl w:val="true"/>
        </w:rPr>
        <w:t xml:space="preserve">: </w:t>
      </w:r>
      <w:r>
        <w:rPr>
          <w:rtl w:val="true"/>
        </w:rPr>
        <w:t>الغسل</w:t>
      </w:r>
      <w:r>
        <w:rPr>
          <w:rtl w:val="true"/>
        </w:rPr>
        <w:t>:</w:t>
      </w:r>
      <w:bookmarkEnd w:id="461"/>
    </w:p>
    <w:p>
      <w:pPr>
        <w:pStyle w:val="Heading3"/>
        <w:numPr>
          <w:ilvl w:val="2"/>
          <w:numId w:val="1"/>
        </w:numPr>
        <w:rPr/>
      </w:pPr>
      <w:bookmarkStart w:id="462" w:name="__RefHeading___Toc6503173_1051229030"/>
      <w:bookmarkStart w:id="463" w:name="_Toc156"/>
      <w:bookmarkEnd w:id="462"/>
      <w:r>
        <w:rPr>
          <w:rtl w:val="true"/>
        </w:rPr>
        <w:t>أولاً</w:t>
      </w:r>
      <w:r>
        <w:rPr>
          <w:rtl w:val="true"/>
        </w:rPr>
        <w:t xml:space="preserve">: </w:t>
      </w:r>
      <w:r>
        <w:rPr>
          <w:rtl w:val="true"/>
        </w:rPr>
        <w:t>واجبات الغسل</w:t>
      </w:r>
      <w:r>
        <w:rPr>
          <w:rtl w:val="true"/>
        </w:rPr>
        <w:t>:</w:t>
      </w:r>
      <w:bookmarkEnd w:id="463"/>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الغسل فواجباتُه 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فواجباته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يتعرّض المحقق قُدس سره لحقيقة النية؛ اعتمادًا منه على ما ذكره في الوضوء، فإنّ معناهما واحدٌ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النية، وأجزاؤها، وهل يشترط فيها نية القربة أو لا؟ وهل يشترط فيها نية الاستباحة أو لا؟</w:t>
      </w:r>
    </w:p>
    <w:p>
      <w:pPr>
        <w:pStyle w:val="BookText"/>
        <w:rPr/>
      </w:pPr>
      <w:r>
        <w:rPr>
          <w:rFonts w:ascii="Amiri" w:hAnsi="Amiri" w:eastAsia="Amiri" w:cs="Amiri"/>
          <w:color w:val="111111"/>
          <w:sz w:val="28"/>
          <w:sz w:val="28"/>
          <w:szCs w:val="28"/>
          <w:rtl w:val="true"/>
          <w:lang w:bidi="ar-SA"/>
        </w:rPr>
        <w:t>والكلام نفسه يجري هنا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حكم النية إلى آخر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واستدامة حكمها إلى آخر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الحديث في باب الوضوء عن معنى استدامة النية؛ ولذلك فالمحقق قُدس سره لم يُطِلِ الكلام فيها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غسل البشرة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البشرة بما يُسمى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تُغسل البشرة بطريقةٍ يُطلقُ العرف عليها أنّها غسل، وقد قطع الأصحاب أنّ صدقه يتحقّق بجريان الماء على البشرة، ولو بمعاونٍ، كاستعانة المكلَّف على ذلك بيديه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ذلك رواياتٌ عديدة، منها ما روي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مَا جَرَى عَلَيْه الماءُ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أَجْزَأَه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جَرَى عَلَيْه الماءُ فَقَدْ طَهُرَ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الواجب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ما لا يصل إليه الماء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 ما لا يصل إليه الماء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ظاهر جسم الإنسان أماكن قد لا يصل إليها الماء بمجرد سكبه أو جريانه عليه؛ ربما لأن الشعر يغطي بعضها مثلًا، أو لكونها متراصةً جدًا كأصابع القدمين لدى البعض، أو لأسبابٍأخرى، ولأجل إيصال الماء إلى تلك الأماكن لا بُدّ من التخليل؛ بأن يستعين المُغتسِل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لإيصال الماء إلى ما لا يصل إليه الماء بمجرد سكبه على الجسم، مثل استعانته بأصابع يده لتفريق خصلات شعره من أجل إيصال الماء إلى جلد الرأس، أو بتحريك أصابع قدمه أو بإدخال أصابعِ يده فيما بين أصابع قدمه إذا كانت بطبيعتها متراصّة إلى درجةٍ لا يُطمئن بوصول الماء إلى ما بينها دون ذلك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التخليل واجب؛ لوجوب استيعاب ما ظهر من البدن بالغسل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دلَّت على وجوبه النصوص التي دلّت على لزوم أنْ يستوعب الماءُ ما ظهر من البدن استيعابًا تامًا، منها ما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من الجنابة مُتعمدًا فهو في النار </w:t>
      </w:r>
      <w:r>
        <w:rPr>
          <w:rStyle w:val="FootnoteAnchor"/>
          <w:rtl w:val="true"/>
        </w:rPr>
        <w:footnoteReference w:id="378"/>
      </w:r>
      <w:r>
        <w:rPr>
          <w:rFonts w:ascii="Amiri" w:hAnsi="Amiri" w:eastAsia="Amiri" w:cs="Amiri"/>
          <w:color w:val="111111"/>
          <w:sz w:val="28"/>
          <w:sz w:val="28"/>
          <w:szCs w:val="28"/>
          <w:rtl w:val="true"/>
          <w:lang w:bidi="ar-SA"/>
        </w:rPr>
        <w:t xml:space="preserve">، وتعبيره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غسله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فالواجب هو استيعاب ظاهر الجسم بالغسل، وأما بواطنه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كباطن الفم والأنف والأذن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إيصال الماء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بالرأس، ثم بالجانب الأيمن، ثم الأيسر، ويسقط الترتيب بارتماسة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للغسل كيفيتين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الترتيب بين أجزاء البدن إنّما هو شرطٌ في الكيفية الأولى للغسل الترتيبي دون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بالرأس ثم بالجانب الأيمن، ثم الأيسر، ويسقط الترتيب بارتماسةٍ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هنا نقطتان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يتحقّقُ الترتيب في الغسل الترتيبي؟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الارتماس؟</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يتحقّقُ الترتيب في الغسل الترتيبي؟</w:t>
      </w:r>
    </w:p>
    <w:p>
      <w:pPr>
        <w:pStyle w:val="BookText"/>
        <w:rPr/>
      </w:pPr>
      <w:r>
        <w:rPr>
          <w:rFonts w:ascii="Amiri" w:hAnsi="Amiri" w:eastAsia="Amiri" w:cs="Amiri"/>
          <w:color w:val="111111"/>
          <w:sz w:val="28"/>
          <w:sz w:val="28"/>
          <w:szCs w:val="28"/>
          <w:rtl w:val="true"/>
          <w:lang w:bidi="ar-SA"/>
        </w:rPr>
        <w:t xml:space="preserve">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 الماضين وحفظ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 الترتيبي كيفيات مختلفة؛ لاختلاف الروايات الدالة على الترتيب، نذكر منها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بالرأس، ثم بالجانب الأيمن، ثم الأيسر، وإليه ذهب المحقق قُدس سره، وعبارته واضحة في ذلك بأنَّ الترتيب يكونبثلاثة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ثم جانب أيمن ثم جانب أيسر على نحو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 يُستدل به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أَصَابَ كَفَّه شَيْءٌ غَمَسَهَا فِي المَاءِ، ثُمَّ بَدَأَ بِفَرْجِه فَأَنْقَاه بِثَلَاثِ غُرَفٍ، ثُمَّ صَبَّ عَلَى رَأْسِه ثَلَاثَ أَكُفٍّ، ثُمَّ صَبَّ عَلَى مَنْكِبِه الأَيْمَنِ مَرَّتَيْنِ، وعَلَى مَنْكِبِه الأَيْسَرِ مَرَّتَيْنِ، فَمَا جَرَى عَلَيْه الماءُ فَقَدْ أَجْزَأَه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الثنائي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يبدأ بالرأس ثم البدن، وهو رأي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ذهب إلى أن الأحوط وجوبًا أنْ يغسل المكلف الرأس والرقبة أولًا، ثم </w:t>
      </w:r>
    </w:p>
    <w:p>
      <w:pPr>
        <w:pStyle w:val="BookText"/>
        <w:rPr/>
      </w:pPr>
      <w:r>
        <w:rPr>
          <w:rFonts w:ascii="Amiri" w:hAnsi="Amiri" w:eastAsia="Amiri" w:cs="Amiri"/>
          <w:color w:val="111111"/>
          <w:sz w:val="28"/>
          <w:sz w:val="28"/>
          <w:szCs w:val="28"/>
          <w:rtl w:val="true"/>
          <w:lang w:bidi="ar-SA"/>
        </w:rPr>
        <w:t>يغسل البدن كله غسلًا واحدًا، ولا يجب الترتيب بين الأيمن والأيسر، ولا يجب البدء بأحدهما، نعم الأحوط الأولى أن يغسل الجزء الأيمن أولًا ثم يغسل الجزء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الواجبات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بالغسل على إحدى كيفيتين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الترتيب، والأحوط وجوبًا فيه أن يغسل أولًا تمام الرأس والرقبة ثم بقية البدن، والأحوط الأولى أن يغسل أولًا تمام النصف الأيمن ثم تمام النصف الأيسر </w:t>
      </w:r>
      <w:r>
        <w:rPr>
          <w:rStyle w:val="FootnoteAnchor"/>
          <w:rtl w:val="true"/>
        </w:rPr>
        <w:footnoteReference w:id="380"/>
      </w:r>
      <w:r>
        <w:rPr>
          <w:rFonts w:ascii="Amiri" w:hAnsi="Amiri" w:eastAsia="Amiri" w:cs="Amiri"/>
          <w:color w:val="111111"/>
          <w:sz w:val="28"/>
          <w:sz w:val="28"/>
          <w:szCs w:val="28"/>
          <w:rtl w:val="true"/>
          <w:lang w:bidi="ar-SA"/>
        </w:rPr>
        <w:t>ومما يدلُّ على هذه الكيفية ما روي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غُسْلِ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بِكَفَّيْكَ فَتَغْسِلُهُمَا، ثُمَّ تَغْسِلُ فَرْجَكَ، ثُمَّ تَصُبُّ المَاءَ عَلَى رَأْسِكَ ثَلَاثاً، ثُمَّ تَصُبُّ المَاءَ عَلَى سَائِرِ جَسَدِكَ مَرَّتَيْنِ، فَمَا جَرَى عَلَيْه الماءُ فَقَدْ طَهُرَ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الكيفية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غسل الجسم عن غسل الرأس</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أخف الآراء وأسهلها، إليه يذهب السيد محمد سعيد الحكيم قُدس سره إذ قال في منهاج الصالحين 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تمام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تقديم الجسد على الرأس، ويجوز ما عدا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إلى ما تقدم من كيفيات الغسل الترتيبي إنما هو من باب بيانها؛ لأنّها مسألة ابتلائية، لا من أجل الاستدلال على رأي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يحصل أن يكون غسل بعض المكلفين باطلًا وفق إحدى كيفيات الغسل، فليس من الصحيح الحكم عليه بالبطلان مباشرة؛ لأن غسله قد يكون باطلًا وفق رأيٍ منها، ولكن يمكن تصحيحه وفق رأيٍ آخر ممّن يقولون بكيفيات أخرى للغسل، وهذا فيما إذا لم تكن هذه المسألة على نحو الفتوى عند المجتهد الذي يقلده، بل على الاحتياط الوجوبي؛ فيمكن حينها الرجوع إلى من يمكن تصحيح الغسل وفقًا لرأيه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لزوم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أو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عند غسل كُلِّ جزءٍ من البدن من إدخال شيءٍ من الجزء الملاصق له من باب المقدمة العلمية وحصول الاطمئنان؛ فعندما يغسل الرأس والرقبة مثلًا، لا بد أن يدخل قليلًا من البدن؛ لأجل أن يطمئن بأنّه قد امتثل التكليف الإلهي وغسل الرأس والرقبة كلها، وكذا عند غسله الجزء الأيمن من الجسم يُدخل قليلًا من الجزء الأيسر، وكذا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الترتيب الثلاثي هو الموافق للاحتياط، ولو على نحو الاحتياط الاستحبابي كما تقدّم في رأي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الارتماس؟</w:t>
      </w:r>
    </w:p>
    <w:p>
      <w:pPr>
        <w:pStyle w:val="BookText"/>
        <w:rPr/>
      </w:pPr>
      <w:r>
        <w:rPr>
          <w:rFonts w:ascii="Amiri" w:hAnsi="Amiri" w:eastAsia="Amiri" w:cs="Amiri"/>
          <w:color w:val="111111"/>
          <w:sz w:val="28"/>
          <w:sz w:val="28"/>
          <w:szCs w:val="28"/>
          <w:rtl w:val="true"/>
          <w:lang w:bidi="ar-SA"/>
        </w:rPr>
        <w:t>الارتماس هو شمول الماء للبدن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كونه دفعةً واحدة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ارتمس المكلف مثلًا في النهر، فغطى الماءُ كل جسمه، كان ارتماسًا، ولكي يطمئن من وصول الماء إلى جميع أجزاء ظاهر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كفروة الرأس وما بين أصابع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يستعين بيده على ذلك، وهذا لا ينافي كون الغسل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إجزاء الغسل الارتماسي النصوص الشريفة، منها ما روي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جُنُبا ارتمس في الماء ارتماسةً واحدة أجزأه ذلك وإنْ لم يدلك جسده </w:t>
      </w:r>
      <w:r>
        <w:rPr>
          <w:rStyle w:val="FootnoteAnchor"/>
          <w:rtl w:val="true"/>
        </w:rPr>
        <w:footnoteReference w:id="38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 xml:space="preserve">» </w:t>
      </w:r>
      <w:r>
        <w:rPr>
          <w:rStyle w:val="FootnoteAnchor"/>
          <w:rtl w:val="true"/>
        </w:rPr>
        <w:footnoteReference w:id="383"/>
      </w:r>
      <w:bookmarkStart w:id="464" w:name="pg7928_85759"/>
    </w:p>
    <w:p>
      <w:pPr>
        <w:pStyle w:val="BookText"/>
        <w:rPr/>
      </w:pPr>
      <w:bookmarkEnd w:id="464"/>
      <w:r>
        <w:rPr>
          <w:rFonts w:ascii="Amiri" w:hAnsi="Amiri" w:eastAsia="Amiri" w:cs="Amiri"/>
          <w:color w:val="111111"/>
          <w:sz w:val="28"/>
          <w:sz w:val="28"/>
          <w:szCs w:val="28"/>
          <w:rtl w:val="true"/>
          <w:lang w:bidi="ar-SA"/>
        </w:rPr>
        <w:t>والروايتان وإن وردتا في غسل الجنابة؛ إلا أنّهما لا يختصان به؛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لا يخصص الوارد، فيمكن أن يسري مضمونهما إلى غسل الحيض والنفاس ومس الميت، بل حتى الأغسال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يُستفاد هذا المعنى فيما روي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المَرْأَةِ تَحِيضُ وهِيَ جُنُبٌ، هَلْ عَلَيْهَا غُسْلُ الجَنَابَةِ؟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والحَيْضِ وَاحِدٌ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أي إن لهما كيفية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ذكر الجنابة لعموم البلوى بها أكثر من غيرها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503175_1051229030"/>
      <w:bookmarkStart w:id="466" w:name="_Toc157"/>
      <w:bookmarkEnd w:id="465"/>
      <w:r>
        <w:rPr>
          <w:rtl w:val="true"/>
        </w:rPr>
        <w:t>ثانيًا</w:t>
      </w:r>
      <w:r>
        <w:rPr>
          <w:rtl w:val="true"/>
        </w:rPr>
        <w:t xml:space="preserve">: </w:t>
      </w:r>
      <w:r>
        <w:rPr>
          <w:rtl w:val="true"/>
        </w:rPr>
        <w:t>سُنن الغسل</w:t>
      </w:r>
      <w:r>
        <w:rPr>
          <w:rtl w:val="true"/>
        </w:rPr>
        <w:t>:</w:t>
      </w:r>
      <w:bookmarkEnd w:id="466"/>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النية عند غسل اليدين، وتتضيق عند غسل الرأس، وإمرار اليد على الجسد، وتخليل ما يصل إليه الماء استظهاراً، والبول أمام الغسل، والاستبراء، وكيفيته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من المقعد إلى أصل القضيب ثلاثاً، ومنه إلى رأس الحشفة ثلاثاً، وينتره ثلاثاً، وغسل اليدين ثلاثاً قبل إدخالهما الإناء، والمضمضة، والاستنشاق، والغسل بصاع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ما ذكره المحقق قُدس سره في هذا المعنى هو التالي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النية عند غسل اليدين، وتتضيق عند غسل الرأس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إمرار اليد على الجسد؛ لحصول الاطمئنان، أو الاستظهار في وصول الماء إلى البدن كما يعبر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تخليل ما يصل إليه الماء استظهارًا، وقد تقدّم وجوب تخليل ما لا يصل إليه الماء إلا بالتخليل، وأما ما يصل إليه الماء من دون تخليل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كأجزاء البدن التي يعلوها شعر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المستحب تخليله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قبل الغسل والاستبراء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البول قبل الغسل، فقد دلت عليه بعض النصوص، منها ما روي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اليمنى من المرفق إلى أصابعك، وتبول إن قدرت على البول، ثم تدخل يدك في الاناء، ثم اغسل ما أصابك منه، ثم أفِضْ على رأسك وجسدك، ولا وضوء فيه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وستأتي فائدة هذا المستحب في المسائل الثلاثة التي سيذكرها المحقق قُدس سره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الاستبراء، فهو مستحب خاص بالرجال، وهو أن يمسح من المقعد إلى أصل القضيب ثلاثًا، ومنه إلى رأس الحشفة ثلاثًا، وينتره ثلاثًا، وقد أطلق عليه الفقهاء الاستبراء بالخرطات، وهو مما دلّت عليه النصوص أيضاً، من ذلك ما روي عن حفص بن البختري، عنأبي عبد الله عَلَيْهِ السَّلاَمُ في </w:t>
      </w:r>
    </w:p>
    <w:p>
      <w:pPr>
        <w:pStyle w:val="BookText"/>
        <w:rPr/>
      </w:pPr>
      <w:r>
        <w:rPr>
          <w:rFonts w:ascii="Amiri" w:hAnsi="Amiri" w:eastAsia="Amiri" w:cs="Amiri"/>
          <w:color w:val="111111"/>
          <w:sz w:val="28"/>
          <w:sz w:val="28"/>
          <w:szCs w:val="28"/>
          <w:rtl w:val="true"/>
          <w:lang w:bidi="ar-SA"/>
        </w:rPr>
        <w:t>الرجل يبول،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ينتره ثلاثاً، ثم إن سال حتى يبلغ الساق فلا يبالي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وكذلك ما رواه الكليني رحمة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ولَمْ يَكُنْ مَعَه 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يَعْصِرُ أَصْلَ ذَكَرِه إِلَى طَرَفِه ثَلَاثَ عَصَرَاتٍ، ويَنْتُرُ طَرَفَه </w:t>
      </w:r>
      <w:r>
        <w:rPr>
          <w:rStyle w:val="FootnoteAnchor"/>
          <w:rtl w:val="true"/>
        </w:rPr>
        <w:footnoteReference w:id="387"/>
      </w:r>
      <w:r>
        <w:rPr>
          <w:rFonts w:ascii="Amiri" w:hAnsi="Amiri" w:eastAsia="Amiri" w:cs="Amiri"/>
          <w:color w:val="111111"/>
          <w:sz w:val="28"/>
          <w:sz w:val="28"/>
          <w:szCs w:val="28"/>
          <w:rtl w:val="true"/>
          <w:lang w:bidi="ar-SA"/>
        </w:rPr>
        <w:t xml:space="preserve">، فَإِنْ خَرَجَ بَعْدَ ذَلِكَ شَيْءٌ فَلَيْسَ مِنَ البَوْلِ، ولَكِنَّه مِنَ الحَبَائِلِ </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فهاتان الروايتان واردتان في سياق الحديث عن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مورد الاستبراء بالخرطات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المحقق قُدس سره يقصد الاستبراء بعد أن يبول استحبابًا قبل غسل الجنابة، وبهذه المناسبة ذكر كيفية الاستبراء، وفائدته ستأتي إن شاء الله تعالى في المسائل الثلاثة التي سيذكرها المحقق في نهاية بحثه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 قبل إدخالهما الإناء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عليه بعض النصوص، منها ما روي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كَمْ يُفْرِغُ الرَّجُلُ عَلَى يَدِه قَبْلَ أَنْ يُدْخِلَهَا فِي الإِنَاءِ؟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مِنْ حَدَثِ البَوْلِ، وثِنْتَيْنِ مِنَ الغَائِطِ، وثَلَاثَةً مِنَ الجَنَابَةِ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ممّا دلّت عليه النصوص، منها 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فتغسل كفيك، ثم تفرغ بيمينك على شمالك فتغسل فرجك ومرافقك، ثم تمضمض واستنشق، ثم تغسل جسدك من لدن قرنك إلى قدميك، ليس قبله ولا بعده وضوء، وكل شيء أمسسته الماء فقد أنقيته، ولو أن رجلاً ارتمس في الماء ارتماسة واحدة أجزأه ذلك، وإن لم يدلك جسده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بصاع</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ممّا دلت عليه بعض النصوص الشريفة، منها ما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يتوضأ بِمُدٍّ، ويغتسل بصاع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وفي الرواية عن أبي جعفرٍ وأبي عبد الله عَلَيْهِم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رسول الله صَلَّى اَللَّهُ عَلَيْهِ وَ آلِهِ وَ سَلَّمْ بمُدّ، واغتسل بصاع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المغتسل بللاً مشتبهاً بعد الغسل، فإنْ كان قد بال أو استبرأ لم يُعِدْ، وإلا كان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أجنب المكلف بالإنزال، فاغتسل، ثم رأى بللًا مشتبهًا به، فهنا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بكون الخارج بولًا أو منيًا، فحينئذٍ يلحق بكلٍّ منهما حكمه؛ فيتطهر ويتوضّأ أو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بكون الخارج بولًا أو منيًا، فيشتبه عليه الحال، فهنا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قد استبرأ بالبول والخرطات قبل أن يغتسل، وحينئذٍ يكون حكم هذا البلل المشتبه هي الطهارة؛ لأن الاستبراء بالبول ينظّف الممر، فلا يبقى فيه من المني شيءٌ،والاستبراء بالخرطات ينفي كون الخارج بولًا؛ لأن الاستبراء بالخرطات يُنقي المجرى من البول، فإذًا يحكم على هذا المشتبه به بأنّه ليس ببول ولا مني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 استبرأ بالبول، ولا بالخرطات، وخرج بللٌ مشتبه، فعليه إعادة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استبرأ بالبول، ولم يستبرئ بالخرطات، فحينئذٍ عليه إعادة الوضوء فقط بعد تطهير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حريز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يخرج من إحليله بعد ما اغتسل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ويعيد الصلاة، إلا أن يكون قد بال قبل أن يغتسل، فإنه لا يعيد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وهو جنب قبل أن يبول، ثم يجد بللاً، فقد انتقض غسله، وإنْ كان بال ثم اغتسل ثم وجد بللاً، فليس ينقض غسله، ولكن عليه الوضوء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والرواية واضحة في تعداد هذه الحالات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بعض أعضائه ثم أحدث،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من رأس،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على إتمام الغسل،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 ويتوضأ للصلاة، وهو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غسل المكلف المجنبُ رأسه، وبدأ بغسل الجزء الأيمن مثلًا، ثم أحدث بالحدث الأصغر، ففي غسله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من جديد؛ لأن الغسل قد بطل بالحدث الأصغر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الغسل، ويجزي عن الوضوء؛ لأن الحدث الأصغر لا يبطل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يكمل غسله، ولكن لا يجزي عن الوضوء؛ لأن الحدث لا يُبطل الغسل، ولكن عليه أن يتوضأ بعد الغسل؛ لأن هذا الغسل لا يجزي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الثالث هذا هو الأقرب، وهو الأشبه بالقواعد المذهبية، وهو الرأي الذي ذهب إليه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صحيحٌ؛ لأن الحدث الأصغر ليس من مبطلات الغسل، ولذا فلا موجب لإعادته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الحدث الأصغر لم يتم رفعه؛ لأنّ حدوثه كان في منتصف الغسل، وإكمال الغسل لا يرفعه، فلا بُدّ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واضحة إذن، وهي موافقة فعلًا لقواعد المذهب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الرأي يذهب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الاحتياط الوجوبي،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بالأصغر في أثناء الغسل من الجنابة، فله أن يتمه، والأحوط وجوبًا ضمُّ الوضوءِ إليه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العدول الاستئنافي من الترتيبي إلى الارتماسي، وبالعكس، ولا حاجة حينئذٍ إلى ضمِّ الوضوء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المباشرة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يغسّله غيره مع الإمكان، ويكره أن يستعين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للمكلف أن يغسّله غيره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الحديث في أنه إذا كان المكلف عاجزًا عن المباشرة بالغسل، فله أن يستعين بغيره، وفي المسألة تفاصيل يرجع فيها المكلف إلى المجتهد الذي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يستعين في الغسل بالغير؛ بأن يصبَّ الماء عليه، وقد تقدّمت تفاصيل هذه المسألة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حديثنا في هذه الدورة المختصرة في شرح كتاب شرائع الإسلام، التي كنا نبغي من ورائها الاطلاع على عبارة فقهائنا القدماء، وكيفية استدلالاتهم، وبثِّ بعض المعلومات الأصولية والرجالية التي تفتح أذهان الطلبة في هذه المرحلة على الدقةِ العلميةالموجودة في موضوعة الاستدلال الفقهي، ومن خلالها سيُفهم أنّ قضية الاجتهاد ليست مسألةً سهلةً؛ فالروايات كثيرة، وبعضها يصعب فهمها بسرعة، بل تحتاج إلى الكثير من القواعد الأصولية والفقهية وغيرها، وقبولها يحتاج إلى الكثير من القواعد الرجالية المعرفية وغيرها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نعيد التأكيد على ما ذكرناه في بداية هذه الدروس من أننا لم نكن في مقام الفتوى، وإنّما في مقام بيان العبارة وبعض الآراء ليس إلا، وأما الفتوى فكل فردٍ يرجع إلى المجتهد الذي يقلده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 اللهَ عَزَّوَجَل أن أكونَ قد وُفِّقتُ لبيانِ شيءٍ نافعٍ للمؤمنين، متمنياً منهم أن يعذروني عن التقصير أو الخطأ غير المتعمد، وأرجو من الجميع أن لا ينسوني ووالدي بدعواتهم الصالحة، وندعو لجميع المؤمنين بتعجيل الفرج وتسهيل ظهور إمامنا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والتوفيق لما عليه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أرٍنا الحقَّ حقًّا فنتبعه، والباطلَ باطلًا فنجتنبه، واجعلنا من شيعةِ أهل البيت عَلَيْهِم السَّلاَمُ ومن الداعين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محمدٍ وآل بيته الطيبين الطاهرين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7928_85769"/>
      <w:bookmarkStart w:id="468" w:name="pg7928_85769"/>
      <w:bookmarkEnd w:id="468"/>
    </w:p>
    <w:p>
      <w:pPr>
        <w:pStyle w:val="Heading2"/>
        <w:numPr>
          <w:ilvl w:val="1"/>
          <w:numId w:val="1"/>
        </w:numPr>
        <w:rPr/>
      </w:pPr>
      <w:bookmarkStart w:id="469" w:name="pg7928_85769"/>
      <w:bookmarkStart w:id="470" w:name="__RefHeading___Toc6503177_1051229030"/>
      <w:bookmarkStart w:id="471" w:name="_Toc158"/>
      <w:bookmarkEnd w:id="469"/>
      <w:bookmarkEnd w:id="470"/>
      <w:r>
        <w:rPr>
          <w:rtl w:val="true"/>
        </w:rPr>
        <w:t>المصادر والمراجع</w:t>
      </w:r>
      <w:bookmarkEnd w:id="471"/>
    </w:p>
    <w:p>
      <w:pPr>
        <w:pStyle w:val="BookText"/>
        <w:rPr/>
      </w:pPr>
      <w:r>
        <w:rPr>
          <w:rFonts w:ascii="Amiri" w:hAnsi="Amiri" w:eastAsia="Amiri" w:cs="Amiri"/>
          <w:color w:val="111111"/>
          <w:sz w:val="28"/>
          <w:sz w:val="28"/>
          <w:szCs w:val="28"/>
          <w:rtl w:val="true"/>
          <w:lang w:bidi="ar-SA"/>
        </w:rPr>
        <w:t>بعد كتاب الله المجيد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 –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آل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رباني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النشر التابع لمكتب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الفقه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محمد رضا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تمهيدية في القواعد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باقر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الموسوي الموحد الابطحي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رباني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الرسائل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الأستادي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بقم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السيّد صادق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الخوئي للغروي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شرائع الإسلام –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إلكترونية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بتعليقة السيد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اسماء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رضا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الميرزائي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جعفريان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الأخرى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عَلَيْهِ السَّلاَمُ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الترابي ويحيى الرهائي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الشيخ جعفر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التاسعة عشرة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المهدي عَلَيْهِ السَّلاَمُ في الكتاب والسنة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جاب وانتشارات سازمان أوقاف وأمور خيريه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بالتحقيق والتصحيح والتعليق عليه والمقابلة مع الأصل ضياء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أفست نشاط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الامام أمير المؤمنين علي عَلَيْهِ السَّلاَمُ العامة – 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bookmarkStart w:id="472" w:name="pg7928_85775"/>
    </w:p>
    <w:p>
      <w:pPr>
        <w:pStyle w:val="Heading2"/>
        <w:numPr>
          <w:ilvl w:val="1"/>
          <w:numId w:val="1"/>
        </w:numPr>
        <w:rPr/>
      </w:pPr>
      <w:bookmarkStart w:id="473" w:name="__RefHeading___Toc6503179_1051229030"/>
      <w:bookmarkStart w:id="474" w:name="_Toc159"/>
      <w:bookmarkEnd w:id="472"/>
      <w:bookmarkEnd w:id="473"/>
      <w:r>
        <w:rPr>
          <w:rtl w:val="true"/>
        </w:rPr>
        <w:t>الفهرست والموضوعات</w:t>
      </w:r>
      <w:bookmarkEnd w:id="474"/>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سيرة حياة المُحقَّق الحلّي قُدس سره وديباجة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توضيح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أقسام الطهارة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لأجله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ما يجب لأجله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 كتابةِ القرآنِ إنْ 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يُندب لأجله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يجب لأجله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والثاني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لأحد الأمور الثلاثة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الوقت قبل طلوع الفجر بمقدار ما يغتسلُ به المُجنبُ من يومٍ يجبُ صومُه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لصوم المستحاضة إذا غمسَ دمُها القطنةَ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يُندب لأجله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الغايةُ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الواجبةُ عندَ تضيّقِ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في أحدِ المسجدين ليخرج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غايات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مع اليأسِ من الحصولِ على الطهارةِ المائية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وجبَ مسُّ كتابةِ القرآنِ بنذرٍ أو شبهه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كُلُّ الغاياتِ التي وجبَت لها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أركان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معنى الخبث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الحدث والخبث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الماء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ينفعل الماء الجاري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نكتة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الأخبار المُستفيضة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مراتب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الماء الجاري بعد تنجُسه؟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بحكم ماء 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بملاقاة الطاهر، والتغيُّر من تلقاء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المحقون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أقسام الماء المحقون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أقلَّ من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كيف يطهر الماء المحقون القليل لو 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 كرًا فصاعدًا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التحديد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التحديدُ بالوزن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التحديد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بالمساحة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نكتة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نتعاملُ مع الراوي الواقفي؟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معنى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أحكام الماء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الماء المضاف من حيث انفعاله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أقسام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هل يطهر الماء المضاف؟ وكيف؟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التسامح في أدلة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التي تكره فيها الطهارة الشرعية بالماء المسخن بالشمس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ترجمة 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ظاهرة الترددات في كتاب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تعظيم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نكتة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القبول هو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رفع الحدث لا في إزالة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الأسئار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السؤر من حيث الطهارة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سؤره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ينجس فيها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المائية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وهنا عدة 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ملحوظات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فائدة 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المضمرة والآراء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لا تنقض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التخلي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التعيينية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التخييرية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التطهير بالأحجار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الخلوة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المندوباتٌ والمكروهات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نية رفع الحدث أو الاستباحة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الأمر الخامس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استدامة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تداخُل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استنباط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هل الغاية تدخل في المُغيّى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غسل اليدين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 المسح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مُسمّى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الواجب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على مقدم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المسموح به في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مسائلُ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الشروط العلمية والواقعية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الغسلات والمسحات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غسل الوجه واليدين هي غسلة واحدة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الوجه واليدين مرةً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 الثالثة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استحباب تكرار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الجبيري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بالوضوء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 المحدث للقرآن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سُننُ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مكروهات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المرأة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الإجماع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البهيمة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ارتدّ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والموضوعات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 عدة تراجم للمحقق،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للحر العاملي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للحر العاملي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ذهب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في منهاج الصالحين، الجزء الأول،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الوضوء التجديدي للمتطهر من الحدث الأصغر فهو مستحب نفسي، ولكن الثابت استحبابه هو التجديد لصلاتي الصبح والمغرب بل لكل صلاة، وأما في غير ذلك فيؤتى به رجاءً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طَافَ عَلَى غَيْرِ وُضُوءٍ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المظفر قُدس سره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الأصوليون في ظهور صيغة الأمر في الوجوب وفي كيفيته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يشمل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شابهها وما بمعناها من صيغ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والأقوال في المسألة كثيرة، وأهمها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ظاهرة في الوجوب، إما لكونها موضوعة فيه، أو من جهة انصراف الطلب إلى أكمل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حقيقة في القدر المشترك بين الوجوب والندب،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القدر المشترك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الطلب الشامل لهما من دون أن تكون ظاهرة في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أنها ظاهرة في الوجوب، ولكن لامن جهة كونها موضوعة للوجوب، ولا من جهة كونها موضوعة لمطلق الطلب وأن الوجوب أظهر أفراده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يعيرهما أو يتهمهما بأنّهما جعفريان فاطميان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ذهب إليه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سجدة التلاوة وسجدة الشكر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يبني على القول الثاني، إذ قال سماحته في منهاج الصالحين الجزء الأول،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المرأة في الاستحاضة القليلة حكم الطاهرة وهكذا في الاستحاضة المتوسطة والكثيرة، فلا يعتبر الغسل في صحة صومهما، وإن كان الأحوط استحباباً أن تراعيا فيه الإتيان بالأغسال النهارية التي للصلاة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إلى أنهم اشترطوا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 زمان خروجه أقل من زمان التيمم فيخرج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الخلاف وخلاصة الاختلاف للصيمري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نلفت النظر إلى أنه في هذه الدروس لم يتم التعرض للأركان الثلاثة الأخيرة، وإنما تم التعرض فقط للركن الأول، وهو الآخر لم يتم التعرض له كله، وإنما تم استثناء أحكام البئر منه، وما بعد غسل الجنابة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تكون مادته طبيعية، وهذا إن صدق عليه ماء البئر أو الماء الجاري، لم ينجس بملاقاة النجاسة، وإن كان أقل من كر، إلا إذا تغير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ماء البئر من الجاري بحسب الاصطلاح القديم، وأما في الوقت الحاضر فقد تقدم أنه ملحق بما له مادة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السيستاني في 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في صدق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مادة طبيعية له، والجريان ولو بعلاج، والدوام ولو في الجملة كبعض فصول السنة، ولا يعتبر فيه اتصاله بالمادة بل الاستمداد الفعلي منها، ولا ينافيه الانفصال الطبيعي كما لو كانت المادة من فوق تترشح وتتقاطر، فإنه يكفي ذلك في عاصميته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هنا من نصوص وإن كان مطلقاً ولم يُقيّد بالماء الكثير أو الجاري، ولكن بضم ما دلّ على تنجس القليل بمجرد الملاقاة، ينتج أن المقصود من هذه النصوص هو غير القليل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الإحسائي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الكريم اليوم وصل إلى حد الضرورة الدينية، وليس مجرد التواتر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السيستاني في منهاج الصالحين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تقدير للنفقة شرعاً، بل الضابط القيام بما تحتاج إليه الزوجة في معيشتها من الطعام والإدام والكسوة والفراش والغطاء والمسكن والخدم وآلات التدفئة والتبريد وأثاث المنزل وغير ذلك مما يليق بشأنها بالقياس إلى زوجها، ومن الواضح اختلاف ذلك نوعا وكما وكيفا بحسب اختلاف الأمكنة والأزمنة والحالات والأعراف والتقاليد اختلافا فاحشاً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مَاءِ الْحَمَّامِ والْمَاءِ الَّذِي تُسَخِّنُه الشَّمْسُ،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 للسيد الخوئي قُدس سره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حبيب الأحمسي البجلي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وعن أبي عبد الله عَلَيْهِ السَّلاَمُ، كنيته أبو مريم، ذكره علي بن الحسن ابن فضال، رجال الشيخ، في أصحاب الباقر عَلَيْهِ السَّلاَمُ، وعده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بكر بن حبيب في إسناد جملة من الروايات، تبلغ أحد عشر موردا، فقد روى عن أبي جعفر، وأبي عبد الله عَلَيْهِما السَّلاَمُ، وروى عنه منصور، ومنصور بن حازم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والحديث الثاني عن محمد بن مسلم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الْمَاءِ الَّذِي تَبُولُ فِيه الدَّوَابُّ، وتَلَغُ فِيه الْكِلَابُ، ويَغْتَسِلُ فِيه الْجُنُبُ؟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مسالك الأفهام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بماء الحمام ما في حياضه الصغار مما لا يبلغ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ونكر المصنف المادة للتنبيه على عدم اشتراط كريتها، وبه صرح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والأجود اشتراط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الأكثر وعلى هذا يتساوى الحمام وغيره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للشهيد الثاني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 إلا بتغيره بالنجاسة، وساوى بينه وبين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فيما سبق أنَّ الرواية الصحيحة هي الرواية التي يكون رجال سندها كلهم عدولاً، أي ثقات إمامية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خلاصة الأقوال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وبكتبه استفادت الامامية منذ زمنه رحمة الله إلى زماننا هذا، وهو سنة ثلاث وتسعين وستمائة، وهو ركنهم ومعلمهم قدس الله روحه وجزاه عن أجداده خيرا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لابن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أبي عمير زياد بن عيسى أبو أحمد الأزدي من موالي المهلب بن أبي صفرة وقيل مولى بني أمية، والأول أصح، بغدادي الأصل والمقام، لقى أبا الحسن موسى عَلَيْهِ السَّلاَمُ وسمع منه أحاديث كناه في بعضها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أحمد، وروى عن الرضا عَلَيْهِ السَّلاَمُ، جليل القدر عظيم المنزلة فينا وعند المخالفين، الجاحظ يحكي عنه في كتبه وقد ذكره في المفاخرة بين العدنانية والقحطانية، وقال في 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إبراهيم بن داحة عن ابن أبي عمير، وكان وجها من وجوه الرافضة، وكان حُبس في أيام الرشيد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 القضاء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ولي بعد ذلك،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ليدل على مواضع الشيعة وأصحاب موسى بن جعفر عَلَيْهِ السَّلاَمُ، وروي أنه ضرب أسواطا بلغت منه، فكاد أن يقر لعظم الألم، فسمع محمد بن يونس بن عبد الرحمن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محمد بن أبي عمير، فصبر ففرج الله، وروي أنه حبسه المأمون حتى ولاه قضاء بعض البلاد،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أخته دفنت كتبه في حال استتارها وكونه في الحبس أربع سنين فهلكت الكتب،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تركتها في غرفة فسال عليها المطر فهلكت، فحدّث مِنْ حِفظِه، ومما كان سلف له في أيدي الناس، فلهذا أصحابنا يسكنون إلى مراسيله، وقد صنف كتبا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محمد بن أبي عمير أربعة وتسعين كتاباً، منها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محمد بن أبي عمير سنة سبع عشرة ومائتين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يعني هذا عدم وجود رواية أخرى يمكن أن يُستدل بها في المقام، غايته أننا ذكرنا هذه الرواية لأجل بيان نكتة علمية، وهذه ملاحظة تجري في سائر الموارد المذكورة في هذا الكتاب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بالتذكير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الهدف من درسنا للشرائع – في هذه الدورة المختصرة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الاطلاع على كيفية الاستدلال الفقهي بالأدلة، وكيفية ترجيح الأقوال، ومناقشة أدلتها، والرد عليها، وليس الهدف منه الجزم بشيءٍ ما، سواء أكان حكمًا أم دليلًا أم قولًا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الَّذِي لَا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والسِّبَاعِ 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الصالحين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الماء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وضابط غير المحصورة أن تبلغ كثرة الأطراف حدا يوجب كون احتمال النجاسة مثلا في كل طرف موهوما لا يعبأ به العقلاء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للسيد الخوئي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الكبير للسيد مصطفة الخميني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طَهُورِ الْمَاءِ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قصر اللفظ المطلق على الفرد الشائع، بسبب غلبة إطلاق اللفظ على خصوص هذا الفرد، 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الروايات بحيث لو حملت على غير هذا المعنى أو الفرد فإنه يكون خلاف الذوق السليم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من الكتب الأربعة التي يُستدلُّ بأحاديثها، والكتب الأربعة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ومن لا يحضره الفقيه للشيخ الصدوق، وكتاب الاستبصار وكتاب التهذيب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 جميعًا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المياه المضافة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الدقيق لا يجوز التيمم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التهذيب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التيمم وأحكامه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الشيخ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اعتمدت في بيان السند على الموسوعة الرجالية 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علي أكبر الترابي ويحيى الرهائي، تحت إشراف الشيخ 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قليل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وقريب منه في الاستبصار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الِاسْتِبْرَاءِ مِنَ الْبَوْلِ وغَسْلِه ومَنْ لَمْ يَجِدِ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وتهذيب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تَشْمِيرِ الثِّيَابِ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مُعَلَّى بْنِ خُنَيْسٍ عَنْ أَبِي عَبْدِ الله عَلَيْهِ السَّلاَمُ قَالَ إِنَّ عَلِيّاً عَلَيْهِ السَّلاَمُ كَانَ عِنْدَكُمْ فَأَتَى بَنِي دِيوَانٍ واشْتَرَى ثَلَاثَةَ أَثْوَابٍ بِدِينَارٍ الْقَمِيصَ إِلَى فَوْقِ الْكَعْبِ، والإِزَارَ إِلَى نِصْفِ السَّاقِ والرِّدَاءَ مِنْ بَيْنِ يَدَيْه إِلَى ثَدْيَيْه ومِنْ خَلْفِه إِلَى أَلْيَتَيْه، ثُمَّ رَفَعَ يَدَه إِلَى السَّمَاءِ، فَلَمْ يَزَلْ يَحْمَدُ اللَّه عَلَى مَا كَسَاه حَتَّى دَخَلَ مَنْزِلَه،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اللِّبَاسُ الَّذِي يَنْبَغِي لِلْمُسْلِمِينَ أَنْ يَلْبَسُوه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يَقْدِرُونَ أَنْ يَلْبَسُوا هَذَا الْيَوْمَ، ولَوْ فَعَلْنَاه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ولَقَالُوا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مُرَاءٍ واللهُ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وثِيابَكَ فَطَهِّرْ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وثِيَابَكَ ارْفَعْهَا ولَا تَجُرَّهَا، وإِذَا قَامَ قَائِمُنَا كَانَ هَذَا اللِّبَاسَ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الارخاء، والمخيلة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الْفَأْرَةِ تَمُوتُ فِي الطَّعَامِ والشَّرَابِ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الْفَأْرَةِ تَمُوتُ فِي الطَّعَامِ والشَّرَابِ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الْفَأْرَةِ تَمُوتُ فِي الطَّعَامِ والشَّرَابِ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مَاءِ الْحَمَّامِ والْمَاءِ الَّذِي تُسَخِّنُه الشَّمْسُ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عَلَىٰ عَمَلٍ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المَطْلُوبِيَّة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فقهي يَخُصُّ نية الانسان المُقْدِم على فعلٍ أو تركٍ لاحتمال كونه موافقاً لواحد من الأحكام الخمسة وهي الواجب والمستحب والمباح والمكروه والحرام مع عدم الوثوق التام بصدوره عن الشارع المقدس، حيث لم يثبت ذلك بالأدلة القطعية، لكن لم يثبت ضده أيضاً، فيبقى احتمال صدوره غير منتفٍ، فيكون الاحتياط وارداً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المباح اللا اقتضائي، وهناك المباح الاقتضائي، وهو ما يكون فيه ملاك يقتضي ترك المكلف حراً ولا إلزام في حقه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بَابُ كَرَاهِيَةِ تَجْمِيرِ الْكَفَنِ وتَسْخِينِ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المذكورة مأخوذة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زرارة، لأبي غالب 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آل أعين لأبي غالب الزراري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أسألك مع أبيك أو كان سأل عنه عَلَيْهِ السَّلاَمُ في زمان أبيه أيضاً، وإلا فالظاهر أنه كان في زمان إمامته عَلَيْهِ السَّلاَمُ أربعاً وثلاثين سنة أو على المبالغة والتجوز،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مسائله منذ أربعين عاما فتفتيني وما يفنى مسائله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مسالك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لنهي الباقر عَلَيْهِ السَّلاَمُ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فيه أجزاء نارية، وتفؤلا بالحميم، وإرخاء لبدن الميت، وإعدادا له لخروج شيء من النجاسات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مسالك الأفهام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 الكراهة عند عدم الضرورة، أما معها كخوف الغاسل على نفسه من البرد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يكره استعماله في غير غسل الأموات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اخْتِلَاطِ مَاءِ الْمَطَرِ بِالْبَوْلِ ومَا يَرْجِعُ فِي الإِنَاءِ مِنْ غُسَالَةِ الْجُنُبِ والرَّجُلِ يَقَعُ ثَوْبُه عَلَى الْمَاءِ الَّذِي يَسْتَنْجِي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العلة التي من أجلها لا يجب غسل الثوب الذي يقع في الماء الذي يستنجى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المستعمل،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هلال العبرتائي، وعبرتاء قرية بنواحي بلد اسكاف، وهو من بني جنيد، ولد سنة ثمانين ومائة، ومات سنة سبع وستين ومائتين، وكان غاليا متهما في دينه، وقد روى أكثر أصول أصحابنا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توقيع الإمام المهدي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1020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المهدي عَلَيْهِ السَّلاَمُ 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الريشهري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جاب وانتشارات سازمان أوقاف وأمور خيريه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يجوز شهادة النساء فيه وما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الماء المستعمل،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اخْتِلَاطِ مَاءِ الْمَطَرِ بِالْبَوْلِ ومَا يَرْجِعُ فِي الإِنَاءِ مِنْ غُسَالَةِ الْجُنُبِ والرَّجُلِ يَقَعُ ثَوْبُه عَلَى الْمَاءِ الَّذِي يَسْتَنْجِي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جمهور الأحسائي،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السيستاني في 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وهم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 من يعلن بغضه لأهل البيت عليهم السلام فيندرج في النواصب، وفيهم من لا يكون كذلك وإن عد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لاتباعه فقههم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يحكم بنجاسته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السيستاني في 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المعلنون بعداوة أهل البيت عَلَيْهِم السَّلاَمُ، ولا إشكال في كفرهم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والسِّبَاعِ والطَّيْرِ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والسِّبَاعِ والطَّيْرِ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لللكيني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الدَّوَابِّ والسِّبَاعِ والطَّيْرِ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الْحَائِضِ والْجُنُبِ والْيَهُودِيِّ والنَّصْرَانِيِّ والنَّاصِبِ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مِنْ سُؤْرِ الْحَائِضِ والْجُنُبِ والْيَهُودِيِّ والنَّصْرَانِيِّ والنَّاصِبِ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بن جعفر بن محمد بن علي بن الحسين بن علي بن أبي طالب عَلَيْهِم السَّلاَمُ ترجمة 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عَلَيْهِ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الغبر في باطنه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علة تكون في المآقي وحوالي المقعدة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يَنْقُضُ الْوُضُوءَ ومَا لَا يَنْقُضُه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 زكريا بن آدم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 زكريا بن آدم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قُدس سره خروج الغائط فقط من غير المحل المعتاد، ويمكن أنْ يُعمَّم إلى البول أيضًا، ولكننا نبقى مع عبارته قُدس سره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خرج الغائط مما دون المعدة نقض في قول، والأشبه أنّه لا ينقض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يَنْقُضُ الْوُضُوءَ ومَا لَا يَنْقُضُه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غَائِطٌ أَوْ بَوْلٌ أَوْ مَنِيٌّ أَوْ رِيحٌ والنَّوْمُ حَتَّى يُذْهِبَ الْعَقْلَ وكُلُّ النَّوْمِ يُكْرَه إِلَّا أَنْ تَكُونَ تَسْمَعُ الصَّوْتَ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يَنْقُضُ الْوُضُوءَ ومَا لَا يَنْقُضُه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 للفاضل الآبي،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سماحة الأستاذ آية الله الشيخ باقر الأيرواني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في مجلس درسه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مسائل اختلف في أنّها ناقضةٌ للوضوء أو لا، وهي في نظره قُدس سره لا تنقض الوضوء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يَنْقُضُ الْوُضُوءَ ومَا لَا يَنْقُضُه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مرآة العقول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المراد بها الملامسة بأي عضو كان ردا على العامة حيث ذهبوا إلى أنها ناقضة، واستدلوا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لامَسْتُمُ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لها على المعنى اللغوي، ويحتمل أن يكون المراد بها الجماع فإنه أيضا لا يوجب الوضوء وإن نقضه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يَنْقُضُ الْوُضُوءَ ومَا لَا يَنْقُضُه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الْحَمَّامِ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استحباب التباعد عن الناس عند التخلي، وشدة التستر، والتحفظ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استقبال القبلة واستدبارها عند البول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 للعلامة الحلي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الاحداث الموجبة للطهارة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الرواية نكتتان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التاسعة عشرة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المؤرخ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وجوباً عدم استقبال القبلة أو استدبارها في حال التخلي، وكذلك الاستقبال بنفس البول أو الغائط، وإن لم يكن المتخلي مستقبلاً أو مستدبراً، ويجوز ذلك في حال الاستبراء والاستنجاء، وإن كان الأحوط استحباباً الترك، ولو اضطرّ إلى أحدهما فالأحوط لزوماً اختيار الاستدبار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 لابن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الاستنجاء بالحجارة،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الاستنجاء، واستجمر واستنجى واحد إِذا تمسح بالجمار، وهي الأَحجار الصغار، ومنه سميت جمار الحج للحصى التي ترمى بها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الأحداث الموجبة للطهارات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وعِنْدَ الْخُرُوجِ والِاسْتِنْجَاءِ ومَنْ نَسِيَه والتَّسْمِيَةِ عِنْدَ الدُّخُولِ وعِنْدَ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الإحسائي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شيخنا المفيد، وابن البراج، والعلامة في جملة من كتبه، والشهيد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الذكرى إلى الاجتزاء بذلك، لأن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المسحات وإن كانت بحجر واحد، كما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اضربه عشرة أسواط، فإن المراد عشر ضربات وإن كانت بسوط واحد، ولأنها إذا انفصلت أجزأت قطعاً، فكذا مع الاتصال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التعليق عليها إن شاء الله تعالى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الرواية الأخيرة فمجهولة الإسناد، والظاهر أنها عامية فلا يسوغ التعلق بها، مع أنها مطلقة والخبر المتضمن للأحجار مقيد، والمقيد يحكم على المطلق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وتقديم الرجل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دخوله إلى الخلاء، وذلك في البنيان ظاهر، وأما في الصحراء فيمكن أن يراد تقديمها إلى موضع الجلوس كما ذكره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الاحداث الموجبة للطهارة 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الْمَوْضِعِ الَّذِي يُكْرَه أَنْ يُتَغَوَّطَ فِيه أَوْ يُبَالَ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جمع فيه الشيخ الصدوق قُدس سره الروايات المشتملة على أعداد خاصة، وهو كتاب لطيفٌ جدًا، ومن المفيد أن يطالعه المؤمن ويستفيد منه كثيرًا، وجمع الأحاديث بهذه الطريقة يكشف عن جهدٍ استثنائي قامَ به الشيخ الصدوق قُدس سره في جمع هذه الروايات وتبويبها وترتيبها في زمنٍ خلا من الوسائل المساعدة المعروفة اليوم، كالحاسبات وغيرها، مما يدلُّ على سعة اطلاعه من جهة، ونفسه الطويل من جهة أخرى، وهو كتابٌ رائع وممتاز جدًا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الأشنان يذيب البدن، والتدلك بالخزف يبلي الجسد، والسواك في الخلاء يورث البخر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للرازي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ذِكْرِ الله عَزَّوَجَل فِي كُلِّ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المنسوب للإمام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التاسعة عشرة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المؤرخ العربي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في شرح شرائع الإسلام للشهيد الثاني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حيث قال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فعلها عند المضمضة والاستنشاق، مقارنة لدخول الماء الفم أو الأنف، ومتىقدم النية عند أحدهما لم يحتج الباقي من السنن المتقدمة إلى نية بل السابق عليها إن كان، وإن أخرها إلى غسل الوجه فلا بد للمتقدم من 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السيرة العملية للمخالفين مخالفة قول رسول الله صَلَّى اَللَّهُ عَلَيْهِ وَ آلِهِ وَ سَلَّمْ وتقديم قول غيره عليه، وهم وإن لم يُصرحوا بذلك، إلا أن هناك شواهد عديدة على ما ذكرناه، من قبيل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وفضله، لابن عبد البر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سعيد بن جبير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تمتع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أبو بكر وعمر عن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يا عرية؟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نهى أبو بكر وعمر عن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أراهم سيهلكون،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وسلم،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وعمر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يُجْزِئُ الْغُسْلُ مِنْه إِذَا اجْتَمَعَ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علي أكبر الترابي ويحيى الرهائي، تحت إشراف الشيخ جعفر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قليل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الأرجح قبول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منتهى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 كثيرة في توثيقه، وهكذا السيد الخوئي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حيث أفاد بأنه لا ينبغي الشك في وثاقته، وذكر ما يدل على وثاقته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الناجشي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للنجاشي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عليه أغسال متعددة واجبة أو مستحبة، أو بعضها واجب وبعضها مستحب، أجزأ غُسل واحد بقصد الجميع، وكذا لو قصد الجنابة فقط، ولو قصد غير الجنابة أجزأ عما قصده بل وعن غيره أيضاً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حقائق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وترتيبه وثوابه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النهى عن استعمال الماء الجديد لمسح الرأس والرجلين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الوضوء وترتيبه وثوابه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الْوَجْه الَّذِي يُغْسَلُ والذِّرَاعَيْنِ وكَيْفَ يُغْسَلُ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 –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 قُدس سره للغروي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 هذه الروايات تصلح دليلاً مستقلاً على الوجوب، كما تصلح للقرينية على إرادة الوجوب من الروايات البيانية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الْوَجْه الَّذِي يُغْسَلُ والذِّرَاعَيْنِ وكَيْفَ يُغْسَلُ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زرارة هنا في معرض الاستفسار والاستفهام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في معرض الاعتراض والنقد، والأول جائزٌ بلا شك، على خلاف الثاني؛ لأنَّ الإمام معصومٌ، والمعصوم مُصيبٌ للواقع دائمًا، بل هو الواقع، فكيف يمكن الاعتراض عليه؟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إشارة من الإمام عَلَيْهِ السَّلاَمُ لطريقة استنباط هذا الحكم الشرعي من الآية الكريمة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للشيخ الطوسي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عَبْدِ الله عَلَيْهِ السَّلاَمُ قَالَ الأُذُنَانِ لَيْسَا مِنَ الْوَجْه ولَا مِنَ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الْمَسْحُ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عَلَى مُقَدَّمِ رَأْسِكَ وامْسَحْ عَلَى الْقَدَمَيْنِ وابْدَأْ بِالشِّقِّ الأَيْمَنِ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للغروي رحمة الله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مَسْحِ الرَّأْسِ والْقَدَمَيْنِ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ظاهر ابن بابويه والمرتضى وجوب الابتداء من رؤوس الأصابع، وبه قطع ابن إدريس جعلا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الشريفة لانتهاء المسح لا الممسوح، وهو ضعيف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مَسْحِ الرَّأْسِ والْقَدَمَيْنِ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مثل هذه النصوص أن المعصوم عَلَيْهِ السَّلاَمُ كان يعمل على تعليم أصحابه كيفية الاستدلال على الحكم الشرعي من القرآن الكريم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 فِي الْوُضُوءِ ومَنْ نَسِيَه أَوْ قَدَّمَ أَوْ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الْمَاءِ الَّذِي يُجْزِئُ لِلْوُضُوءِ والْغُسْلِ ومَنْ تَعَدَّى فِي الْوُضُوءِ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الْمَاءِ الَّذِي يُجْزِئُ لِلْوُضُوءِ والْغُسْلِ ومَنْ تَعَدَّى فِي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والرَّجُلِ يَغْتَسِلُ فِي مَكَانٍ غَيْرِ طَيِّبٍ ومَا يُقَالُ عِنْدَ الْغُسْلِ وتَحْوِيلِ الْخَاتَمِ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الْجَبَائِرِ والْقُرُوحِ والْجِرَاحَاتِ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الخوئي للغروي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الإيراوني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تمهيدية في القواعد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البحث عن اقسام الحديث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الخوئي قُدس سره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المتقدمين والمتأخرين حرمة لمسّ من غير طهر، بل عن ظاهر جماعة دعوى الاجماع في المسألة، وخالفهم في ذلك الشيخ وابن البراج وابن إدريس والتزموا بكراهة، وعن جملة من متأخري المتأخرين الميل إليه، وما ذهب إليه المشهور هو الصحيح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الحكم مشهور بين الأصحاب، واستدل عليه في المعتبر بأن ذلك أمكن في الاستعمال، وهو نوع من التدبير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الإحسائي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يحب التيامن في طهوره ونعله وفى ترجله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 عن عائشة وذكرت أن رسول الله صَلَّى اَللَّهُ عَلَيْهِ وَ آلِهِ وَ سَلَّمْ كان يحب التيامن ما استطاع في طهوره ونعله وترجله قال شعبة ثم سمعت الأشعث بواسط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التيامن، فذكر شأنه كله، ثم سمعته بالكوفة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التيامن ما استطاع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الْوُضُوءِ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 وعِنْدَ الْخُرُوجِ والِاسْتِنْجَاءِ ومَنْ نَسِيَه والتَّسْمِيَةِ عِنْدَ الدُّخُولِ وعِنْدَ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اليدين قبل ادخالهما الاناء عند واحد من 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المضمضة هي إدارة الماء في الفم، والاستنشاق اجتذابه بالأنف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باستحبابهما هو المعروف من المذهب، والنصوص به مستفيضة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وضوء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حاشيته على شرائع الإسلام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الاستعانةُ بصبّ المعين الماءَ في اليد ليغسل به المتوضّئ، لا بصبّه على العضو لأنّه توليةٌ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في الكراهية بين طلبها، وقبولِها لو عُرضتْ عليه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مسالك الأفهام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تتحقق الاستعانة بصب الماء في اليد ليغسل به المتوضئ، والظاهر أنه يصدق بطلب إحضار الماء ليتوضأ 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بعبادة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ظرفية والتفسير المشهور لهذه الآية ولا يجعل أحدا شريكا مع ربه في المعبودية فلعل كلا المعنيين مراد فان الإمام عَلَيْهِ السَّلاَمُ لم ينف ذلك التفسير، هذا ولا يخفى أن الضمير 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يشركني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راجعين إلى الصلاة والغرض منع الشركة في الوضوء فكأنه لعدم تحققها بدونه أو بدله كالجزء منها ولا يبعد أن يجعل الباء في الآية للسببية وكذا في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لا يحتاج إلى تكلف جعل الوضوء كالجزء من الصلاة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 الفضل بن شاذان في الفضائل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فضائله عَلَيْهِ السَّلاَمُ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بعض غزواته وقد دنت الفريضة ولم يجد ماء يسبغ به الوضوء، فرمق بطرفه إلى السماء والناس قيام ينظرون،فنزل جبرئيل وميكائيل عَلَيْهِما السَّلاَمُ ومع جبرئيل سطل فيه ماء، ومع ميكائيل منديل، ووضعا السطل والمنديل بين يدي أمير المؤمنين عَلَيْهِ السَّلاَمُ، فاسبغ الوضوء من ذلك الماء ومسح وجهه الكريم بالمنديل، فعند ذلك عرجا إلى السماء والخلق ينظر إليهما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معنى الموالاة والآراء فيها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الموالاة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ابن بابويه رحمة الله إلى أن من ترك غسل موضع البول يلزمه إعادة الوضوء أيضا، بخلاف مخرج الغائط، فيقتصر فيه على إعادة الصلاة، وكأنه استند في إعادة الوضوء إلى رواية سليمان بن خالد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تسليم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بالحمل على الاستحباب، جمعاً بينها وبين غيرها من الأخبار الكثيرة الدالة على عدم وجوب إعادة الوضوء بذلك صريحاً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فرق هذا الحكم عن الحكم السابق، فالسابق كان بطلان الوضوء فيه لخلل غير الحدث، أما هذا الحكم فهو يتعرض لبطلان الوضوء لأجل صدور الحدث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الدروس تعرضت فقط للفصل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بقية الفصول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احْتِلَامِ الرَّجُلِ والْمَرْأَةِ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يُوجِبُ الْغُسْلَ عَلَى الرَّجُلِ 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يُوجِبُ الْغُسْلَ عَلَى الرَّجُلِ والْمَرْأَةِ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العاملي في مدارك الأحكام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المصنف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كانت الموطوءة 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الحنفية حيث لم يوجبوا الغسل بوطئ الميتة، وهو باطل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عموم الرواية السابقة، حيث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يقيده بالقُبُل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الجنابة وصفة الطهارة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أنزل فقد تحقق سبب مستقل للجنابة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الفقيه لآقا رضا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ناقش أدلة وجوب الغسل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بعدم الوجوب أوفق بالقواعد، وإن كان الاحتياط ممّا لا ينبغي تركه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للشهيد الثاني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وشرائع الإسلام بتعليق السيد صادق الشيرازي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ومدارك الأحكام للسيد محمد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إليه أن شرط صحة العبادات هو حصول نية القربة، والكافر لا تتحصل منه تلك النية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آية السجدة من سور العزائم، 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السجدة، وحم السجدة، والنجم، والعلق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استحبابا إلحاق تمام السورة بها حتى بعض البسملة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لمس الجنب شيئا عليه اسم الله والدراهم البيض ولمسه لكتابة القرآن وما عداها من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لمس الجنب شيئا عليه اسم الله والدراهم البيض ولمسه لكتابة القرآن وما عداها من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الْجُنُبِ يَأْكُلُ ويَشْرَبُ ويَقْرَأُ ويَدْخُلُ الْمَسْجِدَ ويَخْتَضِبُ ويَدَّهِنُ ويَطَّلِي ويَحْتَجِمُ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الْجُنُبِ يَأْكُلُ ويَشْرَبُ ويَقْرَأُ ويَدْخُلُ الْمَسْجِدَ ويَخْتَضِبُ ويَدَّهِنُ ويَطَّلِي ويَحْتَجِمُ –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ونلفت النظر إلى ما ورد في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بتعليقة السيد السيستاني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في أحد المسجدين واحتلم أو أجنب فيهما أو في الخارج ودخل فيهما عمداً أو سهواً أو جهلاً، وجب عليه التيمم للخروج، إلا أن يكون زمان الخروج أقصر من المكث للتيمم للخروج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سماحة 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التساوي يتخير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الْجُنُبِ يَأْكُلُ ويَشْرَبُ ويَقْرَأُ ويَدْخُلُ الْمَسْجِدَ ويَخْتَضِبُ ويَدَّهِنُ ويَطَّلِي ويَحْتَجِمُ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الجنب والحائض يقرآن القرآن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الإحكام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يوجد في النسخ، ويشبه أن يكون مما صُحّف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عَلَيْهِم السَّلاَمُ أجل من أن يكسلوا في شيء من عبادة ربهم عَزَّوَجَل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مدارك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يتلون به من حناء وغيره، وقد اختلف الأصحاب في كراهة الاختضاب للجنب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مِقْدَارِ الْمَاءِ الَّذِي يُجْزِئُ لِلْوُضُوءِ والْغُسْلِ ومَنْ تَعَدَّى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والرَّجُلِ يَغْتَسِلُ فِي مَكَانٍ غَيْرِ طَيِّبٍ ومَا يُقَالُ عِنْدَ الْغُسْلِ وتَحْوِيلِ الْخَاتَمِ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غُسْلِ الْجَنَابَةِ فَقَالَ تَبْدَأُ بِكَفَّيْكَ فَتَغْسِلُهُمَا ثُمَّ تَغْسِلُ فَرْجَكَ ثُمَّ تَصُبُّ الْمَاءَ عَلَى رَأْسِكَ ثَلَاثاً ثُمَّ تَصُبُّ الْمَاءَ عَلَى سَائِرِ جَسَدِكَ مَرَّتَيْنِ فَمَا جَرَى عَلَيْه الْمَاءُ فَقَدْ طَهُرَ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والرَّجُلِ يَغْتَسِلُ فِي مَكَانٍ غَيْرِ طَيِّبٍ ومَا يُقَالُ عِنْدَ الْغُسْلِ وتَحْوِيلِ الْخَاتَمِ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والرَّجُلِ يَغْتَسِلُ فِي مَكَانٍ غَيْرِ طَيِّبٍ ومَا يُقَالُ عِنْدَ الْغُسْلِ وتَحْوِيلِ الْخَاتَمِ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الْغُسْلِ والْوُضُوءِ قَبْلَه وبَعْدَه والرَّجُلِ يَغْتَسِلُ فِي مَكَانٍ غَيْرِ طَيِّبٍ ومَا يُقَالُ عِنْدَ الْغُسْلِ وتَحْوِيلِ الْخَاتَمِ عِنْدَ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تَرَى الدَّمَ وهِيَ 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الترتيب في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وجوب الاستبراء قبل الاستنجاء من البول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والاستنتار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بقيته من الذكر بالاجتذاب والاهتمام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الظهر، وحبال الذكر عروقه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الِاسْتِبْرَاءِ مِنَ الْبَوْلِ وغَسْلِه ومَنْ لَمْ يَجِدِ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يُدْخِلُ يَدَه فِي الإِنَاءِ قَبْلَ أَنْ يَغْسِلَهَا والْحَدِّ فِي غَسْلِ الْيَدَيْنِ مِنَ الْجَنَابَةِ والْبَوْلِ والْغَائِطِ والنَّوْمِ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مقدار الماء الذي يجزى في غسل الجنابة والوضوء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السيستاني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78912</Words>
  <Characters>353271</Characters>
  <CharactersWithSpaces>429228</CharactersWithSpaces>
  <Paragraphs>3376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2026-08-27T13:28:05Z</dcterms:created>
  <dc:creator>ghaemiyeh.com</dc:creator>
  <dc:description/>
  <dc:language>en-US</dc:language>
  <cp:lastModifiedBy/>
  <dcterms:modified xsi:type="dcterms:W3CDTF">2026-08-27T16:58:26Z</dcterms:modified>
  <cp:revision>1</cp:revision>
  <dc:subject/>
  <dc:title>دروس استدلالیة فی کتاب شرائع الإسلام</dc:title>
</cp:coreProperties>
</file>

<file path=docProps/custom.xml><?xml version="1.0" encoding="utf-8"?>
<Properties xmlns="http://schemas.openxmlformats.org/officeDocument/2006/custom-properties" xmlns:vt="http://schemas.openxmlformats.org/officeDocument/2006/docPropsVTypes"/>
</file>