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179.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80.xml" ContentType="application/vnd.openxmlformats-officedocument.wordprocessingml.footer+xml"/>
  <Override PartName="/word/footer178.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6.xml" ContentType="application/vnd.openxmlformats-officedocument.wordprocessingml.footer+xml"/>
  <Override PartName="/word/footer195.xml" ContentType="application/vnd.openxmlformats-officedocument.wordprocessingml.footer+xml"/>
  <Override PartName="/word/footer194.xml" ContentType="application/vnd.openxmlformats-officedocument.wordprocessingml.footer+xml"/>
  <Override PartName="/word/footer193.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تولی و تبری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433701_105122903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433703_105122903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433705_1051229030">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3433707_1051229030">
            <w:r>
              <w:rPr>
                <w:webHidden/>
                <w:rStyle w:val="IndexLink"/>
                <w:rtl w:val="true"/>
              </w:rPr>
              <w:t>پیشگفتار</w:t>
            </w:r>
            <w:r>
              <w:rPr>
                <w:rStyle w:val="IndexLink"/>
                <w:rtl w:val="true"/>
              </w:rPr>
              <w:tab/>
            </w:r>
            <w:r>
              <w:rPr>
                <w:rStyle w:val="IndexLink"/>
              </w:rPr>
              <w:t>13</w:t>
            </w:r>
          </w:hyperlink>
        </w:p>
        <w:p>
          <w:pPr>
            <w:pStyle w:val="Contents2"/>
            <w:tabs>
              <w:tab w:val="clear" w:pos="8743"/>
              <w:tab w:val="right" w:pos="9026" w:leader="dot"/>
            </w:tabs>
            <w:rPr/>
          </w:pPr>
          <w:hyperlink w:anchor="__RefHeading___Toc3433709_1051229030">
            <w:r>
              <w:rPr>
                <w:webHidden/>
                <w:rStyle w:val="IndexLink"/>
                <w:rtl w:val="true"/>
              </w:rPr>
              <w:t>مقدّمة مؤلّف</w:t>
            </w:r>
            <w:r>
              <w:rPr>
                <w:rStyle w:val="IndexLink"/>
                <w:rtl w:val="true"/>
              </w:rPr>
              <w:tab/>
            </w:r>
            <w:r>
              <w:rPr>
                <w:rStyle w:val="IndexLink"/>
              </w:rPr>
              <w:t>16</w:t>
            </w:r>
          </w:hyperlink>
        </w:p>
        <w:p>
          <w:pPr>
            <w:pStyle w:val="Contents2"/>
            <w:tabs>
              <w:tab w:val="clear" w:pos="8743"/>
              <w:tab w:val="right" w:pos="9026" w:leader="dot"/>
            </w:tabs>
            <w:rPr/>
          </w:pPr>
          <w:hyperlink w:anchor="__RefHeading___Toc3433711_1051229030">
            <w:r>
              <w:rPr>
                <w:webHidden/>
                <w:rStyle w:val="IndexLink"/>
                <w:rtl w:val="true"/>
              </w:rPr>
              <w:t>رسالة اوّل</w:t>
            </w:r>
            <w:r>
              <w:rPr>
                <w:rStyle w:val="IndexLink"/>
                <w:rtl w:val="true"/>
              </w:rPr>
              <w:t>:</w:t>
            </w:r>
            <w:r>
              <w:rPr>
                <w:rStyle w:val="IndexLink"/>
                <w:rtl w:val="true"/>
              </w:rPr>
              <w:t>بررسی ماهیّت تولّی و تبرّی</w:t>
            </w:r>
            <w:r>
              <w:rPr>
                <w:rStyle w:val="IndexLink"/>
                <w:rtl w:val="true"/>
              </w:rPr>
              <w:tab/>
            </w:r>
            <w:r>
              <w:rPr>
                <w:rStyle w:val="IndexLink"/>
              </w:rPr>
              <w:t>21</w:t>
            </w:r>
          </w:hyperlink>
        </w:p>
        <w:p>
          <w:pPr>
            <w:pStyle w:val="Contents3"/>
            <w:tabs>
              <w:tab w:val="clear" w:pos="8459"/>
              <w:tab w:val="right" w:pos="9026" w:leader="dot"/>
            </w:tabs>
            <w:rPr/>
          </w:pPr>
          <w:hyperlink w:anchor="__RefHeading___Toc3433713_105122903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3433715_1051229030">
            <w:r>
              <w:rPr>
                <w:webHidden/>
                <w:rStyle w:val="IndexLink"/>
                <w:rtl w:val="true"/>
              </w:rPr>
              <w:t>اجمال بحث</w:t>
            </w:r>
            <w:r>
              <w:rPr>
                <w:rStyle w:val="IndexLink"/>
                <w:rtl w:val="true"/>
              </w:rPr>
              <w:tab/>
            </w:r>
            <w:r>
              <w:rPr>
                <w:rStyle w:val="IndexLink"/>
              </w:rPr>
              <w:t>23</w:t>
            </w:r>
          </w:hyperlink>
        </w:p>
        <w:p>
          <w:pPr>
            <w:pStyle w:val="Contents3"/>
            <w:tabs>
              <w:tab w:val="clear" w:pos="8459"/>
              <w:tab w:val="right" w:pos="9026" w:leader="dot"/>
            </w:tabs>
            <w:rPr/>
          </w:pPr>
          <w:hyperlink w:anchor="__RefHeading___Toc3433717_1051229030">
            <w:r>
              <w:rPr>
                <w:webHidden/>
                <w:rStyle w:val="IndexLink"/>
                <w:rtl w:val="true"/>
              </w:rPr>
              <w:t>مقدّمة اوّل</w:t>
            </w:r>
            <w:r>
              <w:rPr>
                <w:rStyle w:val="IndexLink"/>
                <w:rtl w:val="true"/>
              </w:rPr>
              <w:t xml:space="preserve">: </w:t>
            </w:r>
            <w:r>
              <w:rPr>
                <w:rStyle w:val="IndexLink"/>
                <w:rtl w:val="true"/>
              </w:rPr>
              <w:t>اقسام تولّی و تبرّی</w:t>
            </w:r>
            <w:r>
              <w:rPr>
                <w:rStyle w:val="IndexLink"/>
                <w:rtl w:val="true"/>
              </w:rPr>
              <w:tab/>
            </w:r>
            <w:r>
              <w:rPr>
                <w:rStyle w:val="IndexLink"/>
              </w:rPr>
              <w:t>26</w:t>
            </w:r>
          </w:hyperlink>
        </w:p>
        <w:p>
          <w:pPr>
            <w:pStyle w:val="Contents3"/>
            <w:tabs>
              <w:tab w:val="clear" w:pos="8459"/>
              <w:tab w:val="right" w:pos="9026" w:leader="dot"/>
            </w:tabs>
            <w:rPr/>
          </w:pPr>
          <w:hyperlink w:anchor="__RefHeading___Toc3433719_1051229030">
            <w:r>
              <w:rPr>
                <w:webHidden/>
                <w:rStyle w:val="IndexLink"/>
                <w:rtl w:val="true"/>
              </w:rPr>
              <w:t>مقدّمة دوّم</w:t>
            </w:r>
            <w:r>
              <w:rPr>
                <w:rStyle w:val="IndexLink"/>
                <w:rtl w:val="true"/>
              </w:rPr>
              <w:t xml:space="preserve">: </w:t>
            </w:r>
            <w:r>
              <w:rPr>
                <w:rStyle w:val="IndexLink"/>
                <w:rtl w:val="true"/>
              </w:rPr>
              <w:t>اصل‌های پنجگانه</w:t>
            </w:r>
            <w:r>
              <w:rPr>
                <w:rStyle w:val="IndexLink"/>
                <w:rtl w:val="true"/>
              </w:rPr>
              <w:tab/>
            </w:r>
            <w:r>
              <w:rPr>
                <w:rStyle w:val="IndexLink"/>
              </w:rPr>
              <w:t>27</w:t>
            </w:r>
          </w:hyperlink>
        </w:p>
        <w:p>
          <w:pPr>
            <w:pStyle w:val="Contents3"/>
            <w:tabs>
              <w:tab w:val="clear" w:pos="8459"/>
              <w:tab w:val="right" w:pos="9026" w:leader="dot"/>
            </w:tabs>
            <w:rPr/>
          </w:pPr>
          <w:hyperlink w:anchor="__RefHeading___Toc3433721_1051229030">
            <w:r>
              <w:rPr>
                <w:webHidden/>
                <w:rStyle w:val="IndexLink"/>
                <w:rtl w:val="true"/>
              </w:rPr>
              <w:t>مقدّمة سوّم</w:t>
            </w:r>
            <w:r>
              <w:rPr>
                <w:rStyle w:val="IndexLink"/>
                <w:rtl w:val="true"/>
              </w:rPr>
              <w:t xml:space="preserve">: </w:t>
            </w:r>
            <w:r>
              <w:rPr>
                <w:rStyle w:val="IndexLink"/>
                <w:rtl w:val="true"/>
              </w:rPr>
              <w:t>ترتیب اصل‌ها</w:t>
            </w:r>
            <w:r>
              <w:rPr>
                <w:rStyle w:val="IndexLink"/>
                <w:rtl w:val="true"/>
              </w:rPr>
              <w:tab/>
            </w:r>
            <w:r>
              <w:rPr>
                <w:rStyle w:val="IndexLink"/>
              </w:rPr>
              <w:t>30</w:t>
            </w:r>
          </w:hyperlink>
        </w:p>
        <w:p>
          <w:pPr>
            <w:pStyle w:val="Contents3"/>
            <w:tabs>
              <w:tab w:val="clear" w:pos="8459"/>
              <w:tab w:val="right" w:pos="9026" w:leader="dot"/>
            </w:tabs>
            <w:rPr/>
          </w:pPr>
          <w:hyperlink w:anchor="__RefHeading___Toc3433723_1051229030">
            <w:r>
              <w:rPr>
                <w:webHidden/>
                <w:rStyle w:val="IndexLink"/>
                <w:rtl w:val="true"/>
              </w:rPr>
              <w:t>مقدّمة چهارم</w:t>
            </w:r>
            <w:r>
              <w:rPr>
                <w:rStyle w:val="IndexLink"/>
                <w:rtl w:val="true"/>
              </w:rPr>
              <w:t xml:space="preserve">: </w:t>
            </w:r>
            <w:r>
              <w:rPr>
                <w:rStyle w:val="IndexLink"/>
                <w:rtl w:val="true"/>
              </w:rPr>
              <w:t>عدل‌های پنجگانه</w:t>
            </w:r>
            <w:r>
              <w:rPr>
                <w:rStyle w:val="IndexLink"/>
                <w:rtl w:val="true"/>
              </w:rPr>
              <w:tab/>
            </w:r>
            <w:r>
              <w:rPr>
                <w:rStyle w:val="IndexLink"/>
              </w:rPr>
              <w:t>31</w:t>
            </w:r>
          </w:hyperlink>
        </w:p>
        <w:p>
          <w:pPr>
            <w:pStyle w:val="Contents3"/>
            <w:tabs>
              <w:tab w:val="clear" w:pos="8459"/>
              <w:tab w:val="right" w:pos="9026" w:leader="dot"/>
            </w:tabs>
            <w:rPr/>
          </w:pPr>
          <w:hyperlink w:anchor="__RefHeading___Toc3433725_1051229030">
            <w:r>
              <w:rPr>
                <w:webHidden/>
                <w:rStyle w:val="IndexLink"/>
                <w:rtl w:val="true"/>
              </w:rPr>
              <w:t>مقدّمة پنجم</w:t>
            </w:r>
            <w:r>
              <w:rPr>
                <w:rStyle w:val="IndexLink"/>
                <w:rtl w:val="true"/>
              </w:rPr>
              <w:t xml:space="preserve">: </w:t>
            </w:r>
            <w:r>
              <w:rPr>
                <w:rStyle w:val="IndexLink"/>
                <w:rtl w:val="true"/>
              </w:rPr>
              <w:t>ترتیب عدل‌ها</w:t>
            </w:r>
            <w:r>
              <w:rPr>
                <w:rStyle w:val="IndexLink"/>
                <w:rtl w:val="true"/>
              </w:rPr>
              <w:tab/>
            </w:r>
            <w:r>
              <w:rPr>
                <w:rStyle w:val="IndexLink"/>
              </w:rPr>
              <w:t>32</w:t>
            </w:r>
          </w:hyperlink>
        </w:p>
        <w:p>
          <w:pPr>
            <w:pStyle w:val="Contents3"/>
            <w:tabs>
              <w:tab w:val="clear" w:pos="8459"/>
              <w:tab w:val="right" w:pos="9026" w:leader="dot"/>
            </w:tabs>
            <w:rPr/>
          </w:pPr>
          <w:hyperlink w:anchor="__RefHeading___Toc3433727_1051229030">
            <w:r>
              <w:rPr>
                <w:webHidden/>
                <w:rStyle w:val="IndexLink"/>
                <w:rtl w:val="true"/>
              </w:rPr>
              <w:t>مقدّمة ششم</w:t>
            </w:r>
            <w:r>
              <w:rPr>
                <w:rStyle w:val="IndexLink"/>
                <w:rtl w:val="true"/>
              </w:rPr>
              <w:t xml:space="preserve">: </w:t>
            </w:r>
            <w:r>
              <w:rPr>
                <w:rStyle w:val="IndexLink"/>
                <w:rtl w:val="true"/>
              </w:rPr>
              <w:t>متعلَّق اصل‌ها و عدل‌ها</w:t>
            </w:r>
            <w:r>
              <w:rPr>
                <w:rStyle w:val="IndexLink"/>
                <w:rtl w:val="true"/>
              </w:rPr>
              <w:tab/>
            </w:r>
            <w:r>
              <w:rPr>
                <w:rStyle w:val="IndexLink"/>
              </w:rPr>
              <w:t>33</w:t>
            </w:r>
          </w:hyperlink>
        </w:p>
        <w:p>
          <w:pPr>
            <w:pStyle w:val="Contents3"/>
            <w:tabs>
              <w:tab w:val="clear" w:pos="8459"/>
              <w:tab w:val="right" w:pos="9026" w:leader="dot"/>
            </w:tabs>
            <w:rPr/>
          </w:pPr>
          <w:hyperlink w:anchor="__RefHeading___Toc3433729_1051229030">
            <w:r>
              <w:rPr>
                <w:webHidden/>
                <w:rStyle w:val="IndexLink"/>
                <w:rtl w:val="true"/>
              </w:rPr>
              <w:t>مقدّمة هفتم</w:t>
            </w:r>
            <w:r>
              <w:rPr>
                <w:rStyle w:val="IndexLink"/>
                <w:rtl w:val="true"/>
              </w:rPr>
              <w:t xml:space="preserve">: </w:t>
            </w:r>
            <w:r>
              <w:rPr>
                <w:rStyle w:val="IndexLink"/>
                <w:rtl w:val="true"/>
              </w:rPr>
              <w:t>بیان معانی اصل‌ها و عدل‌ها</w:t>
            </w:r>
            <w:r>
              <w:rPr>
                <w:rStyle w:val="IndexLink"/>
                <w:rtl w:val="true"/>
              </w:rPr>
              <w:tab/>
            </w:r>
            <w:r>
              <w:rPr>
                <w:rStyle w:val="IndexLink"/>
              </w:rPr>
              <w:t>34</w:t>
            </w:r>
          </w:hyperlink>
        </w:p>
        <w:p>
          <w:pPr>
            <w:pStyle w:val="Contents3"/>
            <w:tabs>
              <w:tab w:val="clear" w:pos="8459"/>
              <w:tab w:val="right" w:pos="9026" w:leader="dot"/>
            </w:tabs>
            <w:rPr/>
          </w:pPr>
          <w:hyperlink w:anchor="__RefHeading___Toc3433731_1051229030">
            <w:r>
              <w:rPr>
                <w:webHidden/>
                <w:rStyle w:val="IndexLink"/>
                <w:rtl w:val="true"/>
              </w:rPr>
              <w:t>مقدّمة هشتم</w:t>
            </w:r>
            <w:r>
              <w:rPr>
                <w:rStyle w:val="IndexLink"/>
                <w:rtl w:val="true"/>
              </w:rPr>
              <w:t xml:space="preserve">: </w:t>
            </w:r>
            <w:r>
              <w:rPr>
                <w:rStyle w:val="IndexLink"/>
                <w:rtl w:val="true"/>
              </w:rPr>
              <w:t>بررسی معانی اصل‌ها و عدل‌ها</w:t>
            </w:r>
            <w:r>
              <w:rPr>
                <w:rStyle w:val="IndexLink"/>
                <w:rtl w:val="true"/>
              </w:rPr>
              <w:tab/>
            </w:r>
            <w:r>
              <w:rPr>
                <w:rStyle w:val="IndexLink"/>
              </w:rPr>
              <w:t>35</w:t>
            </w:r>
          </w:hyperlink>
        </w:p>
        <w:p>
          <w:pPr>
            <w:pStyle w:val="Contents3"/>
            <w:tabs>
              <w:tab w:val="clear" w:pos="8459"/>
              <w:tab w:val="right" w:pos="9026" w:leader="dot"/>
            </w:tabs>
            <w:rPr/>
          </w:pPr>
          <w:hyperlink w:anchor="__RefHeading___Toc3433733_1051229030">
            <w:r>
              <w:rPr>
                <w:webHidden/>
                <w:rStyle w:val="IndexLink"/>
                <w:rtl w:val="true"/>
              </w:rPr>
              <w:t>مقدّمة نهم</w:t>
            </w:r>
            <w:r>
              <w:rPr>
                <w:rStyle w:val="IndexLink"/>
                <w:rtl w:val="true"/>
              </w:rPr>
              <w:t xml:space="preserve">: </w:t>
            </w:r>
            <w:r>
              <w:rPr>
                <w:rStyle w:val="IndexLink"/>
                <w:rtl w:val="true"/>
              </w:rPr>
              <w:t>ابعاد مثبت و منفی معانی مذکور</w:t>
            </w:r>
            <w:r>
              <w:rPr>
                <w:rStyle w:val="IndexLink"/>
                <w:rtl w:val="true"/>
              </w:rPr>
              <w:tab/>
            </w:r>
            <w:r>
              <w:rPr>
                <w:rStyle w:val="IndexLink"/>
              </w:rPr>
              <w:t>38</w:t>
            </w:r>
          </w:hyperlink>
        </w:p>
        <w:p>
          <w:pPr>
            <w:pStyle w:val="Contents3"/>
            <w:tabs>
              <w:tab w:val="clear" w:pos="8459"/>
              <w:tab w:val="right" w:pos="9026" w:leader="dot"/>
            </w:tabs>
            <w:rPr/>
          </w:pPr>
          <w:hyperlink w:anchor="__RefHeading___Toc3433735_1051229030">
            <w:r>
              <w:rPr>
                <w:webHidden/>
                <w:rStyle w:val="IndexLink"/>
                <w:rtl w:val="true"/>
              </w:rPr>
              <w:t>مقدّمة دهم</w:t>
            </w:r>
            <w:r>
              <w:rPr>
                <w:rStyle w:val="IndexLink"/>
                <w:rtl w:val="true"/>
              </w:rPr>
              <w:t xml:space="preserve">: </w:t>
            </w:r>
            <w:r>
              <w:rPr>
                <w:rStyle w:val="IndexLink"/>
                <w:rtl w:val="true"/>
              </w:rPr>
              <w:t>نسبت بین اصل‌ها و عدل‌ها</w:t>
            </w:r>
            <w:r>
              <w:rPr>
                <w:rStyle w:val="IndexLink"/>
                <w:rtl w:val="true"/>
              </w:rPr>
              <w:tab/>
            </w:r>
            <w:r>
              <w:rPr>
                <w:rStyle w:val="IndexLink"/>
              </w:rPr>
              <w:t>41</w:t>
            </w:r>
          </w:hyperlink>
        </w:p>
        <w:p>
          <w:pPr>
            <w:pStyle w:val="Contents3"/>
            <w:tabs>
              <w:tab w:val="clear" w:pos="8459"/>
              <w:tab w:val="right" w:pos="9026" w:leader="dot"/>
            </w:tabs>
            <w:rPr/>
          </w:pPr>
          <w:hyperlink w:anchor="__RefHeading___Toc3433737_1051229030">
            <w:r>
              <w:rPr>
                <w:webHidden/>
                <w:rStyle w:val="IndexLink"/>
                <w:rtl w:val="true"/>
              </w:rPr>
              <w:t>مقدّمة يازدهم</w:t>
            </w:r>
            <w:r>
              <w:rPr>
                <w:rStyle w:val="IndexLink"/>
                <w:rtl w:val="true"/>
              </w:rPr>
              <w:t xml:space="preserve">: </w:t>
            </w:r>
            <w:r>
              <w:rPr>
                <w:rStyle w:val="IndexLink"/>
                <w:rtl w:val="true"/>
              </w:rPr>
              <w:t>لزوم تظاهر در تولّی و تبرّی</w:t>
            </w:r>
            <w:r>
              <w:rPr>
                <w:rStyle w:val="IndexLink"/>
                <w:rtl w:val="true"/>
              </w:rPr>
              <w:tab/>
            </w:r>
            <w:r>
              <w:rPr>
                <w:rStyle w:val="IndexLink"/>
              </w:rPr>
              <w:t>42</w:t>
            </w:r>
          </w:hyperlink>
        </w:p>
        <w:p>
          <w:pPr>
            <w:pStyle w:val="Contents3"/>
            <w:tabs>
              <w:tab w:val="clear" w:pos="8459"/>
              <w:tab w:val="right" w:pos="9026" w:leader="dot"/>
            </w:tabs>
            <w:rPr/>
          </w:pPr>
          <w:hyperlink w:anchor="__RefHeading___Toc3433739_1051229030">
            <w:r>
              <w:rPr>
                <w:webHidden/>
                <w:rStyle w:val="IndexLink"/>
                <w:rtl w:val="true"/>
              </w:rPr>
              <w:t>مقدّمة دوازدهم</w:t>
            </w:r>
            <w:r>
              <w:rPr>
                <w:rStyle w:val="IndexLink"/>
                <w:rtl w:val="true"/>
              </w:rPr>
              <w:t xml:space="preserve">: </w:t>
            </w:r>
            <w:r>
              <w:rPr>
                <w:rStyle w:val="IndexLink"/>
                <w:rtl w:val="true"/>
              </w:rPr>
              <w:t>لزوم اطاعت عملی در تولّی و تبرّی</w:t>
            </w:r>
            <w:r>
              <w:rPr>
                <w:rStyle w:val="IndexLink"/>
                <w:rtl w:val="true"/>
              </w:rPr>
              <w:tab/>
            </w:r>
            <w:r>
              <w:rPr>
                <w:rStyle w:val="IndexLink"/>
              </w:rPr>
              <w:t>43</w:t>
            </w:r>
          </w:hyperlink>
        </w:p>
        <w:p>
          <w:pPr>
            <w:pStyle w:val="Contents3"/>
            <w:tabs>
              <w:tab w:val="clear" w:pos="8459"/>
              <w:tab w:val="right" w:pos="9026" w:leader="dot"/>
            </w:tabs>
            <w:rPr/>
          </w:pPr>
          <w:hyperlink w:anchor="__RefHeading___Toc3433741_1051229030">
            <w:r>
              <w:rPr>
                <w:webHidden/>
                <w:rStyle w:val="IndexLink"/>
                <w:rtl w:val="true"/>
              </w:rPr>
              <w:t>مقدّمة سيزدهم</w:t>
            </w:r>
            <w:r>
              <w:rPr>
                <w:rStyle w:val="IndexLink"/>
                <w:rtl w:val="true"/>
              </w:rPr>
              <w:t xml:space="preserve">: </w:t>
            </w:r>
            <w:r>
              <w:rPr>
                <w:rStyle w:val="IndexLink"/>
                <w:rtl w:val="true"/>
              </w:rPr>
              <w:t>بیان عرض عریض اصل‌ها و عدل‌ها</w:t>
            </w:r>
            <w:r>
              <w:rPr>
                <w:rStyle w:val="IndexLink"/>
                <w:rtl w:val="true"/>
              </w:rPr>
              <w:tab/>
            </w:r>
            <w:r>
              <w:rPr>
                <w:rStyle w:val="IndexLink"/>
              </w:rPr>
              <w:t>44</w:t>
            </w:r>
          </w:hyperlink>
        </w:p>
        <w:p>
          <w:pPr>
            <w:pStyle w:val="Contents3"/>
            <w:tabs>
              <w:tab w:val="clear" w:pos="8459"/>
              <w:tab w:val="right" w:pos="9026" w:leader="dot"/>
            </w:tabs>
            <w:rPr/>
          </w:pPr>
          <w:hyperlink w:anchor="__RefHeading___Toc3433743_1051229030">
            <w:r>
              <w:rPr>
                <w:webHidden/>
                <w:rStyle w:val="IndexLink"/>
                <w:rtl w:val="true"/>
              </w:rPr>
              <w:t>مقدّمة چهاردهم</w:t>
            </w:r>
            <w:r>
              <w:rPr>
                <w:rStyle w:val="IndexLink"/>
                <w:rtl w:val="true"/>
              </w:rPr>
              <w:t xml:space="preserve">: </w:t>
            </w:r>
            <w:r>
              <w:rPr>
                <w:rStyle w:val="IndexLink"/>
                <w:rtl w:val="true"/>
              </w:rPr>
              <w:t>نحوة تجلّی محبّت و مبغضت</w:t>
            </w:r>
            <w:r>
              <w:rPr>
                <w:rStyle w:val="IndexLink"/>
                <w:rtl w:val="true"/>
              </w:rPr>
              <w:tab/>
            </w:r>
            <w:r>
              <w:rPr>
                <w:rStyle w:val="IndexLink"/>
              </w:rPr>
              <w:t>48</w:t>
            </w:r>
          </w:hyperlink>
        </w:p>
        <w:p>
          <w:pPr>
            <w:pStyle w:val="Contents3"/>
            <w:tabs>
              <w:tab w:val="clear" w:pos="8459"/>
              <w:tab w:val="right" w:pos="9026" w:leader="dot"/>
            </w:tabs>
            <w:rPr/>
          </w:pPr>
          <w:hyperlink w:anchor="__RefHeading___Toc3433745_1051229030">
            <w:r>
              <w:rPr>
                <w:webHidden/>
                <w:rStyle w:val="IndexLink"/>
                <w:rtl w:val="true"/>
              </w:rPr>
              <w:t>مقدّمة پانزدهم</w:t>
            </w:r>
            <w:r>
              <w:rPr>
                <w:rStyle w:val="IndexLink"/>
                <w:rtl w:val="true"/>
              </w:rPr>
              <w:t xml:space="preserve">: </w:t>
            </w:r>
            <w:r>
              <w:rPr>
                <w:rStyle w:val="IndexLink"/>
                <w:rtl w:val="true"/>
              </w:rPr>
              <w:t>منظور از مودّت</w:t>
            </w:r>
            <w:r>
              <w:rPr>
                <w:rStyle w:val="IndexLink"/>
                <w:rtl w:val="true"/>
              </w:rPr>
              <w:tab/>
            </w:r>
            <w:r>
              <w:rPr>
                <w:rStyle w:val="IndexLink"/>
              </w:rPr>
              <w:t>52</w:t>
            </w:r>
          </w:hyperlink>
        </w:p>
        <w:p>
          <w:pPr>
            <w:pStyle w:val="Contents3"/>
            <w:tabs>
              <w:tab w:val="clear" w:pos="8459"/>
              <w:tab w:val="right" w:pos="9026" w:leader="dot"/>
            </w:tabs>
            <w:rPr/>
          </w:pPr>
          <w:hyperlink w:anchor="__RefHeading___Toc3433747_1051229030">
            <w:r>
              <w:rPr>
                <w:webHidden/>
                <w:rStyle w:val="IndexLink"/>
                <w:rtl w:val="true"/>
              </w:rPr>
              <w:t>مقدّمة شانزدهم</w:t>
            </w:r>
            <w:r>
              <w:rPr>
                <w:rStyle w:val="IndexLink"/>
                <w:rtl w:val="true"/>
              </w:rPr>
              <w:t xml:space="preserve">: </w:t>
            </w:r>
            <w:r>
              <w:rPr>
                <w:rStyle w:val="IndexLink"/>
                <w:rtl w:val="true"/>
              </w:rPr>
              <w:t>تشیُّع؛ تنها مصداق مودّت</w:t>
            </w:r>
            <w:r>
              <w:rPr>
                <w:rStyle w:val="IndexLink"/>
                <w:rtl w:val="true"/>
              </w:rPr>
              <w:tab/>
            </w:r>
            <w:r>
              <w:rPr>
                <w:rStyle w:val="IndexLink"/>
              </w:rPr>
              <w:t>54</w:t>
            </w:r>
          </w:hyperlink>
        </w:p>
        <w:p>
          <w:pPr>
            <w:pStyle w:val="Contents3"/>
            <w:tabs>
              <w:tab w:val="clear" w:pos="8459"/>
              <w:tab w:val="right" w:pos="9026" w:leader="dot"/>
            </w:tabs>
            <w:rPr/>
          </w:pPr>
          <w:hyperlink w:anchor="__RefHeading___Toc3433749_1051229030">
            <w:r>
              <w:rPr>
                <w:webHidden/>
                <w:rStyle w:val="IndexLink"/>
                <w:rtl w:val="true"/>
              </w:rPr>
              <w:t>مقدّمة هفدهم</w:t>
            </w:r>
            <w:r>
              <w:rPr>
                <w:rStyle w:val="IndexLink"/>
                <w:rtl w:val="true"/>
              </w:rPr>
              <w:t xml:space="preserve">: </w:t>
            </w:r>
            <w:r>
              <w:rPr>
                <w:rStyle w:val="IndexLink"/>
                <w:rtl w:val="true"/>
              </w:rPr>
              <w:t>بررسی نوع وجوب تولّی و تبرّی</w:t>
            </w:r>
            <w:r>
              <w:rPr>
                <w:rStyle w:val="IndexLink"/>
                <w:rtl w:val="true"/>
              </w:rPr>
              <w:tab/>
            </w:r>
            <w:r>
              <w:rPr>
                <w:rStyle w:val="IndexLink"/>
              </w:rPr>
              <w:t>61</w:t>
            </w:r>
          </w:hyperlink>
        </w:p>
        <w:p>
          <w:pPr>
            <w:pStyle w:val="Contents3"/>
            <w:tabs>
              <w:tab w:val="clear" w:pos="8459"/>
              <w:tab w:val="right" w:pos="9026" w:leader="dot"/>
            </w:tabs>
            <w:rPr/>
          </w:pPr>
          <w:hyperlink w:anchor="__RefHeading___Toc3433751_1051229030">
            <w:r>
              <w:rPr>
                <w:webHidden/>
                <w:rStyle w:val="IndexLink"/>
                <w:rtl w:val="true"/>
              </w:rPr>
              <w:t>اشکال</w:t>
            </w:r>
            <w:r>
              <w:rPr>
                <w:rStyle w:val="IndexLink"/>
                <w:rtl w:val="true"/>
              </w:rPr>
              <w:t xml:space="preserve">: </w:t>
            </w:r>
            <w:r>
              <w:rPr>
                <w:rStyle w:val="IndexLink"/>
                <w:rtl w:val="true"/>
              </w:rPr>
              <w:t>چرا در فقه، کتاب خاصّي در موضوع تولّي و تبرّي، نوشته نشده است؟</w:t>
            </w:r>
            <w:r>
              <w:rPr>
                <w:rStyle w:val="IndexLink"/>
                <w:rtl w:val="true"/>
              </w:rPr>
              <w:tab/>
            </w:r>
            <w:r>
              <w:rPr>
                <w:rStyle w:val="IndexLink"/>
              </w:rPr>
              <w:t>69</w:t>
            </w:r>
          </w:hyperlink>
        </w:p>
        <w:p>
          <w:pPr>
            <w:pStyle w:val="Contents3"/>
            <w:tabs>
              <w:tab w:val="clear" w:pos="8459"/>
              <w:tab w:val="right" w:pos="9026" w:leader="dot"/>
            </w:tabs>
            <w:rPr/>
          </w:pPr>
          <w:hyperlink w:anchor="__RefHeading___Toc3433753_1051229030">
            <w:r>
              <w:rPr>
                <w:webHidden/>
                <w:rStyle w:val="IndexLink"/>
                <w:rtl w:val="true"/>
              </w:rPr>
              <w:t>خاتمه</w:t>
            </w:r>
            <w:r>
              <w:rPr>
                <w:rStyle w:val="IndexLink"/>
                <w:rtl w:val="true"/>
              </w:rPr>
              <w:tab/>
            </w:r>
            <w:r>
              <w:rPr>
                <w:rStyle w:val="IndexLink"/>
              </w:rPr>
              <w:t>70</w:t>
            </w:r>
          </w:hyperlink>
        </w:p>
        <w:p>
          <w:pPr>
            <w:pStyle w:val="Contents3"/>
            <w:tabs>
              <w:tab w:val="clear" w:pos="8459"/>
              <w:tab w:val="right" w:pos="9026" w:leader="dot"/>
            </w:tabs>
            <w:rPr/>
          </w:pPr>
          <w:hyperlink w:anchor="__RefHeading___Toc3433755_1051229030">
            <w:r>
              <w:rPr>
                <w:webHidden/>
                <w:rStyle w:val="IndexLink"/>
                <w:rtl w:val="true"/>
              </w:rPr>
              <w:t>امر اوّل</w:t>
            </w:r>
            <w:r>
              <w:rPr>
                <w:rStyle w:val="IndexLink"/>
                <w:rtl w:val="true"/>
              </w:rPr>
              <w:tab/>
            </w:r>
            <w:r>
              <w:rPr>
                <w:rStyle w:val="IndexLink"/>
              </w:rPr>
              <w:t>71</w:t>
            </w:r>
          </w:hyperlink>
        </w:p>
        <w:p>
          <w:pPr>
            <w:pStyle w:val="Contents3"/>
            <w:tabs>
              <w:tab w:val="clear" w:pos="8459"/>
              <w:tab w:val="right" w:pos="9026" w:leader="dot"/>
            </w:tabs>
            <w:rPr/>
          </w:pPr>
          <w:hyperlink w:anchor="__RefHeading___Toc3433757_1051229030">
            <w:r>
              <w:rPr>
                <w:webHidden/>
                <w:rStyle w:val="IndexLink"/>
                <w:rtl w:val="true"/>
              </w:rPr>
              <w:t>امر دوّم</w:t>
            </w:r>
            <w:r>
              <w:rPr>
                <w:rStyle w:val="IndexLink"/>
                <w:rtl w:val="true"/>
              </w:rPr>
              <w:tab/>
            </w:r>
            <w:r>
              <w:rPr>
                <w:rStyle w:val="IndexLink"/>
              </w:rPr>
              <w:t>80</w:t>
            </w:r>
          </w:hyperlink>
        </w:p>
        <w:p>
          <w:pPr>
            <w:pStyle w:val="Contents3"/>
            <w:tabs>
              <w:tab w:val="clear" w:pos="8459"/>
              <w:tab w:val="right" w:pos="9026" w:leader="dot"/>
            </w:tabs>
            <w:rPr/>
          </w:pPr>
          <w:hyperlink w:anchor="__RefHeading___Toc3433759_1051229030">
            <w:r>
              <w:rPr>
                <w:webHidden/>
                <w:rStyle w:val="IndexLink"/>
                <w:rtl w:val="true"/>
              </w:rPr>
              <w:t>سؤالات</w:t>
            </w:r>
            <w:r>
              <w:rPr>
                <w:rStyle w:val="IndexLink"/>
                <w:rtl w:val="true"/>
              </w:rPr>
              <w:t>:</w:t>
              <w:tab/>
            </w:r>
            <w:r>
              <w:rPr>
                <w:rStyle w:val="IndexLink"/>
              </w:rPr>
              <w:t>85</w:t>
            </w:r>
          </w:hyperlink>
        </w:p>
        <w:p>
          <w:pPr>
            <w:pStyle w:val="Contents3"/>
            <w:tabs>
              <w:tab w:val="clear" w:pos="8459"/>
              <w:tab w:val="right" w:pos="9026" w:leader="dot"/>
            </w:tabs>
            <w:rPr/>
          </w:pPr>
          <w:hyperlink w:anchor="__RefHeading___Toc3433761_1051229030">
            <w:r>
              <w:rPr>
                <w:webHidden/>
                <w:rStyle w:val="IndexLink"/>
                <w:rtl w:val="true"/>
              </w:rPr>
              <w:t>سؤال اوّل</w:t>
            </w:r>
            <w:r>
              <w:rPr>
                <w:rStyle w:val="IndexLink"/>
                <w:rtl w:val="true"/>
              </w:rPr>
              <w:t>:</w:t>
              <w:tab/>
            </w:r>
            <w:r>
              <w:rPr>
                <w:rStyle w:val="IndexLink"/>
              </w:rPr>
              <w:t>86</w:t>
            </w:r>
          </w:hyperlink>
        </w:p>
        <w:p>
          <w:pPr>
            <w:pStyle w:val="Contents3"/>
            <w:tabs>
              <w:tab w:val="clear" w:pos="8459"/>
              <w:tab w:val="right" w:pos="9026" w:leader="dot"/>
            </w:tabs>
            <w:rPr/>
          </w:pPr>
          <w:hyperlink w:anchor="__RefHeading___Toc3433763_1051229030">
            <w:r>
              <w:rPr>
                <w:webHidden/>
                <w:rStyle w:val="IndexLink"/>
                <w:rtl w:val="true"/>
              </w:rPr>
              <w:t xml:space="preserve">علّت اسقاط </w:t>
            </w:r>
            <w:r>
              <w:rPr>
                <w:rStyle w:val="IndexLink"/>
                <w:rtl w:val="true"/>
              </w:rPr>
              <w:t>«</w:t>
            </w:r>
            <w:r>
              <w:rPr>
                <w:rStyle w:val="IndexLink"/>
                <w:rtl w:val="true"/>
              </w:rPr>
              <w:t>حيّ علي خير العمل</w:t>
            </w:r>
            <w:r>
              <w:rPr>
                <w:rStyle w:val="IndexLink"/>
                <w:rtl w:val="true"/>
              </w:rPr>
              <w:t xml:space="preserve">» </w:t>
            </w:r>
            <w:r>
              <w:rPr>
                <w:rStyle w:val="IndexLink"/>
                <w:rtl w:val="true"/>
              </w:rPr>
              <w:t>و جواب از آن</w:t>
            </w:r>
            <w:r>
              <w:rPr>
                <w:rStyle w:val="IndexLink"/>
                <w:rtl w:val="true"/>
              </w:rPr>
              <w:tab/>
            </w:r>
            <w:r>
              <w:rPr>
                <w:rStyle w:val="IndexLink"/>
              </w:rPr>
              <w:t>86</w:t>
            </w:r>
          </w:hyperlink>
        </w:p>
        <w:p>
          <w:pPr>
            <w:pStyle w:val="Contents3"/>
            <w:tabs>
              <w:tab w:val="clear" w:pos="8459"/>
              <w:tab w:val="right" w:pos="9026" w:leader="dot"/>
            </w:tabs>
            <w:rPr/>
          </w:pPr>
          <w:hyperlink w:anchor="__RefHeading___Toc3433765_1051229030">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3433767_1051229030">
            <w:r>
              <w:rPr>
                <w:webHidden/>
                <w:rStyle w:val="IndexLink"/>
                <w:rtl w:val="true"/>
              </w:rPr>
              <w:t>سؤال دوّم</w:t>
            </w:r>
            <w:r>
              <w:rPr>
                <w:rStyle w:val="IndexLink"/>
                <w:rtl w:val="true"/>
              </w:rPr>
              <w:t>:</w:t>
              <w:tab/>
            </w:r>
            <w:r>
              <w:rPr>
                <w:rStyle w:val="IndexLink"/>
              </w:rPr>
              <w:t>88</w:t>
            </w:r>
          </w:hyperlink>
        </w:p>
        <w:p>
          <w:pPr>
            <w:pStyle w:val="Contents3"/>
            <w:tabs>
              <w:tab w:val="clear" w:pos="8459"/>
              <w:tab w:val="right" w:pos="9026" w:leader="dot"/>
            </w:tabs>
            <w:rPr/>
          </w:pPr>
          <w:hyperlink w:anchor="__RefHeading___Toc3433769_1051229030">
            <w:r>
              <w:rPr>
                <w:webHidden/>
                <w:rStyle w:val="IndexLink"/>
                <w:rtl w:val="true"/>
              </w:rPr>
              <w:t xml:space="preserve">آیا </w:t>
            </w:r>
            <w:r>
              <w:rPr>
                <w:rStyle w:val="IndexLink"/>
                <w:rtl w:val="true"/>
              </w:rPr>
              <w:t>«</w:t>
            </w:r>
            <w:r>
              <w:rPr>
                <w:rStyle w:val="IndexLink"/>
                <w:rtl w:val="true"/>
              </w:rPr>
              <w:t>خير العمل</w:t>
            </w:r>
            <w:r>
              <w:rPr>
                <w:rStyle w:val="IndexLink"/>
                <w:rtl w:val="true"/>
              </w:rPr>
              <w:t xml:space="preserve">» </w:t>
            </w:r>
            <w:r>
              <w:rPr>
                <w:rStyle w:val="IndexLink"/>
                <w:rtl w:val="true"/>
              </w:rPr>
              <w:t>همان نماز است به قرينة خَيْرُ مَوْضُوعٍ بودن نماز؟</w:t>
            </w:r>
            <w:r>
              <w:rPr>
                <w:rStyle w:val="IndexLink"/>
                <w:rtl w:val="true"/>
              </w:rPr>
              <w:tab/>
            </w:r>
            <w:r>
              <w:rPr>
                <w:rStyle w:val="IndexLink"/>
              </w:rPr>
              <w:t>88</w:t>
            </w:r>
          </w:hyperlink>
        </w:p>
        <w:p>
          <w:pPr>
            <w:pStyle w:val="Contents3"/>
            <w:tabs>
              <w:tab w:val="clear" w:pos="8459"/>
              <w:tab w:val="right" w:pos="9026" w:leader="dot"/>
            </w:tabs>
            <w:rPr/>
          </w:pPr>
          <w:hyperlink w:anchor="__RefHeading___Toc3433771_1051229030">
            <w:r>
              <w:rPr>
                <w:webHidden/>
                <w:rStyle w:val="IndexLink"/>
                <w:rtl w:val="true"/>
              </w:rPr>
              <w:t>سؤال سوّم</w:t>
            </w:r>
            <w:r>
              <w:rPr>
                <w:rStyle w:val="IndexLink"/>
                <w:rtl w:val="true"/>
              </w:rPr>
              <w:t>:</w:t>
              <w:tab/>
            </w:r>
            <w:r>
              <w:rPr>
                <w:rStyle w:val="IndexLink"/>
              </w:rPr>
              <w:t>91</w:t>
            </w:r>
          </w:hyperlink>
        </w:p>
        <w:p>
          <w:pPr>
            <w:pStyle w:val="Contents3"/>
            <w:tabs>
              <w:tab w:val="clear" w:pos="8459"/>
              <w:tab w:val="right" w:pos="9026" w:leader="dot"/>
            </w:tabs>
            <w:rPr/>
          </w:pPr>
          <w:hyperlink w:anchor="__RefHeading___Toc3433773_1051229030">
            <w:r>
              <w:rPr>
                <w:webHidden/>
                <w:rStyle w:val="IndexLink"/>
                <w:rtl w:val="true"/>
              </w:rPr>
              <w:t xml:space="preserve">عدم شهرت </w:t>
            </w:r>
            <w:r>
              <w:rPr>
                <w:rStyle w:val="IndexLink"/>
                <w:rtl w:val="true"/>
              </w:rPr>
              <w:t>«</w:t>
            </w:r>
            <w:r>
              <w:rPr>
                <w:rStyle w:val="IndexLink"/>
                <w:rtl w:val="true"/>
              </w:rPr>
              <w:t>خير العمل</w:t>
            </w:r>
            <w:r>
              <w:rPr>
                <w:rStyle w:val="IndexLink"/>
                <w:rtl w:val="true"/>
              </w:rPr>
              <w:t xml:space="preserve">» </w:t>
            </w:r>
            <w:r>
              <w:rPr>
                <w:rStyle w:val="IndexLink"/>
                <w:rtl w:val="true"/>
              </w:rPr>
              <w:t>به معناي ولايت، در بين شيعيان</w:t>
            </w:r>
            <w:r>
              <w:rPr>
                <w:rStyle w:val="IndexLink"/>
                <w:rtl w:val="true"/>
              </w:rPr>
              <w:tab/>
            </w:r>
            <w:r>
              <w:rPr>
                <w:rStyle w:val="IndexLink"/>
              </w:rPr>
              <w:t>91</w:t>
            </w:r>
          </w:hyperlink>
        </w:p>
        <w:p>
          <w:pPr>
            <w:pStyle w:val="Contents2"/>
            <w:tabs>
              <w:tab w:val="clear" w:pos="8743"/>
              <w:tab w:val="right" w:pos="9026" w:leader="dot"/>
            </w:tabs>
            <w:rPr/>
          </w:pPr>
          <w:hyperlink w:anchor="__RefHeading___Toc3433775_1051229030">
            <w:r>
              <w:rPr>
                <w:webHidden/>
                <w:rStyle w:val="IndexLink"/>
                <w:rtl w:val="true"/>
              </w:rPr>
              <w:t>رسالة دوّم</w:t>
            </w:r>
            <w:r>
              <w:rPr>
                <w:rStyle w:val="IndexLink"/>
                <w:rtl w:val="true"/>
              </w:rPr>
              <w:t>:</w:t>
            </w:r>
            <w:r>
              <w:rPr>
                <w:rStyle w:val="IndexLink"/>
                <w:rtl w:val="true"/>
              </w:rPr>
              <w:t>تأثير ولایت آل رسول</w:t>
            </w:r>
            <w:r>
              <w:rPr>
                <w:rStyle w:val="IndexLink"/>
                <w:rtl w:val="true"/>
              </w:rPr>
              <w:t>(</w:t>
            </w:r>
            <w:r>
              <w:rPr>
                <w:rStyle w:val="IndexLink"/>
                <w:rtl w:val="true"/>
              </w:rPr>
              <w:t>صَلَّى اَللَّهُ عَلَيْهِ وَ آلِهِ</w:t>
            </w:r>
            <w:r>
              <w:rPr>
                <w:rStyle w:val="IndexLink"/>
                <w:rtl w:val="true"/>
              </w:rPr>
              <w:t>)</w:t>
            </w:r>
            <w:r>
              <w:rPr>
                <w:rStyle w:val="IndexLink"/>
                <w:rtl w:val="true"/>
              </w:rPr>
              <w:t>حتّی بدون عمل مقبول</w:t>
            </w:r>
            <w:r>
              <w:rPr>
                <w:rStyle w:val="IndexLink"/>
                <w:rtl w:val="true"/>
              </w:rPr>
              <w:tab/>
            </w:r>
            <w:r>
              <w:rPr>
                <w:rStyle w:val="IndexLink"/>
              </w:rPr>
              <w:t>99</w:t>
            </w:r>
          </w:hyperlink>
        </w:p>
        <w:p>
          <w:pPr>
            <w:pStyle w:val="Contents3"/>
            <w:tabs>
              <w:tab w:val="clear" w:pos="8459"/>
              <w:tab w:val="right" w:pos="9026" w:leader="dot"/>
            </w:tabs>
            <w:rPr/>
          </w:pPr>
          <w:hyperlink w:anchor="__RefHeading___Toc3433777_105122903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3433779_1051229030">
            <w:r>
              <w:rPr>
                <w:webHidden/>
                <w:rStyle w:val="IndexLink"/>
                <w:rtl w:val="true"/>
              </w:rPr>
              <w:t>پیشگفتار</w:t>
            </w:r>
            <w:r>
              <w:rPr>
                <w:rStyle w:val="IndexLink"/>
                <w:rtl w:val="true"/>
              </w:rPr>
              <w:tab/>
            </w:r>
            <w:r>
              <w:rPr>
                <w:rStyle w:val="IndexLink"/>
              </w:rPr>
              <w:t>101</w:t>
            </w:r>
          </w:hyperlink>
        </w:p>
        <w:p>
          <w:pPr>
            <w:pStyle w:val="Contents3"/>
            <w:tabs>
              <w:tab w:val="clear" w:pos="8459"/>
              <w:tab w:val="right" w:pos="9026" w:leader="dot"/>
            </w:tabs>
            <w:rPr/>
          </w:pPr>
          <w:hyperlink w:anchor="__RefHeading___Toc3433781_1051229030">
            <w:r>
              <w:rPr>
                <w:webHidden/>
                <w:rStyle w:val="IndexLink"/>
                <w:rtl w:val="true"/>
              </w:rPr>
              <w:t>مقدّمة اوّل</w:t>
            </w:r>
            <w:r>
              <w:rPr>
                <w:rStyle w:val="IndexLink"/>
                <w:rtl w:val="true"/>
              </w:rPr>
              <w:t xml:space="preserve">: </w:t>
            </w:r>
            <w:r>
              <w:rPr>
                <w:rStyle w:val="IndexLink"/>
                <w:rtl w:val="true"/>
              </w:rPr>
              <w:t>اطلاق ولایت بر عمل به دو اعتبار</w:t>
            </w:r>
            <w:r>
              <w:rPr>
                <w:rStyle w:val="IndexLink"/>
                <w:rtl w:val="true"/>
              </w:rPr>
              <w:tab/>
            </w:r>
            <w:r>
              <w:rPr>
                <w:rStyle w:val="IndexLink"/>
              </w:rPr>
              <w:t>105</w:t>
            </w:r>
          </w:hyperlink>
        </w:p>
        <w:p>
          <w:pPr>
            <w:pStyle w:val="Contents3"/>
            <w:tabs>
              <w:tab w:val="clear" w:pos="8459"/>
              <w:tab w:val="right" w:pos="9026" w:leader="dot"/>
            </w:tabs>
            <w:rPr/>
          </w:pPr>
          <w:hyperlink w:anchor="__RefHeading___Toc3433783_1051229030">
            <w:r>
              <w:rPr>
                <w:webHidden/>
                <w:rStyle w:val="IndexLink"/>
                <w:rtl w:val="true"/>
              </w:rPr>
              <w:t>مقدّمة دوّم</w:t>
            </w:r>
            <w:r>
              <w:rPr>
                <w:rStyle w:val="IndexLink"/>
                <w:rtl w:val="true"/>
              </w:rPr>
              <w:t xml:space="preserve">: </w:t>
            </w:r>
            <w:r>
              <w:rPr>
                <w:rStyle w:val="IndexLink"/>
                <w:rtl w:val="true"/>
              </w:rPr>
              <w:t>همسویی ولایت تکوینی و تشریعی</w:t>
            </w:r>
            <w:r>
              <w:rPr>
                <w:rStyle w:val="IndexLink"/>
                <w:rtl w:val="true"/>
              </w:rPr>
              <w:tab/>
            </w:r>
            <w:r>
              <w:rPr>
                <w:rStyle w:val="IndexLink"/>
              </w:rPr>
              <w:t>108</w:t>
            </w:r>
          </w:hyperlink>
        </w:p>
        <w:p>
          <w:pPr>
            <w:pStyle w:val="Contents3"/>
            <w:tabs>
              <w:tab w:val="clear" w:pos="8459"/>
              <w:tab w:val="right" w:pos="9026" w:leader="dot"/>
            </w:tabs>
            <w:rPr/>
          </w:pPr>
          <w:hyperlink w:anchor="__RefHeading___Toc3433785_1051229030">
            <w:r>
              <w:rPr>
                <w:webHidden/>
                <w:rStyle w:val="IndexLink"/>
                <w:rtl w:val="true"/>
              </w:rPr>
              <w:t>مقدمة سوّم</w:t>
            </w:r>
            <w:r>
              <w:rPr>
                <w:rStyle w:val="IndexLink"/>
                <w:rtl w:val="true"/>
              </w:rPr>
              <w:t xml:space="preserve">: </w:t>
            </w:r>
            <w:r>
              <w:rPr>
                <w:rStyle w:val="IndexLink"/>
                <w:rtl w:val="true"/>
              </w:rPr>
              <w:t>موضوعیّت تنها از آنِ اصل ولایت</w:t>
            </w:r>
            <w:r>
              <w:rPr>
                <w:rStyle w:val="IndexLink"/>
                <w:rtl w:val="true"/>
              </w:rPr>
              <w:tab/>
            </w:r>
            <w:r>
              <w:rPr>
                <w:rStyle w:val="IndexLink"/>
              </w:rPr>
              <w:t>110</w:t>
            </w:r>
          </w:hyperlink>
        </w:p>
        <w:p>
          <w:pPr>
            <w:pStyle w:val="Contents3"/>
            <w:tabs>
              <w:tab w:val="clear" w:pos="8459"/>
              <w:tab w:val="right" w:pos="9026" w:leader="dot"/>
            </w:tabs>
            <w:rPr/>
          </w:pPr>
          <w:hyperlink w:anchor="__RefHeading___Toc3433787_1051229030">
            <w:r>
              <w:rPr>
                <w:webHidden/>
                <w:rStyle w:val="IndexLink"/>
                <w:rtl w:val="true"/>
              </w:rPr>
              <w:t>مقدّمة چهارم</w:t>
            </w:r>
            <w:r>
              <w:rPr>
                <w:rStyle w:val="IndexLink"/>
                <w:rtl w:val="true"/>
              </w:rPr>
              <w:t xml:space="preserve">: </w:t>
            </w:r>
            <w:r>
              <w:rPr>
                <w:rStyle w:val="IndexLink"/>
                <w:rtl w:val="true"/>
              </w:rPr>
              <w:t>عدم استلزام تجرّی از موضوعیّت اصل ولایت</w:t>
            </w:r>
            <w:r>
              <w:rPr>
                <w:rStyle w:val="IndexLink"/>
                <w:rtl w:val="true"/>
              </w:rPr>
              <w:tab/>
            </w:r>
            <w:r>
              <w:rPr>
                <w:rStyle w:val="IndexLink"/>
              </w:rPr>
              <w:t>113</w:t>
            </w:r>
          </w:hyperlink>
        </w:p>
        <w:p>
          <w:pPr>
            <w:pStyle w:val="Contents3"/>
            <w:tabs>
              <w:tab w:val="clear" w:pos="8459"/>
              <w:tab w:val="right" w:pos="9026" w:leader="dot"/>
            </w:tabs>
            <w:rPr/>
          </w:pPr>
          <w:hyperlink w:anchor="__RefHeading___Toc3433789_1051229030">
            <w:r>
              <w:rPr>
                <w:webHidden/>
                <w:rStyle w:val="IndexLink"/>
                <w:rtl w:val="true"/>
              </w:rPr>
              <w:t>مقدّمة پنجم</w:t>
            </w:r>
            <w:r>
              <w:rPr>
                <w:rStyle w:val="IndexLink"/>
                <w:rtl w:val="true"/>
              </w:rPr>
              <w:t xml:space="preserve">: </w:t>
            </w:r>
            <w:r>
              <w:rPr>
                <w:rStyle w:val="IndexLink"/>
                <w:rtl w:val="true"/>
              </w:rPr>
              <w:t>منظور از مسلم و مؤمن واقعی</w:t>
            </w:r>
            <w:r>
              <w:rPr>
                <w:rStyle w:val="IndexLink"/>
                <w:rtl w:val="true"/>
              </w:rPr>
              <w:tab/>
            </w:r>
            <w:r>
              <w:rPr>
                <w:rStyle w:val="IndexLink"/>
              </w:rPr>
              <w:t>120</w:t>
            </w:r>
          </w:hyperlink>
        </w:p>
        <w:p>
          <w:pPr>
            <w:pStyle w:val="Contents3"/>
            <w:tabs>
              <w:tab w:val="clear" w:pos="8459"/>
              <w:tab w:val="right" w:pos="9026" w:leader="dot"/>
            </w:tabs>
            <w:rPr/>
          </w:pPr>
          <w:hyperlink w:anchor="__RefHeading___Toc3433791_1051229030">
            <w:r>
              <w:rPr>
                <w:webHidden/>
                <w:rStyle w:val="IndexLink"/>
                <w:rtl w:val="true"/>
              </w:rPr>
              <w:t>مقدّمة ششم</w:t>
            </w:r>
            <w:r>
              <w:rPr>
                <w:rStyle w:val="IndexLink"/>
                <w:rtl w:val="true"/>
              </w:rPr>
              <w:t xml:space="preserve">: </w:t>
            </w:r>
            <w:r>
              <w:rPr>
                <w:rStyle w:val="IndexLink"/>
                <w:rtl w:val="true"/>
              </w:rPr>
              <w:t>عنایت ویژه به مؤمنین، محاسبة دقیق از کفّار</w:t>
            </w:r>
            <w:r>
              <w:rPr>
                <w:rStyle w:val="IndexLink"/>
                <w:rtl w:val="true"/>
              </w:rPr>
              <w:tab/>
            </w:r>
            <w:r>
              <w:rPr>
                <w:rStyle w:val="IndexLink"/>
              </w:rPr>
              <w:t>122</w:t>
            </w:r>
          </w:hyperlink>
        </w:p>
        <w:p>
          <w:pPr>
            <w:pStyle w:val="Contents3"/>
            <w:tabs>
              <w:tab w:val="clear" w:pos="8459"/>
              <w:tab w:val="right" w:pos="9026" w:leader="dot"/>
            </w:tabs>
            <w:rPr/>
          </w:pPr>
          <w:hyperlink w:anchor="__RefHeading___Toc3433793_1051229030">
            <w:r>
              <w:rPr>
                <w:webHidden/>
                <w:rStyle w:val="IndexLink"/>
                <w:rtl w:val="true"/>
              </w:rPr>
              <w:t>مقدّمة هفتم</w:t>
            </w:r>
            <w:r>
              <w:rPr>
                <w:rStyle w:val="IndexLink"/>
                <w:rtl w:val="true"/>
              </w:rPr>
              <w:t xml:space="preserve">: </w:t>
            </w:r>
            <w:r>
              <w:rPr>
                <w:rStyle w:val="IndexLink"/>
                <w:rtl w:val="true"/>
              </w:rPr>
              <w:t>وضعیّت مستضعفین قاصر</w:t>
            </w:r>
            <w:r>
              <w:rPr>
                <w:rStyle w:val="IndexLink"/>
                <w:rtl w:val="true"/>
              </w:rPr>
              <w:tab/>
            </w:r>
            <w:r>
              <w:rPr>
                <w:rStyle w:val="IndexLink"/>
              </w:rPr>
              <w:t>129</w:t>
            </w:r>
          </w:hyperlink>
        </w:p>
        <w:p>
          <w:pPr>
            <w:pStyle w:val="Contents3"/>
            <w:tabs>
              <w:tab w:val="clear" w:pos="8459"/>
              <w:tab w:val="right" w:pos="9026" w:leader="dot"/>
            </w:tabs>
            <w:rPr/>
          </w:pPr>
          <w:hyperlink w:anchor="__RefHeading___Toc3433795_1051229030">
            <w:r>
              <w:rPr>
                <w:webHidden/>
                <w:rStyle w:val="IndexLink"/>
                <w:rtl w:val="true"/>
              </w:rPr>
              <w:t>مقدّمة هشتم</w:t>
            </w:r>
            <w:r>
              <w:rPr>
                <w:rStyle w:val="IndexLink"/>
                <w:rtl w:val="true"/>
              </w:rPr>
              <w:t xml:space="preserve">: </w:t>
            </w:r>
            <w:r>
              <w:rPr>
                <w:rStyle w:val="IndexLink"/>
                <w:rtl w:val="true"/>
              </w:rPr>
              <w:t>نحوة برخورد خداوند با اهل ولایت و غیر آنان</w:t>
            </w:r>
            <w:r>
              <w:rPr>
                <w:rStyle w:val="IndexLink"/>
                <w:rtl w:val="true"/>
              </w:rPr>
              <w:tab/>
            </w:r>
            <w:r>
              <w:rPr>
                <w:rStyle w:val="IndexLink"/>
              </w:rPr>
              <w:t>131</w:t>
            </w:r>
          </w:hyperlink>
        </w:p>
        <w:p>
          <w:pPr>
            <w:pStyle w:val="Contents3"/>
            <w:tabs>
              <w:tab w:val="clear" w:pos="8459"/>
              <w:tab w:val="right" w:pos="9026" w:leader="dot"/>
            </w:tabs>
            <w:rPr/>
          </w:pPr>
          <w:hyperlink w:anchor="__RefHeading___Toc3433797_1051229030">
            <w:r>
              <w:rPr>
                <w:webHidden/>
                <w:rStyle w:val="IndexLink"/>
                <w:rtl w:val="true"/>
              </w:rPr>
              <w:t>مقدّمة نهم</w:t>
            </w:r>
            <w:r>
              <w:rPr>
                <w:rStyle w:val="IndexLink"/>
                <w:rtl w:val="true"/>
              </w:rPr>
              <w:t xml:space="preserve">: </w:t>
            </w:r>
            <w:r>
              <w:rPr>
                <w:rStyle w:val="IndexLink"/>
                <w:rtl w:val="true"/>
              </w:rPr>
              <w:t>ایمان؛ شرط قبولی اعمال</w:t>
            </w:r>
            <w:r>
              <w:rPr>
                <w:rStyle w:val="IndexLink"/>
                <w:rtl w:val="true"/>
              </w:rPr>
              <w:tab/>
            </w:r>
            <w:r>
              <w:rPr>
                <w:rStyle w:val="IndexLink"/>
              </w:rPr>
              <w:t>133</w:t>
            </w:r>
          </w:hyperlink>
        </w:p>
        <w:p>
          <w:pPr>
            <w:pStyle w:val="Contents3"/>
            <w:tabs>
              <w:tab w:val="clear" w:pos="8459"/>
              <w:tab w:val="right" w:pos="9026" w:leader="dot"/>
            </w:tabs>
            <w:rPr/>
          </w:pPr>
          <w:hyperlink w:anchor="__RefHeading___Toc3433799_1051229030">
            <w:r>
              <w:rPr>
                <w:webHidden/>
                <w:rStyle w:val="IndexLink"/>
                <w:rtl w:val="true"/>
              </w:rPr>
              <w:t>استنتاج از مقدّمات گذشته</w:t>
            </w:r>
            <w:r>
              <w:rPr>
                <w:rStyle w:val="IndexLink"/>
                <w:rtl w:val="true"/>
              </w:rPr>
              <w:tab/>
            </w:r>
            <w:r>
              <w:rPr>
                <w:rStyle w:val="IndexLink"/>
              </w:rPr>
              <w:t>135</w:t>
            </w:r>
          </w:hyperlink>
        </w:p>
        <w:p>
          <w:pPr>
            <w:pStyle w:val="Contents3"/>
            <w:tabs>
              <w:tab w:val="clear" w:pos="8459"/>
              <w:tab w:val="right" w:pos="9026" w:leader="dot"/>
            </w:tabs>
            <w:rPr/>
          </w:pPr>
          <w:hyperlink w:anchor="__RefHeading___Toc3433801_1051229030">
            <w:r>
              <w:rPr>
                <w:webHidden/>
                <w:rStyle w:val="IndexLink"/>
                <w:rtl w:val="true"/>
              </w:rPr>
              <w:t>خاتمة بحث</w:t>
            </w:r>
            <w:r>
              <w:rPr>
                <w:rStyle w:val="IndexLink"/>
                <w:rtl w:val="true"/>
              </w:rPr>
              <w:tab/>
            </w:r>
            <w:r>
              <w:rPr>
                <w:rStyle w:val="IndexLink"/>
              </w:rPr>
              <w:t>151</w:t>
            </w:r>
          </w:hyperlink>
        </w:p>
        <w:p>
          <w:pPr>
            <w:pStyle w:val="Contents2"/>
            <w:tabs>
              <w:tab w:val="clear" w:pos="8743"/>
              <w:tab w:val="right" w:pos="9026" w:leader="dot"/>
            </w:tabs>
            <w:rPr/>
          </w:pPr>
          <w:hyperlink w:anchor="__RefHeading___Toc3433803_1051229030">
            <w:r>
              <w:rPr>
                <w:webHidden/>
                <w:rStyle w:val="IndexLink"/>
                <w:rtl w:val="true"/>
              </w:rPr>
              <w:t>رسالة سوّم</w:t>
            </w:r>
            <w:r>
              <w:rPr>
                <w:rStyle w:val="IndexLink"/>
                <w:rtl w:val="true"/>
              </w:rPr>
              <w:t>:</w:t>
            </w:r>
            <w:r>
              <w:rPr>
                <w:rStyle w:val="IndexLink"/>
                <w:rtl w:val="true"/>
              </w:rPr>
              <w:t>اختصاص آمرزش گناهان مادون شرک،به پيروان اميرالمؤمنين</w:t>
            </w:r>
            <w:r>
              <w:rPr>
                <w:rStyle w:val="IndexLink"/>
                <w:rtl w:val="true"/>
              </w:rPr>
              <w:t>(</w:t>
            </w:r>
            <w:r>
              <w:rPr>
                <w:rStyle w:val="IndexLink"/>
                <w:rtl w:val="true"/>
              </w:rPr>
              <w:t>عَلَيْهَ السَّلاَمُ</w:t>
            </w:r>
            <w:r>
              <w:rPr>
                <w:rStyle w:val="IndexLink"/>
                <w:rtl w:val="true"/>
              </w:rPr>
              <w:t>)</w:t>
              <w:tab/>
            </w:r>
            <w:r>
              <w:rPr>
                <w:rStyle w:val="IndexLink"/>
              </w:rPr>
              <w:t>157</w:t>
            </w:r>
          </w:hyperlink>
        </w:p>
        <w:p>
          <w:pPr>
            <w:pStyle w:val="Contents3"/>
            <w:tabs>
              <w:tab w:val="clear" w:pos="8459"/>
              <w:tab w:val="right" w:pos="9026" w:leader="dot"/>
            </w:tabs>
            <w:rPr/>
          </w:pPr>
          <w:hyperlink w:anchor="__RefHeading___Toc3433805_1051229030">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3433807_1051229030">
            <w:r>
              <w:rPr>
                <w:webHidden/>
                <w:rStyle w:val="IndexLink"/>
                <w:rtl w:val="true"/>
              </w:rPr>
              <w:t>اجمال بحث</w:t>
            </w:r>
            <w:r>
              <w:rPr>
                <w:rStyle w:val="IndexLink"/>
                <w:rtl w:val="true"/>
              </w:rPr>
              <w:tab/>
            </w:r>
            <w:r>
              <w:rPr>
                <w:rStyle w:val="IndexLink"/>
              </w:rPr>
              <w:t>159</w:t>
            </w:r>
          </w:hyperlink>
        </w:p>
        <w:p>
          <w:pPr>
            <w:pStyle w:val="Contents3"/>
            <w:tabs>
              <w:tab w:val="clear" w:pos="8459"/>
              <w:tab w:val="right" w:pos="9026" w:leader="dot"/>
            </w:tabs>
            <w:rPr/>
          </w:pPr>
          <w:hyperlink w:anchor="__RefHeading___Toc3433809_1051229030">
            <w:r>
              <w:rPr>
                <w:webHidden/>
                <w:rStyle w:val="IndexLink"/>
                <w:rtl w:val="true"/>
              </w:rPr>
              <w:t>توبه‌پذیری خدا هر چند از مرتدّ فطری</w:t>
            </w:r>
            <w:r>
              <w:rPr>
                <w:rStyle w:val="IndexLink"/>
                <w:rtl w:val="true"/>
              </w:rPr>
              <w:tab/>
            </w:r>
            <w:r>
              <w:rPr>
                <w:rStyle w:val="IndexLink"/>
              </w:rPr>
              <w:t>159</w:t>
            </w:r>
          </w:hyperlink>
        </w:p>
        <w:p>
          <w:pPr>
            <w:pStyle w:val="Contents3"/>
            <w:tabs>
              <w:tab w:val="clear" w:pos="8459"/>
              <w:tab w:val="right" w:pos="9026" w:leader="dot"/>
            </w:tabs>
            <w:rPr/>
          </w:pPr>
          <w:hyperlink w:anchor="__RefHeading___Toc3433811_1051229030">
            <w:r>
              <w:rPr>
                <w:webHidden/>
                <w:rStyle w:val="IndexLink"/>
                <w:rtl w:val="true"/>
              </w:rPr>
              <w:t>مشرک کیست و اهل ما دون شرک کیانند؟</w:t>
            </w:r>
            <w:r>
              <w:rPr>
                <w:rStyle w:val="IndexLink"/>
                <w:rtl w:val="true"/>
              </w:rPr>
              <w:tab/>
            </w:r>
            <w:r>
              <w:rPr>
                <w:rStyle w:val="IndexLink"/>
              </w:rPr>
              <w:t>165</w:t>
            </w:r>
          </w:hyperlink>
        </w:p>
        <w:p>
          <w:pPr>
            <w:pStyle w:val="Contents3"/>
            <w:tabs>
              <w:tab w:val="clear" w:pos="8459"/>
              <w:tab w:val="right" w:pos="9026" w:leader="dot"/>
            </w:tabs>
            <w:rPr/>
          </w:pPr>
          <w:hyperlink w:anchor="__RefHeading___Toc3433813_1051229030">
            <w:r>
              <w:rPr>
                <w:webHidden/>
                <w:rStyle w:val="IndexLink"/>
                <w:rtl w:val="true"/>
              </w:rPr>
              <w:t>بررسی وحدانیّت اهل سنّت</w:t>
            </w:r>
            <w:r>
              <w:rPr>
                <w:rStyle w:val="IndexLink"/>
                <w:rtl w:val="true"/>
              </w:rPr>
              <w:tab/>
            </w:r>
            <w:r>
              <w:rPr>
                <w:rStyle w:val="IndexLink"/>
              </w:rPr>
              <w:t>166</w:t>
            </w:r>
          </w:hyperlink>
        </w:p>
        <w:p>
          <w:pPr>
            <w:pStyle w:val="Contents3"/>
            <w:tabs>
              <w:tab w:val="clear" w:pos="8459"/>
              <w:tab w:val="right" w:pos="9026" w:leader="dot"/>
            </w:tabs>
            <w:rPr/>
          </w:pPr>
          <w:hyperlink w:anchor="__RefHeading___Toc3433815_1051229030">
            <w:r>
              <w:rPr>
                <w:webHidden/>
                <w:rStyle w:val="IndexLink"/>
                <w:rtl w:val="true"/>
              </w:rPr>
              <w:t>بررسی شرک سایر ملل</w:t>
            </w:r>
            <w:r>
              <w:rPr>
                <w:rStyle w:val="IndexLink"/>
                <w:rtl w:val="true"/>
              </w:rPr>
              <w:tab/>
            </w:r>
            <w:r>
              <w:rPr>
                <w:rStyle w:val="IndexLink"/>
              </w:rPr>
              <w:t>168</w:t>
            </w:r>
          </w:hyperlink>
        </w:p>
        <w:p>
          <w:pPr>
            <w:pStyle w:val="Contents3"/>
            <w:tabs>
              <w:tab w:val="clear" w:pos="8459"/>
              <w:tab w:val="right" w:pos="9026" w:leader="dot"/>
            </w:tabs>
            <w:rPr/>
          </w:pPr>
          <w:hyperlink w:anchor="__RefHeading___Toc3433817_1051229030">
            <w:r>
              <w:rPr>
                <w:webHidden/>
                <w:rStyle w:val="IndexLink"/>
                <w:rtl w:val="true"/>
              </w:rPr>
              <w:t>اثبات توحید شیعه</w:t>
            </w:r>
            <w:r>
              <w:rPr>
                <w:rStyle w:val="IndexLink"/>
                <w:rtl w:val="true"/>
              </w:rPr>
              <w:tab/>
            </w:r>
            <w:r>
              <w:rPr>
                <w:rStyle w:val="IndexLink"/>
              </w:rPr>
              <w:t>170</w:t>
            </w:r>
          </w:hyperlink>
        </w:p>
        <w:p>
          <w:pPr>
            <w:pStyle w:val="Contents3"/>
            <w:tabs>
              <w:tab w:val="clear" w:pos="8459"/>
              <w:tab w:val="right" w:pos="9026" w:leader="dot"/>
            </w:tabs>
            <w:rPr/>
          </w:pPr>
          <w:hyperlink w:anchor="__RefHeading___Toc3433819_1051229030">
            <w:r>
              <w:rPr>
                <w:webHidden/>
                <w:rStyle w:val="IndexLink"/>
                <w:rtl w:val="true"/>
              </w:rPr>
              <w:t>طرح یک شبهه و دفع آن</w:t>
            </w:r>
            <w:r>
              <w:rPr>
                <w:rStyle w:val="IndexLink"/>
                <w:rtl w:val="true"/>
              </w:rPr>
              <w:tab/>
            </w:r>
            <w:r>
              <w:rPr>
                <w:rStyle w:val="IndexLink"/>
              </w:rPr>
              <w:t>173</w:t>
            </w:r>
          </w:hyperlink>
        </w:p>
        <w:p>
          <w:pPr>
            <w:pStyle w:val="Contents3"/>
            <w:tabs>
              <w:tab w:val="clear" w:pos="8459"/>
              <w:tab w:val="right" w:pos="9026" w:leader="dot"/>
            </w:tabs>
            <w:rPr/>
          </w:pPr>
          <w:hyperlink w:anchor="__RefHeading___Toc3433821_1051229030">
            <w:r>
              <w:rPr>
                <w:webHidden/>
                <w:rStyle w:val="IndexLink"/>
                <w:rtl w:val="true"/>
              </w:rPr>
              <w:t>طرح شبهة دیگر</w:t>
            </w:r>
            <w:r>
              <w:rPr>
                <w:rStyle w:val="IndexLink"/>
                <w:rtl w:val="true"/>
              </w:rPr>
              <w:tab/>
            </w:r>
            <w:r>
              <w:rPr>
                <w:rStyle w:val="IndexLink"/>
              </w:rPr>
              <w:t>174</w:t>
            </w:r>
          </w:hyperlink>
        </w:p>
        <w:p>
          <w:pPr>
            <w:pStyle w:val="Contents3"/>
            <w:tabs>
              <w:tab w:val="clear" w:pos="8459"/>
              <w:tab w:val="right" w:pos="9026" w:leader="dot"/>
            </w:tabs>
            <w:rPr/>
          </w:pPr>
          <w:hyperlink w:anchor="__RefHeading___Toc3433823_1051229030">
            <w:r>
              <w:rPr>
                <w:webHidden/>
                <w:rStyle w:val="IndexLink"/>
                <w:rtl w:val="true"/>
              </w:rPr>
              <w:t>دفع شبهه</w:t>
            </w:r>
            <w:r>
              <w:rPr>
                <w:rStyle w:val="IndexLink"/>
                <w:rtl w:val="true"/>
              </w:rPr>
              <w:tab/>
            </w:r>
            <w:r>
              <w:rPr>
                <w:rStyle w:val="IndexLink"/>
              </w:rPr>
              <w:t>174</w:t>
            </w:r>
          </w:hyperlink>
        </w:p>
        <w:p>
          <w:pPr>
            <w:pStyle w:val="Contents2"/>
            <w:tabs>
              <w:tab w:val="clear" w:pos="8743"/>
              <w:tab w:val="right" w:pos="9026" w:leader="dot"/>
            </w:tabs>
            <w:rPr/>
          </w:pPr>
          <w:hyperlink w:anchor="__RefHeading___Toc3433825_1051229030">
            <w:r>
              <w:rPr>
                <w:webHidden/>
                <w:rStyle w:val="IndexLink"/>
                <w:rtl w:val="true"/>
              </w:rPr>
              <w:t>رسالة چهارم</w:t>
            </w:r>
            <w:r>
              <w:rPr>
                <w:rStyle w:val="IndexLink"/>
                <w:rtl w:val="true"/>
              </w:rPr>
              <w:t>:</w:t>
            </w:r>
            <w:r>
              <w:rPr>
                <w:rStyle w:val="IndexLink"/>
                <w:rtl w:val="true"/>
              </w:rPr>
              <w:t>ماهيّت و حقيقت عبادت و پرستش</w:t>
            </w:r>
            <w:r>
              <w:rPr>
                <w:rStyle w:val="IndexLink"/>
                <w:rtl w:val="true"/>
              </w:rPr>
              <w:tab/>
            </w:r>
            <w:r>
              <w:rPr>
                <w:rStyle w:val="IndexLink"/>
              </w:rPr>
              <w:t>183</w:t>
            </w:r>
          </w:hyperlink>
        </w:p>
        <w:p>
          <w:pPr>
            <w:pStyle w:val="Contents3"/>
            <w:tabs>
              <w:tab w:val="clear" w:pos="8459"/>
              <w:tab w:val="right" w:pos="9026" w:leader="dot"/>
            </w:tabs>
            <w:rPr/>
          </w:pPr>
          <w:hyperlink w:anchor="__RefHeading___Toc3433827_1051229030">
            <w:r>
              <w:rPr>
                <w:webHidden/>
                <w:rStyle w:val="IndexLink"/>
                <w:rtl w:val="true"/>
              </w:rPr>
              <w:t>اشاره</w:t>
            </w:r>
            <w:r>
              <w:rPr>
                <w:rStyle w:val="IndexLink"/>
                <w:rtl w:val="true"/>
              </w:rPr>
              <w:tab/>
            </w:r>
            <w:r>
              <w:rPr>
                <w:rStyle w:val="IndexLink"/>
              </w:rPr>
              <w:t>183</w:t>
            </w:r>
          </w:hyperlink>
        </w:p>
        <w:p>
          <w:pPr>
            <w:pStyle w:val="Contents3"/>
            <w:tabs>
              <w:tab w:val="clear" w:pos="8459"/>
              <w:tab w:val="right" w:pos="9026" w:leader="dot"/>
            </w:tabs>
            <w:rPr/>
          </w:pPr>
          <w:hyperlink w:anchor="__RefHeading___Toc3433829_1051229030">
            <w:r>
              <w:rPr>
                <w:webHidden/>
                <w:rStyle w:val="IndexLink"/>
                <w:rtl w:val="true"/>
              </w:rPr>
              <w:t>مقدّمه</w:t>
            </w:r>
            <w:r>
              <w:rPr>
                <w:rStyle w:val="IndexLink"/>
                <w:rtl w:val="true"/>
              </w:rPr>
              <w:tab/>
            </w:r>
            <w:r>
              <w:rPr>
                <w:rStyle w:val="IndexLink"/>
              </w:rPr>
              <w:t>185</w:t>
            </w:r>
          </w:hyperlink>
        </w:p>
        <w:p>
          <w:pPr>
            <w:pStyle w:val="Contents3"/>
            <w:tabs>
              <w:tab w:val="clear" w:pos="8459"/>
              <w:tab w:val="right" w:pos="9026" w:leader="dot"/>
            </w:tabs>
            <w:rPr/>
          </w:pPr>
          <w:hyperlink w:anchor="__RefHeading___Toc3433831_1051229030">
            <w:r>
              <w:rPr>
                <w:webHidden/>
                <w:rStyle w:val="IndexLink"/>
                <w:rtl w:val="true"/>
              </w:rPr>
              <w:t>ماهیّت عبادت چیست؟</w:t>
            </w:r>
            <w:r>
              <w:rPr>
                <w:rStyle w:val="IndexLink"/>
                <w:rtl w:val="true"/>
              </w:rPr>
              <w:tab/>
            </w:r>
            <w:r>
              <w:rPr>
                <w:rStyle w:val="IndexLink"/>
              </w:rPr>
              <w:t>186</w:t>
            </w:r>
          </w:hyperlink>
        </w:p>
        <w:p>
          <w:pPr>
            <w:pStyle w:val="Contents3"/>
            <w:tabs>
              <w:tab w:val="clear" w:pos="8459"/>
              <w:tab w:val="right" w:pos="9026" w:leader="dot"/>
            </w:tabs>
            <w:rPr/>
          </w:pPr>
          <w:hyperlink w:anchor="__RefHeading___Toc3433833_1051229030">
            <w:r>
              <w:rPr>
                <w:webHidden/>
                <w:rStyle w:val="IndexLink"/>
                <w:rtl w:val="true"/>
              </w:rPr>
              <w:t>انواع عبادت</w:t>
            </w:r>
            <w:r>
              <w:rPr>
                <w:rStyle w:val="IndexLink"/>
                <w:rtl w:val="true"/>
              </w:rPr>
              <w:tab/>
            </w:r>
            <w:r>
              <w:rPr>
                <w:rStyle w:val="IndexLink"/>
              </w:rPr>
              <w:t>187</w:t>
            </w:r>
          </w:hyperlink>
        </w:p>
        <w:p>
          <w:pPr>
            <w:pStyle w:val="Contents3"/>
            <w:tabs>
              <w:tab w:val="clear" w:pos="8459"/>
              <w:tab w:val="right" w:pos="9026" w:leader="dot"/>
            </w:tabs>
            <w:rPr/>
          </w:pPr>
          <w:hyperlink w:anchor="__RefHeading___Toc3433835_1051229030">
            <w:r>
              <w:rPr>
                <w:webHidden/>
                <w:rStyle w:val="IndexLink"/>
                <w:rtl w:val="true"/>
              </w:rPr>
              <w:t>مقایسة بین دو نوع عبادت</w:t>
            </w:r>
            <w:r>
              <w:rPr>
                <w:rStyle w:val="IndexLink"/>
                <w:rtl w:val="true"/>
              </w:rPr>
              <w:tab/>
            </w:r>
            <w:r>
              <w:rPr>
                <w:rStyle w:val="IndexLink"/>
              </w:rPr>
              <w:t>189</w:t>
            </w:r>
          </w:hyperlink>
        </w:p>
        <w:p>
          <w:pPr>
            <w:pStyle w:val="Contents3"/>
            <w:tabs>
              <w:tab w:val="clear" w:pos="8459"/>
              <w:tab w:val="right" w:pos="9026" w:leader="dot"/>
            </w:tabs>
            <w:rPr/>
          </w:pPr>
          <w:hyperlink w:anchor="__RefHeading___Toc3433837_1051229030">
            <w:r>
              <w:rPr>
                <w:webHidden/>
                <w:rStyle w:val="IndexLink"/>
                <w:rtl w:val="true"/>
              </w:rPr>
              <w:t>جواز انجام نوع دوّم عبادت برای غیر خدا و دلیل آن</w:t>
            </w:r>
            <w:r>
              <w:rPr>
                <w:rStyle w:val="IndexLink"/>
                <w:rtl w:val="true"/>
              </w:rPr>
              <w:tab/>
            </w:r>
            <w:r>
              <w:rPr>
                <w:rStyle w:val="IndexLink"/>
              </w:rPr>
              <w:t>190</w:t>
            </w:r>
          </w:hyperlink>
        </w:p>
        <w:p>
          <w:pPr>
            <w:pStyle w:val="Contents3"/>
            <w:tabs>
              <w:tab w:val="clear" w:pos="8459"/>
              <w:tab w:val="right" w:pos="9026" w:leader="dot"/>
            </w:tabs>
            <w:rPr/>
          </w:pPr>
          <w:hyperlink w:anchor="__RefHeading___Toc3433839_1051229030">
            <w:r>
              <w:rPr>
                <w:webHidden/>
                <w:rStyle w:val="IndexLink"/>
                <w:rtl w:val="true"/>
              </w:rPr>
              <w:t>طرح یک شبهه</w:t>
            </w:r>
            <w:r>
              <w:rPr>
                <w:rStyle w:val="IndexLink"/>
                <w:rtl w:val="true"/>
              </w:rPr>
              <w:tab/>
            </w:r>
            <w:r>
              <w:rPr>
                <w:rStyle w:val="IndexLink"/>
              </w:rPr>
              <w:t>194</w:t>
            </w:r>
          </w:hyperlink>
        </w:p>
        <w:p>
          <w:pPr>
            <w:pStyle w:val="Contents3"/>
            <w:tabs>
              <w:tab w:val="clear" w:pos="8459"/>
              <w:tab w:val="right" w:pos="9026" w:leader="dot"/>
            </w:tabs>
            <w:rPr/>
          </w:pPr>
          <w:hyperlink w:anchor="__RefHeading___Toc3433841_1051229030">
            <w:r>
              <w:rPr>
                <w:webHidden/>
                <w:rStyle w:val="IndexLink"/>
                <w:rtl w:val="true"/>
              </w:rPr>
              <w:t>دفع شبهه</w:t>
            </w:r>
            <w:r>
              <w:rPr>
                <w:rStyle w:val="IndexLink"/>
                <w:rtl w:val="true"/>
              </w:rPr>
              <w:tab/>
            </w:r>
            <w:r>
              <w:rPr>
                <w:rStyle w:val="IndexLink"/>
              </w:rPr>
              <w:t>195</w:t>
            </w:r>
          </w:hyperlink>
        </w:p>
        <w:p>
          <w:pPr>
            <w:pStyle w:val="Contents2"/>
            <w:tabs>
              <w:tab w:val="clear" w:pos="8743"/>
              <w:tab w:val="right" w:pos="9026" w:leader="dot"/>
            </w:tabs>
            <w:rPr/>
          </w:pPr>
          <w:hyperlink w:anchor="__RefHeading___Toc3433843_1051229030">
            <w:r>
              <w:rPr>
                <w:webHidden/>
                <w:rStyle w:val="IndexLink"/>
                <w:rtl w:val="true"/>
              </w:rPr>
              <w:t>رسالة پنجم</w:t>
            </w:r>
            <w:r>
              <w:rPr>
                <w:rStyle w:val="IndexLink"/>
                <w:rtl w:val="true"/>
              </w:rPr>
              <w:t>:</w:t>
            </w:r>
            <w:r>
              <w:rPr>
                <w:rStyle w:val="IndexLink"/>
                <w:rtl w:val="true"/>
              </w:rPr>
              <w:t>تحقیق در معنای أمرٌ بَینَ الأمرَینِ</w:t>
            </w:r>
            <w:r>
              <w:rPr>
                <w:rStyle w:val="IndexLink"/>
                <w:rtl w:val="true"/>
              </w:rPr>
              <w:tab/>
            </w:r>
            <w:r>
              <w:rPr>
                <w:rStyle w:val="IndexLink"/>
              </w:rPr>
              <w:t>199</w:t>
            </w:r>
          </w:hyperlink>
        </w:p>
        <w:p>
          <w:pPr>
            <w:pStyle w:val="Contents3"/>
            <w:tabs>
              <w:tab w:val="clear" w:pos="8459"/>
              <w:tab w:val="right" w:pos="9026" w:leader="dot"/>
            </w:tabs>
            <w:rPr/>
          </w:pPr>
          <w:hyperlink w:anchor="__RefHeading___Toc3433845_1051229030">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3433847_1051229030">
            <w:r>
              <w:rPr>
                <w:webHidden/>
                <w:rStyle w:val="IndexLink"/>
                <w:rtl w:val="true"/>
              </w:rPr>
              <w:t>مقدّمه</w:t>
            </w:r>
            <w:r>
              <w:rPr>
                <w:rStyle w:val="IndexLink"/>
                <w:rtl w:val="true"/>
              </w:rPr>
              <w:tab/>
            </w:r>
            <w:r>
              <w:rPr>
                <w:rStyle w:val="IndexLink"/>
              </w:rPr>
              <w:t>201</w:t>
            </w:r>
          </w:hyperlink>
        </w:p>
        <w:p>
          <w:pPr>
            <w:pStyle w:val="Contents3"/>
            <w:tabs>
              <w:tab w:val="clear" w:pos="8459"/>
              <w:tab w:val="right" w:pos="9026" w:leader="dot"/>
            </w:tabs>
            <w:rPr/>
          </w:pPr>
          <w:hyperlink w:anchor="__RefHeading___Toc3433849_1051229030">
            <w:r>
              <w:rPr>
                <w:webHidden/>
                <w:rStyle w:val="IndexLink"/>
                <w:rtl w:val="true"/>
              </w:rPr>
              <w:t>اقسام فعل و فاعل</w:t>
            </w:r>
            <w:r>
              <w:rPr>
                <w:rStyle w:val="IndexLink"/>
                <w:rtl w:val="true"/>
              </w:rPr>
              <w:tab/>
            </w:r>
            <w:r>
              <w:rPr>
                <w:rStyle w:val="IndexLink"/>
              </w:rPr>
              <w:t>201</w:t>
            </w:r>
          </w:hyperlink>
        </w:p>
        <w:p>
          <w:pPr>
            <w:pStyle w:val="Contents3"/>
            <w:tabs>
              <w:tab w:val="clear" w:pos="8459"/>
              <w:tab w:val="right" w:pos="9026" w:leader="dot"/>
            </w:tabs>
            <w:rPr/>
          </w:pPr>
          <w:hyperlink w:anchor="__RefHeading___Toc3433851_1051229030">
            <w:r>
              <w:rPr>
                <w:webHidden/>
                <w:rStyle w:val="IndexLink"/>
                <w:rtl w:val="true"/>
              </w:rPr>
              <w:t>فاعل در دو عالم تکوین و تشریع و پیدایش مکتب جبر و تفویض</w:t>
            </w:r>
            <w:r>
              <w:rPr>
                <w:rStyle w:val="IndexLink"/>
                <w:rtl w:val="true"/>
              </w:rPr>
              <w:tab/>
            </w:r>
            <w:r>
              <w:rPr>
                <w:rStyle w:val="IndexLink"/>
              </w:rPr>
              <w:t>203</w:t>
            </w:r>
          </w:hyperlink>
        </w:p>
        <w:p>
          <w:pPr>
            <w:pStyle w:val="Contents3"/>
            <w:tabs>
              <w:tab w:val="clear" w:pos="8459"/>
              <w:tab w:val="right" w:pos="9026" w:leader="dot"/>
            </w:tabs>
            <w:rPr/>
          </w:pPr>
          <w:hyperlink w:anchor="__RefHeading___Toc3433853_1051229030">
            <w:r>
              <w:rPr>
                <w:webHidden/>
                <w:rStyle w:val="IndexLink"/>
                <w:rtl w:val="true"/>
              </w:rPr>
              <w:t>علل گرایش به جبر و تفویض</w:t>
            </w:r>
            <w:r>
              <w:rPr>
                <w:rStyle w:val="IndexLink"/>
                <w:rtl w:val="true"/>
              </w:rPr>
              <w:tab/>
            </w:r>
            <w:r>
              <w:rPr>
                <w:rStyle w:val="IndexLink"/>
              </w:rPr>
              <w:t>208</w:t>
            </w:r>
          </w:hyperlink>
        </w:p>
        <w:p>
          <w:pPr>
            <w:pStyle w:val="Contents3"/>
            <w:tabs>
              <w:tab w:val="clear" w:pos="8459"/>
              <w:tab w:val="right" w:pos="9026" w:leader="dot"/>
            </w:tabs>
            <w:rPr/>
          </w:pPr>
          <w:hyperlink w:anchor="__RefHeading___Toc3433855_1051229030">
            <w:r>
              <w:rPr>
                <w:webHidden/>
                <w:rStyle w:val="IndexLink"/>
                <w:rtl w:val="true"/>
              </w:rPr>
              <w:t>تشریح مکتب امامیّه</w:t>
            </w:r>
            <w:r>
              <w:rPr>
                <w:rStyle w:val="IndexLink"/>
                <w:rtl w:val="true"/>
              </w:rPr>
              <w:tab/>
            </w:r>
            <w:r>
              <w:rPr>
                <w:rStyle w:val="IndexLink"/>
              </w:rPr>
              <w:t>209</w:t>
            </w:r>
          </w:hyperlink>
        </w:p>
        <w:p>
          <w:pPr>
            <w:pStyle w:val="Contents3"/>
            <w:tabs>
              <w:tab w:val="clear" w:pos="8459"/>
              <w:tab w:val="right" w:pos="9026" w:leader="dot"/>
            </w:tabs>
            <w:rPr/>
          </w:pPr>
          <w:hyperlink w:anchor="__RefHeading___Toc3433857_1051229030">
            <w:r>
              <w:rPr>
                <w:webHidden/>
                <w:rStyle w:val="IndexLink"/>
                <w:rtl w:val="true"/>
              </w:rPr>
              <w:t>شبهة اوّل</w:t>
            </w:r>
            <w:r>
              <w:rPr>
                <w:rStyle w:val="IndexLink"/>
                <w:rtl w:val="true"/>
              </w:rPr>
              <w:t xml:space="preserve">: </w:t>
            </w:r>
            <w:r>
              <w:rPr>
                <w:rStyle w:val="IndexLink"/>
                <w:rtl w:val="true"/>
              </w:rPr>
              <w:t>توارد علّتین بر معلول واحد</w:t>
            </w:r>
            <w:r>
              <w:rPr>
                <w:rStyle w:val="IndexLink"/>
                <w:rtl w:val="true"/>
              </w:rPr>
              <w:tab/>
            </w:r>
            <w:r>
              <w:rPr>
                <w:rStyle w:val="IndexLink"/>
              </w:rPr>
              <w:t>209</w:t>
            </w:r>
          </w:hyperlink>
        </w:p>
        <w:p>
          <w:pPr>
            <w:pStyle w:val="Contents3"/>
            <w:tabs>
              <w:tab w:val="clear" w:pos="8459"/>
              <w:tab w:val="right" w:pos="9026" w:leader="dot"/>
            </w:tabs>
            <w:rPr/>
          </w:pPr>
          <w:hyperlink w:anchor="__RefHeading___Toc3433859_1051229030">
            <w:r>
              <w:rPr>
                <w:webHidden/>
                <w:rStyle w:val="IndexLink"/>
                <w:rtl w:val="true"/>
              </w:rPr>
              <w:t>شبهة دوّم</w:t>
            </w:r>
            <w:r>
              <w:rPr>
                <w:rStyle w:val="IndexLink"/>
                <w:rtl w:val="true"/>
              </w:rPr>
              <w:t xml:space="preserve">: </w:t>
            </w:r>
            <w:r>
              <w:rPr>
                <w:rStyle w:val="IndexLink"/>
                <w:rtl w:val="true"/>
              </w:rPr>
              <w:t>وحدت اشاعره و امامیّه</w:t>
            </w:r>
            <w:r>
              <w:rPr>
                <w:rStyle w:val="IndexLink"/>
                <w:rtl w:val="true"/>
              </w:rPr>
              <w:tab/>
            </w:r>
            <w:r>
              <w:rPr>
                <w:rStyle w:val="IndexLink"/>
              </w:rPr>
              <w:t>210</w:t>
            </w:r>
          </w:hyperlink>
        </w:p>
        <w:p>
          <w:pPr>
            <w:pStyle w:val="Contents3"/>
            <w:tabs>
              <w:tab w:val="clear" w:pos="8459"/>
              <w:tab w:val="right" w:pos="9026" w:leader="dot"/>
            </w:tabs>
            <w:rPr/>
          </w:pPr>
          <w:hyperlink w:anchor="__RefHeading___Toc3433861_1051229030">
            <w:r>
              <w:rPr>
                <w:webHidden/>
                <w:rStyle w:val="IndexLink"/>
                <w:rtl w:val="true"/>
              </w:rPr>
              <w:t>شبهة سوّم</w:t>
            </w:r>
            <w:r>
              <w:rPr>
                <w:rStyle w:val="IndexLink"/>
                <w:rtl w:val="true"/>
              </w:rPr>
              <w:t xml:space="preserve">: </w:t>
            </w:r>
            <w:r>
              <w:rPr>
                <w:rStyle w:val="IndexLink"/>
                <w:rtl w:val="true"/>
              </w:rPr>
              <w:t>خروج امامیّه از اعتقاد به عدالت خدا</w:t>
            </w:r>
            <w:r>
              <w:rPr>
                <w:rStyle w:val="IndexLink"/>
                <w:rtl w:val="true"/>
              </w:rPr>
              <w:tab/>
            </w:r>
            <w:r>
              <w:rPr>
                <w:rStyle w:val="IndexLink"/>
              </w:rPr>
              <w:t>212</w:t>
            </w:r>
          </w:hyperlink>
        </w:p>
        <w:p>
          <w:pPr>
            <w:pStyle w:val="Contents2"/>
            <w:tabs>
              <w:tab w:val="clear" w:pos="8743"/>
              <w:tab w:val="right" w:pos="9026" w:leader="dot"/>
            </w:tabs>
            <w:rPr/>
          </w:pPr>
          <w:hyperlink w:anchor="__RefHeading___Toc3433863_1051229030">
            <w:r>
              <w:rPr>
                <w:webHidden/>
                <w:rStyle w:val="IndexLink"/>
                <w:rtl w:val="true"/>
              </w:rPr>
              <w:t>فهرست منابع</w:t>
            </w:r>
            <w:r>
              <w:rPr>
                <w:rStyle w:val="IndexLink"/>
                <w:rtl w:val="true"/>
              </w:rPr>
              <w:tab/>
            </w:r>
            <w:r>
              <w:rPr>
                <w:rStyle w:val="IndexLink"/>
              </w:rPr>
              <w:t>217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706_113868"/>
      <w:bookmarkStart w:id="1" w:name="pg10706_113868"/>
      <w:bookmarkEnd w:id="1"/>
    </w:p>
    <w:p>
      <w:pPr>
        <w:pStyle w:val="Heading2"/>
        <w:numPr>
          <w:ilvl w:val="1"/>
          <w:numId w:val="1"/>
        </w:numPr>
        <w:rPr/>
      </w:pPr>
      <w:bookmarkStart w:id="2" w:name="pg10706_113868"/>
      <w:bookmarkStart w:id="3" w:name="__RefHeading___Toc3433701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لنگرودی، محمد حسین، </w:t>
      </w:r>
      <w:r>
        <w:rPr>
          <w:rFonts w:eastAsia="IRNazanin" w:cs="IRNazanin"/>
          <w:color w:val="111111"/>
          <w:sz w:val="28"/>
          <w:szCs w:val="28"/>
          <w:lang w:bidi="fa-IR"/>
        </w:rPr>
        <w:t>1307</w:t>
      </w:r>
    </w:p>
    <w:p>
      <w:pPr>
        <w:pStyle w:val="BookText"/>
        <w:rPr/>
      </w:pPr>
      <w:r>
        <w:rPr>
          <w:rFonts w:ascii="IRNazanin" w:hAnsi="IRNazanin" w:eastAsia="IRNazanin"/>
          <w:color w:val="111111"/>
          <w:sz w:val="28"/>
          <w:sz w:val="28"/>
          <w:szCs w:val="28"/>
          <w:rtl w:val="true"/>
          <w:lang w:bidi="fa-IR"/>
        </w:rPr>
        <w:t>عنوان و نام پدید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 و تبرّي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حسین مرنضوی لنگرودی مدظله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رواق اندیشه ،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14/5</w:t>
      </w:r>
      <w:r>
        <w:rPr>
          <w:rFonts w:eastAsia="IRNazanin" w:cs="IRNazanin"/>
          <w:color w:val="111111"/>
          <w:sz w:val="28"/>
          <w:szCs w:val="28"/>
          <w:rtl w:val="true"/>
          <w:lang w:bidi="fa-IR"/>
        </w:rPr>
        <w:t>-</w:t>
      </w:r>
      <w:r>
        <w:rPr>
          <w:rFonts w:eastAsia="IRNazanin" w:cs="IRNazanin"/>
          <w:color w:val="111111"/>
          <w:sz w:val="28"/>
          <w:szCs w:val="28"/>
          <w:lang w:bidi="fa-IR"/>
        </w:rPr>
        <w:t>21/5</w:t>
      </w:r>
      <w:r>
        <w:rPr>
          <w:rFonts w:ascii="IRNazanin" w:hAnsi="IRNazanin" w:eastAsia="IRNazanin"/>
          <w:color w:val="111111"/>
          <w:sz w:val="28"/>
          <w:sz w:val="28"/>
          <w:szCs w:val="28"/>
          <w:rtl w:val="true"/>
          <w:lang w:bidi="fa-IR"/>
        </w:rPr>
        <w:t xml:space="preserve">س 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ISBN:978-600--95361-6-0</w:t>
      </w:r>
    </w:p>
    <w:p>
      <w:pPr>
        <w:pStyle w:val="BookText"/>
        <w:rPr/>
      </w:pPr>
      <w:r>
        <w:rPr>
          <w:rFonts w:ascii="IRNazanin" w:hAnsi="IRNazanin" w:eastAsia="IRNazanin"/>
          <w:color w:val="111111"/>
          <w:sz w:val="28"/>
          <w:sz w:val="28"/>
          <w:szCs w:val="28"/>
          <w:rtl w:val="true"/>
          <w:lang w:bidi="fa-IR"/>
        </w:rPr>
        <w:t>بهاء</w:t>
      </w:r>
      <w:r>
        <w:rPr>
          <w:rFonts w:eastAsia="IRNazanin" w:cs="IRNazanin"/>
          <w:color w:val="111111"/>
          <w:sz w:val="28"/>
          <w:szCs w:val="28"/>
          <w:rtl w:val="true"/>
          <w:lang w:bidi="fa-IR"/>
        </w:rPr>
        <w:t>:</w:t>
      </w:r>
      <w:r>
        <w:rPr>
          <w:rFonts w:eastAsia="IRNazanin" w:cs="IRNazanin"/>
          <w:color w:val="111111"/>
          <w:sz w:val="28"/>
          <w:szCs w:val="28"/>
          <w:lang w:bidi="fa-IR"/>
        </w:rPr>
        <w:t>75000</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213</w:t>
      </w:r>
      <w:r>
        <w:rPr>
          <w:rFonts w:eastAsia="IRNazanin" w:cs="IRNazanin"/>
          <w:color w:val="111111"/>
          <w:sz w:val="28"/>
          <w:szCs w:val="28"/>
          <w:rtl w:val="true"/>
          <w:lang w:bidi="fa-IR"/>
        </w:rPr>
        <w:t>-</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همچنین به صورت زیر 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 و تبریزی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 و اختیاررده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65/196</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 xml:space="preserve">رده بندی </w:t>
      </w:r>
      <w:r>
        <w:rPr>
          <w:rFonts w:eastAsia="IRNazanin" w:cs="IRNazanin"/>
          <w:color w:val="111111"/>
          <w:sz w:val="28"/>
          <w:szCs w:val="28"/>
          <w:rtl w:val="true"/>
          <w:lang w:bidi="fa-IR"/>
        </w:rPr>
        <w:t xml:space="preserve">: </w:t>
      </w:r>
      <w:r>
        <w:rPr>
          <w:rFonts w:eastAsia="IRNazanin" w:cs="IRNazanin"/>
          <w:color w:val="111111"/>
          <w:sz w:val="28"/>
          <w:szCs w:val="28"/>
          <w:lang w:bidi="fa-IR"/>
        </w:rPr>
        <w:t>3775/297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433703_1051229030"/>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تولّي و تبرّي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آيت الله العظمي سيّد محمّد حسين مرتضوي لنگرودي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العالي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الحَمدِ للّهِ المُتَعالِ وَ الصَّلوةِ عَلَی الرَّسولِ وَ الآلِ وَ اللَّعنِ عَلَی عَدُوِّهِم الضَّالِّ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0706_113872"/>
      <w:bookmarkStart w:id="8" w:name="pg10706_113872"/>
      <w:bookmarkEnd w:id="8"/>
    </w:p>
    <w:p>
      <w:pPr>
        <w:pStyle w:val="Heading2"/>
        <w:numPr>
          <w:ilvl w:val="1"/>
          <w:numId w:val="1"/>
        </w:numPr>
        <w:rPr/>
      </w:pPr>
      <w:bookmarkStart w:id="9" w:name="pg10706_113872"/>
      <w:bookmarkStart w:id="10" w:name="__RefHeading___Toc3433705_1051229030"/>
      <w:bookmarkStart w:id="11" w:name="_Toc3"/>
      <w:bookmarkEnd w:id="9"/>
      <w:bookmarkEnd w:id="10"/>
      <w:r>
        <w:rPr>
          <w:rtl w:val="true"/>
        </w:rPr>
        <w:t>فهرست مطالب</w:t>
      </w:r>
      <w:bookmarkEnd w:id="11"/>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مقدّمة مؤلّف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رسالة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بررسی ماهیّت تولّی و تبرّی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اجمال بحث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مقدّمة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اقسام تولّی و تبرّی </w:t>
      </w:r>
      <w:r>
        <w:rPr>
          <w:rFonts w:eastAsia="Amiri" w:cs="Amiri" w:ascii="Amiri" w:hAnsi="Amiri"/>
          <w:color w:val="111111"/>
          <w:sz w:val="28"/>
          <w:szCs w:val="28"/>
          <w:lang w:bidi="ar-SA"/>
        </w:rPr>
        <w:t>22</w:t>
      </w:r>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اصل‌های پنجگانه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مقدّمة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ترتیب اصل‌ها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مقدّمة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عدل‌های پنجگانه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مقدّمة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عدل‌ها </w:t>
      </w:r>
      <w:r>
        <w:rPr>
          <w:rFonts w:eastAsia="IRNazanin" w:cs="IRNazanin"/>
          <w:color w:val="111111"/>
          <w:sz w:val="28"/>
          <w:szCs w:val="28"/>
          <w:lang w:bidi="fa-IR"/>
        </w:rPr>
        <w:t>28</w:t>
      </w:r>
    </w:p>
    <w:p>
      <w:pPr>
        <w:pStyle w:val="BookText"/>
        <w:rPr/>
      </w:pPr>
      <w:r>
        <w:rPr>
          <w:rFonts w:ascii="Amiri" w:hAnsi="Amiri" w:eastAsia="Amiri" w:cs="Amiri"/>
          <w:color w:val="111111"/>
          <w:sz w:val="28"/>
          <w:sz w:val="28"/>
          <w:szCs w:val="28"/>
          <w:rtl w:val="true"/>
          <w:lang w:bidi="ar-SA"/>
        </w:rPr>
        <w:t>مقدّمة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اصل‌ها و عدل‌ها </w:t>
      </w:r>
      <w:r>
        <w:rPr>
          <w:rFonts w:eastAsia="Amiri" w:cs="Amiri" w:ascii="Amiri" w:hAnsi="Amiri"/>
          <w:color w:val="111111"/>
          <w:sz w:val="28"/>
          <w:szCs w:val="28"/>
          <w:lang w:bidi="ar-SA"/>
        </w:rPr>
        <w:t>29</w:t>
      </w:r>
    </w:p>
    <w:p>
      <w:pPr>
        <w:pStyle w:val="BookText"/>
        <w:rPr/>
      </w:pPr>
      <w:r>
        <w:rPr>
          <w:rFonts w:ascii="IRNazanin" w:hAnsi="IRNazanin" w:eastAsia="IRNazanin"/>
          <w:color w:val="111111"/>
          <w:sz w:val="28"/>
          <w:sz w:val="28"/>
          <w:szCs w:val="28"/>
          <w:rtl w:val="true"/>
          <w:lang w:bidi="fa-IR"/>
        </w:rPr>
        <w:t>مقدّمة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معانی اصل‌ها و عدل‌ها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مقدّمة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معانی اصل‌ها و عدل‌ها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مقدّمة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ابعاد مثبت و منفی معانی مذکور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مقدّمة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بین اصل‌ها و عدل‌ها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مقدّمة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تظاهر در تولّی و تبرّی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مقدّمة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اطاعت عملی در تولّی و تبرّی </w:t>
      </w:r>
      <w:r>
        <w:rPr>
          <w:rFonts w:eastAsia="IRNazanin" w:cs="IRNazanin"/>
          <w:color w:val="111111"/>
          <w:sz w:val="28"/>
          <w:szCs w:val="28"/>
          <w:lang w:bidi="fa-IR"/>
        </w:rPr>
        <w:t>39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عرض عریض اصل‌ها و عدل‌ها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مقدّمة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نحوة تجلّی محبّت و مبغضت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مقدّمة 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مودّت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مقدّمة شانزدهم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تشیُّع؛ تنها مصداق مودّت </w:t>
      </w:r>
      <w:r>
        <w:rPr>
          <w:rFonts w:eastAsia="Amiri" w:cs="Amiri" w:ascii="Amiri" w:hAnsi="Amiri"/>
          <w:color w:val="111111"/>
          <w:sz w:val="28"/>
          <w:szCs w:val="28"/>
          <w:lang w:bidi="ar-SA"/>
        </w:rPr>
        <w:t>50</w:t>
      </w:r>
    </w:p>
    <w:p>
      <w:pPr>
        <w:pStyle w:val="BookText"/>
        <w:rPr/>
      </w:pPr>
      <w:r>
        <w:rPr>
          <w:rFonts w:ascii="IRNazanin" w:hAnsi="IRNazanin" w:eastAsia="IRNazanin"/>
          <w:color w:val="111111"/>
          <w:sz w:val="28"/>
          <w:sz w:val="28"/>
          <w:szCs w:val="28"/>
          <w:rtl w:val="true"/>
          <w:lang w:bidi="fa-IR"/>
        </w:rPr>
        <w:t>مقدّمة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نوع وجوب تولّی و تبرّی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فقه، کتاب خاصّي در موضوع تولّي و تبرّي، نوشته نشده است؟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 xml:space="preserve">امر اوّل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امر دوّم </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سؤالات</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سؤال اوّل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 xml:space="preserve">علّت اسقاط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علي 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 از آن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سؤال دوّم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آیا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 نماز است به قرينة خَيْرُ مَوْضُوعٍ بودن نماز؟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سؤال سوّم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عدم شهرت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ولايت، در بين شيعيان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رسالة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ولایت آل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بدون عمل مقبول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ولایت بر عمل به دو اعتبار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همسویی ولایت تکوینی و تشریعی </w:t>
      </w:r>
      <w:r>
        <w:rPr>
          <w:rFonts w:eastAsia="IRNazanin" w:cs="IRNazanin"/>
          <w:color w:val="111111"/>
          <w:sz w:val="28"/>
          <w:szCs w:val="28"/>
          <w:lang w:bidi="fa-IR"/>
        </w:rPr>
        <w:t>104</w:t>
      </w:r>
    </w:p>
    <w:p>
      <w:pPr>
        <w:pStyle w:val="BookText"/>
        <w:rPr/>
      </w:pPr>
      <w:r>
        <w:rPr>
          <w:rFonts w:ascii="IRNazanin" w:hAnsi="IRNazanin" w:eastAsia="IRNazanin"/>
          <w:color w:val="111111"/>
          <w:sz w:val="28"/>
          <w:sz w:val="28"/>
          <w:szCs w:val="28"/>
          <w:rtl w:val="true"/>
          <w:lang w:bidi="fa-IR"/>
        </w:rPr>
        <w:t>مقدمة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موضوعیّت تنها از آنِ اصل ولایت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مقدّمة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استلزام تجرّی از موضوعیّت اصل ولایت </w:t>
      </w:r>
      <w:r>
        <w:rPr>
          <w:rFonts w:eastAsia="IRNazanin" w:cs="IRNazanin"/>
          <w:color w:val="111111"/>
          <w:sz w:val="28"/>
          <w:szCs w:val="28"/>
          <w:lang w:bidi="fa-IR"/>
        </w:rPr>
        <w:t>109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مسلم و مؤمن واقعی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عنایت ویژه به مؤمنین، محاسبة دقیق از کفّار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مقدّمة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وضعیّت مستضعفین قاصر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مقدّمة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نحوة برخورد خداوند با اهل ولایت و غیر آنان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مقدّمة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شرط قبولی اعمال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استنتاج از مقدّمات گذشته </w:t>
      </w:r>
      <w:r>
        <w:rPr>
          <w:rFonts w:eastAsia="IRNazanin" w:cs="IRNazanin"/>
          <w:color w:val="111111"/>
          <w:sz w:val="28"/>
          <w:szCs w:val="28"/>
          <w:lang w:bidi="fa-IR"/>
        </w:rPr>
        <w:t>131</w:t>
      </w:r>
    </w:p>
    <w:p>
      <w:pPr>
        <w:pStyle w:val="BookText"/>
        <w:rPr/>
      </w:pPr>
      <w:r>
        <w:rPr>
          <w:rFonts w:ascii="Amiri" w:hAnsi="Amiri" w:eastAsia="Amiri" w:cs="Amiri"/>
          <w:color w:val="111111"/>
          <w:sz w:val="28"/>
          <w:sz w:val="28"/>
          <w:szCs w:val="28"/>
          <w:rtl w:val="true"/>
          <w:lang w:bidi="ar-SA"/>
        </w:rPr>
        <w:t xml:space="preserve">خاتمة بحث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رسالة سوّم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اختصاص آمرزش گناهان مادون شرک، به پيروان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 xml:space="preserve">اجمال بحث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توبه‌پذیری خدا هر چند از مرتدّ فطری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مشرک کیست و اهل ما دون شرک کیانند؟ </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 xml:space="preserve">بررسی وحدانیّت اهل سنّت </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 xml:space="preserve">بررسی شرک سایر ملل </w:t>
      </w:r>
      <w:r>
        <w:rPr>
          <w:rFonts w:eastAsia="IRNazanin" w:cs="IRNazanin"/>
          <w:color w:val="111111"/>
          <w:sz w:val="28"/>
          <w:szCs w:val="28"/>
          <w:lang w:bidi="fa-IR"/>
        </w:rPr>
        <w:t>164</w:t>
      </w:r>
    </w:p>
    <w:p>
      <w:pPr>
        <w:pStyle w:val="BookText"/>
        <w:rPr/>
      </w:pPr>
      <w:r>
        <w:rPr>
          <w:rFonts w:ascii="IRNazanin" w:hAnsi="IRNazanin" w:eastAsia="IRNazanin"/>
          <w:color w:val="111111"/>
          <w:sz w:val="28"/>
          <w:sz w:val="28"/>
          <w:szCs w:val="28"/>
          <w:rtl w:val="true"/>
          <w:lang w:bidi="fa-IR"/>
        </w:rPr>
        <w:t xml:space="preserve">اثبات توحید شیعه </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 xml:space="preserve">طرح یک شبهه و دفع آن </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 xml:space="preserve">طرح شبهة دیگر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 xml:space="preserve">دفع شبهه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رسالة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ماهيّت و حقيقت عبادت و پرستش</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 xml:space="preserve">ماهیّت عبادت چیست؟ </w:t>
      </w:r>
      <w:r>
        <w:rPr>
          <w:rFonts w:eastAsia="IRNazanin" w:cs="IRNazanin"/>
          <w:color w:val="111111"/>
          <w:sz w:val="28"/>
          <w:szCs w:val="28"/>
          <w:lang w:bidi="fa-IR"/>
        </w:rPr>
        <w:t>182</w:t>
      </w:r>
    </w:p>
    <w:p>
      <w:pPr>
        <w:pStyle w:val="BookText"/>
        <w:rPr/>
      </w:pPr>
      <w:r>
        <w:rPr>
          <w:rFonts w:ascii="IRNazanin" w:hAnsi="IRNazanin" w:eastAsia="IRNazanin"/>
          <w:color w:val="111111"/>
          <w:sz w:val="28"/>
          <w:sz w:val="28"/>
          <w:szCs w:val="28"/>
          <w:rtl w:val="true"/>
          <w:lang w:bidi="fa-IR"/>
        </w:rPr>
        <w:t xml:space="preserve">انواع عبادت </w:t>
      </w:r>
      <w:r>
        <w:rPr>
          <w:rFonts w:eastAsia="IRNazanin" w:cs="IRNazanin"/>
          <w:color w:val="111111"/>
          <w:sz w:val="28"/>
          <w:szCs w:val="28"/>
          <w:lang w:bidi="fa-IR"/>
        </w:rPr>
        <w:t>183</w:t>
      </w:r>
    </w:p>
    <w:p>
      <w:pPr>
        <w:pStyle w:val="BookText"/>
        <w:rPr/>
      </w:pPr>
      <w:r>
        <w:rPr>
          <w:rFonts w:ascii="IRNazanin" w:hAnsi="IRNazanin" w:eastAsia="IRNazanin"/>
          <w:color w:val="111111"/>
          <w:sz w:val="28"/>
          <w:sz w:val="28"/>
          <w:szCs w:val="28"/>
          <w:rtl w:val="true"/>
          <w:lang w:bidi="fa-IR"/>
        </w:rPr>
        <w:t xml:space="preserve">مقایسة بین دو نوع عبادت </w:t>
      </w:r>
      <w:r>
        <w:rPr>
          <w:rFonts w:eastAsia="IRNazanin" w:cs="IRNazanin"/>
          <w:color w:val="111111"/>
          <w:sz w:val="28"/>
          <w:szCs w:val="28"/>
          <w:lang w:bidi="fa-IR"/>
        </w:rPr>
        <w:t>185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جواز انجام نوع دوّم عبادت برای غیر خدا و دلیل آن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طرح یک شبهه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دفع شبهه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رسالة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معنای أمرٌ بَینَ الأمرَینِ</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pStyle w:val="BookText"/>
        <w:rPr/>
      </w:pPr>
      <w:r>
        <w:rPr>
          <w:rFonts w:ascii="IRNazanin" w:hAnsi="IRNazanin" w:eastAsia="IRNazanin"/>
          <w:color w:val="111111"/>
          <w:sz w:val="28"/>
          <w:sz w:val="28"/>
          <w:szCs w:val="28"/>
          <w:rtl w:val="true"/>
          <w:lang w:bidi="fa-IR"/>
        </w:rPr>
        <w:t xml:space="preserve">اقسام فعل و فاعل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rtl w:val="true"/>
          <w:lang w:bidi="fa-IR"/>
        </w:rPr>
        <w:t xml:space="preserve">فاعل در دو عالم تکوین و تشریع و پیدایش مکتب جبر و تفویض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علل گرایش به جبر و تفویض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تشریح مکتب امامیّه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شبهة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توارد علّتین بر معلول واحد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شبهة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اشاعره و امامیّه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شبهة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امامیّه از اعتقاد به عدالت خدا </w:t>
      </w:r>
      <w:r>
        <w:rPr>
          <w:rFonts w:eastAsia="IRNazanin" w:cs="IRNazanin"/>
          <w:color w:val="111111"/>
          <w:sz w:val="28"/>
          <w:szCs w:val="28"/>
          <w:lang w:bidi="fa-IR"/>
        </w:rPr>
        <w:t>208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فهرست منابع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bookmarkStart w:id="12" w:name="pg10706_113876"/>
    </w:p>
    <w:p>
      <w:pPr>
        <w:pStyle w:val="Heading2"/>
        <w:numPr>
          <w:ilvl w:val="1"/>
          <w:numId w:val="1"/>
        </w:numPr>
        <w:rPr/>
      </w:pPr>
      <w:bookmarkStart w:id="13" w:name="__RefHeading___Toc3433707_1051229030"/>
      <w:bookmarkStart w:id="14" w:name="_Toc4"/>
      <w:bookmarkEnd w:id="12"/>
      <w:bookmarkEnd w:id="13"/>
      <w:r>
        <w:rPr>
          <w:rtl w:val="true"/>
        </w:rPr>
        <w:t>پیشگفتار</w:t>
      </w:r>
      <w:bookmarkEnd w:id="14"/>
    </w:p>
    <w:p>
      <w:pPr>
        <w:pStyle w:val="BookText"/>
        <w:rPr/>
      </w:pPr>
      <w:r>
        <w:rPr>
          <w:rFonts w:ascii="IRNazanin" w:hAnsi="IRNazanin" w:eastAsia="IRNazanin"/>
          <w:color w:val="111111"/>
          <w:sz w:val="28"/>
          <w:sz w:val="28"/>
          <w:szCs w:val="28"/>
          <w:rtl w:val="true"/>
          <w:lang w:bidi="fa-IR"/>
        </w:rPr>
        <w:t>بدون تردید علمای اعلام و فقهای عظام در راه پاسداشت درخت دین که نهال آن توسّط رسول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کاشته شد و به همّت ائمّة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تنومندی و بهره‌وری رسید، زحمات فراوان و طاقت‌فرسایی متحمّل شده‌اند تا بدانجا که مداد آنها از دماء شهدا فضیلت بیشتری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دینی در هر عصر و مکانی، هر یک در وسع خود به دفاع از دین و تبیین فرامین سیّد المرسلین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تشریح و تشیید دستورات پیشوایانِ پس از آن وجود نازنین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در حدّ امکان، در دو جبهة بیان احکام دین و حفظ و ترویج فرهنگ تشیّع، به انجام وظیفة دینی خود که همانا بیان معارف ارزشمند ثَقَلین می‌باشد، همّت گمارده‌اند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آیت الله العظمی حاج سیّد محمّد حسین مرتضوی لنگرودی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جمع به شمار می‌روند که با فعّالیّت‌های پیوسته و خستگی‌ناپذیر خود، از طرفی برای دفاع از حریم مقدّس دین مبین اسلام در مقابل دشمنان معاند، کمر همّت </w:t>
      </w:r>
    </w:p>
    <w:p>
      <w:pPr>
        <w:pStyle w:val="BookText"/>
        <w:rPr/>
      </w:pPr>
      <w:r>
        <w:rPr>
          <w:rFonts w:ascii="IRNazanin" w:hAnsi="IRNazanin" w:eastAsia="IRNazanin"/>
          <w:color w:val="111111"/>
          <w:sz w:val="28"/>
          <w:sz w:val="28"/>
          <w:szCs w:val="28"/>
          <w:rtl w:val="true"/>
          <w:lang w:bidi="fa-IR"/>
        </w:rPr>
        <w:t>بسته‌اند و از سوی دیگر، به بیان و نشر معارف حقّة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شیعیان بذل توجّه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فعّالیّت های گرانقدر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رساله‌های مختلفه فقهی و غیر فقهی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و تدوین مقالات مفیدی است که یا ابتدا به ساکن توسّط معظّم له به رشتة تحریر درآمده و یا در پاسخ به سؤالات و دفع شبهات به نگارش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این نوشته‌ها به موضوعات مختلفی همچون فقه، اصول، عقاید، تفسیر و رجال نسبت به نیاز و ضرورتی که احساس می‌کردند، پرداخته‌اند و در هر مقاله نکته‌های ناب و بعضاً مغفول عنه را افاده فرموده‌اند؛ از این‌رو، این نوشته‌ها در مجموعه‌ای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ابحاث 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گزیده‌ای از این ابحاث ناب که در بارة مسائل اعتقادی است در کتاب حاضر به صورت مجموعه‌ای مرتبط به هم آماده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مجموعه که شامل مباحثی در دو موضوع مهمّ تولّی و تبرّی است، دربرگیرندة چند رساله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اوّل با بررسی تولّی و تبرّی و این‌که آیا از اصول دین محسوب می‌شوند و یا از فروع آن، آغاز شده و سپس به بیان انواع تولّی و تبرّی و برشمردن اقسام آن دو پرداخته شده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رسالة دوّم، با هدف اثبات این که محبّت و ولایت آل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خود به تنهایی و بدون دارا بودن عمل مقبول، از جهات </w:t>
      </w:r>
    </w:p>
    <w:p>
      <w:pPr>
        <w:pStyle w:val="BookText"/>
        <w:rPr/>
      </w:pPr>
      <w:r>
        <w:rPr>
          <w:rFonts w:ascii="IRNazanin" w:hAnsi="IRNazanin" w:eastAsia="IRNazanin"/>
          <w:color w:val="111111"/>
          <w:sz w:val="28"/>
          <w:sz w:val="28"/>
          <w:szCs w:val="28"/>
          <w:rtl w:val="true"/>
          <w:lang w:bidi="fa-IR"/>
        </w:rPr>
        <w:t xml:space="preserve">متعدّدی دارای تأثیر می‌باشد، این نظریّه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منهای عمل همچون عمل منهای ولایت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نقد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این دو رساله، در رسالة سوّم،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لایَغفِرُ أن یُشرَکَ بِهِ وَیَغفِرُ ما دُونَ ذلِکَ لِمَن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بررسی قرار گرفته و به اثبات وحدانیّت خداوند از دید شیعه و این‌که آمرزش و مغفرت، تنها شامل متمسّکین به دو اصل تولّی و تبرّی می‌باشد، اهتمام ورزیده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انتهای کتاب به جهت تکمیل مباحث، بحثی پیرامون حقیقت عبادت آورده شده و نیز تحقیقی پیرامون جبر و تفویض از مؤلّف ارائه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منّان خواستاریم که به معظّم له، بقای عمر و صحّت و سلامت عنایت کرده و بر توفیقات ایشان در راه ترویج دین مبین و هدایت مؤمنین و دفع دشمنان مذهب و دین بیفزاید و ما را در نشر و ارائة دیگر تألیفات ایشان یاری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عَلَی مَنِ اتَّبَع الهُدَی</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تحقیق </w:t>
      </w:r>
      <w:bookmarkStart w:id="15" w:name="pg10706_113879"/>
    </w:p>
    <w:p>
      <w:pPr>
        <w:pStyle w:val="Heading2"/>
        <w:numPr>
          <w:ilvl w:val="1"/>
          <w:numId w:val="1"/>
        </w:numPr>
        <w:rPr/>
      </w:pPr>
      <w:bookmarkStart w:id="16" w:name="__RefHeading___Toc3433709_1051229030"/>
      <w:bookmarkStart w:id="17" w:name="_Toc5"/>
      <w:bookmarkEnd w:id="15"/>
      <w:bookmarkEnd w:id="16"/>
      <w:r>
        <w:rPr>
          <w:rtl w:val="true"/>
        </w:rPr>
        <w:t>مقدّمة مؤلّف</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والثَّناءُ للهِ والصَّلاةُ والسَّلامُ عَلَی رَسولِ اللهِ وعَلَی آلِهِ آلِ اللهِ واللَّعنُ عَلَی أعداءِهِم أعداءِ اللهِ إلَی یَومِ لِقاءِ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أبوعبدِاللهِ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حُدُودُ الإیمانِ شَهَادَةُ أنْ لا إِلَهَ إِلاَّ اللهُ وَأنَّ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وَالإِقْرَارُ بِمَا جَاءَ مِنْ عِنْدِ اللهِ وَصَلاةُ الْخَمْسِ وَأدَاءُ الزَّكَاةِ وَصَوْمُ شَهْرِ رَمَضَانَ وَحِجُّ الْبَيْتِ وَوَلايَةُ وَلِيِّنَا وَعَدَاوَةُ عَدُوِّنَا وَالدُّخُولُ مَعَ الصَّادِقِينَ</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پاسخ سؤال راوی از حدود ایمان، علاوه بر شهادت به توحید و رسالت و انجام فرایضی چون نماز و زکات، دو امر ولایت ولیّ و عداوت عدوّ را نیز در کنار یکدیگر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مورد، از روایات دیگری که در این موضوع وارد شده واضح و آشکار می‌شود؛ در روایتی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يُجْعَلْ فِي الْوَلايَةِ رُخْصَةٌ</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که بیان‌کنندة این است که امکان رخصت در نماز، </w:t>
      </w:r>
    </w:p>
    <w:p>
      <w:pPr>
        <w:pStyle w:val="BookText"/>
        <w:rPr/>
      </w:pPr>
      <w:r>
        <w:rPr>
          <w:rFonts w:ascii="IRNazanin" w:hAnsi="IRNazanin" w:eastAsia="IRNazanin"/>
          <w:color w:val="111111"/>
          <w:sz w:val="28"/>
          <w:sz w:val="28"/>
          <w:szCs w:val="28"/>
          <w:rtl w:val="true"/>
          <w:lang w:bidi="fa-IR"/>
        </w:rPr>
        <w:t>زکات و امور عبادی دیگر موجود است، ولی در امر ولایت و به تَبَع آن در امر برائت، هیچگونه ترخیصی وجود ندارد؛ زیرا روشن است که رخصت در ولایت و عداوت، خروج از ایمان، دین و مذهب است که به کفر می‌گراید، ولی رخصت در سایر امور عبادی، خروج از طاعت و تدیّن است که با وجود ایمان، به فسق و فجور منجرّ می‌شود و فرق بارزی بین کفر و فسق است؛ چنان که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كَمَالُ الدِّينِ وَلايَتُنَا وَالْبَرَاءَةُ مِنْ عَدُوِّنَا</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البتّه اصل ولایت و عداوت، هرچند عرض عریضی داشته و به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 بلکه حضرت حقّ باریتعالی و رسول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می‌شود، ولی در اینجا اختصاص پیدا کردن به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آن است که ولایت و عداوت نسبت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پیمودن سایر مراحل و مرحلة نهایی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صد آمد نَوَد هم پیش ماست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اینجا قابل بررسی است این است که این محبّت و عداوت از اصول دین است یا از فروع آن؟ می‌دانیم که معروف و مشهور در بین شیعیان امامیّة اثناعشریّه آن است که فروع دین </w:t>
      </w:r>
    </w:p>
    <w:p>
      <w:pPr>
        <w:pStyle w:val="BookText"/>
        <w:rPr/>
      </w:pPr>
      <w:r>
        <w:rPr>
          <w:rFonts w:ascii="Amiri" w:hAnsi="Amiri" w:eastAsia="Amiri" w:cs="Amiri"/>
          <w:color w:val="111111"/>
          <w:sz w:val="28"/>
          <w:sz w:val="28"/>
          <w:szCs w:val="28"/>
          <w:rtl w:val="true"/>
          <w:lang w:bidi="ar-SA"/>
        </w:rPr>
        <w:t>مقدّس اسلام و مذهب مطهّر جعفری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ده امر می‌باشد که عبارتند</w:t>
      </w:r>
    </w:p>
    <w:p>
      <w:p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خمس، زکات، حجّ، جهاد، امر به معروف، نهی از منکر، تولّی و تبرّی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برشماری تولّی و تبرّی در عداد اموری که هر یک از آنها از امور جوارحی بوده و در جهت ظهور و بروز، به عمل خارجی مفتقر است، می‌فهماند که منظور از تولّی و تبرّی، تنها ولایت و برائت که از شؤون قلب و جوانح می‌باشند و به این مناسبت از شُعَب اصول دین به شمار می‌روند، نیست، بلکه منظور از آنها، تظاهر عملی به امر ولایت و برائت است با لحاظ اين وصف كه برائت، مکمّل امر ولایت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رویّة بعضی که به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خاطر شعار وحدت اسلامی، این دو فرع اساسی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تبرّی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فروع دین حذف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نمایند، خاستگاهی جز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مبالاتی در دین و ضعف در اعتقاد ندارد؛ چه آن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که مقتضای وحدت اسلامی آن نیست که شیعه، به قبول عقاید اهل سنّت و در نهایت سنّی شدن گرایش یابد، بلکه معنای صحیح وحدت، آن است که مسلمانان در مشترکات دینی متّحد و متّفق باشند، به طوری که هنگام هجوم دشمن به اساس اسلام و قرآن،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تفاوت نباشند و همگی بدون استثنا در مقام دفاع برآیند؛ زیرا از جهالت و کم‌خردی است که سایر مذاهب، به جهت مخالفتی که با برخی از مختصّات مذهب دیگر دارند، از دفاع دریغ نمایند؛ چرا که این امر به نابودی خود آنها منتهی می‌شود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هر حال، بنا بر فرمایش فقها و علمای امامیّه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 دین</w:t>
      </w:r>
    </w:p>
    <w:p>
      <w:pPr>
        <w:pStyle w:val="BookText"/>
        <w:rPr/>
      </w:pPr>
      <w:r>
        <w:rPr>
          <w:rFonts w:ascii="IRNazanin" w:hAnsi="IRNazanin" w:eastAsia="IRNazanin"/>
          <w:color w:val="111111"/>
          <w:sz w:val="28"/>
          <w:sz w:val="28"/>
          <w:szCs w:val="28"/>
          <w:rtl w:val="true"/>
          <w:lang w:bidi="fa-IR"/>
        </w:rPr>
        <w:t>اسلام بر چهار امر استوار است که هر یک دارای اقسام فراوانی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چون احکام به حکم اسلام، یا قصد قربت در آنها معتبر است و یا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نخست، فروع عبادی دین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دوّم که قصد قربت درآن معتبر نیست، خود بر دوگونه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به صیغة خاصّی احتیاج ندارد و یا آن که از آن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نیاز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گونة اوّل، به فروع سیاسی و احکام سیاسات اسلام همچون قضا، شهادات، حدود، قصاص و دیات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گونة دوّم، خود بر دو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وحدانیّه است؛ یعنی در یک طرف به صیغة خاصّ نیاز دارد، یا غیر وحدانیّه بوده و در دو طرف به آن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قسم دوّم عقود بوده و منظور از قسم نخست ایقاعات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تولّی و تبرّی امری جوارحی بوده و باید از امور عبادی دین شمرده شود؛ چرا که به قصد قربت محتاج می‌باشد و با فعل خارجی محقّق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این نباید با صِرف ولایت و برائتی که در ضمن تبرّی و تولّی است، خلط شود؛ چراکه ولایت و برائت امری جوانحی بوده و لازمه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اش فعل خارجی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والصّلاةُ عَلَی مُحَمَّدٍ وآلِهِ الطّاهِرینَ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عَلَی عِبادِ اللهِ الصّالِحینَ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0706_113884"/>
      <w:bookmarkStart w:id="19" w:name="pg10706_113884"/>
      <w:bookmarkEnd w:id="19"/>
    </w:p>
    <w:p>
      <w:pPr>
        <w:pStyle w:val="Heading2"/>
        <w:numPr>
          <w:ilvl w:val="1"/>
          <w:numId w:val="1"/>
        </w:numPr>
        <w:rPr/>
      </w:pPr>
      <w:bookmarkStart w:id="20" w:name="pg10706_113884"/>
      <w:bookmarkStart w:id="21" w:name="__RefHeading___Toc3433711_1051229030"/>
      <w:bookmarkStart w:id="22" w:name="_Toc6"/>
      <w:bookmarkEnd w:id="20"/>
      <w:bookmarkEnd w:id="21"/>
      <w:r>
        <w:rPr>
          <w:rtl w:val="true"/>
        </w:rPr>
        <w:t>رسالة اوّل</w:t>
      </w:r>
      <w:r>
        <w:rPr>
          <w:rtl w:val="true"/>
        </w:rPr>
        <w:t>:</w:t>
      </w:r>
      <w:r>
        <w:rPr>
          <w:rtl w:val="true"/>
        </w:rPr>
        <w:t>بررسی ماهیّت تولّی و تبرّی</w:t>
      </w:r>
      <w:bookmarkEnd w:id="22"/>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 w:name="__RefHeading___Toc3433713_1051229030"/>
      <w:bookmarkStart w:id="24" w:name="_Toc7"/>
      <w:bookmarkEnd w:id="23"/>
      <w:r>
        <w:rPr>
          <w:rtl w:val="true"/>
        </w:rPr>
        <w:t>اشاره</w:t>
      </w:r>
      <w:bookmarkEnd w:id="24"/>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 w:name="pg10706_113886"/>
      <w:bookmarkStart w:id="26" w:name="pg10706_113886"/>
      <w:bookmarkEnd w:id="26"/>
    </w:p>
    <w:p>
      <w:pPr>
        <w:pStyle w:val="Heading3"/>
        <w:numPr>
          <w:ilvl w:val="2"/>
          <w:numId w:val="1"/>
        </w:numPr>
        <w:rPr/>
      </w:pPr>
      <w:bookmarkStart w:id="27" w:name="pg10706_113886"/>
      <w:bookmarkStart w:id="28" w:name="__RefHeading___Toc3433715_1051229030"/>
      <w:bookmarkStart w:id="29" w:name="_Toc8"/>
      <w:bookmarkEnd w:id="27"/>
      <w:bookmarkEnd w:id="28"/>
      <w:r>
        <w:rPr>
          <w:rtl w:val="true"/>
        </w:rPr>
        <w:t>اجمال بحث</w:t>
      </w:r>
      <w:bookmarkEnd w:id="29"/>
    </w:p>
    <w:p>
      <w:pPr>
        <w:pStyle w:val="BookText"/>
        <w:rPr/>
      </w:pPr>
      <w:r>
        <w:rPr>
          <w:rFonts w:ascii="IRNazanin" w:hAnsi="IRNazanin" w:eastAsia="IRNazanin"/>
          <w:color w:val="111111"/>
          <w:sz w:val="28"/>
          <w:sz w:val="28"/>
          <w:szCs w:val="28"/>
          <w:rtl w:val="true"/>
          <w:lang w:bidi="fa-IR"/>
        </w:rPr>
        <w:t>بسمه تعالی و له الحمد</w:t>
      </w:r>
    </w:p>
    <w:p>
      <w:pPr>
        <w:pStyle w:val="BookText"/>
        <w:rPr/>
      </w:pPr>
      <w:r>
        <w:rPr>
          <w:rFonts w:ascii="IRNazanin" w:hAnsi="IRNazanin" w:eastAsia="IRNazanin"/>
          <w:color w:val="111111"/>
          <w:sz w:val="28"/>
          <w:sz w:val="28"/>
          <w:szCs w:val="28"/>
          <w:rtl w:val="true"/>
          <w:lang w:bidi="fa-IR"/>
        </w:rPr>
        <w:t>در اين رساله برآنيم که اثبات کنيم تولّي و تبرّي</w:t>
      </w:r>
      <w:r>
        <w:rPr>
          <w:rStyle w:val="FootnoteAnchor"/>
          <w:rtl w:val="true"/>
        </w:rPr>
        <w:footnoteReference w:id="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حسب مشهور از فروع عبادي</w:t>
      </w:r>
      <w:r>
        <w:rPr>
          <w:rStyle w:val="FootnoteAnchor"/>
          <w:rtl w:val="true"/>
        </w:rPr>
        <w:footnoteReference w:id="6"/>
      </w:r>
      <w:r>
        <w:rPr>
          <w:rFonts w:ascii="Amiri" w:hAnsi="Amiri" w:eastAsia="Amiri" w:cs="Amiri"/>
          <w:color w:val="111111"/>
          <w:sz w:val="28"/>
          <w:sz w:val="28"/>
          <w:szCs w:val="28"/>
          <w:rtl w:val="true"/>
          <w:lang w:bidi="ar-SA"/>
        </w:rPr>
        <w:t>دين و مذهب هستند</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ملاّاحمد نراقي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بيان معناي اصول و فروع دين و تفکيک آن دو از يکديگر، در کتاب رسائل و مسائل،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كه به اين عبارت كه اصول دين پنج است بخصوصه در احاديث برنخورده‌ام، و در كلمات قدماء اصحاب اماميّه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رضى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در بعضى از كتب و رسايل بعضى از علماء متوسّطين و بعضى از متأخّرين و متأخّرين متأخّرين، اين عبارت مذكور است؛ و به هر حال، لفظ اصول دين در اين كلام به يكى از دو معنى مى‌تواند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آن معنى كه در كتب كلاميّه و بعضى از كتب اصوليّه فقه، از براى اصول كه مقابل فروع مى‌گويند ذكر شده، و احكام اصوليّه به اين معنى را مقابل احكام فروعيّه مى‌گيرند، و آن عبارت است از آنچه متعلّق به اعتقاد باشد؛ يعنى شارع با اعتقاد به آن بخصوصه اوّلاً و بالذات امر نموده باشد من غير مدخليّة للعمل فيه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آن فروع است، و آن، احكامى است كه متعلّق به عمل است اوّلاً و بالذّات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تقيّد اوّلاً و بالذّات در اين دو عبارت، به جهت بيرون رفتن مثل اعتقاد به وجوب نماز است؛ چه آن نيز واجب است، و ليكن نه آن است كه شارع آن را بخصوصه و اوّلاً و بالذات واجب نموده باشد، بلكه وجوب آن به توسّط امر به‌جا آوردن نماز است، و مطلوب اصلى آن است، به خلاف مثل توحيد كه مقصود و مأمور به در آن، همان اعتقاد است، و خود آن اعتقاد فى نفسه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معنى دوّم اين كه مراد از اصل، ما بُنِىَ عَلَيْهِ الشَّى‌ءُ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 معنى اوّل، مراد از اصول دين، امورى است كه در دين، اعتقاد به آن، واجب و مطلوب است و از عقايد لازمه در اين دين است و هركه به آن دين متديّن باشد، بايد البتّه آن اعتقاد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بنابر معنى دوّم، مراد از اصول دين، امورى است كه مبناى دين بر آن است و دين بدون آن، خراب و ضايع است، بلكه متحقّق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فروع دين بنا بر معنى اوّل امورى است كه عمل به آنها در دين لازم است و مطلوب به‌جا آوردن آنها است، نه مجرّد اعتقاد، و بنا بر معنى ثانى امورى است كه در دين واجب و لازم است، و امّا مبناى دين بر آنها نيست كه اگر كسى ترك بكند از دين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اعمال و افعال</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جوارحی به شمار مي‌روند، و آنچه که از شعب اصول عقايد دين و مذهب است، حقيقت ولايت و برائت است که از امور جانحی قلبي و اعتقادي مي‌باشند</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به بحث، لازم است به چند مقدّمه تذکّر داده شود</w:t>
      </w:r>
      <w:r>
        <w:rPr>
          <w:rFonts w:eastAsia="IRNazanin" w:cs="IRNazanin"/>
          <w:color w:val="111111"/>
          <w:sz w:val="28"/>
          <w:szCs w:val="28"/>
          <w:rtl w:val="true"/>
          <w:lang w:bidi="fa-IR"/>
        </w:rPr>
        <w:t xml:space="preserve">. </w:t>
      </w:r>
      <w:bookmarkStart w:id="30" w:name="pg10706_113889"/>
    </w:p>
    <w:p>
      <w:pPr>
        <w:pStyle w:val="Heading3"/>
        <w:numPr>
          <w:ilvl w:val="2"/>
          <w:numId w:val="1"/>
        </w:numPr>
        <w:rPr/>
      </w:pPr>
      <w:bookmarkStart w:id="31" w:name="__RefHeading___Toc3433717_1051229030"/>
      <w:bookmarkStart w:id="32" w:name="_Toc9"/>
      <w:bookmarkEnd w:id="30"/>
      <w:bookmarkEnd w:id="31"/>
      <w:r>
        <w:rPr>
          <w:rtl w:val="true"/>
        </w:rPr>
        <w:t>مقدّمة اوّل</w:t>
      </w:r>
      <w:r>
        <w:rPr>
          <w:rtl w:val="true"/>
        </w:rPr>
        <w:t xml:space="preserve">: </w:t>
      </w:r>
      <w:r>
        <w:rPr>
          <w:rtl w:val="true"/>
        </w:rPr>
        <w:t>اقسام تولّی و تبرّی</w:t>
      </w:r>
      <w:bookmarkEnd w:id="32"/>
    </w:p>
    <w:p>
      <w:pPr>
        <w:pStyle w:val="BookText"/>
        <w:rPr/>
      </w:pPr>
      <w:r>
        <w:rPr>
          <w:rFonts w:ascii="IRNazanin" w:hAnsi="IRNazanin" w:eastAsia="IRNazanin"/>
          <w:color w:val="111111"/>
          <w:sz w:val="28"/>
          <w:sz w:val="28"/>
          <w:szCs w:val="28"/>
          <w:rtl w:val="true"/>
          <w:lang w:bidi="fa-IR"/>
        </w:rPr>
        <w:t>هر يک از تولّي و تبرّي،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اعتقادي و عملي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عملي همان تظاهر و شعار است که جزء فروع عبادي دين مي‌باشد و اعتقادي همان قلبي و شعور است که از شعب اصول عقايد مذهب و دين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صحيح‌تر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دو امر و دو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به نام ولايت و برائت و ديگري به نام تولّي و تبرّي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ولايت و برائت از امور قلبي بوده و جزء اصول عقايد مي‌باشند، ولي تولّي و تبرّي که منظور از آنها خواهد آمد</w:t>
      </w:r>
      <w:r>
        <w:rPr>
          <w:rStyle w:val="FootnoteAnchor"/>
          <w:rtl w:val="true"/>
        </w:rPr>
        <w:footnoteReference w:id="9"/>
      </w:r>
      <w:r>
        <w:rPr>
          <w:rFonts w:ascii="Amiri" w:hAnsi="Amiri" w:eastAsia="Amiri" w:cs="Amiri"/>
          <w:color w:val="111111"/>
          <w:sz w:val="28"/>
          <w:sz w:val="28"/>
          <w:szCs w:val="28"/>
          <w:rtl w:val="true"/>
          <w:lang w:bidi="ar-SA"/>
        </w:rPr>
        <w:t>، تظاهر و اظهار آن امر قلبي، در خارج است</w:t>
      </w:r>
      <w:r>
        <w:rPr>
          <w:rStyle w:val="FootnoteAnchor"/>
          <w:rtl w:val="true"/>
        </w:rPr>
        <w:footnoteReference w:id="10"/>
      </w:r>
      <w:r>
        <w:rPr>
          <w:rFonts w:ascii="Amiri" w:hAnsi="Amiri" w:eastAsia="Amiri" w:cs="Amiri"/>
          <w:color w:val="111111"/>
          <w:sz w:val="28"/>
          <w:sz w:val="28"/>
          <w:szCs w:val="28"/>
          <w:rtl w:val="true"/>
          <w:lang w:bidi="ar-SA"/>
        </w:rPr>
        <w:t>و از فروع عبادي دين و مذهب محسوب مي‌شوند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اساساً مي‌توان گفت که تعبير قدما از اين دو امر به صيغة باب تفعّل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عدم تعبير آنها به صيغة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خود دليل قاطعي است که منظور، عمل و اتّخاذ است؛ چه </w:t>
      </w:r>
      <w:bookmarkStart w:id="33" w:name="pg10706_113890"/>
    </w:p>
    <w:p>
      <w:pPr>
        <w:pStyle w:val="BookText"/>
        <w:rPr/>
      </w:pPr>
      <w:bookmarkEnd w:id="33"/>
      <w:r>
        <w:rPr>
          <w:rFonts w:ascii="IRNazanin" w:hAnsi="IRNazanin" w:eastAsia="IRNazanin"/>
          <w:color w:val="111111"/>
          <w:sz w:val="28"/>
          <w:sz w:val="28"/>
          <w:szCs w:val="28"/>
          <w:rtl w:val="true"/>
          <w:lang w:bidi="fa-IR"/>
        </w:rPr>
        <w:t>از جملة معاني باب تفعّل، اتّخاذ اصل فعل است به عنوان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از کتب لغت</w:t>
      </w:r>
      <w:r>
        <w:rPr>
          <w:rStyle w:val="FootnoteAnchor"/>
          <w:rtl w:val="true"/>
        </w:rPr>
        <w:footnoteReference w:id="11"/>
      </w:r>
      <w:r>
        <w:rPr>
          <w:rFonts w:ascii="IRNazanin" w:hAnsi="IRNazanin" w:eastAsia="IRNazanin"/>
          <w:color w:val="111111"/>
          <w:sz w:val="28"/>
          <w:sz w:val="28"/>
          <w:szCs w:val="28"/>
          <w:rtl w:val="true"/>
          <w:lang w:bidi="fa-IR"/>
        </w:rPr>
        <w:t>وارد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 تَوَلِّياً فُلاَناً أي اتَّخَذَهُ وَلِيّاً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فلاني را براي خود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ويژه‌اي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 چنان که شرح آن، خواهد آمد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4" w:name="__RefHeading___Toc3433719_1051229030"/>
      <w:bookmarkStart w:id="35" w:name="_Toc10"/>
      <w:bookmarkEnd w:id="34"/>
      <w:r>
        <w:rPr>
          <w:rtl w:val="true"/>
        </w:rPr>
        <w:t>مقدّمة دوّم</w:t>
      </w:r>
      <w:r>
        <w:rPr>
          <w:rtl w:val="true"/>
        </w:rPr>
        <w:t xml:space="preserve">: </w:t>
      </w:r>
      <w:r>
        <w:rPr>
          <w:rtl w:val="true"/>
        </w:rPr>
        <w:t>اصل‌های پنجگانه</w:t>
      </w:r>
      <w:bookmarkEnd w:id="35"/>
    </w:p>
    <w:p>
      <w:pPr>
        <w:pStyle w:val="BookText"/>
        <w:rPr/>
      </w:pPr>
      <w:r>
        <w:rPr>
          <w:rFonts w:ascii="IRNazanin" w:hAnsi="IRNazanin" w:eastAsia="IRNazanin"/>
          <w:color w:val="111111"/>
          <w:sz w:val="28"/>
          <w:sz w:val="28"/>
          <w:szCs w:val="28"/>
          <w:rtl w:val="true"/>
          <w:lang w:bidi="fa-IR"/>
        </w:rPr>
        <w:t>در رابطه با اين بحث، اموري پنجگانه مطرح است که از نظر معنا مختلفند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اينجا، از اين امور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و محبّت که امري جانحي و قلبي است، نه عملي و جارحي؛ در فارسي از آن به دوستي تعبير مي‌شود، و به اين معناست که انسان، شخص مورد نظري را دوست بدارد، و نسبت به خصوص او، دشمن و يا بي‌تفاوت</w:t>
      </w:r>
      <w:r>
        <w:rPr>
          <w:rStyle w:val="FootnoteAnchor"/>
          <w:rtl w:val="true"/>
        </w:rPr>
        <w:footnoteReference w:id="13"/>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تحبّب و تودّد که تظاهر به آن حبّ قلبي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صرف تظاهر بي‌محتوا که حالت نفاق است</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آري، بين محبّت و تحبّب عموم مطلق است و محبّت اعمّ است از اينکه آشکار شود يا نشود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بلکه ظاهر نمودن</w:t>
      </w:r>
    </w:p>
    <w:p>
      <w:pPr>
        <w:pStyle w:val="BookText"/>
        <w:rPr/>
      </w:pPr>
      <w:r>
        <w:rPr>
          <w:rFonts w:ascii="IRNazanin" w:hAnsi="IRNazanin" w:eastAsia="IRNazanin"/>
          <w:color w:val="111111"/>
          <w:sz w:val="28"/>
          <w:sz w:val="28"/>
          <w:szCs w:val="28"/>
          <w:rtl w:val="true"/>
          <w:lang w:bidi="fa-IR"/>
        </w:rPr>
        <w:t>محبّت قلبي و اکتفا ننمودن به محبّت دروني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که هرچند غير محبّت صرف است، ولي همچون محبّت امري است قلبي، بلکه محبّتي است خاصّ که توأم با اعتقاد به سرپرستي محبوب مي‌باشد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به دارندة اين ولايت به اعتبار اسم فاعلي،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معتقد به سرپرستي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و بر مورد آن، به اعتبار اسم مفعولي،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محبوب مطاع 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مي‌شود</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 که همان تظاهر به آن ولايت است</w:t>
      </w:r>
      <w:r>
        <w:rPr>
          <w:rStyle w:val="FootnoteAnchor"/>
          <w:rtl w:val="true"/>
        </w:rPr>
        <w:footnoteReference w:id="17"/>
      </w:r>
      <w:r>
        <w:rPr>
          <w:rFonts w:ascii="IRNazanin" w:hAnsi="IRNazanin" w:eastAsia="IRNazanin"/>
          <w:color w:val="111111"/>
          <w:sz w:val="28"/>
          <w:sz w:val="28"/>
          <w:szCs w:val="28"/>
          <w:rtl w:val="true"/>
          <w:lang w:bidi="fa-IR"/>
        </w:rPr>
        <w:t xml:space="preserve">، 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p>
    <w:p>
      <w:pPr>
        <w:pStyle w:val="BookText"/>
        <w:rPr/>
      </w:pPr>
      <w:r>
        <w:rPr>
          <w:rFonts w:ascii="IRNazanin" w:hAnsi="IRNazanin" w:eastAsia="IRNazanin"/>
          <w:color w:val="111111"/>
          <w:sz w:val="28"/>
          <w:sz w:val="28"/>
          <w:szCs w:val="28"/>
          <w:rtl w:val="true"/>
          <w:lang w:bidi="fa-IR"/>
        </w:rPr>
        <w:t xml:space="preserve">که در تحبّب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معناي آنکه فقط تظاهر بي‌محتوا و نفاقي باشد، بلکه به معناي اظهار ولايت حاصل دروني و اکتفا ننمودنِ به صرف دروني آن</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آري، نسبت بين ولايت و تولّي عموم مطلق است و ولايت اعمّ است از آن‌که در تحت تولّي تظاهر گردد يا نگردد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تولّي را معناي خاصّ اخصّ جامعي است که مورد و مصداق همة آن سه امر گذشته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تشيّع که جامع‌تر از تولّي است؛ زيرا در تولّي اعتقاد به طاعت است، امّا در تشيّع گذشته بر اعتقاد به طاعت، پيروي و اطاعت عملي نيز مي‌باشد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ممکن است که تولّي باشد، ولي تشيّع که اطاعت عملي از مطاع است، نباشد؛</w:t>
      </w:r>
      <w:r>
        <w:rPr>
          <w:rStyle w:val="FootnoteAnchor"/>
          <w:rtl w:val="true"/>
        </w:rPr>
        <w:footnoteReference w:id="19"/>
      </w:r>
      <w:r>
        <w:rPr>
          <w:rFonts w:ascii="IRNazanin" w:hAnsi="IRNazanin" w:eastAsia="IRNazanin"/>
          <w:color w:val="111111"/>
          <w:sz w:val="28"/>
          <w:sz w:val="28"/>
          <w:szCs w:val="28"/>
          <w:rtl w:val="true"/>
          <w:lang w:bidi="fa-IR"/>
        </w:rPr>
        <w:t xml:space="preserve">و اين بدان جهت است که حقيقت تشيّع پس </w:t>
      </w:r>
      <w:bookmarkStart w:id="36" w:name="pg10706_113893"/>
    </w:p>
    <w:p>
      <w:pPr>
        <w:pStyle w:val="BookText"/>
        <w:rPr/>
      </w:pPr>
      <w:bookmarkEnd w:id="36"/>
      <w:r>
        <w:rPr>
          <w:rFonts w:ascii="IRNazanin" w:hAnsi="IRNazanin" w:eastAsia="IRNazanin"/>
          <w:color w:val="111111"/>
          <w:sz w:val="28"/>
          <w:sz w:val="28"/>
          <w:szCs w:val="28"/>
          <w:rtl w:val="true"/>
          <w:lang w:bidi="fa-IR"/>
        </w:rPr>
        <w:t>از طيّ مراحل حبّ و تحبّب و ولايت و تولّي، شکل مي‌گيرد؛ چرا که تشيّع، اطاعت عملي محبّ معتقد به ولايت است</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7" w:name="__RefHeading___Toc3433721_1051229030"/>
      <w:bookmarkStart w:id="38" w:name="_Toc11"/>
      <w:bookmarkEnd w:id="37"/>
      <w:r>
        <w:rPr>
          <w:rtl w:val="true"/>
        </w:rPr>
        <w:t>مقدّمة سوّم</w:t>
      </w:r>
      <w:r>
        <w:rPr>
          <w:rtl w:val="true"/>
        </w:rPr>
        <w:t xml:space="preserve">: </w:t>
      </w:r>
      <w:r>
        <w:rPr>
          <w:rtl w:val="true"/>
        </w:rPr>
        <w:t>ترتیب اصل‌ها</w:t>
      </w:r>
      <w:bookmarkEnd w:id="3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مقدّمة سابق، به دست مي‌آيد که حقايق پنجگانه، از نظر رتبه، مرتّب طولي مي‌باشند</w:t>
      </w:r>
      <w:r>
        <w:rPr>
          <w:rStyle w:val="FootnoteAnchor"/>
          <w:rtl w:val="true"/>
        </w:rPr>
        <w:footnoteReference w:id="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اوّلين رتبه، رتبة محبّت که امر قلبي صرف است، مي‌باشد و چون به ظاهر جلوه کند، به رتبة تحبّب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تحبّب از مرتبة عالي‌تري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زماني که اين محبّت، با اعتقاد به سرپرستي محبوب، توأم شود، ولايت شکل مي‌گيرد که اين </w:t>
      </w:r>
      <w:bookmarkStart w:id="39" w:name="pg10706_113894"/>
    </w:p>
    <w:p>
      <w:pPr>
        <w:pStyle w:val="BookText"/>
        <w:rPr/>
      </w:pPr>
      <w:bookmarkEnd w:id="39"/>
      <w:r>
        <w:rPr>
          <w:rFonts w:ascii="IRNazanin" w:hAnsi="IRNazanin" w:eastAsia="IRNazanin"/>
          <w:color w:val="111111"/>
          <w:sz w:val="28"/>
          <w:sz w:val="28"/>
          <w:szCs w:val="28"/>
          <w:rtl w:val="true"/>
          <w:lang w:bidi="fa-IR"/>
        </w:rPr>
        <w:t>ولايت، مرتبة عالي محبّت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 که اين ولايت که خود مرتبه‌اي عالي است، به ظاهر جلوه کند، به مرتبة عاليتري که تولّي باشد، مي‌رسد</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رتبه، تمام مراتب حبّ و تحبّب و ولايت مندرج است، و فقط اعمّ است از اينکه امتثال اوامر محبوب حاصل شده باشد و يا نشده باشد که صورت اوّل، همان مرتبة عالي متعالي تشيّع است که سرآمد همة آن مرتبه‌ها و جامع‌تر از کلّيّة آنها است و همة آنها در حقيقت تشيّع، منظور و مجموعند</w:t>
      </w:r>
      <w:r>
        <w:rPr>
          <w:rFonts w:eastAsia="IRNazanin" w:cs="IRNazanin"/>
          <w:color w:val="111111"/>
          <w:sz w:val="28"/>
          <w:szCs w:val="28"/>
          <w:rtl w:val="true"/>
          <w:lang w:bidi="fa-IR"/>
        </w:rPr>
        <w:t>.</w:t>
      </w:r>
    </w:p>
    <w:p>
      <w:pPr>
        <w:pStyle w:val="Heading3"/>
        <w:numPr>
          <w:ilvl w:val="2"/>
          <w:numId w:val="1"/>
        </w:numPr>
        <w:rPr/>
      </w:pPr>
      <w:bookmarkStart w:id="40" w:name="__RefHeading___Toc3433723_1051229030"/>
      <w:bookmarkStart w:id="41" w:name="_Toc12"/>
      <w:bookmarkEnd w:id="40"/>
      <w:r>
        <w:rPr>
          <w:rtl w:val="true"/>
        </w:rPr>
        <w:t>مقدّمة چهارم</w:t>
      </w:r>
      <w:r>
        <w:rPr>
          <w:rtl w:val="true"/>
        </w:rPr>
        <w:t xml:space="preserve">: </w:t>
      </w:r>
      <w:r>
        <w:rPr>
          <w:rtl w:val="true"/>
        </w:rPr>
        <w:t>عدل‌های پنجگانه</w:t>
      </w:r>
      <w:bookmarkEnd w:id="41"/>
    </w:p>
    <w:p>
      <w:pPr>
        <w:pStyle w:val="BookText"/>
        <w:rPr/>
      </w:pPr>
      <w:r>
        <w:rPr>
          <w:rFonts w:ascii="IRNazanin" w:hAnsi="IRNazanin" w:eastAsia="IRNazanin"/>
          <w:color w:val="111111"/>
          <w:sz w:val="28"/>
          <w:sz w:val="28"/>
          <w:szCs w:val="28"/>
          <w:rtl w:val="true"/>
          <w:lang w:bidi="fa-IR"/>
        </w:rPr>
        <w:t xml:space="preserve">هر يک از حقايق پنجگانه‌اي که در مقدّمة دوّم، گفته شد، معادل و مقابلي دارد که در اينجا از آنها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عدل‌هاي 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مي‌کنيم و به ترتيب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و مبغضت که مانند حبّ و محبّت، امري است قلبي، و به معناي دشمني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معني که انسان، شخص مورد نظري را دشمن بدارد، و نسبت به خصوص او، دوست و يا بي‌تفاوت نباشد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تبغّض و تعدّي که اظهار آن دشمني است به طور حقيقي </w:t>
      </w:r>
      <w:bookmarkStart w:id="42" w:name="pg10706_113895"/>
    </w:p>
    <w:p>
      <w:pPr>
        <w:pStyle w:val="BookText"/>
        <w:rPr/>
      </w:pPr>
      <w:bookmarkEnd w:id="42"/>
      <w:r>
        <w:rPr>
          <w:rFonts w:ascii="Amiri" w:hAnsi="Amiri" w:eastAsia="Amiri" w:cs="Amiri"/>
          <w:color w:val="111111"/>
          <w:sz w:val="28"/>
          <w:sz w:val="28"/>
          <w:szCs w:val="28"/>
          <w:rtl w:val="true"/>
          <w:lang w:bidi="ar-SA"/>
        </w:rPr>
        <w:t>و واقعي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که همان مبغضت است، ولي توأم با اعتقاد به عدم سرپرستي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 که همان برائت است که به طور حقيقي اظهار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تمرّد که عملي است و بالاتر از اعتقاد و اظهار حقيقي مي‌باشد؛ زيرا ممکن است تبرّي باشد، ولي شخص، عملاً تمرّد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بنا بر مصالح و ملاحظاتي، گوش به فرمان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تمام چهار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بغض، تبغّض، برائت و 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رتبة تمرّد عملي، مندرج و مجموع مي‌باشند؛ همانگونه که در بخش ولايت و تولّي، چهار مرتبة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تحبّب، ولايت و تبرّي در رتبة تشيّع، منظور و مجموع بودند</w:t>
      </w:r>
      <w:r>
        <w:rPr>
          <w:rFonts w:eastAsia="IRNazanin" w:cs="IRNazanin"/>
          <w:color w:val="111111"/>
          <w:sz w:val="28"/>
          <w:szCs w:val="28"/>
          <w:rtl w:val="true"/>
          <w:lang w:bidi="fa-IR"/>
        </w:rPr>
        <w:t>.</w:t>
      </w:r>
    </w:p>
    <w:p>
      <w:pPr>
        <w:pStyle w:val="Heading3"/>
        <w:numPr>
          <w:ilvl w:val="2"/>
          <w:numId w:val="1"/>
        </w:numPr>
        <w:rPr/>
      </w:pPr>
      <w:bookmarkStart w:id="43" w:name="__RefHeading___Toc3433725_1051229030"/>
      <w:bookmarkStart w:id="44" w:name="_Toc13"/>
      <w:bookmarkEnd w:id="43"/>
      <w:r>
        <w:rPr>
          <w:rtl w:val="true"/>
        </w:rPr>
        <w:t>مقدّمة پنجم</w:t>
      </w:r>
      <w:r>
        <w:rPr>
          <w:rtl w:val="true"/>
        </w:rPr>
        <w:t xml:space="preserve">: </w:t>
      </w:r>
      <w:r>
        <w:rPr>
          <w:rtl w:val="true"/>
        </w:rPr>
        <w:t>ترتیب عدل‌ها</w:t>
      </w:r>
      <w:bookmarkEnd w:id="44"/>
    </w:p>
    <w:p>
      <w:pPr>
        <w:pStyle w:val="BookText"/>
        <w:rPr/>
      </w:pPr>
      <w:r>
        <w:rPr>
          <w:rFonts w:ascii="IRNazanin" w:hAnsi="IRNazanin" w:eastAsia="IRNazanin"/>
          <w:color w:val="111111"/>
          <w:sz w:val="28"/>
          <w:sz w:val="28"/>
          <w:szCs w:val="28"/>
          <w:rtl w:val="true"/>
          <w:lang w:bidi="fa-IR"/>
        </w:rPr>
        <w:t>اين عدل‌هاي پنجگانه، همچون اصل حقايق، از نظر رتبه، به شکل زير مرتّب مي‌شوند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بغض مي‌باشد که امري قلبي است، و چون به ظاهر جلوه کند تبغّض مي‌شود، و وقتي تبغّض با اعتقاد به عدم سرپرستي دشمن مبغوض، توأم شود، برائت تولّد مي‌يابد، و چون اين برائت ظاهرگردد، تبرّي محقّق مي‌شود، ولي چون ممکن است در عين تبرّي، اطاعت عملي هم باشد، لذا وقتي به مرتبة شديد عصيان عملي </w:t>
      </w:r>
      <w:bookmarkStart w:id="45" w:name="pg10706_113896"/>
    </w:p>
    <w:p>
      <w:pPr>
        <w:pStyle w:val="BookText"/>
        <w:rPr/>
      </w:pPr>
      <w:bookmarkEnd w:id="45"/>
      <w:r>
        <w:rPr>
          <w:rFonts w:ascii="IRNazanin" w:hAnsi="IRNazanin" w:eastAsia="IRNazanin"/>
          <w:color w:val="111111"/>
          <w:sz w:val="28"/>
          <w:sz w:val="28"/>
          <w:szCs w:val="28"/>
          <w:rtl w:val="true"/>
          <w:lang w:bidi="fa-IR"/>
        </w:rPr>
        <w:t>برسد، تمرّدي که مقابل تشيّع است، تحقّق مي‌يابد</w:t>
      </w:r>
      <w:r>
        <w:rPr>
          <w:rFonts w:eastAsia="IRNazanin" w:cs="IRNazanin"/>
          <w:color w:val="111111"/>
          <w:sz w:val="28"/>
          <w:szCs w:val="28"/>
          <w:rtl w:val="true"/>
          <w:lang w:bidi="fa-IR"/>
        </w:rPr>
        <w:t>.</w:t>
      </w:r>
    </w:p>
    <w:p>
      <w:pPr>
        <w:pStyle w:val="Heading3"/>
        <w:numPr>
          <w:ilvl w:val="2"/>
          <w:numId w:val="1"/>
        </w:numPr>
        <w:rPr/>
      </w:pPr>
      <w:bookmarkStart w:id="46" w:name="__RefHeading___Toc3433727_1051229030"/>
      <w:bookmarkStart w:id="47" w:name="_Toc14"/>
      <w:bookmarkEnd w:id="46"/>
      <w:r>
        <w:rPr>
          <w:rtl w:val="true"/>
        </w:rPr>
        <w:t>مقدّمة ششم</w:t>
      </w:r>
      <w:r>
        <w:rPr>
          <w:rtl w:val="true"/>
        </w:rPr>
        <w:t xml:space="preserve">: </w:t>
      </w:r>
      <w:r>
        <w:rPr>
          <w:rtl w:val="true"/>
        </w:rPr>
        <w:t>متعلَّق اصل‌ها و عدل‌ها</w:t>
      </w:r>
      <w:bookmarkEnd w:id="47"/>
    </w:p>
    <w:p>
      <w:pPr>
        <w:pStyle w:val="BookText"/>
        <w:rPr/>
      </w:pPr>
      <w:r>
        <w:rPr>
          <w:rFonts w:ascii="IRNazanin" w:hAnsi="IRNazanin" w:eastAsia="IRNazanin"/>
          <w:color w:val="111111"/>
          <w:sz w:val="28"/>
          <w:sz w:val="28"/>
          <w:szCs w:val="28"/>
          <w:rtl w:val="true"/>
          <w:lang w:bidi="fa-IR"/>
        </w:rPr>
        <w:t>متعلَّق عدل‌ها که همه بر پاية مبغضت مي‌باشند، دشمن است؛ همانگونه که متعلَّق اصل‌ها ، دوست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متعلَّق عدل‌ها نمي‌تواند همچون متعلَّق اصل‌ها دوست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اصل‌ها و عدل‌ها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مثبت از اصول و فروع دين شمرده شده‌اند</w:t>
      </w:r>
      <w:r>
        <w:rPr>
          <w:rStyle w:val="FootnoteAnchor"/>
          <w:rtl w:val="true"/>
        </w:rPr>
        <w:footnoteReference w:id="23"/>
      </w:r>
      <w:r>
        <w:rPr>
          <w:rFonts w:ascii="IRNazanin" w:hAnsi="IRNazanin" w:eastAsia="IRNazanin"/>
          <w:color w:val="111111"/>
          <w:sz w:val="28"/>
          <w:sz w:val="28"/>
          <w:szCs w:val="28"/>
          <w:rtl w:val="true"/>
          <w:lang w:bidi="fa-IR"/>
        </w:rPr>
        <w:t xml:space="preserve">و الاّ اگر در متعلَّق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اصل‌ها و عدل‌ها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ملاحظه شود، لازم مي‌آيد که عدل‌ها بر خلاف اصل‌ها ، به طور منفي در عداد اصول يا فروع دين قرار گيرند، در حالي که برحسب مشهور، عدل‌ها همچون اصل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به طور مثبت از اصول دين و فروع آن شمرده شده است</w:t>
      </w:r>
      <w:r>
        <w:rPr>
          <w:rStyle w:val="FootnoteAnchor"/>
          <w:rtl w:val="true"/>
        </w:rPr>
        <w:footnoteReference w:id="24"/>
      </w:r>
      <w:r>
        <w:rPr>
          <w:rFonts w:ascii="IRNazanin" w:hAnsi="IRNazanin" w:eastAsia="IRNazanin"/>
          <w:color w:val="111111"/>
          <w:sz w:val="28"/>
          <w:sz w:val="28"/>
          <w:szCs w:val="28"/>
          <w:rtl w:val="true"/>
          <w:lang w:bidi="fa-IR"/>
        </w:rPr>
        <w:t>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برائت و تبرّي بايد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نبايد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از دوست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بنابراين، بغض و يا برائت از دشمن نه از دوست، از شعب اصول عقايد بوده، و تبغّض و تبرّي از دشمن نه از دوست، از فروع </w:t>
      </w:r>
      <w:bookmarkStart w:id="48" w:name="pg10706_113897"/>
    </w:p>
    <w:p>
      <w:pPr>
        <w:pStyle w:val="BookText"/>
        <w:rPr/>
      </w:pPr>
      <w:bookmarkEnd w:id="48"/>
      <w:r>
        <w:rPr>
          <w:rFonts w:ascii="IRNazanin" w:hAnsi="IRNazanin" w:eastAsia="IRNazanin"/>
          <w:color w:val="111111"/>
          <w:sz w:val="28"/>
          <w:sz w:val="28"/>
          <w:szCs w:val="28"/>
          <w:rtl w:val="true"/>
          <w:lang w:bidi="fa-IR"/>
        </w:rPr>
        <w:t>دين مي‌باشد؛ چنان که تمرّد از دستور دشمن، عدل تشيّع که اطاعت</w:t>
      </w:r>
    </w:p>
    <w:p>
      <w:pPr>
        <w:pStyle w:val="BookText"/>
        <w:rPr/>
      </w:pPr>
      <w:r>
        <w:rPr>
          <w:rFonts w:ascii="Amiri" w:hAnsi="Amiri" w:eastAsia="Amiri" w:cs="Amiri"/>
          <w:color w:val="111111"/>
          <w:sz w:val="28"/>
          <w:sz w:val="28"/>
          <w:szCs w:val="28"/>
          <w:rtl w:val="true"/>
          <w:lang w:bidi="ar-SA"/>
        </w:rPr>
        <w:t>از دستور دوست است، مي‌باشد</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433729_1051229030"/>
      <w:bookmarkStart w:id="50" w:name="_Toc15"/>
      <w:bookmarkEnd w:id="49"/>
      <w:r>
        <w:rPr>
          <w:rtl w:val="true"/>
        </w:rPr>
        <w:t>مقدّمة هفتم</w:t>
      </w:r>
      <w:r>
        <w:rPr>
          <w:rtl w:val="true"/>
        </w:rPr>
        <w:t xml:space="preserve">: </w:t>
      </w:r>
      <w:r>
        <w:rPr>
          <w:rtl w:val="true"/>
        </w:rPr>
        <w:t>بیان معانی اصل‌ها و عدل‌ها</w:t>
      </w:r>
      <w:bookmarkEnd w:id="50"/>
    </w:p>
    <w:p>
      <w:pPr>
        <w:pStyle w:val="BookText"/>
        <w:rPr/>
      </w:pPr>
      <w:r>
        <w:rPr>
          <w:rFonts w:ascii="IRNazanin" w:hAnsi="IRNazanin" w:eastAsia="IRNazanin"/>
          <w:color w:val="111111"/>
          <w:sz w:val="28"/>
          <w:sz w:val="28"/>
          <w:szCs w:val="28"/>
          <w:rtl w:val="true"/>
          <w:lang w:bidi="fa-IR"/>
        </w:rPr>
        <w:t>هر يک از محبّت و مبغضت که پاية اصل‌ها و عدل‌ها مي‌باشند، سه معني دارند</w:t>
      </w:r>
      <w:r>
        <w:rPr>
          <w:rFonts w:eastAsia="IRNazanin" w:cs="IRNazanin"/>
          <w:color w:val="111111"/>
          <w:sz w:val="28"/>
          <w:szCs w:val="28"/>
          <w:rtl w:val="true"/>
          <w:lang w:bidi="fa-IR"/>
        </w:rPr>
        <w:t>.</w:t>
        <w:softHyphen/>
      </w:r>
      <w:r>
        <w:rPr>
          <w:rFonts w:ascii="IRNazanin" w:hAnsi="IRNazanin" w:eastAsia="IRNazanin"/>
          <w:color w:val="111111"/>
          <w:sz w:val="28"/>
          <w:sz w:val="28"/>
          <w:szCs w:val="28"/>
          <w:rtl w:val="true"/>
          <w:lang w:bidi="fa-IR"/>
        </w:rPr>
        <w:t>براي هريک از آن اصل‌ها و عدل‌ها هم سه معني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 معناي ساده و حقيقي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معناي 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معناي کامل‌تر و جامع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اين سه معني، به شرح زير است</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لحاظ محبّت و مبغضت دربارة شخص و يا شخصيّتي، يکي از اين سه حالت را داراست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بي‌تفاوت در دوستي و دشمني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انسان، وقتي موظّف شد که نسبت به شخص يا شخصيّتي، دوست باشد، ديگر نمي‌تواند نسبت به او دشمن يا بي‌تفاوت در دوستي باشد، بلکه بايد دوست او باشد و نسبت به او، دشمن يا بي‌تفاوت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وقتي موظّف شد که دشمن باشد، ديگر نمي‌تواند نسبت به او، دوست يا بي‌تفاوت در دشمني باشد، بلکه بايد دشمن او باشد و دوست يا بي‌تفاوت در دشمني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دوستي يا دشمني و معني سادة آنهاست</w:t>
      </w:r>
      <w:r>
        <w:rPr>
          <w:rFonts w:eastAsia="IRNazanin" w:cs="IRNazanin"/>
          <w:color w:val="111111"/>
          <w:sz w:val="28"/>
          <w:szCs w:val="28"/>
          <w:rtl w:val="true"/>
          <w:lang w:bidi="fa-IR"/>
        </w:rPr>
        <w:t xml:space="preserve">. </w:t>
      </w:r>
      <w:bookmarkStart w:id="51" w:name="pg10706_113898"/>
    </w:p>
    <w:p>
      <w:pPr>
        <w:pStyle w:val="BookText"/>
        <w:rPr/>
      </w:pPr>
      <w:bookmarkEnd w:id="51"/>
      <w:r>
        <w:rPr>
          <w:rFonts w:ascii="IRNazanin" w:hAnsi="IRNazanin" w:eastAsia="IRNazanin"/>
          <w:color w:val="111111"/>
          <w:sz w:val="28"/>
          <w:sz w:val="28"/>
          <w:szCs w:val="28"/>
          <w:rtl w:val="true"/>
          <w:lang w:bidi="fa-IR"/>
        </w:rPr>
        <w:t>امّا منظور از دوستي و يا دشمني کامل</w:t>
      </w:r>
      <w:r>
        <w:rPr>
          <w:rStyle w:val="FootnoteAnchor"/>
          <w:rtl w:val="true"/>
        </w:rPr>
        <w:footnoteReference w:id="25"/>
      </w:r>
      <w:r>
        <w:rPr>
          <w:rFonts w:ascii="IRNazanin" w:hAnsi="IRNazanin" w:eastAsia="IRNazanin"/>
          <w:color w:val="111111"/>
          <w:sz w:val="28"/>
          <w:sz w:val="28"/>
          <w:szCs w:val="28"/>
          <w:rtl w:val="true"/>
          <w:lang w:bidi="fa-IR"/>
        </w:rPr>
        <w:t>آن است که نسبت به دوستان دوست هم دوست باشد و دشمن يا بي‌تفاوت نباشد، و در دشمني، نسبت به دوستان دشمن هم دشمن باشد و دوست يا بي‌تفاوت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دوستي و يا دشمني کامل‌تر و جامع آن است که نسبت به دشمنان دوست هم دشمن باشد، و دوست يا بي‌تفاوت نباشد، و در دشمني، نسبت به دشمنان دشمن، دوست باشد و دشمن يا بي‌تفاوت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براي محبّت که پاية اصل‌ها و مبغضت که پايه عدل‌ها است، سه معني باشد، پس بر همين قياس براي هر يک از خود اصل‌ها و عدل‌هايي که بر آن پايه‌اند، همان سه معني، تحقّق دارد؛ چنان که اشاره شد</w:t>
      </w:r>
      <w:r>
        <w:rPr>
          <w:rFonts w:eastAsia="IRNazanin" w:cs="IRNazanin"/>
          <w:color w:val="111111"/>
          <w:sz w:val="28"/>
          <w:szCs w:val="28"/>
          <w:rtl w:val="true"/>
          <w:lang w:bidi="fa-IR"/>
        </w:rPr>
        <w:t>.</w:t>
      </w:r>
    </w:p>
    <w:p>
      <w:pPr>
        <w:pStyle w:val="Heading3"/>
        <w:numPr>
          <w:ilvl w:val="2"/>
          <w:numId w:val="1"/>
        </w:numPr>
        <w:rPr/>
      </w:pPr>
      <w:bookmarkStart w:id="52" w:name="__RefHeading___Toc3433731_1051229030"/>
      <w:bookmarkStart w:id="53" w:name="_Toc16"/>
      <w:bookmarkEnd w:id="52"/>
      <w:r>
        <w:rPr>
          <w:rtl w:val="true"/>
        </w:rPr>
        <w:t>مقدّمة هشتم</w:t>
      </w:r>
      <w:r>
        <w:rPr>
          <w:rtl w:val="true"/>
        </w:rPr>
        <w:t xml:space="preserve">: </w:t>
      </w:r>
      <w:r>
        <w:rPr>
          <w:rtl w:val="true"/>
        </w:rPr>
        <w:t>بررسی معانی اصل‌ها و عدل‌ها</w:t>
      </w:r>
      <w:bookmarkEnd w:id="5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مقدّمة سوّم و چهارم معلوم شد که به ترتيب مرتّب، اصل آن حقايق در همديگر منظور، و دست آخر، در تشيّع مجتمعند، و عدل‌هاي آنها نيز در همديگر منظور و در آخر، در تمرّد علني جمعند، ولي اين انطوا و اندراج، به اعتبار معناي ساده و يا معناي </w:t>
      </w:r>
    </w:p>
    <w:p>
      <w:pPr>
        <w:pStyle w:val="BookText"/>
        <w:rPr/>
      </w:pPr>
      <w:r>
        <w:rPr>
          <w:rFonts w:ascii="IRNazanin" w:hAnsi="IRNazanin" w:eastAsia="IRNazanin"/>
          <w:color w:val="111111"/>
          <w:sz w:val="28"/>
          <w:sz w:val="28"/>
          <w:szCs w:val="28"/>
          <w:rtl w:val="true"/>
          <w:lang w:bidi="fa-IR"/>
        </w:rPr>
        <w:t>کامل مذکور در مقدّمة هفتم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محبّت به هر يک از آن دو معني در تحبّب و هم در ولايت مندرج و هر سه در تولّي منظور، و هر چهار رتبه، در تشيّع وجود دارند</w:t>
      </w:r>
      <w:r>
        <w:rPr>
          <w:rStyle w:val="FootnoteAnchor"/>
          <w:rtl w:val="true"/>
        </w:rPr>
        <w:footnoteReference w:id="26"/>
      </w:r>
      <w:r>
        <w:rPr>
          <w:rFonts w:ascii="IRNazanin" w:hAnsi="IRNazanin" w:eastAsia="IRNazanin"/>
          <w:color w:val="111111"/>
          <w:sz w:val="28"/>
          <w:sz w:val="28"/>
          <w:szCs w:val="28"/>
          <w:rtl w:val="true"/>
          <w:lang w:bidi="fa-IR"/>
        </w:rPr>
        <w:t>و همچنين مبغضت به هر يک از آن دو معني در تبغّض و هم در برائت مندرج، و هر سه در تبرّي، و هر چهار رتبه، در تمرّد عملي مجموعند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لحاظ معناي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معناي جامع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يک از اصل‌ها، عدل مقابل آن اصل، مندرج است و در هر يک از عدل‌ها، اصل مقابل آن عدل،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محبّت به معناي سوّم خود، شامل مبغضت</w:t>
      </w:r>
      <w:r>
        <w:rPr>
          <w:rStyle w:val="FootnoteAnchor"/>
          <w:rtl w:val="true"/>
        </w:rPr>
        <w:footnoteReference w:id="27"/>
      </w:r>
      <w:r>
        <w:rPr>
          <w:rFonts w:ascii="IRNazanin" w:hAnsi="IRNazanin" w:eastAsia="IRNazanin"/>
          <w:color w:val="111111"/>
          <w:sz w:val="28"/>
          <w:sz w:val="28"/>
          <w:szCs w:val="28"/>
          <w:rtl w:val="true"/>
          <w:lang w:bidi="fa-IR"/>
        </w:rPr>
        <w:t>مي‌باشد، و تحبّب نيز به همان معنا، شامل تبغّض است، و همچنين مبغضت به معناي جامع خود، شامل محبّت و تبغّض شامل تحبّب مي‌باشد و همچنين در باقي رتبه‌ها؛ زيرا مقتضاي داشتن معاني جامع، آن است که مثلاً در امر محبّت و يا مبغضت، گذشته بر واجديّت معاني ساده و کامل آن</w:t>
      </w:r>
      <w:r>
        <w:rPr>
          <w:rStyle w:val="FootnoteAnchor"/>
          <w:rtl w:val="true"/>
        </w:rPr>
        <w:footnoteReference w:id="28"/>
      </w:r>
      <w:r>
        <w:rPr>
          <w:rFonts w:ascii="IRNazanin" w:hAnsi="IRNazanin" w:eastAsia="IRNazanin"/>
          <w:color w:val="111111"/>
          <w:sz w:val="28"/>
          <w:sz w:val="28"/>
          <w:szCs w:val="28"/>
          <w:rtl w:val="true"/>
          <w:lang w:bidi="fa-IR"/>
        </w:rPr>
        <w:t xml:space="preserve">،نسبت به </w:t>
      </w:r>
    </w:p>
    <w:p>
      <w:pPr>
        <w:pStyle w:val="BookText"/>
        <w:rPr/>
      </w:pPr>
      <w:r>
        <w:rPr>
          <w:rFonts w:ascii="IRNazanin" w:hAnsi="IRNazanin" w:eastAsia="IRNazanin"/>
          <w:color w:val="111111"/>
          <w:sz w:val="28"/>
          <w:sz w:val="28"/>
          <w:szCs w:val="28"/>
          <w:rtl w:val="true"/>
          <w:lang w:bidi="fa-IR"/>
        </w:rPr>
        <w:t>دشمنانِ دوست هم دشمن باشد و دوست يا بي‌تفاوت نباشد، و يا نسبت به دشمنان دشمن، دوست باشد و دشمن يا بي‌تفاوت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در معناي جامع محبّت و دوستي، دشمني، و در معناي جامع مبغضت و دشمني، دوستي منظور خواهد بود، به طوري که اگر در محبّتي، بغض نسبت به دشمنان، نباشد، حقيقت محبّت از چنين محبّتي، صحّت سلب خواهد داشت و مي‌توان گفت که محبّت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اگر در مبغضتي، حبّ نسبت به دوستان، مورد نظر نباشد، حقيقت مبغضت از چنين مبغضتي، صحّت سلب داشته و مي‌توان گفت که مبغضت،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همين قياس است ساير اصل‌ها و عدل‌هاي مبنيّ بر اين محبّت و مبغضت، بلکه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هيچ يک از معاني اصل‌ها تحقّق نمي‌يابد، مگر به تحقّق عدل آن؛ چنان که معناي عدل هر يک محقّق و حاصل نشود، مگر به تحقّق اصل آن</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هر چند بر حسب ظاهر، معناي ساده و معناي غير جامع هر يک از اين حقايق، معادل دارند که با آن متقابلند، ولي در حقيقت آنچه در مقابل اعتبار شده، در آن حقايق، مندرج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يک از دو اصل و عدل در واقع، از يک حقيقت خبر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تمام اصل‌ها و عدل‌ها همه و همه در يک اصل </w:t>
      </w:r>
      <w:bookmarkStart w:id="54" w:name="pg10706_113901"/>
    </w:p>
    <w:p>
      <w:pPr>
        <w:pStyle w:val="BookText"/>
        <w:rPr/>
      </w:pPr>
      <w:bookmarkEnd w:id="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در يک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معناي جامعشان مندرج مي‌باشند</w:t>
      </w:r>
      <w:r>
        <w:rPr>
          <w:rStyle w:val="FootnoteAnchor"/>
          <w:rtl w:val="true"/>
        </w:rPr>
        <w:footnoteReference w:id="29"/>
      </w:r>
      <w:r>
        <w:rPr>
          <w:rFonts w:ascii="IRNazanin" w:hAnsi="IRNazanin" w:eastAsia="IRNazanin"/>
          <w:color w:val="111111"/>
          <w:sz w:val="28"/>
          <w:sz w:val="28"/>
          <w:szCs w:val="28"/>
          <w:rtl w:val="true"/>
          <w:lang w:bidi="fa-IR"/>
        </w:rPr>
        <w:t xml:space="preserve">و نتيجة النتایج آنکه تمام ده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اصل‌ها و عدل‌ها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امري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يا عدل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واضح شد که تولّي و تبرّي که به دو فرع از فروع دين شهرت يافته‌اند، در واقع امر، يک حقيقت بيش نيستند، و شايد براي روشن شدن حقيقت امر و تجزيه و تحليل موضوع، از يک امر به دو عنوان، تعبير شده است</w:t>
      </w:r>
      <w:r>
        <w:rPr>
          <w:rFonts w:eastAsia="IRNazanin" w:cs="IRNazanin"/>
          <w:color w:val="111111"/>
          <w:sz w:val="28"/>
          <w:szCs w:val="28"/>
          <w:rtl w:val="true"/>
          <w:lang w:bidi="fa-IR"/>
        </w:rPr>
        <w:t>.</w:t>
      </w:r>
    </w:p>
    <w:p>
      <w:pPr>
        <w:pStyle w:val="Heading3"/>
        <w:numPr>
          <w:ilvl w:val="2"/>
          <w:numId w:val="1"/>
        </w:numPr>
        <w:rPr/>
      </w:pPr>
      <w:bookmarkStart w:id="55" w:name="__RefHeading___Toc3433733_1051229030"/>
      <w:bookmarkStart w:id="56" w:name="_Toc17"/>
      <w:bookmarkEnd w:id="55"/>
      <w:r>
        <w:rPr>
          <w:rtl w:val="true"/>
        </w:rPr>
        <w:t>مقدّمة نهم</w:t>
      </w:r>
      <w:r>
        <w:rPr>
          <w:rtl w:val="true"/>
        </w:rPr>
        <w:t xml:space="preserve">: </w:t>
      </w:r>
      <w:r>
        <w:rPr>
          <w:rtl w:val="true"/>
        </w:rPr>
        <w:t>ابعاد مثبت و منفی معانی مذکور</w:t>
      </w:r>
      <w:bookmarkEnd w:id="56"/>
    </w:p>
    <w:p>
      <w:pPr>
        <w:pStyle w:val="BookText"/>
        <w:rPr/>
      </w:pPr>
      <w:r>
        <w:rPr>
          <w:rFonts w:ascii="IRNazanin" w:hAnsi="IRNazanin" w:eastAsia="IRNazanin"/>
          <w:color w:val="111111"/>
          <w:sz w:val="28"/>
          <w:sz w:val="28"/>
          <w:szCs w:val="28"/>
          <w:rtl w:val="true"/>
          <w:lang w:bidi="fa-IR"/>
        </w:rPr>
        <w:t xml:space="preserve">از مقدّمة هفتم معلوم شد که هر يک از اصل‌ها و عدل‌ها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پاية دوستي و دشمني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خود دوستي و دشمني، سه معني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بايد گفت که هر يک از آن سه معني داراي بُعدِ مثبت و منفي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بيان که هر يک از معاني ساده و کامل و کامل‌تر دوستي و دشمني، دو بُعد دارند، و دو بُعد معاني اصل‌ها و عدل‌هاي ديگر، بر آن قياس مي‌شود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مثبت معناي سادة اصل دوستي، آن است که نسبت به شخصيّت مورد نظر، دوست باشد، و بُعد منفي اين معنا، آن است که نسبت به او دشمن يا بي‌تفاوت در دوستي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مثبت معناي سادة دشمني، آن است که نسبت به آن شخص، دشمن باشد، </w:t>
      </w:r>
    </w:p>
    <w:p>
      <w:pPr>
        <w:pStyle w:val="BookText"/>
        <w:rPr/>
      </w:pPr>
      <w:r>
        <w:rPr>
          <w:rFonts w:ascii="IRNazanin" w:hAnsi="IRNazanin" w:eastAsia="IRNazanin"/>
          <w:color w:val="111111"/>
          <w:sz w:val="28"/>
          <w:sz w:val="28"/>
          <w:szCs w:val="28"/>
          <w:rtl w:val="true"/>
          <w:lang w:bidi="fa-IR"/>
        </w:rPr>
        <w:t>و بُعد منفي آن، اين است که دوست يا بي‌تفاوت در دشمني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مثبت معناي کامل دوستي، آن است که گذشته بر داشتن بُعد مثبت معناي سادة اصل دوستي، دوست دوستان آن شخصيّت هم باشد، و بُعد منفي آن، اين است که علاوه بر داشتن بُعد منفي اصل دوستي ساده، دشمن دوستان آن شخصيّت يا بي‌تفاوت در آن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مثبت معناي کامل دشمني نيز آن است که هم داراي بُعد مثبت معناي سادة دشمني باشد، و هم دشمن دوستان آن شخص باشد، و بُعد منفي آن، به اين بيان است که گذشته بر داشتن بُعد منفي معناي سادة دشمني، دشمن دوستان آن شخص يا بي‌تفاوت در آن دشمني نباشد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بُعد مثبت معناي کامل‌تر دوستي، آن است که علاوه بر داشتن بُعدهاي مثبت معاني ساده و کامل اصل دوستي، دشمن دشمنان آن شخصيّت هم باشد، و بُعد منفي آن، اين است که گذشته بر داشتن بُعدهاي منفي معاني ساده و کامل دوستي، دوست آن دشمنان يا بي‌تفاوت در آن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مثبت معناي کامل‌تر دشمني، آن است که داراي بُعدهاي مثبت معاني ساده و کامل دشمني باشد و دوست دشمنان آن شخص هم باشد، و بُعد منفي آن، عبارت از اين است که علاوه بر داشتن بُعدهاي منفي معاني ساده و کامل دشمني، دشمن آن دشمنان يا بي‌تفاوت در آن دشمني نباشد؛ دقّت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دوستي کامل و جامع نسبت به شخصيّتي، محقّق نمي‌شود مگر به تحقّق تمام و کمال ابعاد مذکور آن</w:t>
      </w:r>
      <w:r>
        <w:rPr>
          <w:rStyle w:val="FootnoteAnchor"/>
          <w:rtl w:val="true"/>
        </w:rPr>
        <w:footnoteReference w:id="30"/>
      </w:r>
      <w:r>
        <w:rPr>
          <w:rFonts w:ascii="IRNazanin" w:hAnsi="IRNazanin" w:eastAsia="IRNazanin"/>
          <w:color w:val="111111"/>
          <w:sz w:val="28"/>
          <w:sz w:val="28"/>
          <w:szCs w:val="28"/>
          <w:rtl w:val="true"/>
          <w:lang w:bidi="fa-IR"/>
        </w:rPr>
        <w:t>، به این ترتیب که اوّلاً نسبت به خود آن شخصيّت دوست باشد و دشمن يا بي‌تفاوت نباشد و ثانياً نسبت به دوستان او دوست باشد و دشمن يا بي‌تفاوت نباشد، و ثالثاً نسبت به دشمنان او دشمن باشد و دوست يا بي‌تفاوت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تحقّق دوستي، شش بُعد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بُعد مثبت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دوستي با خود شخص و دوستي با دوستان او و</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و دشمني با دشمنان او و</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 و سه بُعد منفي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دشمني با خود شخص و دشمني با دوستان او و</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و دوستي با دشمنان او و</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خلاصه، هم بايد دوست او و دوست دوستان او و دشمن دشمنان او بود، و هم نبايد دشمن او و دشمن دوستان او و دوست دشمنان او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همين دوستي جامع، دشمني جامع قياس مي‌شود</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ابعادي اينگونه براي دوستي و دشمني به لحاظ هر يک از معاني سه‌گانه، محقّق است، پس براي ساير اصل‌ها و عدل‌ها که بر </w:t>
      </w:r>
      <w:bookmarkStart w:id="57" w:name="pg10706_113904"/>
    </w:p>
    <w:p>
      <w:pPr>
        <w:pStyle w:val="BookText"/>
        <w:rPr/>
      </w:pPr>
      <w:bookmarkEnd w:id="57"/>
      <w:r>
        <w:rPr>
          <w:rFonts w:ascii="IRNazanin" w:hAnsi="IRNazanin" w:eastAsia="IRNazanin"/>
          <w:color w:val="111111"/>
          <w:sz w:val="28"/>
          <w:sz w:val="28"/>
          <w:szCs w:val="28"/>
          <w:rtl w:val="true"/>
          <w:lang w:bidi="fa-IR"/>
        </w:rPr>
        <w:t>اين دو پايه، مبتني هستند نيز همان ابعاد، ساري و جاري خواهد بود</w:t>
      </w:r>
      <w:r>
        <w:rPr>
          <w:rFonts w:eastAsia="IRNazanin" w:cs="IRNazanin"/>
          <w:color w:val="111111"/>
          <w:sz w:val="28"/>
          <w:szCs w:val="28"/>
          <w:rtl w:val="true"/>
          <w:lang w:bidi="fa-IR"/>
        </w:rPr>
        <w:t>.</w:t>
      </w:r>
    </w:p>
    <w:p>
      <w:pPr>
        <w:pStyle w:val="Heading3"/>
        <w:numPr>
          <w:ilvl w:val="2"/>
          <w:numId w:val="1"/>
        </w:numPr>
        <w:rPr/>
      </w:pPr>
      <w:bookmarkStart w:id="58" w:name="__RefHeading___Toc3433735_1051229030"/>
      <w:bookmarkStart w:id="59" w:name="_Toc18"/>
      <w:bookmarkEnd w:id="58"/>
      <w:r>
        <w:rPr>
          <w:rtl w:val="true"/>
        </w:rPr>
        <w:t>مقدّمة دهم</w:t>
      </w:r>
      <w:r>
        <w:rPr>
          <w:rtl w:val="true"/>
        </w:rPr>
        <w:t xml:space="preserve">: </w:t>
      </w:r>
      <w:r>
        <w:rPr>
          <w:rtl w:val="true"/>
        </w:rPr>
        <w:t>نسبت بین اصل‌ها و عدل‌ها</w:t>
      </w:r>
      <w:bookmarkEnd w:id="59"/>
    </w:p>
    <w:p>
      <w:pPr>
        <w:pStyle w:val="BookText"/>
        <w:rPr/>
      </w:pPr>
      <w:r>
        <w:rPr>
          <w:rFonts w:ascii="IRNazanin" w:hAnsi="IRNazanin" w:eastAsia="IRNazanin"/>
          <w:color w:val="111111"/>
          <w:sz w:val="28"/>
          <w:sz w:val="28"/>
          <w:szCs w:val="28"/>
          <w:rtl w:val="true"/>
          <w:lang w:bidi="fa-IR"/>
        </w:rPr>
        <w:t>اين مقدّمه دربارة نسبت بين اصل‌ها با همديگر و همچنين عدل‌ها با يکديگر</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آري، نسبت بين تشيّع و تمرّد به معناي جامع، ترادف است که بر همديگر صادقند؛ چنان که در مقدّمة سابق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مطلب به شرح زير است</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اين امور دهگانه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امر محبّت و ولايت و عدل‌هاي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 قلبي هستند، منتها در امر تحبّب، تولّي و تشيّع و عدل‌هاي اين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در تشيّع و عدلش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بر قلبي بودن، عمل تظاهر و طاعت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سه اصل، اخصّ از آن دو اصل است که تنها قلبي بودند و عدل آنها هم اخصّ از آن دو عدل قلبي است و نسبت بين آنها عموم مطلق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اينکه معناي آنها، همان معناي ساده باشد و يا معناي کامل و يا معناي جامع؛ چه هر کدام از آنها به هر معنايي که باشند، برحسب همان معنا، به ترتيب مرتّب اعمّند از ديگري؛ مثلاً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معناي جامعش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تحبّب و ولايت اعمّ است، و تحبّب و </w:t>
      </w:r>
      <w:bookmarkStart w:id="60" w:name="pg10706_113905"/>
    </w:p>
    <w:p>
      <w:pPr>
        <w:pStyle w:val="BookText"/>
        <w:rPr/>
      </w:pPr>
      <w:bookmarkEnd w:id="60"/>
      <w:r>
        <w:rPr>
          <w:rFonts w:ascii="IRNazanin" w:hAnsi="IRNazanin" w:eastAsia="IRNazanin"/>
          <w:color w:val="111111"/>
          <w:sz w:val="28"/>
          <w:sz w:val="28"/>
          <w:szCs w:val="28"/>
          <w:rtl w:val="true"/>
          <w:lang w:bidi="fa-IR"/>
        </w:rPr>
        <w:t>ولايت، از تولّي اعمّ بوده و تولّي از تشيّع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نسبت در عدل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بين تحبّب با ولايت و نيز تبغّض با برائت، عموم مطلق و يا من وجه نيست، بلکه تباين است؛ زيرا تحبّب، اظهار محبّت است، و ولايت، محبّت قلبي توأم با اعتقاد به سرپرستي محبوب مي‌باشد، و بر همين قياس است مبغضت و برائت؛ چنان که واضح است و سابقاً هم اشاره شد</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آري، براي ولايت و شايد براي برائت نيز معناي ديگري است که با آن سه معنا که براي ولايت ذکر شد، اشتراک لفظي دارد، و آن معنا، نفس سرپرستي و صاحب اختياري مي‌باشد که امري خارجي و غير قلبي است، و نسبتش با هر سه معناي گذشتة ولايت، متباين است؛ غنيمت شمر</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3433737_1051229030"/>
      <w:bookmarkStart w:id="62" w:name="_Toc19"/>
      <w:bookmarkEnd w:id="61"/>
      <w:r>
        <w:rPr>
          <w:rtl w:val="true"/>
        </w:rPr>
        <w:t>مقدّمة يازدهم</w:t>
      </w:r>
      <w:r>
        <w:rPr>
          <w:rtl w:val="true"/>
        </w:rPr>
        <w:t xml:space="preserve">: </w:t>
      </w:r>
      <w:r>
        <w:rPr>
          <w:rtl w:val="true"/>
        </w:rPr>
        <w:t>لزوم تظاهر در تولّی و تبرّی</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تفعّل و مشتقّ از لغت ولايت و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مقدّمات گذشته نيز معلوم شد که ولايت و برائت، تنها محبّت و يا مبغضت نيستند، بلکه نوع خاصّي از محبّت و مبغضت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لفظ مشتقّ از آنها، مطلق تحبّب </w:t>
      </w:r>
      <w:bookmarkStart w:id="63" w:name="pg10706_113906"/>
    </w:p>
    <w:p>
      <w:pPr>
        <w:pStyle w:val="BookText"/>
        <w:rPr/>
      </w:pPr>
      <w:bookmarkEnd w:id="63"/>
      <w:r>
        <w:rPr>
          <w:rFonts w:ascii="IRNazanin" w:hAnsi="IRNazanin" w:eastAsia="IRNazanin"/>
          <w:color w:val="111111"/>
          <w:sz w:val="28"/>
          <w:sz w:val="28"/>
          <w:szCs w:val="28"/>
          <w:rtl w:val="true"/>
          <w:lang w:bidi="fa-IR"/>
        </w:rPr>
        <w:t>و تبغّض نيست، بلکه تحبّب و تبغّض خاصّي است؛ چه آنکه از جمله معاني باب تفعّل، اتّخاذ فعل است به عنوان 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 تَوَلِّياً فُلاَناً أي اتَّخَذَهُ وَلِيّاً وَکَذَا تَبَرَّأ تبرُّءً</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يعني هر يک از تولّي و تبرّي آن است که انسان کسي را براي خود، دوست خاصّ و يا دشمن ويژه اتّخاذ نمايد، و اين اتّخاذ دوست خاصّ و يا دشمن مخصوص، هرگز صدق نمي‌کند مگر آنکه با نحوه‌اي از تظاهر عملي توأم باشد؛ دقّت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مقدّمة دوّم، بعضي از مطالب مرتبط با اين مقدّمه گذشت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3433739_1051229030"/>
      <w:bookmarkStart w:id="65" w:name="_Toc20"/>
      <w:bookmarkEnd w:id="64"/>
      <w:r>
        <w:rPr>
          <w:rtl w:val="true"/>
        </w:rPr>
        <w:t>مقدّمة دوازدهم</w:t>
      </w:r>
      <w:r>
        <w:rPr>
          <w:rtl w:val="true"/>
        </w:rPr>
        <w:t xml:space="preserve">: </w:t>
      </w:r>
      <w:r>
        <w:rPr>
          <w:rtl w:val="true"/>
        </w:rPr>
        <w:t>لزوم اطاعت عملی در تولّی و تبرّی</w:t>
      </w:r>
      <w:bookmarkEnd w:id="6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مفهوم تولّي، بلکه در حقيقتش، مخصوصاً با توجّه به معناي جامع آن‌که مشتمل بر عِدْلش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مي‌باشد، اطاعت عملي از فرمان محبوب و مولّي عليه، لازم است؛ چون ممکن است شخص، با وجود تولّي و اعتقاد، به ملاحظاتي از اوامر مولي، تمرّد و سرپيچي کند، و در عين حال خود را گنهکار و شرمنده بداند؛ زيرا بين اعتقاد به مُطاعيّت مولي و اطاعت عملي از فرمان او، تلازم نيست، بلکه اين دو، قابل انفکاک است؛ امکان دارد که انسان با آنکه در شعاع نورانيّت تولّي است، در تير‌گي ظلماتِ عصيان و </w:t>
      </w:r>
      <w:bookmarkStart w:id="66" w:name="pg10706_113907"/>
    </w:p>
    <w:p>
      <w:pPr>
        <w:pStyle w:val="BookText"/>
        <w:rPr/>
      </w:pPr>
      <w:bookmarkEnd w:id="66"/>
      <w:r>
        <w:rPr>
          <w:rFonts w:ascii="Amiri" w:hAnsi="Amiri" w:eastAsia="Amiri" w:cs="Amiri"/>
          <w:color w:val="111111"/>
          <w:sz w:val="28"/>
          <w:sz w:val="28"/>
          <w:szCs w:val="28"/>
          <w:rtl w:val="true"/>
          <w:lang w:bidi="ar-SA"/>
        </w:rPr>
        <w:t>نافرماني فرو رفته باشد</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بر همين قياس است تبرّي که پس از تمرّد، مجموعة عدل‌هاي آن حقايق است و در مفهوم و حقيقت آن، عصيان عملي نخوابيده است؛ زيرا ممکن است شخص به عللي عصيان نکند و با وجود اين، خود را مطيع نداند؛ چه آنکه فرق است بين مبغضت و عدم اعتقاد به مطاعيّت شخصي، و بين عدم تمرّد عملي از دستور آن شخص؛ زيرا اين دو نيز قابل تفکيک مي‌باشند؛ ممکن است در عين اينکه ظلمات تبرّي، در شخصي نهفته باشد، در نور ظاهري عدم تمرّد قرار داشته باشد</w:t>
      </w:r>
      <w:r>
        <w:rPr>
          <w:rFonts w:eastAsia="IRNazanin" w:cs="IRNazanin"/>
          <w:color w:val="111111"/>
          <w:sz w:val="28"/>
          <w:szCs w:val="28"/>
          <w:rtl w:val="true"/>
          <w:lang w:bidi="fa-IR"/>
        </w:rPr>
        <w:t>.</w:t>
      </w:r>
    </w:p>
    <w:p>
      <w:pPr>
        <w:pStyle w:val="Heading3"/>
        <w:numPr>
          <w:ilvl w:val="2"/>
          <w:numId w:val="1"/>
        </w:numPr>
        <w:rPr/>
      </w:pPr>
      <w:bookmarkStart w:id="67" w:name="__RefHeading___Toc3433741_1051229030"/>
      <w:bookmarkStart w:id="68" w:name="_Toc21"/>
      <w:bookmarkEnd w:id="67"/>
      <w:r>
        <w:rPr>
          <w:rtl w:val="true"/>
        </w:rPr>
        <w:t>مقدّمة سيزدهم</w:t>
      </w:r>
      <w:r>
        <w:rPr>
          <w:rtl w:val="true"/>
        </w:rPr>
        <w:t xml:space="preserve">: </w:t>
      </w:r>
      <w:r>
        <w:rPr>
          <w:rtl w:val="true"/>
        </w:rPr>
        <w:t>بیان عرض عریض اصل‌ها و عدل‌ها</w:t>
      </w:r>
      <w:bookmarkEnd w:id="6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تمامي حقايق دهگانه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اصل‌ها و عدل‌ها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تولّي و تبرّي، بلکه تشيّع و تمرّد، داراي عرض عريض و طويلي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w:t>
      </w:r>
    </w:p>
    <w:p>
      <w:pPr>
        <w:pStyle w:val="BookText"/>
        <w:rPr/>
      </w:pPr>
      <w:r>
        <w:rPr>
          <w:rFonts w:ascii="IRNazanin" w:hAnsi="IRNazanin" w:eastAsia="IRNazanin"/>
          <w:color w:val="111111"/>
          <w:sz w:val="28"/>
          <w:sz w:val="28"/>
          <w:szCs w:val="28"/>
          <w:rtl w:val="true"/>
          <w:lang w:bidi="fa-IR"/>
        </w:rPr>
        <w:t>معني که متعلّق آنها، تنها به عترت طاهره و ذوي القرباي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ندارد</w:t>
      </w:r>
      <w:r>
        <w:rPr>
          <w:rStyle w:val="FootnoteAnchor"/>
          <w:rtl w:val="true"/>
        </w:rPr>
        <w:footnoteReference w:id="41"/>
      </w:r>
      <w:r>
        <w:rPr>
          <w:rFonts w:ascii="IRNazanin" w:hAnsi="IRNazanin" w:eastAsia="IRNazanin"/>
          <w:color w:val="111111"/>
          <w:sz w:val="28"/>
          <w:sz w:val="28"/>
          <w:szCs w:val="28"/>
          <w:rtl w:val="true"/>
          <w:lang w:bidi="fa-IR"/>
        </w:rPr>
        <w:t xml:space="preserve">،و از ذات مقدّس مبدأ تعالي گرفته تا مختم اوليا حضرت وليّ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مؤخّرات آن، چون نوّاب خاصّه و عامّه و مانند آنها را نيز شامل است که بايد نسبت به کلّيّة آن ذوات مقدّس، بلکه به همة انبيا، اوليا، علما، شهدا و مؤمنين به حقّ و حقيقت، با مراتب مختلفي که دارند، محبّت، تحبّب، ولايت، تولّي و بلکه تشيّع حاصل نمود، و نسبت به اعدا و دشمنان همة آنها مبغضت، تبغّض، برائت، تبرّي و بلکه تمرّد داشت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اعتقاد به مقام عترت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فصول مميّز تشيّع و آخرين ما بِهِ الامتياز مذهب اماميّة اثناعشري از ساير ملل و مذاهب مي‌باشد، لذا در اين مذهب بر اين متعلّق خاصّ، بيشتر تکيه شده و به آن، از باب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که صد آمد، نود هم پيش ماست، اهمّيّت بسزايي داده مي‌شود، حتّي به اندازه‌اي که خودي و بيگانه پندارند که اساساً اين حقايق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تولّي و تشيّع و عدلين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آن متعلّق </w:t>
      </w:r>
    </w:p>
    <w:p>
      <w:pPr>
        <w:pStyle w:val="BookText"/>
        <w:rPr/>
      </w:pPr>
      <w:r>
        <w:rPr>
          <w:rFonts w:ascii="IRNazanin" w:hAnsi="IRNazanin" w:eastAsia="IRNazanin"/>
          <w:color w:val="111111"/>
          <w:sz w:val="28"/>
          <w:sz w:val="28"/>
          <w:szCs w:val="28"/>
          <w:rtl w:val="true"/>
          <w:lang w:bidi="fa-IR"/>
        </w:rPr>
        <w:t xml:space="preserve">خاصّ، مربوط است، غافل از آنکه اين حقايق، به همة آن ذوات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صدر تا منتها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و از آن جهت به عترت طاهره، بلکه به مقام رسالت و نظاير آن، تعلّق يافته که آن بزرگواران از اولياي خاصّ و دوستانِ مخصوص مقام ربوبيّت و کبريايي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دقّت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گذشته بر اين، هر کس نسبت به عترت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داشته باشد، نسبت به مراتب مافوق آن ذوات نيز ولايت خواهد داشت، ولي عکس آن صادق نيست؛ چنان که پوشيده نيست</w:t>
      </w:r>
      <w:r>
        <w:rPr>
          <w:rStyle w:val="FootnoteAnchor"/>
          <w:rtl w:val="true"/>
        </w:rPr>
        <w:footnoteReference w:id="42"/>
      </w:r>
      <w:r>
        <w:rPr>
          <w:rFonts w:ascii="IRNazanin" w:hAnsi="IRNazanin" w:eastAsia="IRNazanin"/>
          <w:color w:val="111111"/>
          <w:sz w:val="28"/>
          <w:sz w:val="28"/>
          <w:szCs w:val="28"/>
          <w:rtl w:val="true"/>
          <w:lang w:bidi="fa-IR"/>
        </w:rPr>
        <w:t>،بلکه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ولايت مراتب مافوق بدون مراتب مادون ميسّر نيست؛ زيرا اوّلاً ولايت از غير طرق مادون، آن طوري که بايد و شايد نسبت به مافوق حاصل نمي‌شود، و لذا اصل معرفت مافوق امکان ندارد مگر از طريق مادون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که خداي متعال، به طور تفصيل و کامل شناخته نمي‌شود مگر پس از شناخت عترت، هرچند به طور اجمالي و به نحو فطري، اوّل باید خدا شناخته شود سپس عترت، و لذا در دعا وارد است که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عَرِّفْنِي نَفْسَكَ فَإِنَّكَ إِنْ لَمْ تُعَرِّفْنِي نَفْسَكَ لَمْ أعْرِفْ نَبِيَّكَ اللَّهُمَّ عَرِّفْنِي رَسُولَكَ فَإِنَّكَ إِنْ لَمْ تُعَرِّفْنِي رَسُولَكَ لَمْ أعْرِفْ </w:t>
      </w:r>
    </w:p>
    <w:p>
      <w:pPr>
        <w:pStyle w:val="BookText"/>
        <w:rPr/>
      </w:pPr>
      <w:r>
        <w:rPr>
          <w:rFonts w:ascii="Amiri" w:hAnsi="Amiri" w:eastAsia="Amiri" w:cs="Amiri"/>
          <w:color w:val="111111"/>
          <w:sz w:val="28"/>
          <w:sz w:val="28"/>
          <w:szCs w:val="28"/>
          <w:rtl w:val="true"/>
          <w:lang w:bidi="ar-SA"/>
        </w:rPr>
        <w:t>حُجَّتَك</w:t>
      </w:r>
      <w:r>
        <w:rPr>
          <w:rFonts w:eastAsia="Amiri" w:cs="Amiri" w:ascii="Amiri" w:hAnsi="Amiri"/>
          <w:color w:val="111111"/>
          <w:sz w:val="28"/>
          <w:szCs w:val="28"/>
          <w:rtl w:val="true"/>
          <w:lang w:bidi="ar-SA"/>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به من بشناسان که اگر خود را به من نشناساني، پيامبرت را نخواهم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رسولت را به من بشناسان که اگر او را به من نشناساني، به حجّت تو آشنايي پيدا نمي‌کنم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طور سير نزولي، اوّلاً بالاجمال والفطرة خداي را مي‌شناسند و از آن طريق، پيغمبر و امام را، ولي مجدّداً براي تحصيل معرفت کامل از طريق امام و عترت سير صعودي کرده، معرفت تفصيلي حضرت حقّ حاصل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بعضي از آثار اسلامي است که حضرات عترت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عُرِفَ اللَّه</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وسيلة ما خاندان عترت، خداي متعال شناخته شده 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اين صورت مي‌توان اينچنين هم دعا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عَرِّفْنِي حُجَّتَكَ فَإِنَّكَ إِنْ لَمْ تُعَرِّفْنِي حُجَّتَكَ لَمْ أعْرِفْ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خود را به من بشناسان تا بدانوسيله و وسايل، معرفت کامل و صحيح وجود مقدّست را حاصل کنم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ثانياً نسبت به مقام والاي حقّ، به تمام ابعاد نمي‌توان دوست شد، مگر آنکه دوستِ دوستان حضرت کبريايي باشيم، که از جمله دوستان آن مقام والا، عترت طاهره‌اند، که در طول مقام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w:t>
      </w:r>
      <w:r>
        <w:rPr>
          <w:rFonts w:eastAsia="IRNazanin" w:cs="IRNazanin"/>
          <w:color w:val="111111"/>
          <w:sz w:val="28"/>
          <w:szCs w:val="28"/>
          <w:rtl w:val="true"/>
          <w:lang w:bidi="fa-IR"/>
        </w:rPr>
        <w:t xml:space="preserve">. </w:t>
      </w:r>
      <w:bookmarkStart w:id="69" w:name="pg10706_113911"/>
    </w:p>
    <w:p>
      <w:pPr>
        <w:pStyle w:val="BookText"/>
        <w:rPr/>
      </w:pPr>
      <w:bookmarkEnd w:id="69"/>
      <w:r>
        <w:rPr>
          <w:rFonts w:ascii="IRNazanin" w:hAnsi="IRNazanin" w:eastAsia="IRNazanin"/>
          <w:color w:val="111111"/>
          <w:sz w:val="28"/>
          <w:sz w:val="28"/>
          <w:szCs w:val="28"/>
          <w:rtl w:val="true"/>
          <w:lang w:bidi="fa-IR"/>
        </w:rPr>
        <w:t>اگر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شدن با طرفِ مادون هم به تمام ابعاد ممکن نيست، مگر به دوستي مافوق؛ چه آنکه خداي متعال نيز از دوستان عترت 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ولي اينکه خداي متعال، آن ذوات مقدّسه را دوست دارد، براي آن است که آنان دوستان خدايند، ولي اينکه آنان، خداي را دوست دارند، براي اين نيست که خدا دوست آنان است، بلکه براي صرف اين است که آنان خدا را دوست دارند؛ به طور کامل دقّت شود</w:t>
      </w:r>
      <w:r>
        <w:rPr>
          <w:rFonts w:eastAsia="IRNazanin" w:cs="IRNazanin"/>
          <w:color w:val="111111"/>
          <w:sz w:val="28"/>
          <w:szCs w:val="28"/>
          <w:rtl w:val="true"/>
          <w:lang w:bidi="fa-IR"/>
        </w:rPr>
        <w:t>.</w:t>
      </w:r>
    </w:p>
    <w:p>
      <w:pPr>
        <w:pStyle w:val="Heading3"/>
        <w:numPr>
          <w:ilvl w:val="2"/>
          <w:numId w:val="1"/>
        </w:numPr>
        <w:rPr/>
      </w:pPr>
      <w:bookmarkStart w:id="70" w:name="__RefHeading___Toc3433743_1051229030"/>
      <w:bookmarkStart w:id="71" w:name="_Toc22"/>
      <w:bookmarkEnd w:id="70"/>
      <w:r>
        <w:rPr>
          <w:rtl w:val="true"/>
        </w:rPr>
        <w:t>مقدّمة چهاردهم</w:t>
      </w:r>
      <w:r>
        <w:rPr>
          <w:rtl w:val="true"/>
        </w:rPr>
        <w:t xml:space="preserve">: </w:t>
      </w:r>
      <w:r>
        <w:rPr>
          <w:rtl w:val="true"/>
        </w:rPr>
        <w:t>نحوة تجلّی محبّت و مبغضت</w:t>
      </w:r>
      <w:bookmarkEnd w:id="71"/>
    </w:p>
    <w:p>
      <w:pPr>
        <w:pStyle w:val="BookText"/>
        <w:rPr/>
      </w:pPr>
      <w:r>
        <w:rPr>
          <w:rFonts w:ascii="IRNazanin" w:hAnsi="IRNazanin" w:eastAsia="IRNazanin"/>
          <w:color w:val="111111"/>
          <w:sz w:val="28"/>
          <w:sz w:val="28"/>
          <w:szCs w:val="28"/>
          <w:rtl w:val="true"/>
          <w:lang w:bidi="fa-IR"/>
        </w:rPr>
        <w:t>تجلّي دادن محبّت و ولايت به وسيلة تحبّب، تولّي و تشيّع و همچنين جلوه دادن مبغضت و برائت توسّط تبغّض، تبرّي و تمرّد، دو گونه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آنکه در ايّام سرور عترت طاهره</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همچون مواليد ايشان، اظهار شادي نمود و در ايّام حزن آنها همچون روزهاي وفيات ايشان، ابراز تحزّن کرد، و بالعکس در ايّام سرور دشمنان عترت، متحزّن شده و در ايّام حزن آنها، اظهار سرور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w:t>
      </w:r>
    </w:p>
    <w:p>
      <w:pPr>
        <w:pStyle w:val="BookText"/>
        <w:rPr/>
      </w:pPr>
      <w:r>
        <w:rPr>
          <w:rFonts w:ascii="IRNazanin" w:hAnsi="IRNazanin" w:eastAsia="IRNazanin"/>
          <w:color w:val="111111"/>
          <w:sz w:val="28"/>
          <w:sz w:val="28"/>
          <w:szCs w:val="28"/>
          <w:rtl w:val="true"/>
          <w:lang w:bidi="fa-IR"/>
        </w:rPr>
        <w:t>قبيل است توسّل به ذيل عنايت ذوات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تشرّف به زيارت بقاع منوّر و روي آوردن به درگاه مقدّس آنها، و طلب شفاعت و استمداد و کمک از ارواح مطهّر آنها در طول وجود حضرت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اظهار نفرت و انزجار از دشمنان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وسايط مختلف مانند خواندن زيارت عاشورا در حال حرکت، و غير اينها از مصاديق فراواني که در خارج، از تجلّيّات محبّت و مبغضت مي‌باشند</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ديگر اينکه خوشحالي و اظهار آن در موجبات خوشي آنها، همچون رواج طاعت الهي در بين مردم، و رغبت آنها به دين و آيين اسلام، و محزون شدن و اظهار غم و ناراحتي در موارد حزن و اندوه آن ذوات مقدّس همچون رواج عصيان و گناه و شيوع انحرافات و بدعت‌هاي غيرمشروع در بين مردم و رغبت آنها به بي‌ديني و بي‌مبالاتي و تخلّف از دستورات پروردگار</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آنچه که در بعضی از روایات</w:t>
      </w:r>
      <w:r>
        <w:rPr>
          <w:rStyle w:val="FootnoteAnchor"/>
          <w:rtl w:val="true"/>
        </w:rPr>
        <w:footnoteReference w:id="47"/>
      </w:r>
      <w:r>
        <w:rPr>
          <w:rFonts w:ascii="IRNazanin" w:hAnsi="IRNazanin" w:eastAsia="IRNazanin"/>
          <w:color w:val="111111"/>
          <w:sz w:val="28"/>
          <w:sz w:val="28"/>
          <w:szCs w:val="28"/>
          <w:rtl w:val="true"/>
          <w:lang w:bidi="fa-IR"/>
        </w:rPr>
        <w:t xml:space="preserve">آمده به این مضمون که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و پيروان ما، از باقيماندة طينت ما خلق شده‌اند و با آب ولايت ما عجين گرديده‌اند،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فَرَح و سرور ما، خوشحال مي‌شوند و در اندوه ما، غمناک</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بر تولّي و تبرّي حمل مي‌شود، و مي‌توان آن را به هر دو گونة مزبور، معنا و تفسير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مؤيّد، بلکه دليل بر اين مدّعا، اين روايت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 الإِسْلاَمُ عَلَى خَمْسٍ</w:t>
      </w:r>
      <w:r>
        <w:rPr>
          <w:rStyle w:val="FootnoteAnchor"/>
          <w:rtl w:val="true"/>
        </w:rPr>
        <w:footnoteReference w:id="49"/>
      </w:r>
      <w:r>
        <w:rPr>
          <w:rFonts w:ascii="Amiri" w:hAnsi="Amiri" w:eastAsia="Amiri" w:cs="Amiri"/>
          <w:color w:val="111111"/>
          <w:sz w:val="28"/>
          <w:sz w:val="28"/>
          <w:szCs w:val="28"/>
          <w:rtl w:val="true"/>
          <w:lang w:bidi="ar-SA"/>
        </w:rPr>
        <w:t>عَلَى الصَّلاَةِ وَالزَّكَاةِ وَالصَّوْمِ وَالْحَجِّ وَالْوَلايَةِ وَلَمْ يُنَادَ بِشَيْ‌ءٍ كَمَا نُودِيَ بِالْوَلاَيَةِ فَأخَذَ النَّاسُ بِأرْبَعٍ وَتَرَكُوا هَذِهِ يَعْنِي الْوَلاَيَةَ</w:t>
      </w:r>
      <w:r>
        <w:rPr>
          <w:rFonts w:eastAsia="Amiri" w:cs="Amiri" w:ascii="Amiri" w:hAnsi="Amiri"/>
          <w:color w:val="111111"/>
          <w:sz w:val="28"/>
          <w:szCs w:val="28"/>
          <w:rtl w:val="true"/>
          <w:lang w:bidi="ar-SA"/>
        </w:rPr>
        <w:t>»</w:t>
      </w:r>
      <w:r>
        <w:rPr>
          <w:rStyle w:val="FootnoteAnchor"/>
          <w:rtl w:val="true"/>
        </w:rPr>
        <w:footnoteReference w:id="50"/>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اسلام بر پنج پايه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زکات، روزه، حجّ و </w:t>
      </w:r>
    </w:p>
    <w:p>
      <w:pPr>
        <w:pStyle w:val="BookText"/>
        <w:rPr/>
      </w:pPr>
      <w:r>
        <w:rPr>
          <w:rFonts w:ascii="IRNazanin" w:hAnsi="IRNazanin" w:eastAsia="IRNazanin"/>
          <w:color w:val="111111"/>
          <w:sz w:val="28"/>
          <w:sz w:val="28"/>
          <w:szCs w:val="28"/>
          <w:rtl w:val="true"/>
          <w:lang w:bidi="fa-IR"/>
        </w:rPr>
        <w:t>ولايت بنا شده، و آن طوري که به امر ولايت فراخوانده شده به هيچ چيز ديگري فراخوانده نشده، ولي مردم آن چهار مورد را گرفته و ولايت را کنار زده‌اند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بر حسب موازين مذهب اماميّة اثناعشري که از طريق عترت و خاندان رسالت برگرفته شده است، در واقع آن چهار امر هم توسّط مردم گرفته نشده است؛ چون يکي از شرايط قبولي به معناي صحّت اعمال، همان ولايت است که انسان‌هاي مورد نظر در روايت، آن را نداشته 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اينکه در اين روايت تصريح شده که آن چهار مورد را اخذ نموده‌اند، محملي ندارد جز آنکه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اخذ شعار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منظور نظر حضرت، در اين روايت آن است که آن مردم خفته، ظاهر اين چهار امر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به خيال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ولي در امر ولايت، اينگونه تظاهر را هم کنار زده‌اند، نه ولايت دارند که امري اعتقادي است و نه تولّي که همان تظاهر به آن امر اعتقادي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اينکه از نظر موازين فقهي، در صورت نداشتن ولايت، نمي‌توان آن امور را به دست آورد مگر به صورت 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ظواهر هرچند سنگر است و بايد توسّط تظاهر و شعار حفظ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افراد مخالف، آن چهار امر را در ظاهر، حفظ نموده‌اند، و چون به امر ولايت رسيده‌اند، حفظ ظاهر و شعار را هم ننموده‌اند، بلکه شعار آن را همچون شعور، ضايع نموده‌اند، که خدا آنان را که قابل هدايت نيستند، ضايع فرمايد</w:t>
      </w:r>
      <w:r>
        <w:rPr>
          <w:rFonts w:eastAsia="IRNazanin" w:cs="IRNazanin"/>
          <w:color w:val="111111"/>
          <w:sz w:val="28"/>
          <w:szCs w:val="28"/>
          <w:rtl w:val="true"/>
          <w:lang w:bidi="fa-IR"/>
        </w:rPr>
        <w:t xml:space="preserve">. </w:t>
      </w:r>
      <w:bookmarkStart w:id="72" w:name="pg10706_113915"/>
    </w:p>
    <w:p>
      <w:pPr>
        <w:pStyle w:val="BookText"/>
        <w:rPr/>
      </w:pPr>
      <w:bookmarkEnd w:id="72"/>
      <w:r>
        <w:rPr>
          <w:rFonts w:ascii="IRNazanin" w:hAnsi="IRNazanin" w:eastAsia="IRNazanin"/>
          <w:color w:val="111111"/>
          <w:sz w:val="28"/>
          <w:sz w:val="28"/>
          <w:szCs w:val="28"/>
          <w:rtl w:val="true"/>
          <w:lang w:bidi="fa-IR"/>
        </w:rPr>
        <w:t>بنابراين، هر چند کلمة ولايت در اين روايت ذکر شده، ولي در واقع تولّي و تظاهر به آن مراد مي‌باشد و معناي روايت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به ولايت که همان تولّي است، بالاتر از تظاهر به نماز، روزه، حجّ و زکاتي است که اهل تسنّن دارند، و پاية بالاتر و مهمتر را ندارند</w:t>
      </w:r>
      <w:r>
        <w:rPr>
          <w:rFonts w:eastAsia="IRNazanin" w:cs="IRNazanin"/>
          <w:color w:val="111111"/>
          <w:sz w:val="28"/>
          <w:szCs w:val="28"/>
          <w:rtl w:val="true"/>
          <w:lang w:bidi="fa-IR"/>
        </w:rPr>
        <w:t>.</w:t>
      </w:r>
    </w:p>
    <w:p>
      <w:pPr>
        <w:pStyle w:val="Heading3"/>
        <w:numPr>
          <w:ilvl w:val="2"/>
          <w:numId w:val="1"/>
        </w:numPr>
        <w:rPr/>
      </w:pPr>
      <w:bookmarkStart w:id="73" w:name="__RefHeading___Toc3433745_1051229030"/>
      <w:bookmarkStart w:id="74" w:name="_Toc23"/>
      <w:bookmarkEnd w:id="73"/>
      <w:r>
        <w:rPr>
          <w:rtl w:val="true"/>
        </w:rPr>
        <w:t>مقدّمة پانزدهم</w:t>
      </w:r>
      <w:r>
        <w:rPr>
          <w:rtl w:val="true"/>
        </w:rPr>
        <w:t xml:space="preserve">: </w:t>
      </w:r>
      <w:r>
        <w:rPr>
          <w:rtl w:val="true"/>
        </w:rPr>
        <w:t>منظور از مودّت</w:t>
      </w:r>
      <w:bookmarkEnd w:id="74"/>
    </w:p>
    <w:p>
      <w:pPr>
        <w:pStyle w:val="BookText"/>
        <w:rPr/>
      </w:pPr>
      <w:r>
        <w:rPr>
          <w:rFonts w:ascii="IRNazanin" w:hAnsi="IRNazanin" w:eastAsia="IRNazanin"/>
          <w:color w:val="111111"/>
          <w:sz w:val="28"/>
          <w:sz w:val="28"/>
          <w:szCs w:val="28"/>
          <w:rtl w:val="true"/>
          <w:lang w:bidi="fa-IR"/>
        </w:rPr>
        <w:t>منظور از مودّتي که در آياتي از قرآن،</w:t>
      </w:r>
      <w:r>
        <w:rPr>
          <w:rStyle w:val="FootnoteAnchor"/>
          <w:rtl w:val="true"/>
        </w:rPr>
        <w:footnoteReference w:id="51"/>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مزد رسالت قرار داده شده است، چيست؟ و کداميک از آن حقايق، مي‌تواند مراد و مقصود باشد؟ اين در حالي است که مي‌دانيم تشيّع منظور نمي‌باشد؛ زيرا تشيّع در حقيقت، عمل به احکام اسلام واقعي است و نمي‌تواند مصداق مودّت ذوي القربي باشد، و در نتيجه از آن احکام، به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مودّت ذوي القربي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گردد؛ چه در اين صورت بايد گفته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مزد رسالت، عمل به احکام اسلام است، مگر آ‌نکه گفته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هم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مودّت ذوي القربي، عمل به احکام اسلامي است که از طريق تشيّع و پيروي از عترت و ذوي القربي به دست آمده باشد</w:t>
      </w:r>
      <w:r>
        <w:rPr>
          <w:rStyle w:val="FootnoteAnchor"/>
          <w:rtl w:val="true"/>
        </w:rPr>
        <w:footnoteReference w:id="52"/>
      </w:r>
      <w:r>
        <w:rPr>
          <w:rFonts w:ascii="IRNazanin" w:hAnsi="IRNazanin" w:eastAsia="IRNazanin"/>
          <w:color w:val="111111"/>
          <w:sz w:val="28"/>
          <w:sz w:val="28"/>
          <w:szCs w:val="28"/>
          <w:rtl w:val="true"/>
          <w:lang w:bidi="fa-IR"/>
        </w:rPr>
        <w:t xml:space="preserve">، ولي کلمة مودّت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 xml:space="preserve">قبول محتمل بودن اين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ظهوري در آن ندارد، بلکه ظهور در غير آن از حقايق ديگر دارد</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آيا منظور از مودّت در آيه، تولّي است که پس از تشيّع، مجموعة حقايق است؟ يا همان حقيقت ولايت بدون تظاهر است؟ و يا منظور، همان تحبّب و تظاهر به محبّت است؟ و يا فقط، محبّت قلبي بدون تظاهر، مراد است؟ البتّه در همة اين احتمالات، بايد اين امر ملاحظه شود که مصداق مودّت، بايد معناي جامع شامل عدل خود </w:t>
      </w:r>
      <w:bookmarkStart w:id="75" w:name="pg10706_113917"/>
    </w:p>
    <w:p>
      <w:pPr>
        <w:pStyle w:val="BookText"/>
        <w:rPr/>
      </w:pPr>
      <w:bookmarkEnd w:id="75"/>
      <w:r>
        <w:rPr>
          <w:rFonts w:ascii="IRNazanin" w:hAnsi="IRNazanin" w:eastAsia="IRNazanin"/>
          <w:color w:val="111111"/>
          <w:sz w:val="28"/>
          <w:sz w:val="28"/>
          <w:szCs w:val="28"/>
          <w:rtl w:val="true"/>
          <w:lang w:bidi="fa-IR"/>
        </w:rPr>
        <w:t>باشد؛ چه آنکه لفظ به فرد اکمل خود، انصراف دارد، و واضح است که فرد اکمل در اينجا، همان معناي جامع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نظر قاصر مي‌رسد اين است که همة آن وجوه و معاني، محتمل است و تمام آنها حتّي محبّت صرف قلبي به تنهايي، مي‌تواند مزد رسالت قرار گيرد، البتّه به همان معنايِ جامعِ شاملِ مبغضت دشمن، چنان که اگر مراد تحبّب باشد تبغّض را هم بايد شامل باشد، و همچنين اگر ولايت باشد، برائت را، و تولّي باشد تبرّي را</w:t>
      </w:r>
      <w:r>
        <w:rPr>
          <w:rFonts w:eastAsia="IRNazanin" w:cs="IRNazanin"/>
          <w:color w:val="111111"/>
          <w:sz w:val="28"/>
          <w:szCs w:val="28"/>
          <w:rtl w:val="true"/>
          <w:lang w:bidi="fa-IR"/>
        </w:rPr>
        <w:t>.</w:t>
      </w:r>
    </w:p>
    <w:p>
      <w:pPr>
        <w:pStyle w:val="Heading3"/>
        <w:numPr>
          <w:ilvl w:val="2"/>
          <w:numId w:val="1"/>
        </w:numPr>
        <w:rPr/>
      </w:pPr>
      <w:bookmarkStart w:id="76" w:name="__RefHeading___Toc3433747_1051229030"/>
      <w:bookmarkStart w:id="77" w:name="_Toc24"/>
      <w:bookmarkEnd w:id="76"/>
      <w:r>
        <w:rPr>
          <w:rtl w:val="true"/>
        </w:rPr>
        <w:t>مقدّمة شانزدهم</w:t>
      </w:r>
      <w:r>
        <w:rPr>
          <w:rtl w:val="true"/>
        </w:rPr>
        <w:t xml:space="preserve">: </w:t>
      </w:r>
      <w:r>
        <w:rPr>
          <w:rtl w:val="true"/>
        </w:rPr>
        <w:t>تشیُّع؛ تنها مصداق مودّت</w:t>
      </w:r>
      <w:bookmarkEnd w:id="77"/>
    </w:p>
    <w:p>
      <w:pPr>
        <w:pStyle w:val="BookText"/>
        <w:rPr/>
      </w:pPr>
      <w:r>
        <w:rPr>
          <w:rFonts w:ascii="IRNazanin" w:hAnsi="IRNazanin" w:eastAsia="IRNazanin"/>
          <w:color w:val="111111"/>
          <w:sz w:val="28"/>
          <w:sz w:val="28"/>
          <w:szCs w:val="28"/>
          <w:rtl w:val="true"/>
          <w:lang w:bidi="fa-IR"/>
        </w:rPr>
        <w:t xml:space="preserve">چنانچه قبول کرديم که مزد رسالت يکي از آن حقايق به معني جامع خود غير از حقيقت تشيّع باشد، حال اگر غير شيعه از ساير ملل و مذاهب اسلام، چنين مودّتي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تولّي و يا صرف ولايت و يا تحبّب و يا صرف محبّت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آيا مي‌توان گفت که اهل نجات است؟ با وجود آنکه به حکم مدارک قطعي ثابت در محلّ خود، غير شيعه نمي‌تواند اهل نجات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کسي غير از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فرقه‌اي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مودّت را که مزد رسالت است، به‌جا آورده و تضييع نکرد، مي‌تواند و مي‌شود که يک</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سره به بهشت برود؟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وجهي ندارد؛ زيرا به حکم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ظاهر، متّفق عليه بين شيعه و سنّي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يک فرقه از فِرَق </w:t>
      </w:r>
    </w:p>
    <w:p>
      <w:pPr>
        <w:pStyle w:val="BookText"/>
        <w:rPr/>
      </w:pPr>
      <w:r>
        <w:rPr>
          <w:rFonts w:ascii="IRNazanin" w:hAnsi="IRNazanin" w:eastAsia="IRNazanin"/>
          <w:color w:val="111111"/>
          <w:sz w:val="28"/>
          <w:sz w:val="28"/>
          <w:szCs w:val="28"/>
          <w:rtl w:val="true"/>
          <w:lang w:bidi="fa-IR"/>
        </w:rPr>
        <w:t>هفتاد و سه گانة اسلام</w:t>
      </w:r>
      <w:r>
        <w:rPr>
          <w:rStyle w:val="FootnoteAnchor"/>
          <w:rtl w:val="true"/>
        </w:rPr>
        <w:footnoteReference w:id="54"/>
      </w:r>
      <w:r>
        <w:rPr>
          <w:rFonts w:ascii="IRNazanin" w:hAnsi="IRNazanin" w:eastAsia="IRNazanin"/>
          <w:color w:val="111111"/>
          <w:sz w:val="28"/>
          <w:sz w:val="28"/>
          <w:szCs w:val="28"/>
          <w:rtl w:val="true"/>
          <w:lang w:bidi="fa-IR"/>
        </w:rPr>
        <w:t>،اهل نجاتند</w:t>
      </w:r>
      <w:r>
        <w:rPr>
          <w:rStyle w:val="FootnoteAnchor"/>
          <w:rtl w:val="true"/>
        </w:rPr>
        <w:footnoteReference w:id="55"/>
      </w:r>
      <w:r>
        <w:rPr>
          <w:rFonts w:ascii="IRNazanin" w:hAnsi="IRNazanin" w:eastAsia="IRNazanin"/>
          <w:color w:val="111111"/>
          <w:sz w:val="28"/>
          <w:sz w:val="28"/>
          <w:szCs w:val="28"/>
          <w:rtl w:val="true"/>
          <w:lang w:bidi="fa-IR"/>
        </w:rPr>
        <w:t>، و آن هم بنابر همان ادلّة قطعي، فرقه‌اي غير از شيعة اماميّة اثناعشري نيست و نمي‌تواند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ممکن نيست که هر کس از هر فرقه‌اي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غير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مزد رسالت را بجا آورد، اهل نجات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صاحب مودّت نمي‌تواند اهل نجات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در آيه، مزد رسالت شده است؟ چه آنکه بعيد است که انسان مزد رسالت را انجام داده، و در عين حال اهل نجات نباشد، بلکه آيه، مانند آن حديث متّفق عليه که تفرّق مسلمين را به هفتاد و سه فرقه</w:t>
      </w:r>
      <w:r>
        <w:rPr>
          <w:rStyle w:val="FootnoteAnchor"/>
          <w:rtl w:val="true"/>
        </w:rPr>
        <w:footnoteReference w:id="56"/>
      </w:r>
      <w:r>
        <w:rPr>
          <w:rFonts w:ascii="IRNazanin" w:hAnsi="IRNazanin" w:eastAsia="IRNazanin"/>
          <w:color w:val="111111"/>
          <w:sz w:val="28"/>
          <w:sz w:val="28"/>
          <w:szCs w:val="28"/>
          <w:rtl w:val="true"/>
          <w:lang w:bidi="fa-IR"/>
        </w:rPr>
        <w:t xml:space="preserve">،بيان مي‌کند، ظهور دارد که غير انجام دهنده، اهل </w:t>
      </w:r>
    </w:p>
    <w:p>
      <w:pPr>
        <w:pStyle w:val="BookText"/>
        <w:rPr/>
      </w:pPr>
      <w:r>
        <w:rPr>
          <w:rFonts w:ascii="Amiri" w:hAnsi="Amiri" w:eastAsia="Amiri" w:cs="Amiri"/>
          <w:color w:val="111111"/>
          <w:sz w:val="28"/>
          <w:sz w:val="28"/>
          <w:szCs w:val="28"/>
          <w:rtl w:val="true"/>
          <w:lang w:bidi="ar-SA"/>
        </w:rPr>
        <w:t>نجات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حاصل آنکه اگر مصداق و معني مودّت را تشيّع نگيريم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ظاهر هم همين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بگوييم که انجام دهندة مزد رسالت، اگر شيعه باشد، اهل نجات نيست، که بعيد و خلاف ظاهر آيه است، و يا بايد بگوييم که چنانچه ساير فِرَق اسلام همانند شيعه، مودّت داشته باشند، اهل نجاتند که اين گفته، هم خلاف روايت متّفق عليه بين فريقين است، و هم خلاف مستفاد از آية مودّت مي‌باشد، و هم خلاف اعتقاد شيعيان و ادلّة قطعي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مي‌توان اين مشکل را حلّ نمود و اين شبهه را جواب داد؟</w:t>
      </w:r>
    </w:p>
    <w:p>
      <w:pPr>
        <w:pStyle w:val="BookText"/>
        <w:rPr/>
      </w:pPr>
      <w:r>
        <w:rPr>
          <w:rFonts w:ascii="IRNazanin" w:hAnsi="IRNazanin" w:eastAsia="IRNazanin"/>
          <w:color w:val="111111"/>
          <w:sz w:val="28"/>
          <w:sz w:val="28"/>
          <w:szCs w:val="28"/>
          <w:rtl w:val="true"/>
          <w:lang w:bidi="fa-IR"/>
        </w:rPr>
        <w:t>در جواب بايد بگوييم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غير مذهب شيعه از ساير ملل و مذاهب، ولايت يا تولّي به معناي جامع را که مقصد و مقصود آيه است، نمي‌توانند داشته باشند؛ زيرا در حقيقت ولايت و يا تولّي، اعتقاد داشتن به سرپرستي عترت است، و اين معنا، با پيروي از مذاهبي که قائل به سرپرستي ديگرانند، سازش ندارد؛ چنان که واضح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محبّت و تحبّب به معناي جامع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ولايت و تولّي به معني جامع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شيعه از ساير فِرَق مسلمين، محقّق نمي‌شود؛ زيرا در محبّت کامل و يا تحبّب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مقدّمات قبلي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و تبغّض و دشمني نسبت به دشمنان </w:t>
      </w:r>
    </w:p>
    <w:p>
      <w:pPr>
        <w:pStyle w:val="BookText"/>
        <w:rPr/>
      </w:pPr>
      <w:r>
        <w:rPr>
          <w:rFonts w:ascii="IRNazanin" w:hAnsi="IRNazanin" w:eastAsia="IRNazanin"/>
          <w:color w:val="111111"/>
          <w:sz w:val="28"/>
          <w:sz w:val="28"/>
          <w:szCs w:val="28"/>
          <w:rtl w:val="true"/>
          <w:lang w:bidi="fa-IR"/>
        </w:rPr>
        <w:t>عترت بايد باشد، و واضح است که ساير فِرَق مسلمين که دشمنان عترت را بر عترت برگزيده‌اند، نمي‌توانند چنين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آن برگزيدگان، دشمن عترت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دشمني آنان به شهادت تاريخ،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از مصاديق دشمني؛ اين است که خود را در قبال عترت قرار داده و يا قرار گرفته‌اند؛ غفلت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فِرَق مسلمين حتّي فرقه‌هاي نيمه شيعي که به تمام عترت طاهره نگرويده‌اند، محبّت و تحبّب جامع که همة عترت را فراگرفته و شامل مبغضت و تبغّض نسبت به دشمنان عترت نيز باشد، وجود ندارد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ممکن است محبّت و يا تحبّب جامع و شامل مبغضت و تبغّض دشمنان، در غير مسلمانان از ساير ملل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مسيحيان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شود، و در نتيجه، زمينة هدايتشان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 برکت داشتن آن محبّت و تحبّب که فرضاً معناي مودّت و مزد رسالت است، مسلمان واقعي و شيعه شوند، هر چند عملي هم انجام نداده باشند و يا مهلت انجام دادن آن را نداشته باشند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ثالثاً آنچه معتقد و متّفق عليه و مورد ادلّة قطعي است اين است که اهل نجات، مطلق اهل ولايت و تولّي ذوي القربي، و يا مطلق اهل محبّت و تحبّب مي‌باشند، نه خصوص تشيّع که در مفهوم و حقيقتش، گذشته بر آن حقايق، اطاعت عملي از رهنمودهاي آنان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هيچگونه محذوري ندارد که طبق ظاهر آيه، حکم نمود به اينکه اهل مودّت به معناي ولايت و تولّي و يا محبّت و تحبّب اهل نجات باشند، ولي انصاف آن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نجات بر دو گونه‌اند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يکي آنان که جهنّمي نيستند و يکسره به بهشت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آنها که ممکن است به جهنّم بروند، ولي به ملاحظة ارتکاب گناه، مخلّد نباشند، بلکه پس از مدّتي عذاب و جرم‌گيري نجات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شيعه چون همواره عمل اطاعت دارند، و مرتکب گناه نمي‌شوند</w:t>
      </w:r>
      <w:r>
        <w:rPr>
          <w:rStyle w:val="FootnoteAnchor"/>
          <w:rtl w:val="true"/>
        </w:rPr>
        <w:footnoteReference w:id="58"/>
      </w:r>
      <w:r>
        <w:rPr>
          <w:rFonts w:ascii="IRNazanin" w:hAnsi="IRNazanin" w:eastAsia="IRNazanin"/>
          <w:color w:val="111111"/>
          <w:sz w:val="28"/>
          <w:sz w:val="28"/>
          <w:szCs w:val="28"/>
          <w:rtl w:val="true"/>
          <w:lang w:bidi="fa-IR"/>
        </w:rPr>
        <w:t xml:space="preserve">مي‌توان گفت که به گونة اوّل اهل نجات هستند، ولي کسي که اهل عمل نيست و مثلاً فقط تولّي دارد، و يا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آن، عمل مختصري هم دارد، هر چند اهل نجات به گونة اوّل نيست و يا ممکن است نباشد، لکن مي‌توان گفت که چنانچه در عصيان و عدم توبه بميرد، و مشمول شفاعت شافعين و يا عفو الهي قرار نگيرد، و عذاب‌ها و ابتلائات دنيوي، و يا حالت سخت احتضار و يا عذاب‌هاي برزخي و امثال آنها، کفّارة گناهانش نشود و آنها را کفايت نکند، قهراً به جهنّم مي‌رود، ولي مخلّد نخواهد بود، بلکه پس از عذاب و عقاب‌هاي جرم‌گيري، بالاخره از آتش جهنّم، به برکت همان تولّي و ايمان، نجات خواهد يافت؛ چنان که پاره‌اي از روايات، به اين مضمون دلالت دارد، بلکه اگر هم به ولايت، تظاهر ننمايد، يعني تولّي هم نداشته باشد، بلکه اصل ولايت قلبي بالمعني الجامع را داشته باشد، نيز چنين خواهد بود که پس از جرم‌گيري، نجات خواهد يافت؛ زيرا اينچنين فردي، هرچند گناه ديگري که تظاهر نکردن به ولايت است، مرتکب شده، ولي ايمان و اعتقادي که به ولايت دارد، او را نجات خواهد داد، بلکه مي‌توان گفت که اگر همان اظهار محبّت جامع قلبي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مجرّد آن محبّت قلبي جامع بدون اظهار را دارا باشد نيز مخلّد نخواهد بود، و بالاخره به برکت همان هم که شده، اهل نجات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صورتي است که آن محبّت، جامع الاطراف و الابعاد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w:t>
      </w:r>
    </w:p>
    <w:p>
      <w:pPr>
        <w:pStyle w:val="BookText"/>
        <w:rPr/>
      </w:pPr>
      <w:r>
        <w:rPr>
          <w:rFonts w:ascii="Amiri" w:hAnsi="Amiri" w:eastAsia="Amiri" w:cs="Amiri"/>
          <w:color w:val="111111"/>
          <w:sz w:val="28"/>
          <w:sz w:val="28"/>
          <w:szCs w:val="28"/>
          <w:rtl w:val="true"/>
          <w:lang w:bidi="ar-SA"/>
        </w:rPr>
        <w:t>به همة ذوات مقدّس عترت طاهره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تعلّق داشته باشد، و به مضمون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نُؤْمِنُ بِبَعْضٍ وَنَكْفُرُ بِبَعْضٍ</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به بعضي از آن ذوات مقدّس، بي‌ارادت نباشد، و همچنين بُغض و مبغضت دشمنان، در آن مندرج باشد، به گونه‌اي که در مقدّمة چهاردهم گذشت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اينگونه محبّت، هرچند با اعتقاد به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نباشد، ولي چه بسا سبب نجات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بعد از عقوبات و عذاب‌هايي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Style w:val="FootnoteAnchor"/>
          <w:rtl w:val="true"/>
        </w:rPr>
        <w:footnoteReference w:id="60"/>
      </w:r>
      <w:r>
        <w:rPr>
          <w:rFonts w:ascii="IRNazanin" w:hAnsi="IRNazanin" w:eastAsia="IRNazanin"/>
          <w:color w:val="111111"/>
          <w:sz w:val="28"/>
          <w:sz w:val="28"/>
          <w:szCs w:val="28"/>
          <w:rtl w:val="true"/>
          <w:lang w:bidi="fa-IR"/>
        </w:rPr>
        <w:t xml:space="preserve">و چون نمي‌تواند در 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به ملاحظة بُعد منفي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داشته باشد، لذا در بين فِرَق مسلمين، به فرقة تشيّع منحصر مي‌گردد</w:t>
      </w:r>
      <w:r>
        <w:rPr>
          <w:rStyle w:val="FootnoteAnchor"/>
          <w:rtl w:val="true"/>
        </w:rPr>
        <w:footnoteReference w:id="61"/>
      </w:r>
      <w:r>
        <w:rPr>
          <w:rFonts w:ascii="IRNazanin" w:hAnsi="IRNazanin" w:eastAsia="IRNazanin"/>
          <w:color w:val="111111"/>
          <w:sz w:val="28"/>
          <w:sz w:val="28"/>
          <w:szCs w:val="28"/>
          <w:rtl w:val="true"/>
          <w:lang w:bidi="fa-IR"/>
        </w:rPr>
        <w:t xml:space="preserve">و مستلزم آن نمي‌شود که </w:t>
      </w:r>
      <w:bookmarkStart w:id="78" w:name="pg10706_113924"/>
    </w:p>
    <w:p>
      <w:pPr>
        <w:pStyle w:val="BookText"/>
        <w:rPr/>
      </w:pPr>
      <w:bookmarkEnd w:id="78"/>
      <w:r>
        <w:rPr>
          <w:rFonts w:ascii="IRNazanin" w:hAnsi="IRNazanin" w:eastAsia="IRNazanin"/>
          <w:color w:val="111111"/>
          <w:sz w:val="28"/>
          <w:sz w:val="28"/>
          <w:szCs w:val="28"/>
          <w:rtl w:val="true"/>
          <w:lang w:bidi="fa-IR"/>
        </w:rPr>
        <w:t>از ساير فِرَق مسلمين هم اهل نجات باشند، با آنکه اهل نجات، به حکم مدارک قطعي اشاره شده، بيش از يک فرقه از مسلمين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همانگونه که به طور اشاره گفتيم، غير فِرَق مسلمين از ساير ملل و مذاهب عالم، امکان دارد چنين محبّتي نسبت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کنند، ولي اين محبّت هرچند با وجود کفر، او را اهل نجات و بهشتي نمي‌کند، لکن چه بسا همين محبّت خالص، وسيلة ايمانش مي‌شود و به وسيلة آن، از کفر خارج شده و به اسلام راستين درآيد، بلکه این محبّتشان می‌رساند که پذیرای حقّ و اسلام راستین بوده‌اند، ولی محیط، شرایط و غیر آن، ایشان را از آوردن ایمان قاصر نموده است</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 xml:space="preserve">حُبُّ عَلِیِّ بنِ أبی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أحلَی مِنَ الشَّهدِ إلَی الشَّارِبِ</w:t>
      </w:r>
    </w:p>
    <w:p>
      <w:pPr>
        <w:pStyle w:val="Heading3"/>
        <w:numPr>
          <w:ilvl w:val="2"/>
          <w:numId w:val="1"/>
        </w:numPr>
        <w:rPr/>
      </w:pPr>
      <w:bookmarkStart w:id="79" w:name="__RefHeading___Toc3433749_1051229030"/>
      <w:bookmarkStart w:id="80" w:name="_Toc25"/>
      <w:bookmarkEnd w:id="79"/>
      <w:r>
        <w:rPr>
          <w:rtl w:val="true"/>
        </w:rPr>
        <w:t>مقدّمة هفدهم</w:t>
      </w:r>
      <w:r>
        <w:rPr>
          <w:rtl w:val="true"/>
        </w:rPr>
        <w:t xml:space="preserve">: </w:t>
      </w:r>
      <w:r>
        <w:rPr>
          <w:rtl w:val="true"/>
        </w:rPr>
        <w:t>بررسی نوع وجوب تولّی و تبرّی</w:t>
      </w:r>
      <w:bookmarkEnd w:id="80"/>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آنکه از مقدّمات گذشته، معلوم شد که تولّي و تبرّي، امري است عملي و از فروع دين محسوب مي‌شود، اين سؤال پيش مي‌آيد که آيا از واجبات است يا از مستحبّات؟ و در هر صورت عيني است يا کفايي؟ و سؤال ديگر اينکه آيا از تعبّديّات است يا از </w:t>
      </w:r>
    </w:p>
    <w:p>
      <w:pPr>
        <w:pStyle w:val="BookText"/>
        <w:rPr/>
      </w:pPr>
      <w:r>
        <w:rPr>
          <w:rFonts w:ascii="Amiri" w:hAnsi="Amiri" w:eastAsia="Amiri" w:cs="Amiri"/>
          <w:color w:val="111111"/>
          <w:sz w:val="28"/>
          <w:sz w:val="28"/>
          <w:szCs w:val="28"/>
          <w:rtl w:val="true"/>
          <w:lang w:bidi="ar-SA"/>
        </w:rPr>
        <w:t>توصّليّات؟</w:t>
      </w:r>
    </w:p>
    <w:p>
      <w:pPr>
        <w:pStyle w:val="BookText"/>
        <w:rPr/>
      </w:pPr>
      <w:r>
        <w:rPr>
          <w:rFonts w:ascii="IRNazanin" w:hAnsi="IRNazanin" w:eastAsia="IRNazanin"/>
          <w:color w:val="111111"/>
          <w:sz w:val="28"/>
          <w:sz w:val="28"/>
          <w:szCs w:val="28"/>
          <w:rtl w:val="true"/>
          <w:lang w:bidi="fa-IR"/>
        </w:rPr>
        <w:t>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شکّي نيست که تولّي و تبرّي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معروف و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امر به معروف و نهي از منکر و در شمار آن دو، از واجبات تعبّدي هستند که در آنها، قصد قربت معتبر است، مخصوصاً با ملاحظة عرض عريض و طويلي که دارند و در مقدّمة سيزدهم گفته شد که درمورد صانع تعالي و رسول او هم جاري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شکّي نيست که اظهار بسياري از مظاهر توحيد و رسالت، از واجبات تعبّدي و چه بسا عيني باشند، بالاخصّ که آن دو، قدر متيقّن مراد از مودّت که مزد رسالت شده است، مي‌باشند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ارادة معناي جامع آن دو که بر همديگر منطبقند و واضح است که امر غير واجب، نمي‌تواند مزد رسالت باشد، بلکه ممکن نيست امر واجبي که مزد رسالت شده، بر همة امّت، واجب عيني نباشد، بلکه امکان دارد تعبّديّت آن و انجام آن دو به قصد قربت براي رضاي خداي متعال و امتثال امر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بر اين، ولايت در بسياري از روايات، از مهمترين و بالاترين پايه‌هاي اسلام شمرده شده است که به هيچ يک از پايه‌هاي ديگر چون او دعوت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جدّي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مضمون به خوبي مي‌رساند که اوّلاً منظور از آن ولايت، همان تولّي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تولّي به معناي جامع و شامل تبرّي که تظاهر را لازم دارد؛ چنان که در مقدّمة چهاردهم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ثانياً از اوجب واجبات عيني تعبّدي است، مخصوصاً با ملاحظة اينکه ولايت به معناي تولّي، در آن روايات، هم‌رديف نماز و روزه و نظاير آن از واجبات عيني تعبّدي قرار گرفته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 مطلب آن است که امر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تولّي و تبرّي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ساير امور فروعي عبادي دهگانه</w:t>
      </w:r>
      <w:r>
        <w:rPr>
          <w:rStyle w:val="FootnoteAnchor"/>
          <w:rtl w:val="true"/>
        </w:rPr>
        <w:footnoteReference w:id="63"/>
      </w:r>
      <w:r>
        <w:rPr>
          <w:rFonts w:ascii="IRNazanin" w:hAnsi="IRNazanin" w:eastAsia="IRNazanin"/>
          <w:color w:val="111111"/>
          <w:sz w:val="28"/>
          <w:sz w:val="28"/>
          <w:szCs w:val="28"/>
          <w:rtl w:val="true"/>
          <w:lang w:bidi="fa-IR"/>
        </w:rPr>
        <w:t>،تحت شرايطي، واجب عيني و يا کفايي، تعييني و يا تخييري مي‌شود و يا مستحبّ عيني تعييني و يا کفايي تخييري مي‌گردد</w:t>
      </w:r>
      <w:r>
        <w:rPr>
          <w:rStyle w:val="FootnoteAnchor"/>
          <w:rtl w:val="true"/>
        </w:rPr>
        <w:footnoteReference w:id="64"/>
      </w:r>
      <w:r>
        <w:rPr>
          <w:rFonts w:ascii="IRNazanin" w:hAnsi="IRNazanin" w:eastAsia="IRNazanin"/>
          <w:color w:val="111111"/>
          <w:sz w:val="28"/>
          <w:sz w:val="28"/>
          <w:szCs w:val="28"/>
          <w:rtl w:val="true"/>
          <w:lang w:bidi="fa-IR"/>
        </w:rPr>
        <w:t xml:space="preserve">و چون داراي مصاديق و مظاهر مختلفي است، متعلّق احکام پنجگانة تکليفي، حتّي مباح و مکروه، و بلکه در مثل مورد تقيّه، متعلّق حرام هم واقع مي‌شود؛ فرضاً تولّي هنگامي که تحت عنوان شهادت به توحيد و رسالت و ولايت قرار گيرد، چه بسا اين امور از مصاديق و مظاهر تولّي شود؛ مثل اينکه وقتي در بين نمازهاي واجب قرار گيرند واجب، و چون در نمازهاي مستحبّ و يا ادعيه و 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زيارت عاشوراي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شود، مستحبّ، و در موارد تقيّه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قسمت تبرّي از دشمنان اهل بيت پيغمبر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حرام مي‌گردد، و چون در موارد مکروه باشد، مکروه مي‌شود</w:t>
      </w:r>
      <w:r>
        <w:rPr>
          <w:rStyle w:val="FootnoteAnchor"/>
          <w:rtl w:val="true"/>
        </w:rPr>
        <w:footnoteReference w:id="65"/>
      </w:r>
      <w:r>
        <w:rPr>
          <w:rFonts w:ascii="IRNazanin" w:hAnsi="IRNazanin" w:eastAsia="IRNazanin"/>
          <w:color w:val="111111"/>
          <w:sz w:val="28"/>
          <w:sz w:val="28"/>
          <w:szCs w:val="28"/>
          <w:rtl w:val="true"/>
          <w:lang w:bidi="fa-IR"/>
        </w:rPr>
        <w:t xml:space="preserve">، و در مواردي که رجحان فعل و ترکش مساوي </w:t>
      </w:r>
    </w:p>
    <w:p>
      <w:pPr>
        <w:pStyle w:val="BookText"/>
        <w:rPr/>
      </w:pPr>
      <w:r>
        <w:rPr>
          <w:rFonts w:ascii="IRNazanin" w:hAnsi="IRNazanin" w:eastAsia="IRNazanin"/>
          <w:color w:val="111111"/>
          <w:sz w:val="28"/>
          <w:sz w:val="28"/>
          <w:szCs w:val="28"/>
          <w:rtl w:val="true"/>
          <w:lang w:bidi="fa-IR"/>
        </w:rPr>
        <w:t>باشد، مباح مي‌گردد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هر يک از تولّي و تبرّي که موضوع احکام فقهي و فرعي مي‌باشند، هم امري است عبادي و از تعبديّات است که قصد قربت در آن معتبر است و بدون آن باطل است، مگر در موردي که به علّت تساوي فعل و ترک، مباح گردد که در اين صورت محتمل است قصد قربت معتبر نباشد؛ دقت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تکليفي است که گاه واجب عيني مي‌شود و گاه کفايي، گاه تعييني مي‌گردد و گاه به ملاحظة تنوّع مصاديق، تخييري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مستحبّ عيني يا کفايي و تعييني يا تخييري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حرام و مکروه و مباح مي‌شود و گاه هم هست که کلمة تولّي و تبرّي اطلاق مي‌شود و به نحوي از انحاء عنايت و مجاز، ولايت و برائت اراده مي‌شود که در اين صورت، جزء شعب اصول عقايد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هر چند ديگر موضوع حکم فرعي و فقهي نخواهد بود، ولي از نظر کلامي، واجب عيني تعييني مي‌شود و مفهوم آن، عقد قلبي و اعتقاد داشتن است به اينکه ذوات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مبدأ تا مختم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مطاع و سرپرستند و دشمنانشان، نمي‌توانند مطاع و سرپرست باشند؛ دقّت کنيد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ورود در اصل بحث</w:t>
      </w:r>
    </w:p>
    <w:p>
      <w:pPr>
        <w:pStyle w:val="BookText"/>
        <w:rPr/>
      </w:pPr>
      <w:r>
        <w:rPr>
          <w:rFonts w:ascii="IRNazanin" w:hAnsi="IRNazanin" w:eastAsia="IRNazanin"/>
          <w:color w:val="111111"/>
          <w:sz w:val="28"/>
          <w:sz w:val="28"/>
          <w:szCs w:val="28"/>
          <w:rtl w:val="true"/>
          <w:lang w:bidi="fa-IR"/>
        </w:rPr>
        <w:t>از بيان مقدّمات هفده‌گانه، واضح شد که ولايت و يا برائت، تنها محبّت و يا مبغضت نيست، بلکه محبّت خاصّ و يا مبغضت مخصوصي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تولّي و تبرّي نيز مطلق تحبّب و يا تبغّض نمي‌باشد، بلکه تحبّب و يا تبغّض خاصّي است توأم با اعتقاد به سرپرستي و يا عدم سرپرستي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تولّي و تبرّي از باب تفعّل و مشتقّ از ولايت و برائت است، و يکي از معاني باب تفعّل، اتّخاذ فعل است مفعول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مقام،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تولّي تولّياً و يا تبرّأ تبرّءً فلاناً أي اتّخذه وليّاً أو بريئاً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را براي خود، دوست لايق سرپرستي و يا دشمن نالايق آن، گرفت و قبول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اتّخاذ و گرفتن محقّق نمي‌شود مگر به عمل تظاهر و اينکه ولايت و يا برائت قلبي را در خارج، بروز و ظهور و جلوه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دوست‌گيري و دشمن‌گيري خاصّ، مستلزم عمل بروز و ظهور است، و اين اتّخاذ، تنها در درون قلب صورت مي‌گيرد، و از مصاديق تظاهر، اطاعت و به دست آوردن احکام واقعي از مکتب اهل بيت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واضح شد که آنچه از اصول عقايد ديني است، همان اصل ولايت و برائت است که با همة جامعيّت و ابعاد و تمام عرض عريض و طويل خود، از امور قلبي جوانحي صرف است، امّا حقيقت تولّي و تبرّي که از آن دو مشتقّند، نمي‌توانند از اصول </w:t>
      </w:r>
    </w:p>
    <w:p>
      <w:pPr>
        <w:pStyle w:val="BookText"/>
        <w:rPr/>
      </w:pPr>
      <w:r>
        <w:rPr>
          <w:rFonts w:ascii="IRNazanin" w:hAnsi="IRNazanin" w:eastAsia="IRNazanin"/>
          <w:color w:val="111111"/>
          <w:sz w:val="28"/>
          <w:sz w:val="28"/>
          <w:szCs w:val="28"/>
          <w:rtl w:val="true"/>
          <w:lang w:bidi="fa-IR"/>
        </w:rPr>
        <w:t xml:space="preserve">عقايد قلبي باشند؛ چه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مکرّراً گفته‌ايم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تولّي و تبرّي، عملي جارحي و خارجي لازم است و آن قانع نشدن به امر دروني ولايت و برائت، بلکه آن را به نحوي به فعل خارجي درآوردن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جلوه دادن آن است به صورت علني و آشکار، و به هيئت فعل و عمل تظاهري در آوردن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آري، عمل طاعت و امتثال امر سرپرست که از مقوّمات تشيّع است، در تولّي لازم نيست؛ چنان که عدم طاعت و امتثال امر غير سرپرست که از مقوّمات تمرّد است، در تبرّي لازم نمي‌باشد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روي اين حساب واضح است که اين جلوه دادن به صورت تولّي و يا تبرّي که امري عملي و فعالي است، نمي‌شود و نمي‌تواند از اصول عقايد که مبتني بر عقايد قلبي صرف است، باشد، بلکه از فروع دين و متعلَّق احکام فقهي که مبتني بر افعال مکلّفين است، مي‌باشد</w:t>
      </w:r>
      <w:r>
        <w:rPr>
          <w:rStyle w:val="FootnoteAnchor"/>
          <w:rtl w:val="true"/>
        </w:rPr>
        <w:footnoteReference w:id="66"/>
      </w:r>
      <w:r>
        <w:rPr>
          <w:rFonts w:ascii="IRNazanin" w:hAnsi="IRNazanin" w:eastAsia="IRNazanin"/>
          <w:color w:val="111111"/>
          <w:sz w:val="28"/>
          <w:sz w:val="28"/>
          <w:szCs w:val="28"/>
          <w:rtl w:val="true"/>
          <w:lang w:bidi="fa-IR"/>
        </w:rPr>
        <w:t xml:space="preserve">زيرا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مکرّراً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اصطلاح فقهاي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افعال مکلّفين که موضوع فقه و متعلَّق احکام فرعي است، بايد اموري عملي و جوارحي باشد و تولّي و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تبرّي از اين امورند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دو حقيقت برحسب معروف و مشهور جزء فروع دين هستند و داراي مظاهر و مصاديق فراوان که هر چند همة آنها از نظر احکام تکليفي مختلفند، ولي اصول و يا مسمّاي آنها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معني که واجب است بر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بالاخصّ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عملاً و با قصد قربت، مظاهر ولايت و برائت را در ضمن تولّي و تبرّي، به قصد امتثال و قربت مطلق، به‌جا آورند که اين مظاهر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بعضي از مقدّمات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در ضمن زيارت مشاهد مشرّفه حتّي خانة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ملاحظة عرض عريضش</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 مي‌کند، و گاه در ضمن دوستان و يا دوستان دوستان و هکذا و يا در طيّ اعراض از آنان جلوه‌گر مي‌شود؛ دقّت کنيد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همچنين مکرّراً واضح شد که اين عمل اظهار و جلوه دادن، غير از اعمال دستوري شرعي است که لازمة تشيّع است</w:t>
      </w:r>
      <w:r>
        <w:rPr>
          <w:rStyle w:val="FootnoteAnchor"/>
          <w:rtl w:val="true"/>
        </w:rPr>
        <w:footnoteReference w:id="70"/>
      </w:r>
      <w:r>
        <w:rPr>
          <w:rFonts w:ascii="IRNazanin" w:hAnsi="IRNazanin" w:eastAsia="IRNazanin"/>
          <w:color w:val="111111"/>
          <w:sz w:val="28"/>
          <w:sz w:val="28"/>
          <w:szCs w:val="28"/>
          <w:rtl w:val="true"/>
          <w:lang w:bidi="fa-IR"/>
        </w:rPr>
        <w:t>،هرچند که اين عمل جلوه، به نفس آن اعمال نيز تحقّق مي‌يابد؛ يعني کسي که مثلاً عمل نمازي که دستور شرع مطهّر است، انجام مي‌دهد، در عين اينکه يکي از دستورات شرع را انجام داده، عمل تولّي و جلوه دادن امر ولايت قلبي نسبت به شرع مقدّس را هم به‌جا آورده، مخصوصاً با ملاحظة عرض عريض و طويلش، و يا کسي که به حکم خمس وارد در شرع مطهرّ، عمل نموده، در عين اينکه يکي از دستورات شرع را که بعضي از دشمنان آن را تحريم نموده‌اند، انجام داده، هم تبرّي عملي از آن دشمن و هم تولّي عملي شرع مطهّر را به‌جا آورده است؛ دقّت کنيد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ثابت و محقّق شد که ولايت و يا برائت، هر چند في حدّ نفسه واجب است و بايد انسان اگر آنگونه محبّت قلبي خاصّ و يا مبغضت قلبي خاصّ نداشته باشد، تحصيل نمايد، ولي اين وجوب، وجوب کلامي و اعتقادي است، و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از واجبات فرعي باشد، و آنچه که از لحاظ فقه و فقاهت، واجب شرعي و فرعي است، همان تولّي و تبرّي مي‌باشد که تظاهر و عملي ساختن آن ولايت و </w:t>
      </w:r>
      <w:bookmarkStart w:id="81" w:name="pg10706_113932"/>
    </w:p>
    <w:p>
      <w:pPr>
        <w:pStyle w:val="BookText"/>
        <w:rPr/>
      </w:pPr>
      <w:bookmarkEnd w:id="81"/>
      <w:r>
        <w:rPr>
          <w:rFonts w:ascii="IRNazanin" w:hAnsi="IRNazanin" w:eastAsia="IRNazanin"/>
          <w:color w:val="111111"/>
          <w:sz w:val="28"/>
          <w:sz w:val="28"/>
          <w:szCs w:val="28"/>
          <w:rtl w:val="true"/>
          <w:lang w:bidi="fa-IR"/>
        </w:rPr>
        <w:t xml:space="preserve">برائت است، و بدين مناسبت از فروع عبادي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است که به ده امر معروف اشتهار يافته است</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82" w:name="__RefHeading___Toc3433751_1051229030"/>
      <w:bookmarkStart w:id="83" w:name="_Toc26"/>
      <w:bookmarkEnd w:id="82"/>
      <w:r>
        <w:rPr>
          <w:rtl w:val="true"/>
        </w:rPr>
        <w:t>اشکال</w:t>
      </w:r>
      <w:r>
        <w:rPr>
          <w:rtl w:val="true"/>
        </w:rPr>
        <w:t xml:space="preserve">: </w:t>
      </w:r>
      <w:r>
        <w:rPr>
          <w:rtl w:val="true"/>
        </w:rPr>
        <w:t>چرا در فقه، کتاب خاصّي در موضوع تولّي و تبرّي، نوشته نشده است؟</w:t>
      </w:r>
      <w:bookmarkEnd w:id="83"/>
    </w:p>
    <w:p>
      <w:pPr>
        <w:pStyle w:val="BookText"/>
        <w:rPr/>
      </w:pPr>
      <w:r>
        <w:rPr>
          <w:rFonts w:ascii="IRNazanin" w:hAnsi="IRNazanin" w:eastAsia="IRNazanin"/>
          <w:color w:val="111111"/>
          <w:sz w:val="28"/>
          <w:sz w:val="28"/>
          <w:szCs w:val="28"/>
          <w:rtl w:val="true"/>
          <w:lang w:bidi="fa-IR"/>
        </w:rPr>
        <w:t>اگر پرسيده و يا اشکال شود که چرا تولّي و تبرّي که از فروع دين است، در کتب فقهي با آن همه عرض عريضي که داشته و دارد، مطرح نشده و در فقه، کتابي تحت آن عنوان، وجود ندارد؟</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مقدّمة هفتم اشاره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تولّي و تبرّي داراي مظاهر و مصاديق فراواني است که در کتب و ابواب فقه، تحت عناوين آن مظاهر و مصاديق عنوان شده است؛ مثل عنوان شهادات و تشهّد که از فصول نماز است و بالاخصّ شهادت به ولايت، و مثل عنوان صلوات بالاخصّ در نماز، و مثل اوراد و اذکار مقامي که تحت عنوان تعقيبات و غيره وارد و راجح است، و خصوص قسمت تبرّي نسبت به آنچه از احکام که دشمنان از دين اسقاط نموده‌اند، و غير اينها</w:t>
      </w:r>
      <w:r>
        <w:rPr>
          <w:rFonts w:eastAsia="IRNazanin" w:cs="IRNazanin"/>
          <w:color w:val="111111"/>
          <w:sz w:val="28"/>
          <w:szCs w:val="28"/>
          <w:rtl w:val="true"/>
          <w:lang w:bidi="fa-IR"/>
        </w:rPr>
        <w:t xml:space="preserve">. </w:t>
      </w:r>
      <w:bookmarkStart w:id="84" w:name="pg10706_113933"/>
    </w:p>
    <w:p>
      <w:pPr>
        <w:pStyle w:val="BookText"/>
        <w:rPr/>
      </w:pPr>
      <w:bookmarkEnd w:id="84"/>
      <w:r>
        <w:rPr>
          <w:rFonts w:ascii="IRNazanin" w:hAnsi="IRNazanin" w:eastAsia="IRNazanin"/>
          <w:color w:val="111111"/>
          <w:sz w:val="28"/>
          <w:sz w:val="28"/>
          <w:szCs w:val="28"/>
          <w:rtl w:val="true"/>
          <w:lang w:bidi="fa-IR"/>
        </w:rPr>
        <w:t xml:space="preserve">ثانياً از آنجا که ولايت و برائت که ريشة تولي و تبرّي است، از شرايط قبولي به معناي صحّت تمام اعمال عبادي است و به طور ضمني در لابلاي تمام اعمال وجود دارد، و آن اعمال، بدین لحاظ از مصادیق تولّی و تبرّی می‌شوند، لذا به طور صريح، عنوان نشدند، بلکه به ملاحظة عرض عريض ولايت و برائت، هيچ حکمي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غير عبادي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مگر آنکه در آن، ايمان و اعتقاد به همة مقدّسات از مبدأ تا منتهي، شرط جاري و ساري مي‌باشد؛ به طور کامل دقّت کنيد</w:t>
      </w:r>
      <w:r>
        <w:rPr>
          <w:rFonts w:eastAsia="IRNazanin" w:cs="IRNazanin"/>
          <w:color w:val="111111"/>
          <w:sz w:val="28"/>
          <w:szCs w:val="28"/>
          <w:rtl w:val="true"/>
          <w:lang w:bidi="fa-IR"/>
        </w:rPr>
        <w:t>.</w:t>
      </w:r>
    </w:p>
    <w:p>
      <w:pPr>
        <w:pStyle w:val="Heading3"/>
        <w:numPr>
          <w:ilvl w:val="2"/>
          <w:numId w:val="1"/>
        </w:numPr>
        <w:rPr/>
      </w:pPr>
      <w:bookmarkStart w:id="85" w:name="__RefHeading___Toc3433753_1051229030"/>
      <w:bookmarkStart w:id="86" w:name="_Toc27"/>
      <w:bookmarkEnd w:id="85"/>
      <w:r>
        <w:rPr>
          <w:rtl w:val="true"/>
        </w:rPr>
        <w:t>خاتمه</w:t>
      </w:r>
      <w:bookmarkEnd w:id="86"/>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شايسته است به دو امر از اموري که شارع مقدّس اسلام در آنها، به طور کنايه و بليغ به ولايت حضرت اميرالمؤمنين و ساير اهل بيت و آل و عترت</w:t>
      </w:r>
      <w:r>
        <w:rPr>
          <w:rStyle w:val="FootnoteAnchor"/>
          <w:rtl w:val="true"/>
        </w:rPr>
        <w:footnoteReference w:id="72"/>
      </w:r>
      <w:r>
        <w:rPr>
          <w:rFonts w:ascii="IRNazanin" w:hAnsi="IRNazanin" w:eastAsia="IRNazanin"/>
          <w:color w:val="111111"/>
          <w:sz w:val="28"/>
          <w:sz w:val="28"/>
          <w:szCs w:val="28"/>
          <w:rtl w:val="true"/>
          <w:lang w:bidi="fa-IR"/>
        </w:rPr>
        <w:t>طاهر رسول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w:t>
      </w:r>
      <w:bookmarkStart w:id="87" w:name="pg10706_113934"/>
    </w:p>
    <w:p>
      <w:pPr>
        <w:pStyle w:val="BookText"/>
        <w:rPr/>
      </w:pPr>
      <w:bookmarkEnd w:id="87"/>
      <w:r>
        <w:rPr>
          <w:rFonts w:ascii="Amiri" w:hAnsi="Amiri" w:eastAsia="Amiri" w:cs="Amiri"/>
          <w:color w:val="111111"/>
          <w:sz w:val="28"/>
          <w:sz w:val="28"/>
          <w:szCs w:val="28"/>
          <w:rtl w:val="true"/>
          <w:lang w:bidi="ar-SA"/>
        </w:rPr>
        <w:t>فرموده، اشاره نماييم</w:t>
      </w:r>
      <w:r>
        <w:rPr>
          <w:rFonts w:eastAsia="Amiri" w:cs="Amiri" w:ascii="Amiri" w:hAnsi="Amiri"/>
          <w:color w:val="111111"/>
          <w:sz w:val="28"/>
          <w:szCs w:val="28"/>
          <w:rtl w:val="true"/>
          <w:lang w:bidi="ar-SA"/>
        </w:rPr>
        <w:t>.</w:t>
      </w:r>
    </w:p>
    <w:p>
      <w:pPr>
        <w:pStyle w:val="Heading3"/>
        <w:numPr>
          <w:ilvl w:val="2"/>
          <w:numId w:val="1"/>
        </w:numPr>
        <w:rPr/>
      </w:pPr>
      <w:bookmarkStart w:id="88" w:name="__RefHeading___Toc3433755_1051229030"/>
      <w:bookmarkStart w:id="89" w:name="_Toc28"/>
      <w:bookmarkEnd w:id="88"/>
      <w:r>
        <w:rPr>
          <w:rtl w:val="true"/>
        </w:rPr>
        <w:t>امر اوّل</w:t>
      </w:r>
      <w:bookmarkEnd w:id="89"/>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اوّل تشريع صلوات است بر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تشهّد نمازها، به طور وجوب يا استحباب</w:t>
      </w:r>
      <w:r>
        <w:rPr>
          <w:rStyle w:val="FootnoteAnchor"/>
          <w:rtl w:val="true"/>
        </w:rPr>
        <w:footnoteReference w:id="73"/>
      </w:r>
      <w:r>
        <w:rPr>
          <w:rFonts w:ascii="Amiri" w:hAnsi="Amiri" w:eastAsia="Amiri" w:cs="Amiri"/>
          <w:color w:val="111111"/>
          <w:sz w:val="28"/>
          <w:sz w:val="28"/>
          <w:szCs w:val="28"/>
          <w:rtl w:val="true"/>
          <w:lang w:bidi="ar-SA"/>
        </w:rPr>
        <w:t xml:space="preserve">بعد از شهادت به وحدانيّت حضرت </w:t>
      </w:r>
    </w:p>
    <w:p>
      <w:pPr>
        <w:pStyle w:val="BookText"/>
        <w:rPr/>
      </w:pPr>
      <w:r>
        <w:rPr>
          <w:rFonts w:ascii="IRNazanin" w:hAnsi="IRNazanin" w:eastAsia="IRNazanin"/>
          <w:color w:val="111111"/>
          <w:sz w:val="28"/>
          <w:sz w:val="28"/>
          <w:szCs w:val="28"/>
          <w:rtl w:val="true"/>
          <w:lang w:bidi="fa-IR"/>
        </w:rPr>
        <w:t xml:space="preserve">احديّت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رسالت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توضيح مطلب اينکه نفس اين تشريع صلوات بر خصوص آل از بين همة مسلمين، آن هم در تشهّد مطلق نمازها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بعد از شهادتين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مي‌رساند که آن ذوات مقدّس، بسيار حائز اهمّيّت و داراي سمت بزرگي چون ولايت و جانشيني حضرت حقّ و رسول اويند</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 اينکه منظور از آل هر کسی نمي‌تواند باشد، بلکه خصوص ذوات مقدّس 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براي توضيح بيشتر چنين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مقدّس اسلام، از اوّل امر با ولايت به معناي سرپرستي و جانشيني حضرت عليّ بن ابي‌طالب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عترت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عجين و آميخته شده، به نحوي که به طور حقيقت و بي‌واهمه مي‌توان گفت که دين مقدّس اسلام، همين تشيّع است و بس</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همة مسلمانان 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مهاجر و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انصار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زماني که اسلام اختيار کردند، شيعه شدند، حتّي شخص شخيص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حقيقت شيعه بودند</w:t>
      </w:r>
      <w:r>
        <w:rPr>
          <w:rStyle w:val="FootnoteAnchor"/>
          <w:rtl w:val="true"/>
        </w:rPr>
        <w:footnoteReference w:id="76"/>
      </w:r>
      <w:r>
        <w:rPr>
          <w:rFonts w:ascii="Amiri" w:hAnsi="Amiri" w:eastAsia="Amiri" w:cs="Amiri"/>
          <w:color w:val="111111"/>
          <w:sz w:val="28"/>
          <w:sz w:val="28"/>
          <w:szCs w:val="28"/>
          <w:rtl w:val="true"/>
          <w:lang w:bidi="ar-SA"/>
        </w:rPr>
        <w:t>و اين معني خصوصاً از جريان تاريخي يوم الدّار روشن مي‌شود که حضرت رسول اکرم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حکم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77"/>
      </w:r>
      <w:r>
        <w:rPr>
          <w:rFonts w:ascii="IRNazanin" w:hAnsi="IRNazanin" w:eastAsia="IRNazanin"/>
          <w:color w:val="111111"/>
          <w:sz w:val="28"/>
          <w:sz w:val="28"/>
          <w:szCs w:val="28"/>
          <w:rtl w:val="true"/>
          <w:lang w:bidi="fa-IR"/>
        </w:rPr>
        <w:t xml:space="preserve">عشيرة نزديک و مخصوصاً سران فاميل خود را در منزل </w:t>
      </w:r>
    </w:p>
    <w:p>
      <w:pPr>
        <w:pStyle w:val="BookText"/>
        <w:rPr/>
      </w:pPr>
      <w:r>
        <w:rPr>
          <w:rFonts w:ascii="IRNazanin" w:hAnsi="IRNazanin" w:eastAsia="IRNazanin"/>
          <w:color w:val="111111"/>
          <w:sz w:val="28"/>
          <w:sz w:val="28"/>
          <w:szCs w:val="28"/>
          <w:rtl w:val="true"/>
          <w:lang w:bidi="fa-IR"/>
        </w:rPr>
        <w:t>جمع فرمودند و بعثت خود را براي رسالت، به همة آنان ابلاغ و گوشزد نموده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شما در ايمان به من اوّل کس باشد، جانشين من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حقيقت را سه مرتبه تکرار فرمودند و در هر سه مرتبه جز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کسي سبقت نگرفت، و لذا آن حضرت را به امر و دستور حضرت حقّ، در حضور همة آن فاميل، از همان بدو بعثت جانشين خود فرمودند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جانشيني را به فرمان شارع تعالي، به طور وسيعي در لابلاي آيات و ساير مدارک و حقايق اسلامي، محکم و مستحکم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نيز براي تقويت اين امر و با ملاحظة آنکه بسياري از منافقين مرموز، عليه اين جانشيني نقشه داشتند</w:t>
      </w:r>
      <w:r>
        <w:rPr>
          <w:rStyle w:val="FootnoteAnchor"/>
          <w:rtl w:val="true"/>
        </w:rPr>
        <w:footnoteReference w:id="79"/>
      </w:r>
      <w:r>
        <w:rPr>
          <w:rFonts w:ascii="IRNazanin" w:hAnsi="IRNazanin" w:eastAsia="IRNazanin"/>
          <w:color w:val="111111"/>
          <w:sz w:val="28"/>
          <w:sz w:val="28"/>
          <w:szCs w:val="28"/>
          <w:rtl w:val="true"/>
          <w:lang w:bidi="fa-IR"/>
        </w:rPr>
        <w:t>، به رغم انف آنان، با سياستي حکيمانه و مدبّرانه</w:t>
      </w:r>
      <w:r>
        <w:rPr>
          <w:rStyle w:val="FootnoteAnchor"/>
          <w:rtl w:val="true"/>
        </w:rPr>
        <w:footnoteReference w:id="80"/>
      </w:r>
      <w:r>
        <w:rPr>
          <w:rFonts w:ascii="IRNazanin" w:hAnsi="IRNazanin" w:eastAsia="IRNazanin"/>
          <w:color w:val="111111"/>
          <w:sz w:val="28"/>
          <w:sz w:val="28"/>
          <w:szCs w:val="28"/>
          <w:rtl w:val="true"/>
          <w:lang w:bidi="fa-IR"/>
        </w:rPr>
        <w:t xml:space="preserve">، در بزرگترين عبادت هميشگي، يعني در تشهّد نمازها، بعد </w:t>
      </w:r>
    </w:p>
    <w:p>
      <w:pPr>
        <w:pStyle w:val="BookText"/>
        <w:rPr/>
      </w:pPr>
      <w:r>
        <w:rPr>
          <w:rFonts w:ascii="IRNazanin" w:hAnsi="IRNazanin" w:eastAsia="IRNazanin"/>
          <w:color w:val="111111"/>
          <w:sz w:val="28"/>
          <w:sz w:val="28"/>
          <w:szCs w:val="28"/>
          <w:rtl w:val="true"/>
          <w:lang w:bidi="fa-IR"/>
        </w:rPr>
        <w:t xml:space="preserve">از شهادت به وحدانيّت و شهادت به رسالت، صلوات بر آل را به‌جاي شهادت به ولايت، تشريع و تثبيت نمود؛ چه آنکه اگر شهادت به ولايت، صراحتاً در تشهّد نمازها تشريع مي‌شد، بيم آن مي‌رفت که منافقين آن را به بهانه‌هايي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وقت قدرتشان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بردارند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از قراين احوال فراوان که بر هيچ منصف خبير دقيقي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پس از توجّه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مخفي و پوشيده نيست، کاملاً به طور واضح و روشن استفاده مي‌شود که از نظر شارع مقدّس اسلام در تشهّد نمازها اوّلاً و بالذات اقتضا داشت که شهادت به ولايت، بعد از شهادت به وحدانيّت و رسالت، به عنوان تکميل حقيقت تشهّد و شهادت، تشريع شود</w:t>
      </w:r>
      <w:r>
        <w:rPr>
          <w:rStyle w:val="FootnoteAnchor"/>
          <w:rtl w:val="true"/>
        </w:rPr>
        <w:footnoteReference w:id="81"/>
      </w:r>
      <w:r>
        <w:rPr>
          <w:rFonts w:ascii="IRNazanin" w:hAnsi="IRNazanin" w:eastAsia="IRNazanin"/>
          <w:color w:val="111111"/>
          <w:sz w:val="28"/>
          <w:sz w:val="28"/>
          <w:szCs w:val="28"/>
          <w:rtl w:val="true"/>
          <w:lang w:bidi="fa-IR"/>
        </w:rPr>
        <w:t>و مثلاً بعد از شهادتين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اَنَّ آلَ مُحَمَّدٍ اَوْلِياءُ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اَنَّ عَلِيّاً وَلِيُّ اللهِ</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،لکن به مقتضاي مصالحي نوعي و عللي ملزم که همچون ملاکات احکام، در يد </w:t>
      </w:r>
    </w:p>
    <w:p>
      <w:pPr>
        <w:pStyle w:val="BookText"/>
        <w:rPr/>
      </w:pPr>
      <w:r>
        <w:rPr>
          <w:rFonts w:ascii="IRNazanin" w:hAnsi="IRNazanin" w:eastAsia="IRNazanin"/>
          <w:color w:val="111111"/>
          <w:sz w:val="28"/>
          <w:sz w:val="28"/>
          <w:szCs w:val="28"/>
          <w:rtl w:val="true"/>
          <w:lang w:bidi="fa-IR"/>
        </w:rPr>
        <w:t>باکفايت حضرت شارع است، به‌جاي اين شهادت، صلوات بر آل، تشريع گرديد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خود مي‌رساند که آن ذوات مقدّس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شريعت مطهّر، از اهمّيّت فوق‌العاده‌اي</w:t>
      </w:r>
      <w:r>
        <w:rPr>
          <w:rStyle w:val="FootnoteAnchor"/>
          <w:rtl w:val="true"/>
        </w:rPr>
        <w:footnoteReference w:id="84"/>
      </w:r>
      <w:r>
        <w:rPr>
          <w:rFonts w:ascii="IRNazanin" w:hAnsi="IRNazanin" w:eastAsia="IRNazanin"/>
          <w:color w:val="111111"/>
          <w:sz w:val="28"/>
          <w:sz w:val="28"/>
          <w:szCs w:val="28"/>
          <w:rtl w:val="true"/>
          <w:lang w:bidi="fa-IR"/>
        </w:rPr>
        <w:t>برخوردارند که وظيفة هر مسلماني است که در تشهّد نمازها، بعد از شهادت به توحيد و رسالت، به ولايت آنان، شهادت بدهد، بلکه اين اهمّيّت، از نفس همين تشريع صلوات بر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خود آن حضرت و اختصاص ذکر آن ذوات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آن همه جمعيّت مسلمين و بزرگان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صحابه و غير آنها، در صلوات تشهّد و يا در مطلق صلوات که نسبت به غير آن بزرگواران از احدي به عنوان تشريع و يا شعار تجليلي نشده،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بپنداريم که صلوات تشهّد، به‌جاي شهادت به ولايت نباشد، بلکه مي‌توان گفت که مخصوصاً</w:t>
      </w:r>
      <w:r>
        <w:rPr>
          <w:rStyle w:val="FootnoteAnchor"/>
          <w:rtl w:val="true"/>
        </w:rPr>
        <w:footnoteReference w:id="85"/>
      </w:r>
      <w:r>
        <w:rPr>
          <w:rFonts w:ascii="IRNazanin" w:hAnsi="IRNazanin" w:eastAsia="IRNazanin"/>
          <w:color w:val="111111"/>
          <w:sz w:val="28"/>
          <w:sz w:val="28"/>
          <w:szCs w:val="28"/>
          <w:rtl w:val="true"/>
          <w:lang w:bidi="fa-IR"/>
        </w:rPr>
        <w:t>در تشهّد، صلوات بر شخص شخيص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مقدّمة صلوات بر آل تشريع گرديده؛ چون نام آن حضرت در تشهّد، طيّ شهادت به رسالت، برده شده، و معني ندارد ذکر مجدّدِ نام ايشان در طيّ صلوات، به عنوان تجليل متأخّر، آن هم با عدم اينگونه تجليل متأخّر از نام مبارک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تشهّد، طيّ شهادت به وحدانيّت برده شده، بلکه شبه اهانتي است به ساحت مقدّس کبريايي حضرت حقّ که نسبت به ذکر نام پيغمبرش آنگونه تجليل متأخّر شود، و نسبت به نام مقدّس حضرتش از آنگونه تجليل متأخّر، خودداري گردد؛ دقّت کنيد</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الاّ اين‌که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فقرة قبل از صلوات، فقط شهادت به رسالت و عبوديّت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شهادت به ولايت ذکر نشده، ولي در صلوات نام آن حضرت براي آن ذکر شده که به ولايت آن حضرت هم اشاره شود؛ چه حضرتش، گذشته بر منصب رسالت، داراي منصب ولايت هم بوده‌اند، هرچند که در رسالتِ جامع آن حضرت، ولايت منطوي و مندرج مي‌باشد؛ باز هم دقّت کنيد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چنانچه در روايات وارد شده باشد که ذکر صلوات، چنين و چنان ثواب و خواصّ دارد، و يا چنانچه تقاضاي فرستادن صلوات شود حتّي در مثل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صَلُّوا عَلَيْهِ وَسَلِّمُوا تَسْليماً</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و در مثل اين موارد،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نام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اينگونه موارد، نه تنها مقدّميّت ندارد، بلکه همچون آل، موضوعيّت دارد، اگر نگوييم که ذکر آل در اينگونه موارد، در طول نام آن حضرت، مقصود بوده و موضوعيّت </w:t>
      </w:r>
    </w:p>
    <w:p>
      <w:pPr>
        <w:pStyle w:val="BookText"/>
        <w:rPr/>
      </w:pPr>
      <w:r>
        <w:rPr>
          <w:rFonts w:ascii="Amiri" w:hAnsi="Amiri" w:eastAsia="Amiri" w:cs="Amiri"/>
          <w:color w:val="111111"/>
          <w:sz w:val="28"/>
          <w:sz w:val="28"/>
          <w:szCs w:val="28"/>
          <w:rtl w:val="true"/>
          <w:lang w:bidi="ar-SA"/>
        </w:rPr>
        <w:t>دارد؛ به خوبي دقّت شود</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اين معني واضح شد که چنانچه شارع مقدّس از روي مصالحي، شهادت به ولايت آل را در تشهّد نمازها بعد از شهادتين واجب نفرموده، به‌جاي آن صلوات بر آل را که تظاهر به ولايت و از مصاديق تولّي و متفرّع بر شهادت به ولايت است، و بالاخره همان معني را به کنايه مي‌فهماند، در تشهّد واجب فرموده است</w:t>
      </w:r>
      <w:r>
        <w:rPr>
          <w:rStyle w:val="FootnoteAnchor"/>
          <w:rtl w:val="true"/>
        </w:rPr>
        <w:footnoteReference w:id="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فَالْحَمْدُ للهِ الَّذِي هَدَانَا لِهَذَا</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bookmarkStart w:id="90" w:name="pg10706_113943"/>
    </w:p>
    <w:p>
      <w:pPr>
        <w:pStyle w:val="Heading3"/>
        <w:numPr>
          <w:ilvl w:val="2"/>
          <w:numId w:val="1"/>
        </w:numPr>
        <w:rPr/>
      </w:pPr>
      <w:bookmarkStart w:id="91" w:name="__RefHeading___Toc3433757_1051229030"/>
      <w:bookmarkStart w:id="92" w:name="_Toc29"/>
      <w:bookmarkEnd w:id="90"/>
      <w:bookmarkEnd w:id="91"/>
      <w:r>
        <w:rPr>
          <w:rtl w:val="true"/>
        </w:rPr>
        <w:t>امر دوّم</w:t>
      </w:r>
      <w:bookmarkEnd w:id="92"/>
    </w:p>
    <w:p>
      <w:pPr>
        <w:pStyle w:val="BookText"/>
        <w:rPr/>
      </w:pPr>
      <w:r>
        <w:rPr>
          <w:rFonts w:ascii="IRNazanin" w:hAnsi="IRNazanin" w:eastAsia="IRNazanin"/>
          <w:color w:val="111111"/>
          <w:sz w:val="28"/>
          <w:sz w:val="28"/>
          <w:szCs w:val="28"/>
          <w:rtl w:val="true"/>
          <w:lang w:bidi="fa-IR"/>
        </w:rPr>
        <w:t xml:space="preserve">امر دوّم اين است که هر چند کلمة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تشريح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 قلبي و جوانحي است، نه خارجي و جوارحي، ولي در پاره‌اي از روايات، برآن اطلاق عمل شده که ظهور در خارجي جوارحي دارد و بعيد است که مراد از آن عمل، تنها همان مفهوم قلبي باطني باشد که به نحوي از عنايت و مجاز اطلاق شده باشد، بلکه منظور، عمل جوارحي است و ظاهر در آن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مراد از ولايت در آن روايات، صرف ولايت قلبي نيست، بلکه ظاهر در تولّي که تظاهر عملي ولايت است، مي‌باشد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عمل در آن روايات، به همان معناي حقيقي جوارحي خود استعمال شده است، لکن مراد از کلمة ولايت در آنها، صِرف معناي قلبي آن نيست، بلکه مراد از آن تولّي و جلوه دادن آن امر قلبي است به خارج ظاهر که روي اين حساب، کلمة ولايت دو نحو اطلاق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يکي بر صِرْف معناي قلبي و ديگري بر تولّي که بروز و ظهور آن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مزبور، در بسياري از کتب معتبر نقل شده است، و ما بعضي از آنها </w:t>
      </w:r>
    </w:p>
    <w:p>
      <w:pPr>
        <w:pStyle w:val="BookText"/>
        <w:rPr/>
      </w:pPr>
      <w:r>
        <w:rPr>
          <w:rFonts w:ascii="IRNazanin" w:hAnsi="IRNazanin" w:eastAsia="IRNazanin"/>
          <w:color w:val="111111"/>
          <w:sz w:val="28"/>
          <w:sz w:val="28"/>
          <w:szCs w:val="28"/>
          <w:rtl w:val="true"/>
          <w:lang w:bidi="fa-IR"/>
        </w:rPr>
        <w:t>را از کتاب وسائل و مستدرک نقل مي‌کنيم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يکي از اين روايات، راوي از امام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دربارة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مي‌پرسد که چرا از فصول اذان ترک شده است؟</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حضرت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علّت ظاهري آن خواستاري و يا سبب باطني را طالبي؟ راوي عرض مي‌کند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الْعِلَّةُ الظَّاهِرَةُ فَلِئَلاَّ يَدَعَ النَّاسُ الْجِهَادَ اتِّكَالاً عَلَى الصَّلاَةِ، وَأمَّا الْبَاطِنَةُ فَإِنَّ خَيْرَ الْعَمَلِ الْوَلاَيَةُ فَأرَادَ مَنْ أمَرَ بِتَرْكِ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عَلَى خَيْرِالْعَمَلِ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الأذَانِ أنْ لاَيَقَعَ حَثٌّ عَلَيْهَا وَدُعَاءٌ إِلَيْهَا</w:t>
      </w:r>
      <w:r>
        <w:rPr>
          <w:rFonts w:eastAsia="Amiri" w:cs="Amiri" w:ascii="Amiri" w:hAnsi="Amiri"/>
          <w:color w:val="111111"/>
          <w:sz w:val="28"/>
          <w:szCs w:val="28"/>
          <w:rtl w:val="true"/>
          <w:lang w:bidi="ar-SA"/>
        </w:rPr>
        <w:t>»</w:t>
      </w:r>
      <w:r>
        <w:rPr>
          <w:rStyle w:val="FootnoteAnchor"/>
          <w:rtl w:val="true"/>
        </w:rPr>
        <w:footnoteReference w:id="92"/>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علّت ظاهري اسقاط آن</w:t>
      </w:r>
      <w:r>
        <w:rPr>
          <w:rStyle w:val="FootnoteAnchor"/>
          <w:rtl w:val="true"/>
        </w:rPr>
        <w:footnoteReference w:id="93"/>
      </w:r>
      <w:r>
        <w:rPr>
          <w:rFonts w:ascii="IRNazanin" w:hAnsi="IRNazanin" w:eastAsia="IRNazanin"/>
          <w:color w:val="111111"/>
          <w:sz w:val="28"/>
          <w:sz w:val="28"/>
          <w:szCs w:val="28"/>
          <w:rtl w:val="true"/>
          <w:lang w:bidi="fa-IR"/>
        </w:rPr>
        <w:t xml:space="preserve">از فصول اذان، آن بود که مردم به </w:t>
      </w:r>
    </w:p>
    <w:p>
      <w:pPr>
        <w:pStyle w:val="BookText"/>
        <w:rPr/>
      </w:pPr>
      <w:r>
        <w:rPr>
          <w:rFonts w:ascii="IRNazanin" w:hAnsi="IRNazanin" w:eastAsia="IRNazanin"/>
          <w:color w:val="111111"/>
          <w:sz w:val="28"/>
          <w:sz w:val="28"/>
          <w:szCs w:val="28"/>
          <w:rtl w:val="true"/>
          <w:lang w:bidi="fa-IR"/>
        </w:rPr>
        <w:t>خاطر نماز دست از جهاد برندارند</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اگر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برحسب برخي از روايات، نماز خير موضوع نيست، که هر اندازه کم و زياد خواندنش، مستحسن و مستحبّ است؟ پس چنين موضوعي چرا شايسته و سزاوار نيست که خيرالعمل باشد؟</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موضوع يعني بهترين موضوع و مخترع عبادي نماز است، و اين طرفه معجون، مرکّبي است که مشتمل بر عبادات مختلف و متنوّع قيامي، قعودي، رکوعي، سجودي، قلبي، لساني و غير آن است که هيچ عبادتي به گرد او نمي‌رسد، ولي اينها ربطي به خير العمل که بايد امري واقعي و حقيقي و اصيل باشد، ندارد، و آن امر، نمي‌تواند غير از ولايت باشد، بلکه آن همه اهمّيّت نماز، به آن ولايت بستگي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وقتي نماز، مقبول و معراج مؤمن و موجب قبول ماسواي خود از عبادات و اعمال ديگر مي‌شود که با شرط ولايت آورده شود و در غير اين صورت هر عملي که باشد، هيچگونه ارزشي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علّت باطني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w:t>
      </w:r>
    </w:p>
    <w:p>
      <w:pPr>
        <w:pStyle w:val="BookText"/>
        <w:rPr/>
      </w:pPr>
      <w:r>
        <w:rPr>
          <w:rFonts w:ascii="IRNazanin" w:hAnsi="IRNazanin" w:eastAsia="IRNazanin"/>
          <w:color w:val="111111"/>
          <w:sz w:val="28"/>
          <w:sz w:val="28"/>
          <w:szCs w:val="28"/>
          <w:rtl w:val="true"/>
          <w:lang w:bidi="fa-IR"/>
        </w:rPr>
        <w:t>علي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بود که چون مراد از خير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بود، پس آنکه به حذف و ترک آن، امر کرد، چنين مي‌خواست که مردم، به امر ولايت و به سوي آن، ترغيب نشده و فراخوانده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مي‌بينيم که از حضرت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مورد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سؤال مي‌شود؟ ايشان در جواب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العمل ولايت است، و در خبر ديگر، خير العمل برّ و نيکي به حضرت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طاهرينش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برگشت اين خبر آخري، به همان خبر قبل است؛ چه آنکه واضح است که برّ و نيکي تحقّق نمي‌پذيرد مگر به نحوي که آن ولايت دروني، ظهور و بروز عمليِ خارجي داشته باشد؛ چنان که پوشيده نيست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نفس عمل اسقاط به خوبي به دست مي‌آيد، که در بين مسلمين از زمان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آن حضرت، معروف و مشهور شده بود که منظور واقعي از خير العمل در اذان و اقامة نمازها، امر ولايت و تولّي بوده، نه امر نماز که اگر به همان حال، </w:t>
      </w:r>
    </w:p>
    <w:p>
      <w:pPr>
        <w:pStyle w:val="BookText"/>
        <w:rPr/>
      </w:pPr>
      <w:r>
        <w:rPr>
          <w:rFonts w:ascii="IRNazanin" w:hAnsi="IRNazanin" w:eastAsia="IRNazanin"/>
          <w:color w:val="111111"/>
          <w:sz w:val="28"/>
          <w:sz w:val="28"/>
          <w:szCs w:val="28"/>
          <w:rtl w:val="true"/>
          <w:lang w:bidi="fa-IR"/>
        </w:rPr>
        <w:t xml:space="preserve">مشهور و معروف مي‌ماند،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خواهي نخواهي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ولايت گرايش پيدا مي‌کردند و اين جريان مخصوصاً براي متصدّيان امر آن روز اسلام، گران تمام مي‌شد، لذا به مغلطه افتاده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بهانة آنکه نما بايد خير العمل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که در مقدّمات نماز، که اذان و اقامه است، قرار گرفته و ترغيب به نماز در قبال جبهه و جهاد، خلاف مصلحت اسلام و عامّة مسلمين است</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فصول اذان حذف نمودند، و الاّ پس اگر خير العمل، در امر ولايت و تولّي، معروف و مشهور نبود، وجهي نداشت که خصوص آن را از بين ساير فصول اذان و اقامه که به نماز ترغيب داشت، حذف کنند و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صريح در ترغيب به نماز است، حذف نکنند، بلکه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آن جهت که از فصول مقدّمة نماز است و منظور از آن هم فلاح و رستگاري در امر نماز مي‌باشد، حذف ننمايند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اينکه تنها به حذف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گماشتند و حسّاسيّت نشان دادند، براي همان بود که از زمان پيغمبر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دستور آن حضرت که از ناحية حضرت حقّ و ساحت </w:t>
      </w:r>
      <w:bookmarkStart w:id="93" w:name="pg10706_113948"/>
    </w:p>
    <w:p>
      <w:pPr>
        <w:pStyle w:val="BookText"/>
        <w:rPr/>
      </w:pPr>
      <w:bookmarkEnd w:id="93"/>
      <w:r>
        <w:rPr>
          <w:rFonts w:ascii="IRNazanin" w:hAnsi="IRNazanin" w:eastAsia="IRNazanin"/>
          <w:color w:val="111111"/>
          <w:sz w:val="28"/>
          <w:sz w:val="28"/>
          <w:szCs w:val="28"/>
          <w:rtl w:val="true"/>
          <w:lang w:bidi="fa-IR"/>
        </w:rPr>
        <w:t>مقدّس کبريايي، سرچشمه گرفته، شهرت يافته بود که مراد از خير العمل، ولايت و تولّي نسبت به خاندان رسالت و عترت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آنان، در وجود حضرت زهرا و همسر و فرزندان معصومين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و متعيّن مي‌باشند</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4" w:name="__RefHeading___Toc3433759_1051229030"/>
      <w:bookmarkStart w:id="95" w:name="_Toc30"/>
      <w:bookmarkEnd w:id="94"/>
      <w:r>
        <w:rPr>
          <w:rtl w:val="true"/>
        </w:rPr>
        <w:t>سؤالات</w:t>
      </w:r>
      <w:r>
        <w:rPr>
          <w:rtl w:val="true"/>
        </w:rPr>
        <w:t>:</w:t>
      </w:r>
      <w:bookmarkEnd w:id="95"/>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تکمیل این بحث، باید به طرح سه سؤال و پاسخ از هر یک بپردازیم</w:t>
      </w:r>
      <w:r>
        <w:rPr>
          <w:rFonts w:eastAsia="IRNazanin" w:cs="IRNazanin"/>
          <w:color w:val="111111"/>
          <w:sz w:val="28"/>
          <w:szCs w:val="28"/>
          <w:rtl w:val="true"/>
          <w:lang w:bidi="fa-IR"/>
        </w:rPr>
        <w:t xml:space="preserve">. </w:t>
      </w:r>
      <w:bookmarkStart w:id="96" w:name="pg10706_113949"/>
    </w:p>
    <w:p>
      <w:pPr>
        <w:pStyle w:val="Heading3"/>
        <w:numPr>
          <w:ilvl w:val="2"/>
          <w:numId w:val="1"/>
        </w:numPr>
        <w:rPr/>
      </w:pPr>
      <w:bookmarkStart w:id="97" w:name="__RefHeading___Toc3433761_1051229030"/>
      <w:bookmarkStart w:id="98" w:name="_Toc31"/>
      <w:bookmarkEnd w:id="96"/>
      <w:bookmarkEnd w:id="97"/>
      <w:r>
        <w:rPr>
          <w:rtl w:val="true"/>
        </w:rPr>
        <w:t>سؤال اوّل</w:t>
      </w:r>
      <w:r>
        <w:rPr>
          <w:rtl w:val="true"/>
        </w:rPr>
        <w:t>:</w:t>
      </w:r>
      <w:bookmarkEnd w:id="98"/>
    </w:p>
    <w:p>
      <w:pPr>
        <w:pStyle w:val="Heading3"/>
        <w:numPr>
          <w:ilvl w:val="2"/>
          <w:numId w:val="1"/>
        </w:numPr>
        <w:rPr/>
      </w:pPr>
      <w:bookmarkStart w:id="99" w:name="__RefHeading___Toc3433763_1051229030"/>
      <w:bookmarkStart w:id="100" w:name="_Toc32"/>
      <w:bookmarkEnd w:id="99"/>
      <w:r>
        <w:rPr>
          <w:rtl w:val="true"/>
        </w:rPr>
        <w:t xml:space="preserve">علّت اسقاط </w:t>
      </w:r>
      <w:r>
        <w:rPr>
          <w:rtl w:val="true"/>
        </w:rPr>
        <w:t>«</w:t>
      </w:r>
      <w:r>
        <w:rPr>
          <w:rtl w:val="true"/>
        </w:rPr>
        <w:t>حيّ علي خير العمل</w:t>
      </w:r>
      <w:r>
        <w:rPr>
          <w:rtl w:val="true"/>
        </w:rPr>
        <w:t xml:space="preserve">» </w:t>
      </w:r>
      <w:r>
        <w:rPr>
          <w:rtl w:val="true"/>
        </w:rPr>
        <w:t>و جواب از آن</w:t>
      </w:r>
      <w:bookmarkEnd w:id="100"/>
    </w:p>
    <w:p>
      <w:pPr>
        <w:pStyle w:val="Heading3"/>
        <w:numPr>
          <w:ilvl w:val="2"/>
          <w:numId w:val="1"/>
        </w:numPr>
        <w:rPr/>
      </w:pPr>
      <w:bookmarkStart w:id="101" w:name="__RefHeading___Toc3433765_1051229030"/>
      <w:bookmarkStart w:id="102" w:name="_Toc33"/>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بهانه،</w:t>
      </w:r>
    </w:p>
    <w:p>
      <w:pPr>
        <w:pStyle w:val="BookText"/>
        <w:rPr/>
      </w:pPr>
      <w:r>
        <w:rPr>
          <w:rFonts w:ascii="IRNazanin" w:hAnsi="IRNazanin" w:eastAsia="IRNazanin"/>
          <w:color w:val="111111"/>
          <w:sz w:val="28"/>
          <w:sz w:val="28"/>
          <w:szCs w:val="28"/>
          <w:rtl w:val="true"/>
          <w:lang w:bidi="fa-IR"/>
        </w:rPr>
        <w:t xml:space="preserve">و عدم اسقاط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قبول آنکه مراد از همة آنها، نماز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بود که در مضمون جملة اوّل،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بهترين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و در مضمون دو فصل ديگر، چنين چيزي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مبنا، چون فقرة اُولي مي‌رساند که نماز از هر عملي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جهاد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و برتر است، و آن دو فقره اين معنا را نمي‌رسانند، لذا فقرة اُولي اسقاط شد و آن دو فقره، دستخوش سقط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علّت ظاهري اسقاط، تنها آن نبود که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نماز ترغيب دارد تا گفته شود که هر سه فقره در اين معني مشترک المآل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از قراين احوال کاملاً روشن است که منظور نظر، بهانه‌جويي براي اسقاط آن فقره‌اي بود که تحريص بر امر ولايت داشت، که خصوص فقرة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نظر واقعي بهانه‌تراش، آن نبود که هر فقره‌اي که به نماز ترغيب مي‌کند، سقط کند تا هر سه فقره اسقاط گردد؛ چه آنکه براي بهانه‌جو کافي است که تنها بهانه‌اي پيدا شود براي تأمين هدف او، ديگر در فکر آن نيست که تالي فاسد ديگري هم دارد يا ندارد؟</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اعتراض به مخالفين به اين بيان که علّت تراشيده </w:t>
      </w:r>
    </w:p>
    <w:p>
      <w:pPr>
        <w:pStyle w:val="BookText"/>
        <w:rPr/>
      </w:pPr>
      <w:r>
        <w:rPr>
          <w:rFonts w:ascii="IRNazanin" w:hAnsi="IRNazanin" w:eastAsia="IRNazanin"/>
          <w:color w:val="111111"/>
          <w:sz w:val="28"/>
          <w:sz w:val="28"/>
          <w:szCs w:val="28"/>
          <w:rtl w:val="true"/>
          <w:lang w:bidi="fa-IR"/>
        </w:rPr>
        <w:t>شده، اسقاط هر سه فقره را الزامي مي‌کند، نه يک فقره را وارد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منظور سقط کننده از عمل اسقاط، هرگز آن نبوده که نماز خير العمل نيست، هرچند آن را بهانه نموده باشد، بلکه منظور آن بود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فصول اذان و از تعلّق 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الفرض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تحريص بر خيرالعمليِ نماز است، اسقاط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ملاک در اسقاط، 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اين ملاک در دو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دقّت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گذشته بر آن روايات اشاره شده، نفس اين عمل، يعني برداشتن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صراحت و يا دلالتي بر نماز نداشت و تنها در عِداد فصول اذان و اقامة نماز بود، به‌جاي برداشتن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ترغيب به نماز، صراحت دارد، خود ادلّ دليل است بر اينکه از زمان خود پيغمبر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داشته که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تولّي و اظهار ولايت نسبت به عترت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اين معني از جملة برّ و نيکي به فاطمه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طاهر آن حضرت که در خبر سابق منقول از مستدرک گذشت نيز استفاده مي‌شود</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 xml:space="preserve">بنابراين، هر چند حال ميّت مؤمن، از جهت 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از جهت عمل تولّي و تظاهر به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بوده و يا فاقد آن باشد، و فقط طبق موازين ظاهري، عمل قلبي اعتقادي ولايي داشته باشد، کافي است که از مصاديق اينگونه دعا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مي‌رساند که ولايت، از مصاديق بارز خير است و همچنين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را در اذهان مساعد مي‌سازد تا انسان در اين دنيا، با تمام وسع خود، در عمل خير ولايت، سبقت بگيرد، و آن را از دست ندهد، که بعد از مرگ، ديگر کاري از او ساخته نيست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3" w:name="pg10706_113951"/>
    </w:p>
    <w:p>
      <w:pPr>
        <w:pStyle w:val="Heading3"/>
        <w:numPr>
          <w:ilvl w:val="2"/>
          <w:numId w:val="1"/>
        </w:numPr>
        <w:rPr/>
      </w:pPr>
      <w:bookmarkStart w:id="104" w:name="__RefHeading___Toc3433767_1051229030"/>
      <w:bookmarkStart w:id="105" w:name="_Toc34"/>
      <w:bookmarkEnd w:id="103"/>
      <w:bookmarkEnd w:id="104"/>
      <w:r>
        <w:rPr>
          <w:rtl w:val="true"/>
        </w:rPr>
        <w:t>سؤال دوّم</w:t>
      </w:r>
      <w:r>
        <w:rPr>
          <w:rtl w:val="true"/>
        </w:rPr>
        <w:t>:</w:t>
      </w:r>
      <w:bookmarkEnd w:id="105"/>
    </w:p>
    <w:p>
      <w:pPr>
        <w:pStyle w:val="Heading3"/>
        <w:numPr>
          <w:ilvl w:val="2"/>
          <w:numId w:val="1"/>
        </w:numPr>
        <w:rPr/>
      </w:pPr>
      <w:bookmarkStart w:id="106" w:name="__RefHeading___Toc3433769_1051229030"/>
      <w:bookmarkStart w:id="107" w:name="_Toc35"/>
      <w:bookmarkEnd w:id="106"/>
      <w:r>
        <w:rPr>
          <w:rtl w:val="true"/>
        </w:rPr>
        <w:t xml:space="preserve">آیا </w:t>
      </w:r>
      <w:r>
        <w:rPr>
          <w:rtl w:val="true"/>
        </w:rPr>
        <w:t>«</w:t>
      </w:r>
      <w:r>
        <w:rPr>
          <w:rtl w:val="true"/>
        </w:rPr>
        <w:t>خير العمل</w:t>
      </w:r>
      <w:r>
        <w:rPr>
          <w:rtl w:val="true"/>
        </w:rPr>
        <w:t xml:space="preserve">» </w:t>
      </w:r>
      <w:r>
        <w:rPr>
          <w:rtl w:val="true"/>
        </w:rPr>
        <w:t>همان نماز است به قرينة خَيْرُ مَوْضُوعٍ بودن نماز؟</w:t>
      </w:r>
      <w:bookmarkEnd w:id="10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پاره‌اي از روايات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خَيْرُ مَوْضُوعٍ فَمَنْ شَاءَ اسْتَقَلَّ وَمَنْ شَاءَ اسْتَكْثَرَ</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 xml:space="preserve">نماز، بهترين چيزي است </w:t>
      </w:r>
    </w:p>
    <w:p>
      <w:pPr>
        <w:pStyle w:val="BookText"/>
        <w:rPr/>
      </w:pPr>
      <w:r>
        <w:rPr>
          <w:rFonts w:ascii="IRNazanin" w:hAnsi="IRNazanin" w:eastAsia="IRNazanin"/>
          <w:color w:val="111111"/>
          <w:sz w:val="28"/>
          <w:sz w:val="28"/>
          <w:szCs w:val="28"/>
          <w:rtl w:val="true"/>
          <w:lang w:bidi="fa-IR"/>
        </w:rPr>
        <w:t>که قرار داده شده است، هرکه خواسته باشد کم يا زياد انجام دهد، مستحسن 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مانعي دارد که نماز 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مصاديق ظاهرآن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بر حسب قراين احوال و استظهارات و استشهاداتي که گذشت، ثابت شد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نمي‌تواند غير از ولايت و تولّي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است؛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نماز، آن است که نماز بهترين موضوع يعني مجعول و مخترع عبادي است و طُرفه معجون مرکّبي است از عبادات قيامي، قعودي، رکوعي، سجودي، قلبي، لساني و غير آن، که هيچ عبادتي از نظر جامعيّت، به گرد او نمي‌رسد، و اين غير از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ربطي به آن، که بهترين عمل اصيل و غيرجعلي بايد باشد، ندارد و آن بهترين امر و عمل اصيل، نمي‌تواند غير از امر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اصالت، به مرتبه‌اي است که اهمّيّت نمازِ خير موضوع هم به آن بستگي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ديگري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از حقيقتِ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نماز وقتي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که با شرط حائزيّت ولايت، متحقّق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وقتي نماز قابل اهمّيّت، منشأ اثر، مقبول درگاه حضرت حقّ، معراج مؤمن، موجب قبول ماسواي خود از ساير عبادات و اعمال و غير اين موارد مي‌گردد که نمازگزار واجد </w:t>
      </w:r>
    </w:p>
    <w:p>
      <w:pPr>
        <w:pStyle w:val="BookText"/>
        <w:rPr/>
      </w:pP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روح عبادت و بندگي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غير اين صورت، حتّي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هم 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جاي اين سؤال نيست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تشريع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اذان و اقامه، با ملاحظة آنکه مراد از آن ولايت باشد، چيست؟ و وجه ارتباطش با نماز چه مي‌باشد؟</w:t>
      </w:r>
    </w:p>
    <w:p>
      <w:pPr>
        <w:pStyle w:val="BookText"/>
        <w:rPr/>
      </w:pPr>
      <w:r>
        <w:rPr>
          <w:rFonts w:ascii="IRNazanin" w:hAnsi="IRNazanin" w:eastAsia="IRNazanin"/>
          <w:color w:val="111111"/>
          <w:sz w:val="28"/>
          <w:sz w:val="28"/>
          <w:szCs w:val="28"/>
          <w:rtl w:val="true"/>
          <w:lang w:bidi="fa-IR"/>
        </w:rPr>
        <w:t>زيرا واضح شد که منظور واقعي، شهادت به ولايت بوده و اقتضا داشت که در اذان و اقامه به طور صريح، به دنبال فصول شهادت به وحدانيّت و شهادت به رسالت درآيد، ولي مصلحت اسلامي‌آن شدکه به صورت‌کنايي،دراواخراذان و اقامه 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بيان شد که سرّ واقعي تشريع و ارتباطش به نماز، آن است که امر ولايت</w:t>
      </w:r>
      <w:r>
        <w:rPr>
          <w:rStyle w:val="FootnoteAnchor"/>
          <w:rtl w:val="true"/>
        </w:rPr>
        <w:footnoteReference w:id="100"/>
      </w:r>
      <w:r>
        <w:rPr>
          <w:rFonts w:ascii="IRNazanin" w:hAnsi="IRNazanin" w:eastAsia="IRNazanin"/>
          <w:color w:val="111111"/>
          <w:sz w:val="28"/>
          <w:sz w:val="28"/>
          <w:szCs w:val="28"/>
          <w:rtl w:val="true"/>
          <w:lang w:bidi="fa-IR"/>
        </w:rPr>
        <w:t xml:space="preserve">از شرايط قبولي نماز که سرسلسلة عبادات است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به ساير 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منظور از نمازي که ولايت از فصول آن است، نمازِ کامل اهل ولايت است که روح نماز، يعني حقيقت علقة ولايت، در آن دميده شده باشد، نه مجرّد پيکرة بي روح و آنچه که مردگان يعني آنان که فاقد گوهر گرانبهاي ولايت خاندان عصمت و طهارتند، به‌جا مي‌آورند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بايد گفت که چه بجاست که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حيّ علي خير </w:t>
      </w:r>
      <w:bookmarkStart w:id="108" w:name="pg10706_113954"/>
    </w:p>
    <w:p>
      <w:pPr>
        <w:pStyle w:val="BookText"/>
        <w:rPr/>
      </w:pPr>
      <w:bookmarkEnd w:id="108"/>
      <w:r>
        <w:rPr>
          <w:rFonts w:ascii="IRNazanin" w:hAnsi="IRNazanin" w:eastAsia="IRNazanin"/>
          <w:color w:val="111111"/>
          <w:sz w:val="28"/>
          <w:sz w:val="28"/>
          <w:szCs w:val="28"/>
          <w:rtl w:val="true"/>
          <w:lang w:bidi="fa-IR"/>
        </w:rPr>
        <w:t>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اذان و اقامة آنگونه نمازهاي فاقد روح ولايت برداشته شود که خوشبختانه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حيث لايشعرون و به طور ناخودآگاه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است، پس اسقاط آن ولو از جهتي موجب تأثّر و نگراني مي‌شود، ولي از جهتي ديگر، مستلزم زهي خوشبختي است که براي امر بي‌محتوا، شعار يا محتوا داده نمي‌شود</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9" w:name="__RefHeading___Toc3433771_1051229030"/>
      <w:bookmarkStart w:id="110" w:name="_Toc36"/>
      <w:bookmarkEnd w:id="109"/>
      <w:r>
        <w:rPr>
          <w:rtl w:val="true"/>
        </w:rPr>
        <w:t>سؤال سوّم</w:t>
      </w:r>
      <w:r>
        <w:rPr>
          <w:rtl w:val="true"/>
        </w:rPr>
        <w:t>:</w:t>
      </w:r>
      <w:bookmarkEnd w:id="110"/>
    </w:p>
    <w:p>
      <w:pPr>
        <w:pStyle w:val="Heading3"/>
        <w:numPr>
          <w:ilvl w:val="2"/>
          <w:numId w:val="1"/>
        </w:numPr>
        <w:rPr/>
      </w:pPr>
      <w:bookmarkStart w:id="111" w:name="__RefHeading___Toc3433773_1051229030"/>
      <w:bookmarkStart w:id="112" w:name="_Toc37"/>
      <w:bookmarkEnd w:id="111"/>
      <w:r>
        <w:rPr>
          <w:rtl w:val="true"/>
        </w:rPr>
        <w:t xml:space="preserve">عدم شهرت </w:t>
      </w:r>
      <w:r>
        <w:rPr>
          <w:rtl w:val="true"/>
        </w:rPr>
        <w:t>«</w:t>
      </w:r>
      <w:r>
        <w:rPr>
          <w:rtl w:val="true"/>
        </w:rPr>
        <w:t>خير العمل</w:t>
      </w:r>
      <w:r>
        <w:rPr>
          <w:rtl w:val="true"/>
        </w:rPr>
        <w:t xml:space="preserve">» </w:t>
      </w:r>
      <w:r>
        <w:rPr>
          <w:rtl w:val="true"/>
        </w:rPr>
        <w:t>به معناي ولايت، در بين شيعيان</w:t>
      </w:r>
      <w:bookmarkEnd w:id="112"/>
    </w:p>
    <w:p>
      <w:pPr>
        <w:pStyle w:val="BookText"/>
        <w:rPr/>
      </w:pPr>
      <w:r>
        <w:rPr>
          <w:rFonts w:ascii="IRNazanin" w:hAnsi="IRNazanin" w:eastAsia="IRNazanin"/>
          <w:color w:val="111111"/>
          <w:sz w:val="28"/>
          <w:sz w:val="28"/>
          <w:szCs w:val="28"/>
          <w:rtl w:val="true"/>
          <w:lang w:bidi="fa-IR"/>
        </w:rPr>
        <w:t>اگر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ولايت باشد، پس چگونه اين معني لا اقلّ در بين شيعيان معروف و مشهور نشده، بلکه کمتر کسي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از خواصّ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توجّه داشته و دارد؟</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مي‌گویيم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موضوع تقيّه و امر وظيفة وحدت اسلامي و </w:t>
      </w:r>
    </w:p>
    <w:p>
      <w:pPr>
        <w:pStyle w:val="BookText"/>
        <w:rPr/>
      </w:pPr>
      <w:r>
        <w:rPr>
          <w:rFonts w:ascii="IRNazanin" w:hAnsi="IRNazanin" w:eastAsia="IRNazanin"/>
          <w:color w:val="111111"/>
          <w:sz w:val="28"/>
          <w:sz w:val="28"/>
          <w:szCs w:val="28"/>
          <w:rtl w:val="true"/>
          <w:lang w:bidi="fa-IR"/>
        </w:rPr>
        <w:t>نظاير آن در اختفاي اينگونه حقايق، نقش بسزايي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دواعي بر انتشار امر ولايت هم زياد، و چه بسا مهمترين وظيفه بوده، ولي بايد گفت که نشر و انتشار امر ولايت، از طريق 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وجود وظيفه در امر تقيّه و وحدت اسلامي</w:t>
      </w:r>
      <w:r>
        <w:rPr>
          <w:rStyle w:val="FootnoteAnchor"/>
          <w:rtl w:val="true"/>
        </w:rPr>
        <w:footnoteReference w:id="1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خالي از اشکال نبوده، و لذا به همان حالت خفا و عدم معروفيّت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براي نوع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بعيد نيست که يکي از علل عدم توجّه نوع به اين معناي ولايت، آن باشد که ولايت در ارتکاز نوع، امري قلبي بوده، و اطلاق عمل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آن روايات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سنگين مي‌نمود، يعني غالباً نمي‌توانستند توجّه داشته باشند که منظور از ولايت در اينگونه از موارد که اطلاق عمل شده، همان تولّي و تظاهر خارجي است، نه مجرّد عمل قلبي و دروني، چنان که شرح آن، به طور مستوفي گذشت که از فروع عبادي و تعبديّ ديني است</w:t>
      </w:r>
      <w:r>
        <w:rPr>
          <w:rStyle w:val="FootnoteAnchor"/>
          <w:rtl w:val="true"/>
        </w:rPr>
        <w:footnoteReference w:id="103"/>
      </w:r>
      <w:r>
        <w:rPr>
          <w:rFonts w:ascii="IRNazanin" w:hAnsi="IRNazanin" w:eastAsia="IRNazanin"/>
          <w:color w:val="111111"/>
          <w:sz w:val="28"/>
          <w:sz w:val="28"/>
          <w:szCs w:val="28"/>
          <w:rtl w:val="true"/>
          <w:lang w:bidi="fa-IR"/>
        </w:rPr>
        <w:t xml:space="preserve">،و لذا </w:t>
      </w:r>
    </w:p>
    <w:p>
      <w:pPr>
        <w:pStyle w:val="BookText"/>
        <w:rPr/>
      </w:pPr>
      <w:r>
        <w:rPr>
          <w:rFonts w:ascii="IRNazanin" w:hAnsi="IRNazanin" w:eastAsia="IRNazanin"/>
          <w:color w:val="111111"/>
          <w:sz w:val="28"/>
          <w:sz w:val="28"/>
          <w:szCs w:val="28"/>
          <w:rtl w:val="true"/>
          <w:lang w:bidi="fa-IR"/>
        </w:rPr>
        <w:t>از آن غفلت داشتند و چه بسا نوعاً تصوّر مي‌کردند که منظور همان امر قلبي است که خود يک نوع عمل است؛ دقّت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اين معناي ولايت، در بين بسياري از خواصّ مکتبي و متديّنين مذهبي واضح و روشن بوده، و لذا در بين بسياري از آنان رايج، بلکه ملتزم بودند که در موقع شنيدن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اذان و اقامه، به‌جاي عمل به استحباب حکايت آن</w:t>
      </w:r>
      <w:r>
        <w:rPr>
          <w:rStyle w:val="FootnoteAnchor"/>
          <w:rtl w:val="true"/>
        </w:rPr>
        <w:footnoteReference w:id="104"/>
      </w:r>
      <w:r>
        <w:rPr>
          <w:rFonts w:ascii="Amiri" w:hAnsi="Amiri" w:eastAsia="Amiri" w:cs="Amiri"/>
          <w:color w:val="111111"/>
          <w:sz w:val="28"/>
          <w:sz w:val="28"/>
          <w:szCs w:val="28"/>
          <w:rtl w:val="true"/>
          <w:lang w:bidi="ar-SA"/>
        </w:rPr>
        <w:t>و يا تبديل خصوص حيعلات</w:t>
      </w:r>
      <w:r>
        <w:rPr>
          <w:rStyle w:val="FootnoteAnchor"/>
          <w:rtl w:val="true"/>
        </w:rPr>
        <w:footnoteReference w:id="105"/>
      </w:r>
      <w:r>
        <w:rPr>
          <w:rFonts w:ascii="IRNazanin" w:hAnsi="IRNazanin" w:eastAsia="IRNazanin"/>
          <w:color w:val="111111"/>
          <w:sz w:val="28"/>
          <w:sz w:val="28"/>
          <w:szCs w:val="28"/>
          <w:rtl w:val="true"/>
          <w:lang w:bidi="fa-IR"/>
        </w:rPr>
        <w:t xml:space="preserve">به حولقه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حَوْلَ وَلا قُوَّةَ إلاّ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بگويند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خَيْرُ العَمَلِ وَلايَتُکَ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برحذف‌کنندة آن از فصول اذان و اقامه ولو به طور کنايي</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گروه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بحار الأنوار، ج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ابن‌اثير در نهايه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عثمان، او را به خاطر شباهتش به مردي از مصر كه ريش بلندي داشته و نامش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بودند، و گفته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معني پيرمرد احمق و كفتار نر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بيان ابن اثير به دست مي‌آيد كه وجه تسمية وی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اين سه امر بوده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،نفرين</w:t>
      </w:r>
    </w:p>
    <w:p>
      <w:pPr>
        <w:pStyle w:val="BookText"/>
        <w:rPr/>
      </w:pPr>
      <w:r>
        <w:rPr>
          <w:rFonts w:ascii="IRNazanin" w:hAnsi="IRNazanin" w:eastAsia="IRNazanin"/>
          <w:color w:val="111111"/>
          <w:sz w:val="28"/>
          <w:sz w:val="28"/>
          <w:szCs w:val="28"/>
          <w:rtl w:val="true"/>
          <w:lang w:bidi="fa-IR"/>
        </w:rPr>
        <w:t>بفرستند و اين خود مي‌رساند که به خوبي از ابعاد موضوع باخبر و مطّلع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بعيد هم نيست به ملاحظة اينگونه روايات، تبديل خصوص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 ولايتک يا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آنها، براي شنوندگان اذان</w:t>
      </w:r>
      <w:r>
        <w:rPr>
          <w:rStyle w:val="FootnoteAnchor"/>
          <w:rtl w:val="true"/>
        </w:rPr>
        <w:footnoteReference w:id="107"/>
      </w:r>
      <w:r>
        <w:rPr>
          <w:rFonts w:ascii="IRNazanin" w:hAnsi="IRNazanin" w:eastAsia="IRNazanin"/>
          <w:color w:val="111111"/>
          <w:sz w:val="28"/>
          <w:sz w:val="28"/>
          <w:szCs w:val="28"/>
          <w:rtl w:val="true"/>
          <w:lang w:bidi="fa-IR"/>
        </w:rPr>
        <w:t xml:space="preserve">،مستحبّ باشد؛ همانگونه که در نظر فقها، تبديل همة حيعلات به حولقه استحباب دارد و اگر به استحباب تبديل، حکم نشود، لااقلّ استفادة رجحان تبديل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غير تنقيح مناط قطعي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متعيّن به نظر مي‌رسد؛ غنيمت دان</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واضح و مبرهن شد که اگرچه شرع مطهّر به ملاحظة علل و مصالحي ديني و سياست اسلامي، شهادت به ولايت را در فصول شهادت اذان و اقامة نماز يعني در امتداد شهادت به وحدانيّت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طور صريح قرار نداده، ولي در </w:t>
      </w:r>
    </w:p>
    <w:p>
      <w:pPr>
        <w:pStyle w:val="BookText"/>
        <w:rPr/>
      </w:pPr>
      <w:r>
        <w:rPr>
          <w:rFonts w:ascii="IRNazanin" w:hAnsi="IRNazanin" w:eastAsia="IRNazanin"/>
          <w:color w:val="111111"/>
          <w:sz w:val="28"/>
          <w:sz w:val="28"/>
          <w:szCs w:val="28"/>
          <w:rtl w:val="true"/>
          <w:lang w:bidi="fa-IR"/>
        </w:rPr>
        <w:t xml:space="preserve">عوض به طور کنايه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ابلغ از تصريح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ديگر اذان و اقامه قرار داده، و امر ولايت را به هر نحوي شده، تثبيت و تحکيم</w:t>
      </w:r>
    </w:p>
    <w:p>
      <w:pPr>
        <w:pStyle w:val="BookText"/>
        <w:rPr/>
      </w:pPr>
      <w:r>
        <w:rPr>
          <w:rFonts w:ascii="IRNazanin" w:hAnsi="IRNazanin" w:eastAsia="IRNazanin"/>
          <w:color w:val="111111"/>
          <w:sz w:val="28"/>
          <w:sz w:val="28"/>
          <w:szCs w:val="28"/>
          <w:rtl w:val="true"/>
          <w:lang w:bidi="fa-IR"/>
        </w:rPr>
        <w:t>فرموده</w:t>
      </w:r>
      <w:r>
        <w:rPr>
          <w:rStyle w:val="FootnoteAnchor"/>
          <w:rtl w:val="true"/>
        </w:rPr>
        <w:footnoteReference w:id="108"/>
      </w:r>
      <w:r>
        <w:rPr>
          <w:rFonts w:ascii="IRNazanin" w:hAnsi="IRNazanin" w:eastAsia="IRNazanin"/>
          <w:color w:val="111111"/>
          <w:sz w:val="28"/>
          <w:sz w:val="28"/>
          <w:szCs w:val="28"/>
          <w:rtl w:val="true"/>
          <w:lang w:bidi="fa-IR"/>
        </w:rPr>
        <w:t xml:space="preserve">و اين کمال لطف و عنايت است که همواره شرع مطهّر اسلام در بيان احکام، خاصّه اساسي‌ترين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امر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فَالْحَمْدُ للهِ تَعَالَي عَلَي تَمَامِ إِنْعَامِهِ وَکَمَالِ إِفْضَالِهِ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اشاره کرديم که نماز، هر چند در اسلام از موضوعات بسيار حائز اهمّيّت است، به حدّي که ستون دين شده، و قبولي و عدم قبولي ساير موضوعات اسلامي، به قبولي و عدم قبولي آن بستگي دارد</w:t>
      </w:r>
      <w:r>
        <w:rPr>
          <w:rStyle w:val="FootnoteAnchor"/>
          <w:rtl w:val="true"/>
        </w:rPr>
        <w:footnoteReference w:id="109"/>
      </w:r>
      <w:r>
        <w:rPr>
          <w:rFonts w:ascii="IRNazanin" w:hAnsi="IRNazanin" w:eastAsia="IRNazanin"/>
          <w:color w:val="111111"/>
          <w:sz w:val="28"/>
          <w:sz w:val="28"/>
          <w:szCs w:val="28"/>
          <w:rtl w:val="true"/>
          <w:lang w:bidi="fa-IR"/>
        </w:rPr>
        <w:t xml:space="preserve">و نيز ساير اعمال و موضوعات اسلامي، هر يک در حدّ خود، هر چند داراي اهمّيّت بسياري باشند، ولي همة اهمّيّت </w:t>
      </w:r>
    </w:p>
    <w:p>
      <w:pPr>
        <w:pStyle w:val="BookText"/>
        <w:rPr/>
      </w:pPr>
      <w:r>
        <w:rPr>
          <w:rFonts w:ascii="IRNazanin" w:hAnsi="IRNazanin" w:eastAsia="IRNazanin"/>
          <w:color w:val="111111"/>
          <w:sz w:val="28"/>
          <w:sz w:val="28"/>
          <w:szCs w:val="28"/>
          <w:rtl w:val="true"/>
          <w:lang w:bidi="fa-IR"/>
        </w:rPr>
        <w:t>آنها، به خاطر وجود روح ولايت است به طوري که هيچ‌يک به گونة حقيقت و واقعيّت، محقّق نخواهد شد، مگر به شرط وجود ولايت، و اينکه به‌جاآورندة آنها، اگر به ولايت ذوات مقدّس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نباشد، اينگونه اعمال، هيچگونه ارزشي براي او نداشته، و مورد قبول به معناي صحّت</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قرار نمي‌گيرد</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اينکه در امثال زيارتِ حضرت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أشْهَدُ أنَّكَ أقَمْتَ الصَّلاَةَ وَآتَيْتَ الزَّكَاةَ</w:t>
      </w:r>
      <w:r>
        <w:rPr>
          <w:rFonts w:eastAsia="IRNazanin" w:cs="IRNazanin"/>
          <w:color w:val="111111"/>
          <w:sz w:val="28"/>
          <w:szCs w:val="28"/>
          <w:rtl w:val="true"/>
          <w:lang w:bidi="fa-IR"/>
        </w:rPr>
        <w:t>...»</w:t>
      </w:r>
      <w:r>
        <w:rPr>
          <w:rStyle w:val="FootnoteAnchor"/>
          <w:rtl w:val="true"/>
        </w:rPr>
        <w:footnoteReference w:id="112"/>
      </w:r>
      <w:r>
        <w:rPr>
          <w:rFonts w:ascii="IRNazanin" w:hAnsi="IRNazanin" w:eastAsia="IRNazanin"/>
          <w:color w:val="111111"/>
          <w:sz w:val="28"/>
          <w:sz w:val="28"/>
          <w:szCs w:val="28"/>
          <w:rtl w:val="true"/>
          <w:lang w:bidi="fa-IR"/>
        </w:rPr>
        <w:t xml:space="preserve">منظور شهادت به آن </w:t>
      </w:r>
    </w:p>
    <w:p>
      <w:pPr>
        <w:pStyle w:val="BookText"/>
        <w:rPr/>
      </w:pPr>
      <w:r>
        <w:rPr>
          <w:rFonts w:ascii="IRNazanin" w:hAnsi="IRNazanin" w:eastAsia="IRNazanin"/>
          <w:color w:val="111111"/>
          <w:sz w:val="28"/>
          <w:sz w:val="28"/>
          <w:szCs w:val="28"/>
          <w:rtl w:val="true"/>
          <w:lang w:bidi="fa-IR"/>
        </w:rPr>
        <w:t>است که حضرت نماز واقعي و حقيقي اسلام را که داراي روح ولايت و امامت است، اقامه فرموده، و همچنين زکات واقعي و امر به معروف و نهي از منکر حقيقي و غيره را ادا نموده، و در راه اينگونه حقايق و واقعيّات، مظلومانه به شهادت رسيده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فَصَلَوَاتُ اللهِ تَبارَکَ وَتَعالَي وَسَلامُهُ عَلَيْهِ يَوْمَ وُلِدَ وَيَوْمَ اسْتُشْهِدَ وَيَوْمَ يُبْعَثُ حَيّاً وَالْحَمْدُ للهِ الَّذِي هَدَانَا لِهَذَا وَما کُنَّا لِنَهْتَدِيَ لَوْلاَ أنْ هَدانَا اللهُ</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0706_113962"/>
      <w:bookmarkStart w:id="114" w:name="pg10706_113962"/>
      <w:bookmarkEnd w:id="114"/>
    </w:p>
    <w:p>
      <w:pPr>
        <w:pStyle w:val="Heading2"/>
        <w:numPr>
          <w:ilvl w:val="1"/>
          <w:numId w:val="1"/>
        </w:numPr>
        <w:rPr/>
      </w:pPr>
      <w:bookmarkStart w:id="115" w:name="pg10706_113962"/>
      <w:bookmarkStart w:id="116" w:name="__RefHeading___Toc3433775_1051229030"/>
      <w:bookmarkStart w:id="117" w:name="_Toc38"/>
      <w:bookmarkEnd w:id="115"/>
      <w:bookmarkEnd w:id="116"/>
      <w:r>
        <w:rPr>
          <w:rtl w:val="true"/>
        </w:rPr>
        <w:t>رسالة دوّم</w:t>
      </w:r>
      <w:r>
        <w:rPr>
          <w:rtl w:val="true"/>
        </w:rPr>
        <w:t>:</w:t>
      </w:r>
      <w:r>
        <w:rPr>
          <w:rtl w:val="true"/>
        </w:rPr>
        <w:t>تأثير ولایت آل رسول</w:t>
      </w:r>
      <w:r>
        <w:rPr>
          <w:rtl w:val="true"/>
        </w:rPr>
        <w:t>(</w:t>
      </w:r>
      <w:r>
        <w:rPr>
          <w:rtl w:val="true"/>
        </w:rPr>
        <w:t>صَلَّى اَللَّهُ عَلَيْهِ وَ آلِهِ</w:t>
      </w:r>
      <w:r>
        <w:rPr>
          <w:rtl w:val="true"/>
        </w:rPr>
        <w:t>)</w:t>
      </w:r>
      <w:r>
        <w:rPr>
          <w:rtl w:val="true"/>
        </w:rPr>
        <w:t>حتّی بدون عمل مقبول</w:t>
      </w:r>
      <w:bookmarkEnd w:id="11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8" w:name="__RefHeading___Toc3433777_1051229030"/>
      <w:bookmarkStart w:id="119" w:name="_Toc39"/>
      <w:bookmarkEnd w:id="118"/>
      <w:r>
        <w:rPr>
          <w:rtl w:val="true"/>
        </w:rPr>
        <w:t>اشاره</w:t>
      </w:r>
      <w:bookmarkEnd w:id="11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0706_113964"/>
      <w:bookmarkStart w:id="121" w:name="pg10706_113964"/>
      <w:bookmarkEnd w:id="121"/>
    </w:p>
    <w:p>
      <w:pPr>
        <w:pStyle w:val="BookText"/>
        <w:rPr/>
      </w:pPr>
      <w:bookmarkStart w:id="122" w:name="pg10706_113964"/>
      <w:bookmarkEnd w:id="122"/>
      <w:r>
        <w:rPr>
          <w:rFonts w:ascii="IRNazanin" w:hAnsi="IRNazanin" w:eastAsia="IRNazanin"/>
          <w:color w:val="111111"/>
          <w:sz w:val="28"/>
          <w:sz w:val="28"/>
          <w:szCs w:val="28"/>
          <w:rtl w:val="true"/>
          <w:lang w:bidi="fa-IR"/>
        </w:rPr>
        <w:t>بسمه تعالی و له الحمد</w:t>
      </w:r>
    </w:p>
    <w:p>
      <w:pPr>
        <w:pStyle w:val="Heading3"/>
        <w:numPr>
          <w:ilvl w:val="2"/>
          <w:numId w:val="1"/>
        </w:numPr>
        <w:rPr/>
      </w:pPr>
      <w:bookmarkStart w:id="123" w:name="__RefHeading___Toc3433779_1051229030"/>
      <w:bookmarkStart w:id="124" w:name="_Toc40"/>
      <w:bookmarkEnd w:id="123"/>
      <w:r>
        <w:rPr>
          <w:rtl w:val="true"/>
        </w:rPr>
        <w:t>پیشگفتار</w:t>
      </w:r>
      <w:bookmarkEnd w:id="124"/>
    </w:p>
    <w:p>
      <w:pPr>
        <w:pStyle w:val="BookText"/>
        <w:rPr/>
      </w:pPr>
      <w:r>
        <w:rPr>
          <w:rFonts w:ascii="IRNazanin" w:hAnsi="IRNazanin" w:eastAsia="IRNazanin"/>
          <w:color w:val="111111"/>
          <w:sz w:val="28"/>
          <w:sz w:val="28"/>
          <w:szCs w:val="28"/>
          <w:rtl w:val="true"/>
          <w:lang w:bidi="fa-IR"/>
        </w:rPr>
        <w:t>رساله‌ای که در پیش روی دارید در مقام بيان اين مطلب است که محبّت خاندان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اعتقاد به ولايت ایشان، همچون اصل توحيد و رسالت، علاوه بر طريقيّت، از جهات متعدّدي در امر نجات اُخروي، موضوعيّت دارد، و اين برخلاف توهّم بعضي است که پنداشته‌اند محبّت آل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طريقی براي عمل به واقع شريعت حاصل از مکتب ولايت است که در اين صورت، ولايت منهاي عمل، همچون عمل منهاي ولايت، بي‌اثر مي‌گردد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برخلاف انتظار و برخلاف اصول مسلّم تشيّع، از سوی چند تن از دانشمندان شيعي به تعابير مختلف، شنيده شده که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مقتضاي آية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لِلإِنْسانِ إِلاَّ ما سَعى</w:t>
      </w:r>
      <w:r>
        <w:rPr>
          <w:rFonts w:eastAsia="IRNazanin" w:cs="IRNazanin"/>
          <w:color w:val="111111"/>
          <w:sz w:val="28"/>
          <w:szCs w:val="28"/>
          <w:rtl w:val="true"/>
          <w:lang w:bidi="fa-IR"/>
        </w:rPr>
        <w:t>(</w:t>
      </w:r>
      <w:r>
        <w:rPr>
          <w:rStyle w:val="FootnoteAnchor"/>
          <w:rtl w:val="true"/>
        </w:rPr>
        <w:footnoteReference w:id="113"/>
      </w:r>
      <w:r>
        <w:rPr>
          <w:rFonts w:ascii="Amiri" w:hAnsi="Amiri" w:eastAsia="Amiri" w:cs="Amiri"/>
          <w:color w:val="111111"/>
          <w:sz w:val="28"/>
          <w:sz w:val="28"/>
          <w:szCs w:val="28"/>
          <w:rtl w:val="true"/>
          <w:lang w:bidi="ar-SA"/>
        </w:rPr>
        <w:t xml:space="preserve">و نظاير </w:t>
      </w:r>
    </w:p>
    <w:p>
      <w:pPr>
        <w:pStyle w:val="BookText"/>
        <w:rPr/>
      </w:pPr>
      <w:r>
        <w:rPr>
          <w:rFonts w:ascii="IRNazanin" w:hAnsi="IRNazanin" w:eastAsia="IRNazanin"/>
          <w:color w:val="111111"/>
          <w:sz w:val="28"/>
          <w:sz w:val="28"/>
          <w:szCs w:val="28"/>
          <w:rtl w:val="true"/>
          <w:lang w:bidi="fa-IR"/>
        </w:rPr>
        <w:t>آن،</w:t>
      </w:r>
      <w:r>
        <w:rPr>
          <w:rStyle w:val="FootnoteAnchor"/>
          <w:rtl w:val="true"/>
        </w:rPr>
        <w:footnoteReference w:id="114"/>
      </w:r>
      <w:r>
        <w:rPr>
          <w:rFonts w:ascii="IRNazanin" w:hAnsi="IRNazanin" w:eastAsia="IRNazanin"/>
          <w:color w:val="111111"/>
          <w:sz w:val="28"/>
          <w:sz w:val="28"/>
          <w:szCs w:val="28"/>
          <w:rtl w:val="true"/>
          <w:lang w:bidi="fa-IR"/>
        </w:rPr>
        <w:t>اين است که محبّت و اعتقاد به ولايت خاندان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موضوعيّت ندارد، بلکه تنها براي عمل به واقع شريعت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واقع محقّق نمي‌شود مگر از طريق مکتب اهل‌بيت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1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طريقيّت دارد و هر کس که در آخرت، از اين طريق عملی نداشته باشد، اهل نجات نخواهد بود، هر چند که محبّت و ولايت توأم با اعتقاد به امامت و خلافت بلافصل الهي آنان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در ظرف وجود عمل نتيجه‌بخش است، ولي در ظرف عدم عمل، بين محبّين و معتقدين به ولايت و غير آنها فرقي نيست، و هر دو در هلاکتند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عدّه، رؤیت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حین جان دادن و این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مرگ، براي محبّين خود به صورت خوش، و براي مبغضين خود به صورت ناخوش، جلوه مي‌فرمايند، </w:t>
      </w:r>
    </w:p>
    <w:p>
      <w:pPr>
        <w:pStyle w:val="BookText"/>
        <w:rPr/>
      </w:pPr>
      <w:r>
        <w:rPr>
          <w:rFonts w:ascii="IRNazanin" w:hAnsi="IRNazanin" w:eastAsia="IRNazanin"/>
          <w:color w:val="111111"/>
          <w:sz w:val="28"/>
          <w:sz w:val="28"/>
          <w:szCs w:val="28"/>
          <w:rtl w:val="true"/>
          <w:lang w:bidi="fa-IR"/>
        </w:rPr>
        <w:t>صِرف محبّت و مبغضيّت نمي‌دانند، بلكه مدّعی شده‌اند که این امر</w:t>
      </w:r>
    </w:p>
    <w:p>
      <w:pPr>
        <w:pStyle w:val="BookText"/>
        <w:rPr/>
      </w:pPr>
      <w:r>
        <w:rPr>
          <w:rFonts w:ascii="IRNazanin" w:hAnsi="IRNazanin" w:eastAsia="IRNazanin"/>
          <w:color w:val="111111"/>
          <w:sz w:val="28"/>
          <w:sz w:val="28"/>
          <w:szCs w:val="28"/>
          <w:rtl w:val="true"/>
          <w:lang w:bidi="fa-IR"/>
        </w:rPr>
        <w:t>به ملاحظة آن است که حضرتش آيینة اعمال اشخاص مختلف است، و محبّ عامل چون اعمال حسنة خود را در وجود حضرتش مشاهده مي‌کند، اهل نجات مي‌شود،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مبغض چون غير از سيّئات و گناهان، داراي عمل مقبولي نيست و تنها همين گناهان را در وجود حضرتش مشاهده مي‌کند، در هلاکت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تعابير و تعابيري نظير اينها درصدد بيان اين معناست که ملاک در نجات و هلاکت، عمل و عدم عمل به واقع شريعت است، و هيچگونه موضوعيّت و اثري براي صِرف محبّت و مجرّد ولايت اهل بيت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در ظرف ثبوت عمل از آن ناحيه و مکتب مقدّس نمي‌باشد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تعابير، گفته‌ها و عقايد در امر محبّت و ولايت آن خاندان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يا از بي‌اعتقادي به مقام و منزلت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سرچشمه مي‌گيرد و يا از بي‌اطّلاعي و يا کم‌مايگي ناشي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بي‌وجه بوده و خلاف معتقدات مسلّم شيعه و نوع اعاظم علما و دانشمندان بزرگ اماميّة اثناعشري که برگرفته از مدارک صحيح و معتبر آيات، اخبار، احاديث، خطب، ادعيه و زيارات مأثور است، مي‌باشد؛ چه آن که از مجموع مدارک مزبور</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به دست مي‌آيد که نفس محبّت و ولايت خاندان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جهات متعدّدي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ضمن مباحث آینده روشن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موضوعيّت و اثر دارد، هر چند هم عملي در کار نباشد، و این‌که صِرف محبّت و مجرّد اعتقاد به ولايت حتّي بدون هيچگونه عمل صالحي، بدون آن که موجب تجرّی شود</w:t>
      </w:r>
      <w:r>
        <w:rPr>
          <w:rStyle w:val="FootnoteAnchor"/>
          <w:rtl w:val="true"/>
        </w:rPr>
        <w:footnoteReference w:id="117"/>
      </w:r>
      <w:r>
        <w:rPr>
          <w:rFonts w:ascii="IRNazanin" w:hAnsi="IRNazanin" w:eastAsia="IRNazanin"/>
          <w:color w:val="111111"/>
          <w:sz w:val="28"/>
          <w:sz w:val="28"/>
          <w:szCs w:val="28"/>
          <w:rtl w:val="true"/>
          <w:lang w:bidi="fa-IR"/>
        </w:rPr>
        <w:t>، هم در دنيا و هم در آخرت، نجات‌بخش است؛ يعني کسي که اهل ولايت</w:t>
      </w:r>
      <w:r>
        <w:rPr>
          <w:rStyle w:val="FootnoteAnchor"/>
          <w:rtl w:val="true"/>
        </w:rPr>
        <w:footnoteReference w:id="118"/>
      </w:r>
      <w:r>
        <w:rPr>
          <w:rFonts w:ascii="IRNazanin" w:hAnsi="IRNazanin" w:eastAsia="IRNazanin"/>
          <w:color w:val="111111"/>
          <w:sz w:val="28"/>
          <w:sz w:val="28"/>
          <w:szCs w:val="28"/>
          <w:rtl w:val="true"/>
          <w:lang w:bidi="fa-IR"/>
        </w:rPr>
        <w:t xml:space="preserve">نيست از دايرة موجبات نجات از مهلکة ابدي خارج است، هرچند به ظاهر مسلمان باشد، بلکه همچون کفّار در عذاب مخلّدند و با آنها، جز در تخفيف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ملاحظة مقتضيات و علل و اسبابی که اشاره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مطلب آن که اعتقاد به اصل ولایت که همان ایمان کامل و صددرصدی است</w:t>
      </w:r>
      <w:r>
        <w:rPr>
          <w:rStyle w:val="FootnoteAnchor"/>
          <w:rtl w:val="true"/>
        </w:rPr>
        <w:footnoteReference w:id="119"/>
      </w:r>
      <w:r>
        <w:rPr>
          <w:rFonts w:ascii="IRNazanin" w:hAnsi="IRNazanin" w:eastAsia="IRNazanin"/>
          <w:color w:val="111111"/>
          <w:sz w:val="28"/>
          <w:sz w:val="28"/>
          <w:szCs w:val="28"/>
          <w:rtl w:val="true"/>
          <w:lang w:bidi="fa-IR"/>
        </w:rPr>
        <w:t xml:space="preserve">، در امر نجات و سعادت اُخروی، هرچند عمل مقبولی در کار نباشد، بدون آن که موجب تجرّی </w:t>
      </w:r>
      <w:bookmarkStart w:id="125" w:name="pg10706_113968"/>
    </w:p>
    <w:p>
      <w:pPr>
        <w:pStyle w:val="BookText"/>
        <w:rPr/>
      </w:pPr>
      <w:bookmarkEnd w:id="125"/>
      <w:r>
        <w:rPr>
          <w:rFonts w:ascii="IRNazanin" w:hAnsi="IRNazanin" w:eastAsia="IRNazanin"/>
          <w:color w:val="111111"/>
          <w:sz w:val="28"/>
          <w:sz w:val="28"/>
          <w:szCs w:val="28"/>
          <w:rtl w:val="true"/>
          <w:lang w:bidi="fa-IR"/>
        </w:rPr>
        <w:t>شود، کارساز است و این امر حقیقتی است محکم و مستحکم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 است قبل از تشريح اين حقيقت، به بيان مقدّماتي</w:t>
      </w:r>
    </w:p>
    <w:p>
      <w:pPr>
        <w:pStyle w:val="BookText"/>
        <w:rPr/>
      </w:pPr>
      <w:r>
        <w:rPr>
          <w:rFonts w:ascii="IRNazanin" w:hAnsi="IRNazanin" w:eastAsia="IRNazanin"/>
          <w:color w:val="111111"/>
          <w:sz w:val="28"/>
          <w:sz w:val="28"/>
          <w:szCs w:val="28"/>
          <w:rtl w:val="true"/>
          <w:lang w:bidi="fa-IR"/>
        </w:rPr>
        <w:t>بپردازيم</w:t>
      </w:r>
      <w:r>
        <w:rPr>
          <w:rFonts w:eastAsia="IRNazanin" w:cs="IRNazanin"/>
          <w:color w:val="111111"/>
          <w:sz w:val="28"/>
          <w:szCs w:val="28"/>
          <w:rtl w:val="true"/>
          <w:lang w:bidi="fa-IR"/>
        </w:rPr>
        <w:t>.</w:t>
      </w:r>
    </w:p>
    <w:p>
      <w:pPr>
        <w:pStyle w:val="Heading3"/>
        <w:numPr>
          <w:ilvl w:val="2"/>
          <w:numId w:val="1"/>
        </w:numPr>
        <w:rPr/>
      </w:pPr>
      <w:bookmarkStart w:id="126" w:name="__RefHeading___Toc3433781_1051229030"/>
      <w:bookmarkStart w:id="127" w:name="_Toc41"/>
      <w:bookmarkEnd w:id="126"/>
      <w:r>
        <w:rPr>
          <w:rtl w:val="true"/>
        </w:rPr>
        <w:t>مقدّمة اوّل</w:t>
      </w:r>
      <w:r>
        <w:rPr>
          <w:rtl w:val="true"/>
        </w:rPr>
        <w:t xml:space="preserve">: </w:t>
      </w:r>
      <w:r>
        <w:rPr>
          <w:rtl w:val="true"/>
        </w:rPr>
        <w:t>اطلاق ولایت بر عمل به دو اعتبار</w:t>
      </w:r>
      <w:bookmarkEnd w:id="127"/>
    </w:p>
    <w:p>
      <w:pPr>
        <w:pStyle w:val="BookText"/>
        <w:rPr/>
      </w:pPr>
      <w:r>
        <w:rPr>
          <w:rFonts w:ascii="IRNazanin" w:hAnsi="IRNazanin" w:eastAsia="IRNazanin"/>
          <w:color w:val="111111"/>
          <w:sz w:val="28"/>
          <w:sz w:val="28"/>
          <w:szCs w:val="28"/>
          <w:rtl w:val="true"/>
          <w:lang w:bidi="fa-IR"/>
        </w:rPr>
        <w:t>بدان که ولايت به دو اعتبار مختلف، بر عمل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ولايت، بر عمل اطلاق مي‌شود، و مقصود از آن، اطاعت عملي داشتن از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مصادیق این نوع اطلاق، می‌توان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در فصول اذان و اقامه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و سرّ واقعي اينکه خلیفة دوّم،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 عَلَي خَيْرِ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فصول اذان حذف نمود، به این ملاحظه بود که هم او مي‌دانست و هم مشهور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ولايت حضرت امير و ساير آن خاندان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Style w:val="FootnoteAnchor"/>
          <w:rtl w:val="true"/>
        </w:rPr>
        <w:footnoteReference w:id="120"/>
      </w:r>
      <w:r>
        <w:rPr>
          <w:rFonts w:ascii="IRNazanin" w:hAnsi="IRNazanin" w:eastAsia="IRNazanin"/>
          <w:color w:val="111111"/>
          <w:sz w:val="28"/>
          <w:sz w:val="28"/>
          <w:szCs w:val="28"/>
          <w:rtl w:val="true"/>
          <w:lang w:bidi="fa-IR"/>
        </w:rPr>
        <w:t>و اينکه هر عملي حتّي نماز، وقتي که از آن ناحيه برسد و پذيرفته شود، بهترين عمل‌ها خواهد بود</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ولايت به اعتباري ديگر نيز بر عمل اطلاق مي‌گردد، امّا از آن، تظاهر کردن به ولايت و محبّت اراده مي‌شود؛ چه آن که تظاهر </w:t>
      </w:r>
    </w:p>
    <w:p>
      <w:pPr>
        <w:pStyle w:val="BookText"/>
        <w:rPr/>
      </w:pPr>
      <w:r>
        <w:rPr>
          <w:rFonts w:ascii="IRNazanin" w:hAnsi="IRNazanin" w:eastAsia="IRNazanin"/>
          <w:color w:val="111111"/>
          <w:sz w:val="28"/>
          <w:sz w:val="28"/>
          <w:szCs w:val="28"/>
          <w:rtl w:val="true"/>
          <w:lang w:bidi="fa-IR"/>
        </w:rPr>
        <w:t xml:space="preserve">به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 از آن به تولّي</w:t>
      </w:r>
      <w:r>
        <w:rPr>
          <w:rStyle w:val="FootnoteAnchor"/>
          <w:rtl w:val="true"/>
        </w:rPr>
        <w:footnoteReference w:id="122"/>
      </w:r>
      <w:r>
        <w:rPr>
          <w:rFonts w:ascii="Amiri" w:hAnsi="Amiri" w:eastAsia="Amiri" w:cs="Amiri"/>
          <w:color w:val="111111"/>
          <w:sz w:val="28"/>
          <w:sz w:val="28"/>
          <w:szCs w:val="28"/>
          <w:rtl w:val="true"/>
          <w:lang w:bidi="ar-SA"/>
        </w:rPr>
        <w:t xml:space="preserve">تعبير مي‌شود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نيز ولايتي است عَمَلي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آنچه که در این نوشتار مدّ نظر ما، از کلمة ولايت است، هيچ يک از اين دو معني نيست، بلکه معناي سوّمي مقصود است که محبّت قلبی توأم با اعتقاد به امامت الهي و بلافصل آن خاندان مي‌باشد؛ هرچند محبّت تنها در صورتي که کامل</w:t>
      </w:r>
      <w:r>
        <w:rPr>
          <w:rStyle w:val="FootnoteAnchor"/>
          <w:rtl w:val="true"/>
        </w:rPr>
        <w:footnoteReference w:id="123"/>
      </w:r>
      <w:r>
        <w:rPr>
          <w:rFonts w:ascii="IRNazanin" w:hAnsi="IRNazanin" w:eastAsia="IRNazanin"/>
          <w:color w:val="111111"/>
          <w:sz w:val="28"/>
          <w:sz w:val="28"/>
          <w:szCs w:val="28"/>
          <w:rtl w:val="true"/>
          <w:lang w:bidi="fa-IR"/>
        </w:rPr>
        <w:t>باشد</w:t>
      </w:r>
      <w:r>
        <w:rPr>
          <w:rStyle w:val="FootnoteAnchor"/>
          <w:rtl w:val="true"/>
        </w:rPr>
        <w:footnoteReference w:id="124"/>
      </w:r>
      <w:r>
        <w:rPr>
          <w:rFonts w:ascii="IRNazanin" w:hAnsi="IRNazanin" w:eastAsia="IRNazanin"/>
          <w:color w:val="111111"/>
          <w:sz w:val="28"/>
          <w:sz w:val="28"/>
          <w:szCs w:val="28"/>
          <w:rtl w:val="true"/>
          <w:lang w:bidi="fa-IR"/>
        </w:rPr>
        <w:t>نيز بي‌اثر نيست، و بالاتر از این، چه بسا همين محبّت کامل، کفّار را به حقيقت اسلام و تشيّع کشانده و مي‌کشاند، و موضوعيّت مي‌دهد و سبب مسلمان شدن آنان مي‌گردد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معناي قلبي ولايت اگر في نفسه و با دقّت ملاحظه شود، </w:t>
      </w:r>
    </w:p>
    <w:p>
      <w:pPr>
        <w:pStyle w:val="BookText"/>
        <w:rPr/>
      </w:pPr>
      <w:r>
        <w:rPr>
          <w:rFonts w:ascii="IRNazanin" w:hAnsi="IRNazanin" w:eastAsia="IRNazanin"/>
          <w:color w:val="111111"/>
          <w:sz w:val="28"/>
          <w:sz w:val="28"/>
          <w:szCs w:val="28"/>
          <w:rtl w:val="true"/>
          <w:lang w:bidi="fa-IR"/>
        </w:rPr>
        <w:t xml:space="preserve">خود يک نحوه عمل است، منتها عمل جوانحي به شمار می‌رود که براي ايجاد آن در قلب، سعي و کوشش لازم است، و بدين ملاحظه، مشمول آية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لِلإِنْسانِ إِلاَّ ما سَعى</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مي‌گردد؛ زیرا واضح است که اين آيه در انحصار عمل جوارحي نمي‌باشد؛ چون اعتقادات قلبي خود به خود موجود نمي‌شود، بلکه براي ايجاد آن، همچون امور غير قلبي، کوشش لازم است، هر چند نوعاً چنين استظهار مي‌شود که مراد از امثال این آیه، اعمال و کردار جوارحی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استفادة اين معنا که آنچه موجب نجات است بر اساس اين آيه، در انحصار عمل جوارحي است و عمل قلبيِ تنها، مؤثّر نيست، توهّمي است بيجا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مضافاً اينکه مستفاد از اين آيه با توجّه به قراين خارجيّه</w:t>
      </w:r>
      <w:r>
        <w:rPr>
          <w:rStyle w:val="FootnoteAnchor"/>
          <w:rtl w:val="true"/>
        </w:rPr>
        <w:footnoteReference w:id="126"/>
      </w:r>
      <w:r>
        <w:rPr>
          <w:rFonts w:ascii="IRNazanin" w:hAnsi="IRNazanin" w:eastAsia="IRNazanin"/>
          <w:color w:val="111111"/>
          <w:sz w:val="28"/>
          <w:sz w:val="28"/>
          <w:szCs w:val="28"/>
          <w:rtl w:val="true"/>
          <w:lang w:bidi="fa-IR"/>
        </w:rPr>
        <w:t>، آن است که عمل جوارحيِ تنها، شرط لازم و کافی نيست، بلکه با همراه داشتن عمل جوانحي ولايت، شرط لازم و کافی حاصل می‌شود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بر عدم کفایت عمل جوانحي دلالتی ندارد؛ پس دقّت شود</w:t>
      </w:r>
      <w:r>
        <w:rPr>
          <w:rFonts w:eastAsia="IRNazanin" w:cs="IRNazanin"/>
          <w:color w:val="111111"/>
          <w:sz w:val="28"/>
          <w:szCs w:val="28"/>
          <w:rtl w:val="true"/>
          <w:lang w:bidi="fa-IR"/>
        </w:rPr>
        <w:t xml:space="preserve">. </w:t>
      </w:r>
      <w:bookmarkStart w:id="128" w:name="pg10706_113971"/>
    </w:p>
    <w:p>
      <w:pPr>
        <w:pStyle w:val="Heading3"/>
        <w:numPr>
          <w:ilvl w:val="2"/>
          <w:numId w:val="1"/>
        </w:numPr>
        <w:rPr/>
      </w:pPr>
      <w:bookmarkStart w:id="129" w:name="__RefHeading___Toc3433783_1051229030"/>
      <w:bookmarkStart w:id="130" w:name="_Toc42"/>
      <w:bookmarkEnd w:id="128"/>
      <w:bookmarkEnd w:id="129"/>
      <w:r>
        <w:rPr>
          <w:rtl w:val="true"/>
        </w:rPr>
        <w:t>مقدّمة دوّم</w:t>
      </w:r>
      <w:r>
        <w:rPr>
          <w:rtl w:val="true"/>
        </w:rPr>
        <w:t xml:space="preserve">: </w:t>
      </w:r>
      <w:r>
        <w:rPr>
          <w:rtl w:val="true"/>
        </w:rPr>
        <w:t>همسویی ولایت تکوینی و تشریعی</w:t>
      </w:r>
      <w:bookmarkEnd w:id="130"/>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مخفي نماند که هر چند منظور منکرین موضوعیّت اصل ولایت در اين بحث، آن است که تنها اعتقاد به ولايت تشريعي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باید واقع شریعت را از آن مکتب به دست آورد، در نجات اُخروي نقشی ندارد و آنچه نقش دارد عمل به گفته‌هاي ایشان مي‌باشد که از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Style w:val="FootnoteAnchor"/>
          <w:rtl w:val="true"/>
        </w:rPr>
        <w:footnoteReference w:id="127"/>
      </w:r>
      <w:r>
        <w:rPr>
          <w:rFonts w:ascii="IRNazanin" w:hAnsi="IRNazanin" w:eastAsia="IRNazanin"/>
          <w:color w:val="111111"/>
          <w:sz w:val="28"/>
          <w:sz w:val="28"/>
          <w:szCs w:val="28"/>
          <w:rtl w:val="true"/>
          <w:lang w:bidi="fa-IR"/>
        </w:rPr>
        <w:t>سرچشمه گرفته و در شرح قرآن و بيان احکام صادر شده، ولي عين اين بحث را در ولايت تکويني آن خاندان نیز</w:t>
      </w:r>
      <w:r>
        <w:rPr>
          <w:rStyle w:val="FootnoteAnchor"/>
          <w:rtl w:val="true"/>
        </w:rPr>
        <w:footnoteReference w:id="128"/>
      </w:r>
      <w:r>
        <w:rPr>
          <w:rFonts w:ascii="IRNazanin" w:hAnsi="IRNazanin" w:eastAsia="IRNazanin"/>
          <w:color w:val="111111"/>
          <w:sz w:val="28"/>
          <w:sz w:val="28"/>
          <w:szCs w:val="28"/>
          <w:rtl w:val="true"/>
          <w:lang w:bidi="fa-IR"/>
        </w:rPr>
        <w:t>مي‌توان جاري ساخت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مجرّد اعتقاد به ولايت تکويني و وساطت آن خاندان در امر کائنات بدون عمل، همچون مجرّد اعتقاد به وساطت در تشريع، موجب نجات نيست و آنچه هست عمل به مکتب آنها می‌باشد؟ البتّه اين عمل به مکتب با اعتقاد به وساطتشان تنها در تشريع توأم باشد و يا در تکوين نيز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حقّ اين است که ولايت به هر دو معني خود، در مواردي بدون عمل هم نقش اساسي دارد، ولي آيا هر دو اعتقاد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تشريع و تکوين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توأماً در آن موارد لازم است، يا يکي از آن دو هم کافي است؟</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اعتقاد به ولايت تکويني آنان بدون ولايت تشريعي تحقّق ندارد و اگر هم محقّق شود، مثمر ثمر نيست،</w:t>
      </w:r>
      <w:r>
        <w:rPr>
          <w:rStyle w:val="FootnoteAnchor"/>
          <w:rtl w:val="true"/>
        </w:rPr>
        <w:footnoteReference w:id="129"/>
      </w:r>
      <w:r>
        <w:rPr>
          <w:rFonts w:ascii="IRNazanin" w:hAnsi="IRNazanin" w:eastAsia="IRNazanin"/>
          <w:color w:val="111111"/>
          <w:sz w:val="28"/>
          <w:sz w:val="28"/>
          <w:szCs w:val="28"/>
          <w:rtl w:val="true"/>
          <w:lang w:bidi="fa-IR"/>
        </w:rPr>
        <w:t>ولي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تشريع بدون تکوين تحقّق دارد،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اکثريّت نوع مطلق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بسياري از فرقة حقّة شيعة اثناعشري بر خلاف اکثریّت آنان، بدان رفته‌اند، و تنها به ولايت تشريعي ذوات چهارده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و به ولايت تکويني آن حضرات قائل نيستند، و ظاهراً گذشته بر تحقّق، مثمر ثمر هم مي‌باشد</w:t>
      </w:r>
      <w:r>
        <w:rPr>
          <w:rStyle w:val="FootnoteAnchor"/>
          <w:rtl w:val="true"/>
        </w:rPr>
        <w:footnoteReference w:id="130"/>
      </w:r>
      <w:r>
        <w:rPr>
          <w:rFonts w:ascii="IRNazanin" w:hAnsi="IRNazanin" w:eastAsia="IRNazanin"/>
          <w:color w:val="111111"/>
          <w:sz w:val="28"/>
          <w:sz w:val="28"/>
          <w:szCs w:val="28"/>
          <w:rtl w:val="true"/>
          <w:lang w:bidi="fa-IR"/>
        </w:rPr>
        <w:t>، ولي چنانچه اين ولايت تکويني از مدارک قطعي به دست آید</w:t>
      </w:r>
      <w:r>
        <w:rPr>
          <w:rStyle w:val="FootnoteAnchor"/>
          <w:rtl w:val="true"/>
        </w:rPr>
        <w:footnoteReference w:id="1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قطعاً هم به دست می‌آید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مع‌الوصف از روي </w:t>
      </w:r>
      <w:bookmarkStart w:id="131" w:name="pg10706_113973"/>
    </w:p>
    <w:p>
      <w:pPr>
        <w:pStyle w:val="BookText"/>
        <w:rPr/>
      </w:pPr>
      <w:bookmarkEnd w:id="131"/>
      <w:r>
        <w:rPr>
          <w:rFonts w:ascii="IRNazanin" w:hAnsi="IRNazanin" w:eastAsia="IRNazanin"/>
          <w:color w:val="111111"/>
          <w:sz w:val="28"/>
          <w:sz w:val="28"/>
          <w:szCs w:val="28"/>
          <w:rtl w:val="true"/>
          <w:lang w:bidi="fa-IR"/>
        </w:rPr>
        <w:t>عناد انکار گردد، بايد گفت که اعتقاد به ولايت تشريعي بدون اعتقاد به ولايت تکويني از روي عناد و تقصير، چه بسا مثمر ثمر نخواهد بود، و لذا طبق فرمايش خداوند تعالي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ألْقِيا في جَهَنَّمَ كُلَّ كَفَّارٍ عَنيدٍ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آنان که به جهت عناد و لجاج، زير بار حقّ و حقیقت نروند، در جهنّم انداخته مي‌شوند</w:t>
      </w:r>
      <w:r>
        <w:rPr>
          <w:rFonts w:eastAsia="IRNazanin" w:cs="IRNazanin"/>
          <w:color w:val="111111"/>
          <w:sz w:val="28"/>
          <w:szCs w:val="28"/>
          <w:rtl w:val="true"/>
          <w:lang w:bidi="fa-IR"/>
        </w:rPr>
        <w:t>.</w:t>
      </w:r>
    </w:p>
    <w:p>
      <w:pPr>
        <w:pStyle w:val="Heading3"/>
        <w:numPr>
          <w:ilvl w:val="2"/>
          <w:numId w:val="1"/>
        </w:numPr>
        <w:rPr/>
      </w:pPr>
      <w:bookmarkStart w:id="132" w:name="__RefHeading___Toc3433785_1051229030"/>
      <w:bookmarkStart w:id="133" w:name="_Toc43"/>
      <w:bookmarkEnd w:id="132"/>
      <w:r>
        <w:rPr>
          <w:rtl w:val="true"/>
        </w:rPr>
        <w:t>مقدمة سوّم</w:t>
      </w:r>
      <w:r>
        <w:rPr>
          <w:rtl w:val="true"/>
        </w:rPr>
        <w:t xml:space="preserve">: </w:t>
      </w:r>
      <w:r>
        <w:rPr>
          <w:rtl w:val="true"/>
        </w:rPr>
        <w:t>موضوعیّت تنها از آنِ اصل ولایت</w:t>
      </w:r>
      <w:bookmarkEnd w:id="133"/>
    </w:p>
    <w:p>
      <w:pPr>
        <w:pStyle w:val="BookText"/>
        <w:rPr/>
      </w:pPr>
      <w:r>
        <w:rPr>
          <w:rFonts w:ascii="IRNazanin" w:hAnsi="IRNazanin" w:eastAsia="IRNazanin"/>
          <w:color w:val="111111"/>
          <w:sz w:val="28"/>
          <w:sz w:val="28"/>
          <w:szCs w:val="28"/>
          <w:rtl w:val="true"/>
          <w:lang w:bidi="fa-IR"/>
        </w:rPr>
        <w:t>پوشيده نيست که ساير اصول و معارف اسلامي غير از اصل محبّت و ولايت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حتّي اصل توحيد و رسالت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هيچگونه موضوعيّتي ندارند، بلکه طريقي محض براي عمل</w:t>
      </w:r>
      <w:r>
        <w:rPr>
          <w:rStyle w:val="FootnoteAnchor"/>
          <w:rtl w:val="true"/>
        </w:rPr>
        <w:footnoteReference w:id="133"/>
      </w:r>
      <w:r>
        <w:rPr>
          <w:rFonts w:ascii="IRNazanin" w:hAnsi="IRNazanin" w:eastAsia="IRNazanin"/>
          <w:color w:val="111111"/>
          <w:sz w:val="28"/>
          <w:sz w:val="28"/>
          <w:szCs w:val="28"/>
          <w:rtl w:val="true"/>
          <w:lang w:bidi="fa-IR"/>
        </w:rPr>
        <w:t>به شمار مي‌روند، آن هم عملي که دستورش از مکتب ولايت رسيده باشد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کسي نمي‌تواند براي غير اصل ولايت، قائل به موضوعيّت باشد؛ بدين معني که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تحصيل اين معارف و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اعتقادات، منهاي اعتقاد به ولايت، بدون هيچگونه عملي، نجات بخش است، بلکه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اينها به انضمام عمل، حتّي اگر از کانال ولايت باشد، ولي بدون اعتقاد به اصل ولايت باشد</w:t>
      </w:r>
      <w:r>
        <w:rPr>
          <w:rStyle w:val="FootnoteAnchor"/>
          <w:rtl w:val="true"/>
        </w:rPr>
        <w:footnoteReference w:id="134"/>
      </w:r>
      <w:r>
        <w:rPr>
          <w:rFonts w:ascii="Amiri" w:hAnsi="Amiri" w:eastAsia="Amiri" w:cs="Amiri"/>
          <w:color w:val="111111"/>
          <w:sz w:val="28"/>
          <w:sz w:val="28"/>
          <w:szCs w:val="28"/>
          <w:rtl w:val="true"/>
          <w:lang w:bidi="ar-SA"/>
        </w:rPr>
        <w:t>، نتيجه بخش نخواهد بود</w:t>
      </w:r>
      <w:r>
        <w:rPr>
          <w:rStyle w:val="FootnoteAnchor"/>
          <w:rtl w:val="true"/>
        </w:rPr>
        <w:footnoteReference w:id="135"/>
      </w:r>
      <w:r>
        <w:rPr>
          <w:rFonts w:ascii="IRNazanin" w:hAnsi="IRNazanin" w:eastAsia="IRNazanin"/>
          <w:color w:val="111111"/>
          <w:sz w:val="28"/>
          <w:sz w:val="28"/>
          <w:szCs w:val="28"/>
          <w:rtl w:val="true"/>
          <w:lang w:bidi="fa-IR"/>
        </w:rPr>
        <w:t xml:space="preserve">، و بلکه نفس اعتقاد به ولايت بدون عمل نيز نسبت به مطلق عذاب‌هاي اُخروي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طور حتم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نمي‌تواند موضوعيّت داشته باشد، به اين معني که شخص را به طور يقين از </w:t>
      </w:r>
    </w:p>
    <w:p>
      <w:pPr>
        <w:pStyle w:val="BookText"/>
        <w:rPr/>
      </w:pPr>
      <w:r>
        <w:rPr>
          <w:rFonts w:ascii="IRNazanin" w:hAnsi="IRNazanin" w:eastAsia="IRNazanin"/>
          <w:color w:val="111111"/>
          <w:sz w:val="28"/>
          <w:sz w:val="28"/>
          <w:szCs w:val="28"/>
          <w:rtl w:val="true"/>
          <w:lang w:bidi="fa-IR"/>
        </w:rPr>
        <w:t xml:space="preserve">عذاب مصون بدارد؛ چون اين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خواهد آمد</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مستلزم تجرّي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آري، امکان مصونيّت نسبت به عذاب اُخروي براي معتقد به ولايت هست؛ چنان که براي چنين شخصي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حتم و يقين و طبق مدارک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مصونيّت از خلود در عذاب هست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که واضح و روشن خواهد شد</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تجرّي نمي‌گردد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در حالي است که براي ساير اصول و معارف، هيچگونه موضوعيّتي در کار نيست، بلکه اساساً اعتقاد به اصول ديگر، بدون اعتقاد به اصل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فصل مميّز و در بردارندة تمام آن اصول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حقيقي به نفس آن اصول نيست، وبالعکس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اصل ولايت، چون ساير اصول را در بر دارد، اعتقاد به تمام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صد آمد، نود هم پيش ما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ما موظّفيم توحيد و اسلام ولايي را به دست آوريم، نه هر چيزي که بدان، لفظ توحيد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لفظي و يا ظاهري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شود</w:t>
      </w:r>
      <w:r>
        <w:rPr>
          <w:rFonts w:eastAsia="IRNazanin" w:cs="IRNazanin"/>
          <w:color w:val="111111"/>
          <w:sz w:val="28"/>
          <w:szCs w:val="28"/>
          <w:rtl w:val="true"/>
          <w:lang w:bidi="fa-IR"/>
        </w:rPr>
        <w:t xml:space="preserve">. </w:t>
      </w:r>
      <w:r>
        <w:rPr>
          <w:rStyle w:val="FootnoteAnchor"/>
          <w:rtl w:val="true"/>
        </w:rPr>
        <w:footnoteReference w:id="138"/>
      </w:r>
      <w:bookmarkStart w:id="134" w:name="pg10706_113976"/>
    </w:p>
    <w:p>
      <w:pPr>
        <w:pStyle w:val="Heading3"/>
        <w:numPr>
          <w:ilvl w:val="2"/>
          <w:numId w:val="1"/>
        </w:numPr>
        <w:rPr/>
      </w:pPr>
      <w:bookmarkStart w:id="135" w:name="__RefHeading___Toc3433787_1051229030"/>
      <w:bookmarkStart w:id="136" w:name="_Toc44"/>
      <w:bookmarkEnd w:id="134"/>
      <w:bookmarkEnd w:id="135"/>
      <w:r>
        <w:rPr>
          <w:rtl w:val="true"/>
        </w:rPr>
        <w:t>مقدّمة چهارم</w:t>
      </w:r>
      <w:r>
        <w:rPr>
          <w:rtl w:val="true"/>
        </w:rPr>
        <w:t xml:space="preserve">: </w:t>
      </w:r>
      <w:r>
        <w:rPr>
          <w:rtl w:val="true"/>
        </w:rPr>
        <w:t>عدم استلزام تجرّی از موضوعیّت اصل ولایت</w:t>
      </w:r>
      <w:bookmarkEnd w:id="13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سرّ توهّم مورد بحث</w:t>
      </w:r>
      <w:r>
        <w:rPr>
          <w:rStyle w:val="FootnoteAnchor"/>
          <w:rtl w:val="true"/>
        </w:rPr>
        <w:footnoteReference w:id="139"/>
      </w:r>
      <w:r>
        <w:rPr>
          <w:rFonts w:ascii="IRNazanin" w:hAnsi="IRNazanin" w:eastAsia="IRNazanin"/>
          <w:color w:val="111111"/>
          <w:sz w:val="28"/>
          <w:sz w:val="28"/>
          <w:szCs w:val="28"/>
          <w:rtl w:val="true"/>
          <w:lang w:bidi="fa-IR"/>
        </w:rPr>
        <w:t xml:space="preserve">اين است که پنداشته‌اند قائل شدن به موضوعيّت صِرف اصل ولايت و ترتيب اثر دادن به آن، مستلزم تجرّی و انکار قاعدة مسلّم لطف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اللُّطفُ هُوَ کُلُّ ما یُقَرِّبُ العَبدَ إلَی الطَّاعَةِ وَيُبَعِّدُهُ عَنِ المَعصِيَةِ</w:t>
      </w:r>
      <w:r>
        <w:rPr>
          <w:rFonts w:eastAsia="IRNazanin" w:cs="IRNazanin"/>
          <w:color w:val="111111"/>
          <w:sz w:val="28"/>
          <w:szCs w:val="28"/>
          <w:rtl w:val="true"/>
          <w:lang w:bidi="fa-IR"/>
        </w:rPr>
        <w:t>»</w:t>
      </w:r>
      <w:r>
        <w:rPr>
          <w:rStyle w:val="FootnoteAnchor"/>
          <w:rtl w:val="true"/>
        </w:rPr>
        <w:footnoteReference w:id="140"/>
      </w:r>
      <w:r>
        <w:rPr>
          <w:rFonts w:ascii="IRNazanin" w:hAnsi="IRNazanin" w:eastAsia="IRNazanin"/>
          <w:color w:val="111111"/>
          <w:sz w:val="28"/>
          <w:sz w:val="28"/>
          <w:szCs w:val="28"/>
          <w:rtl w:val="true"/>
          <w:lang w:bidi="fa-IR"/>
        </w:rPr>
        <w:t xml:space="preserve">يعني آنچه که بنده را به طاعت نزديک و از گناه دور مي‌کند، لطف است؛ زیرا موضوعيّت دادن، در حقيقت، مصونيّت بخشيدن و فراهم کردن موجبات تجرّي صاحبش نسبت به انجام گناه است؛ چون خود را در اين صورت، از مطلق گناه بيمه مي‌بيند، لذا مغرور شده و در ارتکاب گناه جرأت مي‌نمايد، و اين برخلاف </w:t>
      </w:r>
    </w:p>
    <w:p>
      <w:pPr>
        <w:pStyle w:val="BookText"/>
        <w:rPr/>
      </w:pPr>
      <w:r>
        <w:rPr>
          <w:rFonts w:ascii="IRNazanin" w:hAnsi="IRNazanin" w:eastAsia="IRNazanin"/>
          <w:color w:val="111111"/>
          <w:sz w:val="28"/>
          <w:sz w:val="28"/>
          <w:szCs w:val="28"/>
          <w:rtl w:val="true"/>
          <w:lang w:bidi="fa-IR"/>
        </w:rPr>
        <w:t>آن قاعدة لطف، بنده را از طاعت دور و به معصيت نزديک مي‌کند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توهّم به ملاحظاتي بيجا و مردود است؛ زيرا اوّلاً محبّ اين خاندان و معتقد به ولايت ايشان، در صورتي متجرّي مي‌شود که واقعاً محبّ و معتقد باشد، و تخيّل و پندار باطل نباشد، مخصوصاً با ملاحظة اين که نفس محبّت و ولايت، خود عملي است قلبي، و زمانی منشأ اثر مي‌شود که مقبول درگاه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ولي چه بسا که انسان، ظاهر و يا سرابي را حقيقت مي‌پندارد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وقتي موجب تجرّي مي‌شود که يقين کند گذشته از عذاب مخلّد،</w:t>
      </w:r>
      <w:r>
        <w:rPr>
          <w:rStyle w:val="FootnoteAnchor"/>
          <w:rtl w:val="true"/>
        </w:rPr>
        <w:footnoteReference w:id="141"/>
      </w:r>
      <w:r>
        <w:rPr>
          <w:rFonts w:ascii="IRNazanin" w:hAnsi="IRNazanin" w:eastAsia="IRNazanin"/>
          <w:color w:val="111111"/>
          <w:sz w:val="28"/>
          <w:sz w:val="28"/>
          <w:szCs w:val="28"/>
          <w:rtl w:val="true"/>
          <w:lang w:bidi="fa-IR"/>
        </w:rPr>
        <w:t xml:space="preserve">از ساير عذاب‌هاي اُخروي هم مصون و محفوظ است، در حالي که براي کسي که سيّئات وي بيش از حسناتش باشد، امکان تعذيب به عذاب‌هایي غير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حسب پاره‌اي از روايات تا سيصدهزار سال طول مي‌کشد</w:t>
      </w:r>
      <w:r>
        <w:rPr>
          <w:rStyle w:val="FootnoteAnchor"/>
          <w:rtl w:val="true"/>
        </w:rPr>
        <w:footnoteReference w:id="1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و اين مقدار سال عذاب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سال اُخروی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است، بلکه وجود آني از عذاب‌هاي اُخروي و مواقف قیامت طاقت‌فرسا است و بعضي از عذاب‌هاي وارده، صرف معطّل شدن و دير رسيدن به </w:t>
      </w:r>
    </w:p>
    <w:p>
      <w:pPr>
        <w:pStyle w:val="BookText"/>
        <w:rPr/>
      </w:pPr>
      <w:r>
        <w:rPr>
          <w:rFonts w:ascii="Amiri" w:hAnsi="Amiri" w:eastAsia="Amiri" w:cs="Amiri"/>
          <w:color w:val="111111"/>
          <w:sz w:val="28"/>
          <w:sz w:val="28"/>
          <w:szCs w:val="28"/>
          <w:rtl w:val="true"/>
          <w:lang w:bidi="ar-SA"/>
        </w:rPr>
        <w:t>بهشت نعيم و رضوان است</w:t>
      </w:r>
      <w:r>
        <w:rPr>
          <w:rStyle w:val="FootnoteAnchor"/>
          <w:rtl w:val="true"/>
        </w:rPr>
        <w:footnoteReference w:id="143"/>
      </w:r>
      <w:r>
        <w:rPr>
          <w:rFonts w:ascii="IRNazanin" w:hAnsi="IRNazanin" w:eastAsia="IRNazanin"/>
          <w:color w:val="111111"/>
          <w:sz w:val="28"/>
          <w:sz w:val="28"/>
          <w:szCs w:val="28"/>
          <w:rtl w:val="true"/>
          <w:lang w:bidi="fa-IR"/>
        </w:rPr>
        <w:t>، و اینها جدای از ابتلائات دنیوی است که به عنوان کفّارة گناه و گرفتاری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عالم برزخ برای چنین شخصی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 چند براي اهل ولايت امکان نجات از مطلق عذاب به واسطة عفو و شفاعت وجود دارد، و بلکه عفو وافر و فراوان است</w:t>
      </w:r>
      <w:r>
        <w:rPr>
          <w:rStyle w:val="FootnoteAnchor"/>
          <w:rtl w:val="true"/>
        </w:rPr>
        <w:footnoteReference w:id="144"/>
      </w:r>
      <w:r>
        <w:rPr>
          <w:rFonts w:ascii="IRNazanin" w:hAnsi="IRNazanin" w:eastAsia="IRNazanin"/>
          <w:color w:val="111111"/>
          <w:sz w:val="28"/>
          <w:sz w:val="28"/>
          <w:szCs w:val="28"/>
          <w:rtl w:val="true"/>
          <w:lang w:bidi="fa-IR"/>
        </w:rPr>
        <w:t xml:space="preserve">، ولي چون به نجات از آن عذاب‌ها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وجود يک آنِ عرفي، بلکه عقلي آن، بسي طاقت‌فرسا است، و بهترین چیز براي رفع غرور و دفع تجرّي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ندارد، لذا هرگز مغرور نمي‌شود و نمي‌تواند بر گناه جرأت داشته باشد تا خلاف لطف و قاعدة لطف فراهم آيد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در صورتي مي‌تواند به در امان بودن خود از هر گونه عذاب، مطمئنّ شود که يقين و اطمينان داشته باشد که حسناتِ مقبول بدون سيّئات، و يا حسناتِ راجح بر سيّئات دارد، در حالي‌که </w:t>
      </w:r>
    </w:p>
    <w:p>
      <w:pPr>
        <w:pStyle w:val="BookText"/>
        <w:rPr/>
      </w:pPr>
      <w:r>
        <w:rPr>
          <w:rFonts w:ascii="IRNazanin" w:hAnsi="IRNazanin" w:eastAsia="IRNazanin"/>
          <w:color w:val="111111"/>
          <w:sz w:val="28"/>
          <w:sz w:val="28"/>
          <w:szCs w:val="28"/>
          <w:rtl w:val="true"/>
          <w:lang w:bidi="fa-IR"/>
        </w:rPr>
        <w:t xml:space="preserve">چنين يقيني براي هيچ مؤمني حاصل نمي‌شود و همواره مؤمن یعنی اهل اعتقاد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خواهد آمد </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 xml:space="preserve">نسبت به اعمال خودش بين خوف و رجا است که آيا عملش در درگاه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شده است يا نه؟</w:t>
      </w:r>
    </w:p>
    <w:p>
      <w:pPr>
        <w:pStyle w:val="BookText"/>
        <w:rPr/>
      </w:pPr>
      <w:r>
        <w:rPr>
          <w:rFonts w:ascii="IRNazanin" w:hAnsi="IRNazanin" w:eastAsia="IRNazanin"/>
          <w:color w:val="111111"/>
          <w:sz w:val="28"/>
          <w:sz w:val="28"/>
          <w:szCs w:val="28"/>
          <w:rtl w:val="true"/>
          <w:lang w:bidi="fa-IR"/>
        </w:rPr>
        <w:t>و بر فرض يقين به تساوي و يا رجحان حسنات مقبول، از کجا معلوم که در اثر تجرّي، رفته‌رفته سيّئاتش بر حسناتِ مقبولش راجح، و در نتيجه در هاويه</w:t>
      </w:r>
      <w:r>
        <w:rPr>
          <w:rStyle w:val="FootnoteAnchor"/>
          <w:rtl w:val="true"/>
        </w:rPr>
        <w:footnoteReference w:id="146"/>
      </w:r>
      <w:r>
        <w:rPr>
          <w:rFonts w:ascii="IRNazanin" w:hAnsi="IRNazanin" w:eastAsia="IRNazanin"/>
          <w:color w:val="111111"/>
          <w:sz w:val="28"/>
          <w:sz w:val="28"/>
          <w:szCs w:val="28"/>
          <w:rtl w:val="true"/>
          <w:lang w:bidi="fa-IR"/>
        </w:rPr>
        <w:t>معذّب نشود؟ بلکه به صريح آيات، معذّب شده، و يا به قرينة روايات عفو و شفاعت، امکان تعذيب دارد، هرچند اگر معذّب شود، مخلّد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به طور قطع مصونيّت از این گونه عذاب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حاصل نيست؟</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ثابت شد که قائل شدن به موضوعيّت اعتقاد به ولايت، </w:t>
      </w:r>
    </w:p>
    <w:p>
      <w:pPr>
        <w:pStyle w:val="BookText"/>
        <w:rPr/>
      </w:pPr>
      <w:r>
        <w:rPr>
          <w:rFonts w:ascii="IRNazanin" w:hAnsi="IRNazanin" w:eastAsia="IRNazanin"/>
          <w:color w:val="111111"/>
          <w:sz w:val="28"/>
          <w:sz w:val="28"/>
          <w:szCs w:val="28"/>
          <w:rtl w:val="true"/>
          <w:lang w:bidi="fa-IR"/>
        </w:rPr>
        <w:t xml:space="preserve">مستلزم تجرّي نمي‌شود و اهل ولايت، در اثر امکان ابتلا به عذاب‌هايي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غير مخلّد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مغرور نشده و بدان جهت تجرّي</w:t>
      </w:r>
    </w:p>
    <w:p>
      <w:pPr>
        <w:pStyle w:val="BookText"/>
        <w:rPr/>
      </w:pPr>
      <w:r>
        <w:rPr>
          <w:rFonts w:ascii="IRNazanin" w:hAnsi="IRNazanin" w:eastAsia="IRNazanin"/>
          <w:color w:val="111111"/>
          <w:sz w:val="28"/>
          <w:sz w:val="28"/>
          <w:szCs w:val="28"/>
          <w:rtl w:val="true"/>
          <w:lang w:bidi="fa-IR"/>
        </w:rPr>
        <w:t>نخواهند نمود</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خلاصه، اگر چنين بگوييم، مستلزم خلاف لطف مي‌شود؛ چه در اين صورت از گناه باک نخواهند داشت، ولي چنين قائلي يا نداريم و يا اگر باشد مورد اعتنا نيست و اگر مورد اعتنا باشد گفته‌اش مانند پاره‌اي از روايات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عَلِيٍّ حَسَنَةٌ لايَضُرُّ مَعَها سَيِّئَةٌ وبُغضُهُ سَيِّئَةٌ لايَنفَعُ مَعَها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زیان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 و کینه داشتن از آن حضرت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است که هیچ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به آن سود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الغمّة،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مؤوّل به آن است که ولايت بالاخره او را به انجام حسنات مقبول، موفّق مي‌کند و يا از توغّل و فرو رفتن در سيّئات باز مي‌دارد، و يا لااقلّ قبل از مرگ، او را به تحصیل توبة کامل، موفّق مي‌نمايد؛ پس غنيمت شمار این مطلب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توهّم خلاف لطف بودن، نقض مي‌شود به اموري که به ظاهر مستلزم خلاف لطف است در حالي که از مسلّمات قرآني و </w:t>
      </w:r>
    </w:p>
    <w:p>
      <w:pPr>
        <w:pStyle w:val="BookText"/>
        <w:rPr/>
      </w:pPr>
      <w:r>
        <w:rPr>
          <w:rFonts w:ascii="Amiri" w:hAnsi="Amiri" w:eastAsia="Amiri" w:cs="Amiri"/>
          <w:color w:val="111111"/>
          <w:sz w:val="28"/>
          <w:sz w:val="28"/>
          <w:szCs w:val="28"/>
          <w:rtl w:val="true"/>
          <w:lang w:bidi="ar-SA"/>
        </w:rPr>
        <w:t>غير قرآني است؛ مثل آية مبارکة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ثَقُلَتْ مَوازينُهُ فَهُوَ في عيشَةٍ راضِيَةٍ</w:t>
      </w:r>
      <w:r>
        <w:rPr>
          <w:rFonts w:eastAsia="Amiri" w:cs="Amiri" w:ascii="Amiri" w:hAnsi="Amiri"/>
          <w:color w:val="111111"/>
          <w:sz w:val="28"/>
          <w:szCs w:val="28"/>
          <w:rtl w:val="true"/>
          <w:lang w:bidi="ar-SA"/>
        </w:rPr>
        <w:t xml:space="preserve">( </w:t>
      </w:r>
      <w:r>
        <w:rPr>
          <w:rStyle w:val="FootnoteAnchor"/>
          <w:rtl w:val="true"/>
        </w:rPr>
        <w:footnoteReference w:id="148"/>
      </w:r>
      <w:r>
        <w:rPr>
          <w:rFonts w:ascii="IRNazanin" w:hAnsi="IRNazanin" w:eastAsia="IRNazanin"/>
          <w:color w:val="111111"/>
          <w:sz w:val="28"/>
          <w:sz w:val="28"/>
          <w:szCs w:val="28"/>
          <w:rtl w:val="true"/>
          <w:lang w:bidi="fa-IR"/>
        </w:rPr>
        <w:t xml:space="preserve">کسي که حسناتش بر سيّئاتش بچربد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بر حسب پاره‌اي از مدارک، مساوي باشد</w:t>
      </w:r>
      <w:r>
        <w:rPr>
          <w:rStyle w:val="FootnoteAnchor"/>
          <w:rtl w:val="true"/>
        </w:rPr>
        <w:footnoteReference w:id="1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حصن حصين بهشت مصون و محفوظ است، و يا وارد است که عفو و شفاعت مأذون و مرضيّ،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براي اهل کبایر قرار داده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 يا صريح قرآن است که هر کس از کبایر اجتناب کند، سيّئات و صغایر از وي تکفير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 كَبائِرَ ماتُنْهَوْنَ عَنْهُ نُكَفِّرْ عَنْكُمْ سَيِّئاتِكُمْ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غير اين موارد از اموري که مستلزم غرور و تجرّي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جواب حلّي از اين موارد، آن است که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کساني که دارای حسنات راجح بر سيّئات يا مساوي با آن می‌باشند، زمانی</w:t>
      </w:r>
    </w:p>
    <w:p>
      <w:pPr>
        <w:pStyle w:val="BookText"/>
        <w:rPr/>
      </w:pPr>
      <w:r>
        <w:rPr>
          <w:rFonts w:ascii="IRNazanin" w:hAnsi="IRNazanin" w:eastAsia="IRNazanin"/>
          <w:color w:val="111111"/>
          <w:sz w:val="28"/>
          <w:sz w:val="28"/>
          <w:szCs w:val="28"/>
          <w:rtl w:val="true"/>
          <w:lang w:bidi="fa-IR"/>
        </w:rPr>
        <w:t xml:space="preserve">مصونيّت پيدا مي‌کنند که حسناتشان مقبول باشد و علم و اطمينان به قبولی آنها حاصل نمايند، در حالي که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w:t>
      </w:r>
      <w:r>
        <w:rPr>
          <w:rStyle w:val="FootnoteAnchor"/>
          <w:rtl w:val="true"/>
        </w:rPr>
        <w:footnoteReference w:id="1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نمي‌تواند چنين علم و اطمينانی داشته باشد، بلکه همواره بين خوف و رجا دور مي‌زند؛ زیرا مأمون بودن از عذاب الهی همچون مأیوس شدن از رحمت آن‌حضرت، از گناهان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عفو و شفاعت، پس چون عمومي و همگاني نيست، هرچند به طور قطع، عدّة معتنابهی از مؤمنين و اهل ولايت مورد عفو و شفاعت قرار مي‌گيرند، ولي بر هر فردفرد معلوم نيست؛ چون هر فرد در حقّ خود، احتمال مي‌دهد که مورد عفو و شفاعت واقع نشود، لذا نفس امکان گرفتار شدن هر فردفرد و عدم حتميّت شمول عفو و شفاعت نسبت به هر شخص، خود به خود رفع غرور و دفع تجرّي مي‌کند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مورد تکفير صغایر با ملاحظة اشتراط اجتناب از کبایر در 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تَجْتَنِبُوا</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علم به اجتناب از جميع کبایر لازم است</w:t>
      </w:r>
      <w:r>
        <w:rPr>
          <w:rStyle w:val="FootnoteAnchor"/>
          <w:rtl w:val="true"/>
        </w:rPr>
        <w:footnoteReference w:id="152"/>
      </w:r>
      <w:bookmarkStart w:id="137" w:name="pg10706_113983"/>
    </w:p>
    <w:p>
      <w:pPr>
        <w:pStyle w:val="BookText"/>
        <w:rPr/>
      </w:pPr>
      <w:bookmarkEnd w:id="137"/>
      <w:r>
        <w:rPr>
          <w:rFonts w:ascii="IRNazanin" w:hAnsi="IRNazanin" w:eastAsia="IRNazanin"/>
          <w:color w:val="111111"/>
          <w:sz w:val="28"/>
          <w:sz w:val="28"/>
          <w:szCs w:val="28"/>
          <w:rtl w:val="true"/>
          <w:lang w:bidi="fa-IR"/>
        </w:rPr>
        <w:t>تا از سيّئات و گناهان صغيره تکفیر شود، و چنين علم و اطميناني براي کسي فراهم نمي‌شود تا تجرّي حاصل گردد</w:t>
      </w:r>
      <w:r>
        <w:rPr>
          <w:rFonts w:eastAsia="IRNazanin" w:cs="IRNazanin"/>
          <w:color w:val="111111"/>
          <w:sz w:val="28"/>
          <w:szCs w:val="28"/>
          <w:rtl w:val="true"/>
          <w:lang w:bidi="fa-IR"/>
        </w:rPr>
        <w:t>.</w:t>
      </w:r>
    </w:p>
    <w:p>
      <w:pPr>
        <w:pStyle w:val="Heading3"/>
        <w:numPr>
          <w:ilvl w:val="2"/>
          <w:numId w:val="1"/>
        </w:numPr>
        <w:rPr/>
      </w:pPr>
      <w:bookmarkStart w:id="138" w:name="__RefHeading___Toc3433789_1051229030"/>
      <w:bookmarkStart w:id="139" w:name="_Toc45"/>
      <w:bookmarkEnd w:id="138"/>
      <w:r>
        <w:rPr>
          <w:rtl w:val="true"/>
        </w:rPr>
        <w:t>مقدّمة پنجم</w:t>
      </w:r>
      <w:r>
        <w:rPr>
          <w:rtl w:val="true"/>
        </w:rPr>
        <w:t xml:space="preserve">: </w:t>
      </w:r>
      <w:r>
        <w:rPr>
          <w:rtl w:val="true"/>
        </w:rPr>
        <w:t>منظور از مسلم و مؤمن واقعی</w:t>
      </w:r>
      <w:bookmarkEnd w:id="139"/>
    </w:p>
    <w:p>
      <w:pPr>
        <w:pStyle w:val="BookText"/>
        <w:rPr/>
      </w:pPr>
      <w:r>
        <w:rPr>
          <w:rFonts w:ascii="IRNazanin" w:hAnsi="IRNazanin" w:eastAsia="IRNazanin"/>
          <w:color w:val="111111"/>
          <w:sz w:val="28"/>
          <w:sz w:val="28"/>
          <w:szCs w:val="28"/>
          <w:rtl w:val="true"/>
          <w:lang w:bidi="fa-IR"/>
        </w:rPr>
        <w:t>بدان که منظور از مؤمن و مسلم واقعي در هر موردي که ذکر شود، همان اهل اعتقاد به خاندان عصمت و طهارت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w:t>
      </w:r>
      <w:r>
        <w:rPr>
          <w:rStyle w:val="FootnoteAnchor"/>
          <w:rtl w:val="true"/>
        </w:rPr>
        <w:footnoteReference w:id="153"/>
      </w:r>
      <w:r>
        <w:rPr>
          <w:rFonts w:ascii="IRNazanin" w:hAnsi="IRNazanin" w:eastAsia="IRNazanin"/>
          <w:color w:val="111111"/>
          <w:sz w:val="28"/>
          <w:sz w:val="28"/>
          <w:szCs w:val="28"/>
          <w:rtl w:val="true"/>
          <w:lang w:bidi="fa-IR"/>
        </w:rPr>
        <w:t>چه آنکه اوّلاً آنها که چنين نيستند به حکم حديث ثقلين و غير آن، از مسير واقعي اسلام و قرآن منحرفند؛ زیرا اسلام واقعي و قرآن حقيقي آن است که به دست باکفايت عترت پياده شود، و از مکتب مقدّس آنان که به منبع وحي و رسالت پیوسته و متّصلند، برسد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 از طريق عامّه و خاصّه وارد شده و مشهود است که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من به هفتاد و سه فرقه متفرّق مي‌شوند و تنها يک فرقه از ميان آنها اهل نجات است؛ چنان که امّت مسيح به هفتاد و دو و يهود به هفتاد و يک</w:t>
      </w:r>
      <w:r>
        <w:rPr>
          <w:rStyle w:val="FootnoteAnchor"/>
          <w:rtl w:val="true"/>
        </w:rPr>
        <w:footnoteReference w:id="154"/>
      </w:r>
      <w:r>
        <w:rPr>
          <w:rFonts w:ascii="IRNazanin" w:hAnsi="IRNazanin" w:eastAsia="IRNazanin"/>
          <w:color w:val="111111"/>
          <w:sz w:val="28"/>
          <w:sz w:val="28"/>
          <w:szCs w:val="28"/>
          <w:rtl w:val="true"/>
          <w:lang w:bidi="fa-IR"/>
        </w:rPr>
        <w:t xml:space="preserve">و مجوس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هفتاد فرقه متفرّق شدند و يکي از آنها ناجي بود، و نيز از </w:t>
      </w:r>
    </w:p>
    <w:p>
      <w:pPr>
        <w:pStyle w:val="BookText"/>
        <w:rPr/>
      </w:pPr>
      <w:r>
        <w:rPr>
          <w:rFonts w:ascii="IRNazanin" w:hAnsi="IRNazanin" w:eastAsia="IRNazanin"/>
          <w:color w:val="111111"/>
          <w:sz w:val="28"/>
          <w:sz w:val="28"/>
          <w:szCs w:val="28"/>
          <w:rtl w:val="true"/>
          <w:lang w:bidi="fa-IR"/>
        </w:rPr>
        <w:t xml:space="preserve">فريقين ثابت است که تنها فرقة ناجيه، همين فرقة شيعة اماميّة اثنا‌عشريّه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پيرو ولایت گستردة اهل بيت عصمت و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مي‌باشد </w:t>
      </w:r>
      <w:r>
        <w:rPr>
          <w:rStyle w:val="FootnoteAnchor"/>
          <w:rtl w:val="true"/>
        </w:rPr>
        <w:footnoteReference w:id="155"/>
      </w:r>
      <w:r>
        <w:rPr>
          <w:rFonts w:ascii="Amiri" w:hAnsi="Amiri" w:eastAsia="Amiri" w:cs="Amiri"/>
          <w:color w:val="111111"/>
          <w:sz w:val="28"/>
          <w:sz w:val="28"/>
          <w:szCs w:val="28"/>
          <w:rtl w:val="true"/>
          <w:lang w:bidi="ar-SA"/>
        </w:rPr>
        <w:t xml:space="preserve">و امثال حدیث متّفقٌ علیه بین فریقین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أهلِ بَیتی مَثَلُ سَفینَةِ نوحٍ مَن رَکِبَها نَجا وَمَن تَخَلَّفَ عَنها غَرِقَ</w:t>
      </w:r>
      <w:r>
        <w:rPr>
          <w:rFonts w:eastAsia="Amiri" w:cs="Amiri" w:ascii="Amiri" w:hAnsi="Amiri"/>
          <w:color w:val="111111"/>
          <w:sz w:val="28"/>
          <w:szCs w:val="28"/>
          <w:rtl w:val="true"/>
          <w:lang w:bidi="ar-SA"/>
        </w:rPr>
        <w:t>»</w:t>
      </w:r>
      <w:r>
        <w:rPr>
          <w:rStyle w:val="FootnoteAnchor"/>
          <w:rtl w:val="true"/>
        </w:rPr>
        <w:footnoteReference w:id="156"/>
      </w:r>
      <w:r>
        <w:rPr>
          <w:rFonts w:ascii="IRNazanin" w:hAnsi="IRNazanin" w:eastAsia="IRNazanin"/>
          <w:color w:val="111111"/>
          <w:sz w:val="28"/>
          <w:sz w:val="28"/>
          <w:szCs w:val="28"/>
          <w:rtl w:val="true"/>
          <w:lang w:bidi="fa-IR"/>
        </w:rPr>
        <w:t>گواهی قاطع بر این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غير از فرقة اثنا‌عشريّه، نه تنها ناجي نيستند، بلکه مؤمن و مسلم واقعي هم نمي‌باشند، و منظور نظر از مسلم و مؤمن حقيقي در قرآن و غير قرآن، فقط و فقط در انحصار فرقة حقّة ناجيه است، لذا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سورة مبارکة عصر همین پیروان مکتب عترتند؛ همچنان که مراد از عمل صالح در این سوره نیز عملی است که از این مکتب که عِدل قرآن است،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اهل محبّت و ولايت آن خاندان، از اسلام بي‌پيرايه پيروي می‌کنند؛ زیرا آنها از کساني تبعيّت مي‌کنند که به طور سلسله‌وار به حضرت امير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به پيامبر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مي‌رسند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شيعه که مذهب ولايت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140" w:name="pg10706_113985"/>
    </w:p>
    <w:p>
      <w:pPr>
        <w:pStyle w:val="BookText"/>
        <w:rPr/>
      </w:pPr>
      <w:bookmarkEnd w:id="140"/>
      <w:r>
        <w:rPr>
          <w:rFonts w:ascii="Amiri" w:hAnsi="Amiri" w:eastAsia="Amiri" w:cs="Amiri"/>
          <w:color w:val="111111"/>
          <w:sz w:val="28"/>
          <w:sz w:val="28"/>
          <w:szCs w:val="28"/>
          <w:rtl w:val="true"/>
          <w:lang w:bidi="ar-SA"/>
        </w:rPr>
        <w:t>است، قبل از وجود رؤساي مذاهب مستحدثه وجود داشته است</w:t>
      </w:r>
      <w:r>
        <w:rPr>
          <w:rStyle w:val="FootnoteAnchor"/>
          <w:rtl w:val="true"/>
        </w:rPr>
        <w:footnoteReference w:id="157"/>
      </w:r>
      <w:r>
        <w:rPr>
          <w:rFonts w:ascii="IRNazanin" w:hAnsi="IRNazanin" w:eastAsia="IRNazanin"/>
          <w:color w:val="111111"/>
          <w:sz w:val="28"/>
          <w:sz w:val="28"/>
          <w:szCs w:val="28"/>
          <w:rtl w:val="true"/>
          <w:lang w:bidi="fa-IR"/>
        </w:rPr>
        <w:t>، لذا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أصْبَحَ الاِسْلامُ لاحَنَفِيٌّ، وَلامَالِکِيٌّ، وَلاشَافِعِيٌّ، وَلاحَنْبَلِيٌّ 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أصْبَحَ مُحَمَّدِيّاً عَلَوِيّاً فاطِمِيّاً حَسَنِيّاً حُسَيْنِيّاً</w:t>
      </w:r>
      <w:r>
        <w:rPr>
          <w:rFonts w:eastAsia="IRNazanin" w:cs="IRNazanin"/>
          <w:color w:val="111111"/>
          <w:sz w:val="28"/>
          <w:szCs w:val="28"/>
          <w:rtl w:val="true"/>
          <w:lang w:bidi="fa-IR"/>
        </w:rPr>
        <w:t xml:space="preserve">...» </w:t>
      </w:r>
      <w:r>
        <w:rPr>
          <w:rStyle w:val="FootnoteAnchor"/>
          <w:rtl w:val="true"/>
        </w:rPr>
        <w:footnoteReference w:id="158"/>
      </w:r>
      <w:r>
        <w:rPr>
          <w:rFonts w:ascii="IRNazanin" w:hAnsi="IRNazanin" w:eastAsia="IRNazanin"/>
          <w:color w:val="111111"/>
          <w:sz w:val="28"/>
          <w:sz w:val="28"/>
          <w:szCs w:val="28"/>
          <w:rtl w:val="true"/>
          <w:lang w:bidi="fa-IR"/>
        </w:rPr>
        <w:t>که همان مذهب حضرت عليّ و آل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شخص شخيص پيامبر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منتهي مي‌شود</w:t>
      </w:r>
      <w:r>
        <w:rPr>
          <w:rFonts w:eastAsia="IRNazanin" w:cs="IRNazanin"/>
          <w:color w:val="111111"/>
          <w:sz w:val="28"/>
          <w:szCs w:val="28"/>
          <w:rtl w:val="true"/>
          <w:lang w:bidi="fa-IR"/>
        </w:rPr>
        <w:t>.</w:t>
      </w:r>
    </w:p>
    <w:p>
      <w:pPr>
        <w:pStyle w:val="Heading3"/>
        <w:numPr>
          <w:ilvl w:val="2"/>
          <w:numId w:val="1"/>
        </w:numPr>
        <w:rPr/>
      </w:pPr>
      <w:bookmarkStart w:id="141" w:name="__RefHeading___Toc3433791_1051229030"/>
      <w:bookmarkStart w:id="142" w:name="_Toc46"/>
      <w:bookmarkEnd w:id="141"/>
      <w:r>
        <w:rPr>
          <w:rtl w:val="true"/>
        </w:rPr>
        <w:t>مقدّمة ششم</w:t>
      </w:r>
      <w:r>
        <w:rPr>
          <w:rtl w:val="true"/>
        </w:rPr>
        <w:t xml:space="preserve">: </w:t>
      </w:r>
      <w:r>
        <w:rPr>
          <w:rtl w:val="true"/>
        </w:rPr>
        <w:t>عنایت ویژه به مؤمنین، محاسبة دقیق از کفّار</w:t>
      </w:r>
      <w:bookmarkEnd w:id="142"/>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مقتضاي فضل و رحمت رحيميّة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آخرت اين است که نسبت به خصوص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مقدّمة سابق روشن شد که همان اهل ولايت گسترده‌اند، و غير آنان، حقيقت ايمان را درنيافته‌اند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 خاصّه داشته باشد؛ به این ترتیب که چنانچه تنها داراي حسنات مقبوله باشند، آنها را بدون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هيچگونه عذابي به نعيم ابد برساند</w:t>
      </w:r>
      <w:r>
        <w:rPr>
          <w:rStyle w:val="FootnoteAnchor"/>
          <w:rtl w:val="true"/>
        </w:rPr>
        <w:footnoteReference w:id="1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 اگر سيّئات هم داشته باشند، ولي نسبت به حسناتشان مرجوح باشد؛ خداوند چنین افرادی را به حکم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فَأمّا مَنْ ثَقُلَتْ مَوازينُهُ فَهُوَ في عيشَةٍ راضِيَةٍ</w:t>
      </w:r>
      <w:r>
        <w:rPr>
          <w:rFonts w:eastAsia="IRNazanin" w:cs="IRNazanin"/>
          <w:color w:val="111111"/>
          <w:sz w:val="28"/>
          <w:szCs w:val="28"/>
          <w:rtl w:val="true"/>
          <w:lang w:bidi="fa-IR"/>
        </w:rPr>
        <w:t xml:space="preserve">( </w:t>
      </w:r>
      <w:r>
        <w:rPr>
          <w:rStyle w:val="FootnoteAnchor"/>
          <w:rtl w:val="true"/>
        </w:rPr>
        <w:footnoteReference w:id="160"/>
      </w:r>
      <w:r>
        <w:rPr>
          <w:rFonts w:ascii="Amiri" w:hAnsi="Amiri" w:eastAsia="Amiri" w:cs="Amiri"/>
          <w:color w:val="111111"/>
          <w:sz w:val="28"/>
          <w:sz w:val="28"/>
          <w:szCs w:val="28"/>
          <w:rtl w:val="true"/>
          <w:lang w:bidi="ar-SA"/>
        </w:rPr>
        <w:t>و نظاير آن</w:t>
      </w:r>
      <w:r>
        <w:rPr>
          <w:rStyle w:val="FootnoteAnchor"/>
          <w:rtl w:val="true"/>
        </w:rPr>
        <w:footnoteReference w:id="161"/>
      </w:r>
      <w:r>
        <w:rPr>
          <w:rFonts w:ascii="IRNazanin" w:hAnsi="IRNazanin" w:eastAsia="IRNazanin"/>
          <w:color w:val="111111"/>
          <w:sz w:val="28"/>
          <w:sz w:val="28"/>
          <w:szCs w:val="28"/>
          <w:rtl w:val="true"/>
          <w:lang w:bidi="fa-IR"/>
        </w:rPr>
        <w:t>، از باب تفضّل به بهشت سرمد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سيّئاتش با حسناتش برابر آيد، به ملاحظة سبقتِ رحمت بر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مَنْ سَبَقَتْ رَحْمَتُهُ غَضَبَه</w:t>
      </w:r>
      <w:r>
        <w:rPr>
          <w:rFonts w:eastAsia="IRNazanin" w:cs="IRNazanin"/>
          <w:color w:val="111111"/>
          <w:sz w:val="28"/>
          <w:szCs w:val="28"/>
          <w:rtl w:val="true"/>
          <w:lang w:bidi="fa-IR"/>
        </w:rPr>
        <w:t>»</w:t>
      </w:r>
      <w:r>
        <w:rPr>
          <w:rStyle w:val="FootnoteAnchor"/>
          <w:rtl w:val="true"/>
        </w:rPr>
        <w:footnoteReference w:id="162"/>
      </w:r>
      <w:r>
        <w:rPr>
          <w:rFonts w:ascii="Amiri" w:hAnsi="Amiri" w:eastAsia="Amiri" w:cs="Amiri"/>
          <w:color w:val="111111"/>
          <w:sz w:val="28"/>
          <w:sz w:val="28"/>
          <w:szCs w:val="28"/>
          <w:rtl w:val="true"/>
          <w:lang w:bidi="ar-SA"/>
        </w:rPr>
        <w:t xml:space="preserve">او را هم به فضل خود، در نعيم دايم </w:t>
      </w:r>
    </w:p>
    <w:p>
      <w:pPr>
        <w:pStyle w:val="BookText"/>
        <w:rPr/>
      </w:pPr>
      <w:r>
        <w:rPr>
          <w:rFonts w:ascii="IRNazanin" w:hAnsi="IRNazanin" w:eastAsia="IRNazanin"/>
          <w:color w:val="111111"/>
          <w:sz w:val="28"/>
          <w:sz w:val="28"/>
          <w:szCs w:val="28"/>
          <w:rtl w:val="true"/>
          <w:lang w:bidi="fa-IR"/>
        </w:rPr>
        <w:t>بدون هيچگونه عذابي جاي دهد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سيّئاتش افزون باشد و حسناتش خفيف و کمتر باشد، هر چند به حکم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مَنْ خَفَّتْ مَوازينُهُ فَاُمُّهُ هاوِيَةٌ</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و مانند آن</w:t>
      </w:r>
      <w:r>
        <w:rPr>
          <w:rStyle w:val="FootnoteAnchor"/>
          <w:rtl w:val="true"/>
        </w:rPr>
        <w:footnoteReference w:id="165"/>
      </w:r>
      <w:r>
        <w:rPr>
          <w:rFonts w:ascii="IRNazanin" w:hAnsi="IRNazanin" w:eastAsia="IRNazanin"/>
          <w:color w:val="111111"/>
          <w:sz w:val="28"/>
          <w:sz w:val="28"/>
          <w:szCs w:val="28"/>
          <w:rtl w:val="true"/>
          <w:lang w:bidi="fa-IR"/>
        </w:rPr>
        <w:t xml:space="preserve">، امکان دارد به عذاب و رنجي غير مخلّد دچار شود، ولي امکان هم دارد که به ملاحظاتي، مورد عفو الهي قرار گرفته و يا شفاعت شفيعان مأذون حضرتش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يک نحو دستگيري و </w:t>
      </w:r>
    </w:p>
    <w:p>
      <w:pPr>
        <w:pStyle w:val="BookText"/>
        <w:rPr/>
      </w:pPr>
      <w:r>
        <w:rPr>
          <w:rFonts w:ascii="IRNazanin" w:hAnsi="IRNazanin" w:eastAsia="IRNazanin"/>
          <w:color w:val="111111"/>
          <w:sz w:val="28"/>
          <w:sz w:val="28"/>
          <w:szCs w:val="28"/>
          <w:rtl w:val="true"/>
          <w:lang w:bidi="fa-IR"/>
        </w:rPr>
        <w:t xml:space="preserve">استکمال و رفع نواقص و راه ازدياد حسنات بر سيّئات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بربگیرد، و از جهنّم هاويه رهایی یابد</w:t>
      </w:r>
      <w:r>
        <w:rPr>
          <w:rStyle w:val="FootnoteAnchor"/>
          <w:rtl w:val="true"/>
        </w:rPr>
        <w:footnoteReference w:id="166"/>
      </w:r>
      <w:r>
        <w:rPr>
          <w:rFonts w:ascii="IRNazanin" w:hAnsi="IRNazanin" w:eastAsia="IRNazanin"/>
          <w:color w:val="111111"/>
          <w:sz w:val="28"/>
          <w:sz w:val="28"/>
          <w:szCs w:val="28"/>
          <w:rtl w:val="true"/>
          <w:lang w:bidi="fa-IR"/>
        </w:rPr>
        <w:t xml:space="preserve">چرا که جهنّم هاويه، طبق مدارک و قراین خارجیّه،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خَفَّتْ مَوازينُهُ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نبودِ زمينة عفو و شفاعت مي‌باشد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همانگونه که اشاره شد، اين در صورتي است که سيّئات در حدّي نباشد که از مشموليّت عفو و شفاعت بيفتد، وگرنه گرفتار عذاب و عقاب دوزخ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شد، لکن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طور خلود که همچون کفّار و يا همچون مطلق غير اهل ولايت، در جهنّم مخلّد باشند؛ چون مسلّم است که براي اهل ولايت، خلود در عذاب نيست، بلکه به مقتضاي پاره‌اي از روايات معتبر، پس از مدّتي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برحسب روايات بيش از سيصد هزار سال نيست‌</w:t>
      </w:r>
      <w:r>
        <w:rPr>
          <w:rStyle w:val="FootnoteAnchor"/>
          <w:rtl w:val="true"/>
        </w:rPr>
        <w:footnoteReference w:id="1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جرم‌گيري و خلوص طلاي ولايت از زنگار گناهان فراوان، و متوجّه شدن آنکه از امّت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به حضرتش متوسّل شده، به شفاعت آن حضرت از جهنّم همچون زغال سياه </w:t>
      </w:r>
    </w:p>
    <w:p>
      <w:pPr>
        <w:pStyle w:val="BookText"/>
        <w:rPr/>
      </w:pPr>
      <w:r>
        <w:rPr>
          <w:rFonts w:ascii="IRNazanin" w:hAnsi="IRNazanin" w:eastAsia="IRNazanin"/>
          <w:color w:val="111111"/>
          <w:sz w:val="28"/>
          <w:sz w:val="28"/>
          <w:szCs w:val="28"/>
          <w:rtl w:val="true"/>
          <w:lang w:bidi="fa-IR"/>
        </w:rPr>
        <w:t>خارج گشته، پس از ورود در چشمه‌اي، همچون ماه تابان خارج گشته، به بهشت رهسپار مي‌شوند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در اينجا شايسته است که توضيحاتي به دنبالة اين مقدّمه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در آخرت حساب و کتاب و عقاب و عتاب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که حساب طولاني و عقاب دايمي و عتاب روحي سخت در کار است</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حساب معمولاً نسبت به نعمت‌هاي حلال، و عقاب نسبت به حرام، و عتاب در شبهات مي‌باشد که فرموده‌اند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حَلاَلِهَا حِسَابٌ وَفِي حَرَامِهَا عِقَابٌ وَفِي الشُّبُهَاتِ عِتَاب</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 ولي مقتضاي جمع بين روايات و مدارک ديگر آن است که اين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و عقاب و عتاب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غير اهل ولايت، آن هم به صورت شديدش وجود دارد و جاري مي‌شود که مضافاً بر آنکه از نعمت ولايت به نحو شديدتري پرسش مي‌شود، از نعمت‌های دیگر نیز سؤال مي‌شود؛ </w:t>
      </w:r>
    </w:p>
    <w:p>
      <w:pPr>
        <w:pStyle w:val="BookText"/>
        <w:rPr/>
      </w:pPr>
      <w:r>
        <w:rPr>
          <w:rFonts w:ascii="Amiri" w:hAnsi="Amiri" w:eastAsia="Amiri" w:cs="Amiri"/>
          <w:color w:val="111111"/>
          <w:sz w:val="28"/>
          <w:sz w:val="28"/>
          <w:szCs w:val="28"/>
          <w:rtl w:val="true"/>
          <w:lang w:bidi="ar-SA"/>
        </w:rPr>
        <w:t xml:space="preserve">روايات معتبری در تفسير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لَتُسْئَلُنَّ يَوْمَئِذٍ عَنِ النَّعيمِ</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وارد شده است که بیان می‌دارد منظور از اين نعمت که در آخرت به طور مؤکّد از آن سؤال مي‌شود، نعمت ولايت خاندان رسالت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مي‌باشد</w:t>
      </w:r>
      <w:r>
        <w:rPr>
          <w:rStyle w:val="FootnoteAnchor"/>
          <w:rtl w:val="true"/>
        </w:rPr>
        <w:footnoteReference w:id="172"/>
      </w:r>
      <w:r>
        <w:rPr>
          <w:rFonts w:ascii="IRNazanin" w:hAnsi="IRNazanin" w:eastAsia="IRNazanin"/>
          <w:color w:val="111111"/>
          <w:sz w:val="28"/>
          <w:sz w:val="28"/>
          <w:szCs w:val="28"/>
          <w:rtl w:val="true"/>
          <w:lang w:bidi="fa-IR"/>
        </w:rPr>
        <w:t>، نه نعمت‌هاي دنيوي؛ که خداوند منّان، اجلّ از آن است که از آنها سؤال فرمايد</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از کسانی که اهل ولايت نيستند طبق صريح قرآن</w:t>
      </w:r>
      <w:r>
        <w:rPr>
          <w:rStyle w:val="FootnoteAnchor"/>
          <w:rtl w:val="true"/>
        </w:rPr>
        <w:footnoteReference w:id="174"/>
      </w:r>
      <w:r>
        <w:rPr>
          <w:rFonts w:ascii="IRNazanin" w:hAnsi="IRNazanin" w:eastAsia="IRNazanin"/>
          <w:color w:val="111111"/>
          <w:sz w:val="28"/>
          <w:sz w:val="28"/>
          <w:szCs w:val="28"/>
          <w:rtl w:val="true"/>
          <w:lang w:bidi="fa-IR"/>
        </w:rPr>
        <w:t>و غير قرآن، گذشته از نعمت ولايت، نسبت به نعمت‌هاي حلال نیز حساب دقيق و مؤکّد گرفته مي‌شود، امّا آنها که اهل ولايتند، حساب از حلال ندارند</w:t>
      </w:r>
      <w:r>
        <w:rPr>
          <w:rStyle w:val="FootnoteAnchor"/>
          <w:rtl w:val="true"/>
        </w:rPr>
        <w:footnoteReference w:id="175"/>
      </w:r>
      <w:r>
        <w:rPr>
          <w:rFonts w:ascii="IRNazanin" w:hAnsi="IRNazanin" w:eastAsia="IRNazanin"/>
          <w:color w:val="111111"/>
          <w:sz w:val="28"/>
          <w:sz w:val="28"/>
          <w:szCs w:val="28"/>
          <w:rtl w:val="true"/>
          <w:lang w:bidi="fa-IR"/>
        </w:rPr>
        <w:t>، و چنانچه حرام و شبهاتي مرتکب نشده باشند، عقاب و عتابي هم نخواهند داشت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بر حسب پاره‌اي از روايات، اغنياي آنها قدري ديرتر از </w:t>
      </w:r>
    </w:p>
    <w:p>
      <w:pPr>
        <w:pStyle w:val="BookText"/>
        <w:rPr/>
      </w:pPr>
      <w:r>
        <w:rPr>
          <w:rFonts w:ascii="Amiri" w:hAnsi="Amiri" w:eastAsia="Amiri" w:cs="Amiri"/>
          <w:color w:val="111111"/>
          <w:sz w:val="28"/>
          <w:sz w:val="28"/>
          <w:szCs w:val="28"/>
          <w:rtl w:val="true"/>
          <w:lang w:bidi="ar-SA"/>
        </w:rPr>
        <w:t>فقرا به بهشت مي‌روند</w:t>
      </w:r>
      <w:r>
        <w:rPr>
          <w:rStyle w:val="FootnoteAnchor"/>
          <w:rtl w:val="true"/>
        </w:rPr>
        <w:footnoteReference w:id="176"/>
      </w:r>
      <w:r>
        <w:rPr>
          <w:rFonts w:ascii="Amiri" w:hAnsi="Amiri" w:eastAsia="Amiri" w:cs="Amiri"/>
          <w:color w:val="111111"/>
          <w:sz w:val="28"/>
          <w:sz w:val="28"/>
          <w:szCs w:val="28"/>
          <w:rtl w:val="true"/>
          <w:lang w:bidi="ar-SA"/>
        </w:rPr>
        <w:t xml:space="preserve">تا به طور عدل و مساوات هم فقير و هم غنيّ، متنعّم شوند، و مراد از زياده در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الْحُسْنى وَزِيادَةٌ</w:t>
      </w:r>
      <w:r>
        <w:rPr>
          <w:rFonts w:eastAsia="Amiri" w:cs="Amiri" w:ascii="Amiri" w:hAnsi="Amiri"/>
          <w:color w:val="111111"/>
          <w:sz w:val="28"/>
          <w:szCs w:val="28"/>
          <w:rtl w:val="true"/>
          <w:lang w:bidi="ar-SA"/>
        </w:rPr>
        <w:t xml:space="preserve">( </w:t>
      </w:r>
      <w:r>
        <w:rPr>
          <w:rStyle w:val="FootnoteAnchor"/>
          <w:rtl w:val="true"/>
        </w:rPr>
        <w:footnoteReference w:id="177"/>
      </w:r>
      <w:r>
        <w:rPr>
          <w:rFonts w:ascii="IRNazanin" w:hAnsi="IRNazanin" w:eastAsia="IRNazanin"/>
          <w:color w:val="111111"/>
          <w:sz w:val="28"/>
          <w:sz w:val="28"/>
          <w:szCs w:val="28"/>
          <w:rtl w:val="true"/>
          <w:lang w:bidi="fa-IR"/>
        </w:rPr>
        <w:t>همين نعمت دنيوي اغنيا و بدل آن زودتر به بهشت وارد شدن فقراي شيعه و اهل ولايت مي‌باشد؛ پس غنيمت شمار</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جزاي اهل ولايت، چنانچه در اثر غلبة شهوت و غير آن، حرام و يا شبهه‌اي مرتکب شده باشند، سه احتمال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عقاب موقّت غير مخلّد به مقدار گناه، امکان عتاب، امکان این که مورد عفو و شفاعت قرارگيرند، ولي چنانچه هيچ حرامي مرتکب نشده، و تنها شبهاتي انجام داده باشند، بعيد نيست که با آنها تفضّلاً مانند کساني که هيچ شبهه‌اي انجام نداده‌اند، معامله کنند؛ يعني هيچ عتابي نداشته باشند؛ چه آنکه در قرآن مجيد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تَجْتَنِبُوا كَبائِرَ ماتُنْهَوْنَ عَنْهُ نُكَفِّرْ عَنْكُمْ سَيِّئاتِكُمْ</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یعنی اجتناب از جميع گناهان کبيره، موجب بخشش صغاير است، و در اين مقام، ارتکاب شبهات همچون ارتکاب سيّئات صغيره، در صورت عدم </w:t>
      </w:r>
      <w:bookmarkStart w:id="143" w:name="pg10706_113992"/>
    </w:p>
    <w:p>
      <w:pPr>
        <w:pStyle w:val="BookText"/>
        <w:rPr/>
      </w:pPr>
      <w:bookmarkEnd w:id="143"/>
      <w:r>
        <w:rPr>
          <w:rFonts w:ascii="IRNazanin" w:hAnsi="IRNazanin" w:eastAsia="IRNazanin"/>
          <w:color w:val="111111"/>
          <w:sz w:val="28"/>
          <w:sz w:val="28"/>
          <w:szCs w:val="28"/>
          <w:rtl w:val="true"/>
          <w:lang w:bidi="fa-IR"/>
        </w:rPr>
        <w:t>ارتکاب کبيره‌اي از کبایر بخشيده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Heading3"/>
        <w:numPr>
          <w:ilvl w:val="2"/>
          <w:numId w:val="1"/>
        </w:numPr>
        <w:rPr/>
      </w:pPr>
      <w:bookmarkStart w:id="144" w:name="__RefHeading___Toc3433793_1051229030"/>
      <w:bookmarkStart w:id="145" w:name="_Toc47"/>
      <w:bookmarkEnd w:id="144"/>
      <w:r>
        <w:rPr>
          <w:rtl w:val="true"/>
        </w:rPr>
        <w:t>مقدّمة هفتم</w:t>
      </w:r>
      <w:r>
        <w:rPr>
          <w:rtl w:val="true"/>
        </w:rPr>
        <w:t xml:space="preserve">: </w:t>
      </w:r>
      <w:r>
        <w:rPr>
          <w:rtl w:val="true"/>
        </w:rPr>
        <w:t>وضعیّت مستضعفین قاصر</w:t>
      </w:r>
      <w:bookmarkEnd w:id="145"/>
    </w:p>
    <w:p>
      <w:pPr>
        <w:pStyle w:val="BookText"/>
        <w:rPr/>
      </w:pPr>
      <w:r>
        <w:rPr>
          <w:rFonts w:ascii="IRNazanin" w:hAnsi="IRNazanin" w:eastAsia="IRNazanin"/>
          <w:color w:val="111111"/>
          <w:sz w:val="28"/>
          <w:sz w:val="28"/>
          <w:szCs w:val="28"/>
          <w:rtl w:val="true"/>
          <w:lang w:bidi="fa-IR"/>
        </w:rPr>
        <w:t>بايد دانست کساني که اهل ولايت نيستند، هر چند با فرضِ عدم اعتقاد به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به دستورالعمل آن بزرگواران باشند، اهل نجات نخواهند بود و اعمالشان باطل و کالعدم است</w:t>
      </w:r>
      <w:r>
        <w:rPr>
          <w:rStyle w:val="FootnoteAnchor"/>
          <w:rtl w:val="true"/>
        </w:rPr>
        <w:footnoteReference w:id="179"/>
      </w:r>
      <w:r>
        <w:rPr>
          <w:rFonts w:ascii="IRNazanin" w:hAnsi="IRNazanin" w:eastAsia="IRNazanin"/>
          <w:color w:val="111111"/>
          <w:sz w:val="28"/>
          <w:sz w:val="28"/>
          <w:szCs w:val="28"/>
          <w:rtl w:val="true"/>
          <w:lang w:bidi="fa-IR"/>
        </w:rPr>
        <w:t xml:space="preserve">،مخصوصاً که معاند جاحد هم باشند، مگر آنکه قاصر بوده، ولي في‌الواقع و در باطن نسبت به حقّ و حقيقت، پذيرا باشند، و به علّت نارسایي هايي که داشتند،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هوحقّه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بدانها نرسيده، و از آنجا که في نفسه پذيراي حقيقت هستند، خداوند رؤوف مهربان از باب لطف، به هر نحوي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از طريق رؤيت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لحظاتي قبل از مرگ و پیدایش امارات آن، از آنها دستگيري و رفع قصور به عمل خواهد آورد، و بلکه دربارة کافر قاصر مي‌توان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کافِرُ الدّنيا ومُسلِمُ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در دنيا کافر است ولي در آخرت اهل نجات، ولی برعکس مسلمانی که اهل ولایت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الدّنيا وکافِرُ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کسانی که حقيقتاً اهل ولايتند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اوّلاً خود به خود موفّق به عمل مي‌شوند و از خاصيّت خدا دادة اختيار اعتقاد به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آنگونه که به کرّات ديده و شنيده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صاحبش را از گناه باز مي‌دارد، و به طاعت مي‌کشاند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چنانچه در اثر برخي از عوامل چون محيط، تربيت، غلبة شهوت، شقاوت و غيره، به گناه افتد، خداوند عليّ اعلي او را به حکم آية مبارکة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نصرت و ياري مي‌کند و از ظلمات گناهان به نور طاعت مي‌رساند؛ که به شهادت پاره‌اي از روايات</w:t>
      </w:r>
      <w:r>
        <w:rPr>
          <w:rStyle w:val="FootnoteAnchor"/>
          <w:rtl w:val="true"/>
        </w:rPr>
        <w:footnoteReference w:id="181"/>
      </w:r>
      <w:r>
        <w:rPr>
          <w:rFonts w:ascii="IRNazanin" w:hAnsi="IRNazanin" w:eastAsia="IRNazanin"/>
          <w:color w:val="111111"/>
          <w:sz w:val="28"/>
          <w:sz w:val="28"/>
          <w:szCs w:val="28"/>
          <w:rtl w:val="true"/>
          <w:lang w:bidi="fa-IR"/>
        </w:rPr>
        <w:t>، مراد از ظلمات، معاصي و منظور از نور، طاعت و انقياد مي‌باشد؛ چه آنکه محقّق است که تنها اهل ولايت، همان مؤمن حقيقي و واقعي مي‌باشند و يا لااقلّ او را قبل از مرگ و اماراتش به توبه موفّق مي‌کند، و يا تنها به رنج‌ها و ابتلائات دنيوي و یا گرفتاری در عالم برزخ، او را مجازات فرموده تا براي آخرت تصفيه شود</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 xml:space="preserve">. </w:t>
      </w:r>
      <w:bookmarkStart w:id="146" w:name="pg10706_113994"/>
    </w:p>
    <w:p>
      <w:pPr>
        <w:pStyle w:val="Heading3"/>
        <w:numPr>
          <w:ilvl w:val="2"/>
          <w:numId w:val="1"/>
        </w:numPr>
        <w:rPr/>
      </w:pPr>
      <w:bookmarkStart w:id="147" w:name="__RefHeading___Toc3433795_1051229030"/>
      <w:bookmarkStart w:id="148" w:name="_Toc48"/>
      <w:bookmarkEnd w:id="146"/>
      <w:bookmarkEnd w:id="147"/>
      <w:r>
        <w:rPr>
          <w:rtl w:val="true"/>
        </w:rPr>
        <w:t>مقدّمة هشتم</w:t>
      </w:r>
      <w:r>
        <w:rPr>
          <w:rtl w:val="true"/>
        </w:rPr>
        <w:t xml:space="preserve">: </w:t>
      </w:r>
      <w:r>
        <w:rPr>
          <w:rtl w:val="true"/>
        </w:rPr>
        <w:t>نحوة برخورد خداوند با اهل ولایت و غیر آنان</w:t>
      </w:r>
      <w:bookmarkEnd w:id="148"/>
    </w:p>
    <w:p>
      <w:pPr>
        <w:pStyle w:val="BookText"/>
        <w:rPr/>
      </w:pPr>
      <w:r>
        <w:rPr>
          <w:rFonts w:ascii="IRNazanin" w:hAnsi="IRNazanin" w:eastAsia="IRNazanin"/>
          <w:color w:val="111111"/>
          <w:sz w:val="28"/>
          <w:sz w:val="28"/>
          <w:szCs w:val="28"/>
          <w:rtl w:val="true"/>
          <w:lang w:bidi="fa-IR"/>
        </w:rPr>
        <w:t>مخفي نماند که طبق روايات معتبر</w:t>
      </w:r>
      <w:r>
        <w:rPr>
          <w:rStyle w:val="FootnoteAnchor"/>
          <w:rtl w:val="true"/>
        </w:rPr>
        <w:footnoteReference w:id="18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نَجْعَلُ الَّذينَ آمَنُوا وَعَمِلُوا الصَّالِحاتِ كَالْمُفْسِدينَ فِي الأرْضِ أمْ نَجْعَلُ الْمُتَّقينَ كَالْفُجَّارِ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را که ایمان آورده و اعمال نیکو انجام داده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مانند مفسدان در زمین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یا پرهیزکاران را مانند پلیدکاران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ص، آیة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حَسِبَ الَّذينَ اجْتَرَحُوا السَّيِّئاتِ أنْ نَجْعَلَهُمْ كَالَّذينَ آمَنُوا وَعَمِلُوا الصَّالِحاتِ سَواءً مَحْياهُمْ وَمَماتُهُمْ ساءَ ما يَحْكُمُونَ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آنان که مرتکب اعمال زشت شدند گمان کردند که آنها را مانند کسانی که ایمان آورده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و نیکوکار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قرار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دهیم که زندگی و مرگشان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داوری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جاثیه، آیة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يَسْتَوِي الأعْمى وَالْبَصيرُ وَالَّذينَ آمَنُوا وَعَمِلُوا الصَّالِحاتِ وَلاَ الْمُسي‌ءُ قَليلاً ماتَتَذَكَّرُونَ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نابینا و بینا یکسان نیستند، هم آنان که ایمان آورده و نیکوکاری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با بدکاران مساوی نیستند؛ بسیار کم متذکّر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مؤمن، آیة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لايَسْتَوي أصْحابُ النَّارِ وَأصْحابُ الْجَنَّةِ أصْحابُ الْجَنَّةِ هُمُ الْفائِزُونَ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اهل دوزخ و اهل بهشت با هم یکسان نیستند، اهل بهشت سعادتمندان عالمند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حشر، آیة</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روش حضرت ربّ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 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حسن اختيار، سزاوار بهشت شدند، و غير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اهل 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را به</w:t>
      </w:r>
    </w:p>
    <w:p>
      <w:pPr>
        <w:pStyle w:val="BookText"/>
        <w:rPr/>
      </w:pPr>
      <w:r>
        <w:rPr>
          <w:rFonts w:ascii="Amiri" w:hAnsi="Amiri" w:eastAsia="Amiri" w:cs="Amiri"/>
          <w:color w:val="111111"/>
          <w:sz w:val="28"/>
          <w:sz w:val="28"/>
          <w:szCs w:val="28"/>
          <w:rtl w:val="true"/>
          <w:lang w:bidi="ar-SA"/>
        </w:rPr>
        <w:t>سوء اختيار، از لياقت بهشت رفتن خارج نمودند، فرق بيّن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مورد اهل ولايت، تا حدّ امکان، سزاي اعمال زشت آنها را در همين دنيا، توسّط رنج‌ها، مصائب و آلام دنيوي مي‌دهد، و آنان را براي آخرت پاک و پاکيزه مي‌فرمايد و چنانچه آلودگي باقي بماند طبق روايت معتبر، جان کندن او را سخت مي‌کند تا تصفيه گردد و اگر باز هم چيزي بماند، آن را توسّط اهوال قبر و برزخ و مواقف قيامت تصفيه مي‌کند و به خلود نمي‌کشاند</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و یا روایتی که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همان کتاب،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ألاَ إِنَّ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یَشرَبُ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مِنَ الدُّنْيَا حَتَّى يَتُوبَ أوْ يَبْتَلِيَهُ اللَّهُ بِبَلاَءٍ فِي جَسَدِهِ فَيَكُونَ تَحْبِيطاً لِخَطَايَاهُ حَتَّى يَلْقَى اللَّهَ عَزَّ وَجَلَّ لاَ ذَنْبَ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آگاه باشید که همانا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 که شراب نوشیده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رود مگر این که توبه کند یا این که خداوند او را به بلایی در جسمش گرفتار سازد تا خطاهایش از میان رود تا این که خدا را به گونه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زیارت کند که گناهی ندارد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9" w:name="pg10706_113996"/>
    </w:p>
    <w:p>
      <w:pPr>
        <w:pStyle w:val="BookText"/>
        <w:rPr/>
      </w:pPr>
      <w:bookmarkEnd w:id="149"/>
      <w:r>
        <w:rPr>
          <w:rFonts w:ascii="IRNazanin" w:hAnsi="IRNazanin" w:eastAsia="IRNazanin"/>
          <w:color w:val="111111"/>
          <w:sz w:val="28"/>
          <w:sz w:val="28"/>
          <w:szCs w:val="28"/>
          <w:rtl w:val="true"/>
          <w:lang w:bidi="fa-IR"/>
        </w:rPr>
        <w:t>در مورد غير اهل ولايت، پاداش اعمال به ظاهر نيک آنها را در همين دنيا توسّط پاره‌اي از راحتي‌ها، سلامتي‌ها و نعمت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هايي که در آخرت شديداً از آنها سؤال مي‌شود، مي‌پردازد و تا حدود امکان، چيزي از پاداش‌ها فروگذار نمي‌شود، و براي آخرتشان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چنانچه عمل به ظاهر نيکي باقي بماند و امکان جبران آن در اين دنيا نباشد، توسّط تخفيف عذابي که لازمة انکار ولايتشان است، جبران مي‌فرمايد</w:t>
      </w:r>
      <w:r>
        <w:rPr>
          <w:rFonts w:eastAsia="IRNazanin" w:cs="IRNazanin"/>
          <w:color w:val="111111"/>
          <w:sz w:val="28"/>
          <w:szCs w:val="28"/>
          <w:rtl w:val="true"/>
          <w:lang w:bidi="fa-IR"/>
        </w:rPr>
        <w:t>.</w:t>
      </w:r>
    </w:p>
    <w:p>
      <w:pPr>
        <w:pStyle w:val="Heading3"/>
        <w:numPr>
          <w:ilvl w:val="2"/>
          <w:numId w:val="1"/>
        </w:numPr>
        <w:rPr/>
      </w:pPr>
      <w:bookmarkStart w:id="150" w:name="__RefHeading___Toc3433797_1051229030"/>
      <w:bookmarkStart w:id="151" w:name="_Toc49"/>
      <w:bookmarkEnd w:id="150"/>
      <w:r>
        <w:rPr>
          <w:rtl w:val="true"/>
        </w:rPr>
        <w:t>مقدّمة نهم</w:t>
      </w:r>
      <w:r>
        <w:rPr>
          <w:rtl w:val="true"/>
        </w:rPr>
        <w:t xml:space="preserve">: </w:t>
      </w:r>
      <w:r>
        <w:rPr>
          <w:rtl w:val="true"/>
        </w:rPr>
        <w:t>ایمان؛ شرط قبولی اعمال</w:t>
      </w:r>
      <w:bookmarkEnd w:id="151"/>
    </w:p>
    <w:p>
      <w:pPr>
        <w:pStyle w:val="BookText"/>
        <w:rPr/>
      </w:pPr>
      <w:r>
        <w:rPr>
          <w:rFonts w:ascii="IRNazanin" w:hAnsi="IRNazanin" w:eastAsia="IRNazanin"/>
          <w:color w:val="111111"/>
          <w:sz w:val="28"/>
          <w:sz w:val="28"/>
          <w:szCs w:val="28"/>
          <w:rtl w:val="true"/>
          <w:lang w:bidi="fa-IR"/>
        </w:rPr>
        <w:t>شرط قبولي عبادات، بلکه صحّت آنها، بلکه مطلق اعمال حسنه، همان ايمان است و کسي که ايمان ندارد کلّيّة عبادات، بلکه ساير اعمال غير عبادي او نه تنها قبول نیست، بلکه صحيح هم نمي‌باشد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این، مي‌توان گفت که در حقيقت، عبادت و عمل غير مؤمن، عبادت و عمل نیست</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قسم دوّم از اعمال توصّلي آن است که به قصد خلق انجام داده و خلق هم از آن استفاده برده‌اند؛ مثل عدل نسبی انوشيروان و سخاي حاتم طایی و اکتشاف</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اختراع</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اديسون و نظاير آنها از امور کلّيّه و يا جزئيّه مانند دستگيري از نيازمندان که از کفّار و يا غير مؤمنين صادر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از اعمال توصّلي، چون از اوّل به عنوان خدمت به مردم که مرجع آن به خداست، انجام شده، اثر تخفيف عذاب را داراست، ولي بايد مردم و خلق خدا، از آن استفادة عملي برده باشند، در غیر این صورت، آن اثر را نخواهد داشت و اينکه در روايت وارد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نيّةُ المُؤمِنِ خَيرٌ مِن 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کافي،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باب النّيّة، 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همان مؤمن است و غير مؤمن چنين نيست، بلکه در مورد غیر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مِن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آنکه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w:t>
      </w:r>
    </w:p>
    <w:p>
      <w:pPr>
        <w:pStyle w:val="BookText"/>
        <w:rPr/>
      </w:pPr>
      <w:r>
        <w:rPr>
          <w:rFonts w:ascii="IRNazanin" w:hAnsi="IRNazanin" w:eastAsia="IRNazanin"/>
          <w:color w:val="111111"/>
          <w:sz w:val="28"/>
          <w:sz w:val="28"/>
          <w:szCs w:val="28"/>
          <w:rtl w:val="true"/>
          <w:lang w:bidi="fa-IR"/>
        </w:rPr>
        <w:t xml:space="preserve">طهارت نسبت به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شرايط وجودي عبادات و ساير اعمال حسنه است که بايد آن را تحصيل نمود</w:t>
      </w:r>
      <w:r>
        <w:rPr>
          <w:rStyle w:val="FootnoteAnchor"/>
          <w:rtl w:val="true"/>
        </w:rPr>
        <w:footnoteReference w:id="186"/>
      </w:r>
      <w:r>
        <w:rPr>
          <w:rFonts w:ascii="IRNazanin" w:hAnsi="IRNazanin" w:eastAsia="IRNazanin"/>
          <w:color w:val="111111"/>
          <w:sz w:val="28"/>
          <w:sz w:val="28"/>
          <w:szCs w:val="28"/>
          <w:rtl w:val="true"/>
          <w:lang w:bidi="fa-IR"/>
        </w:rPr>
        <w:t>همانگونه که نماز، چنانچه بدون تحصيل طهارت، ادا شود، باطل و بي‌فايده خواهد بود، عبادات و اعمال حسنه نیز اگر بدون تحصیل ایمان انجام گردد، مثمر ثمر و مفید فایده نخواهد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آنچه از مقدّمة پنجم به دست آمد و ثابت شد که ايمان </w:t>
      </w:r>
      <w:bookmarkStart w:id="152" w:name="pg10706_113998"/>
    </w:p>
    <w:p>
      <w:pPr>
        <w:pStyle w:val="BookText"/>
        <w:rPr/>
      </w:pPr>
      <w:bookmarkEnd w:id="152"/>
      <w:r>
        <w:rPr>
          <w:rFonts w:ascii="Amiri" w:hAnsi="Amiri" w:eastAsia="Amiri" w:cs="Amiri"/>
          <w:color w:val="111111"/>
          <w:sz w:val="28"/>
          <w:sz w:val="28"/>
          <w:szCs w:val="28"/>
          <w:rtl w:val="true"/>
          <w:lang w:bidi="ar-SA"/>
        </w:rPr>
        <w:t>حقيقي و اسلام واقعي، همين اعتقاد به ولايت خاندانِ رسالت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تمام معارف اسلام و قرآن، به نحو انطواي اعداد زير صد، در عددِ صد در این اعتقاد، منطوي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چونکه صد آمد نود هم پيش ما است</w:t>
      </w:r>
    </w:p>
    <w:p>
      <w:pPr>
        <w:pStyle w:val="BookText"/>
        <w:rPr/>
      </w:pPr>
      <w:r>
        <w:rPr>
          <w:rFonts w:ascii="IRNazanin" w:hAnsi="IRNazanin" w:eastAsia="IRNazanin"/>
          <w:color w:val="111111"/>
          <w:sz w:val="28"/>
          <w:sz w:val="28"/>
          <w:szCs w:val="28"/>
          <w:rtl w:val="true"/>
          <w:lang w:bidi="fa-IR"/>
        </w:rPr>
        <w:t>بلکه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عدد نود و يا ساير اعداد پایین‌تر از عدد صد، در عدد صد، وجود ندارد، و آن عدد نود و يا ساير اعدادی که در صد است در حقيقت عدد نود و يا ساير اعداد نيستند، بلکه جزء و اجزاي صد مي‌باشند، همچنين در اين مقام، معارف ديگر جداي از امر ولايت در حقيقت معارف اسلام و قرآن</w:t>
      </w:r>
    </w:p>
    <w:p>
      <w:pPr>
        <w:pStyle w:val="BookText"/>
        <w:rPr/>
      </w:pPr>
      <w:r>
        <w:rPr>
          <w:rFonts w:ascii="IRNazanin" w:hAnsi="IRNazanin" w:eastAsia="IRNazanin"/>
          <w:color w:val="111111"/>
          <w:sz w:val="28"/>
          <w:sz w:val="28"/>
          <w:szCs w:val="28"/>
          <w:rtl w:val="true"/>
          <w:lang w:bidi="fa-IR"/>
        </w:rPr>
        <w:t>نيستند و آنچه معارف اسلام و قرآن است همان است که جزء و اجزاي ولايت است؛ پس به خوبي دقّت شود</w:t>
      </w:r>
      <w:r>
        <w:rPr>
          <w:rFonts w:eastAsia="IRNazanin" w:cs="IRNazanin"/>
          <w:color w:val="111111"/>
          <w:sz w:val="28"/>
          <w:szCs w:val="28"/>
          <w:rtl w:val="true"/>
          <w:lang w:bidi="fa-IR"/>
        </w:rPr>
        <w:t>.</w:t>
      </w:r>
    </w:p>
    <w:p>
      <w:pPr>
        <w:pStyle w:val="Heading3"/>
        <w:numPr>
          <w:ilvl w:val="2"/>
          <w:numId w:val="1"/>
        </w:numPr>
        <w:rPr/>
      </w:pPr>
      <w:bookmarkStart w:id="153" w:name="__RefHeading___Toc3433799_1051229030"/>
      <w:bookmarkStart w:id="154" w:name="_Toc50"/>
      <w:bookmarkEnd w:id="153"/>
      <w:r>
        <w:rPr>
          <w:rtl w:val="true"/>
        </w:rPr>
        <w:t>استنتاج از مقدّمات گذشته</w:t>
      </w:r>
      <w:bookmarkEnd w:id="154"/>
    </w:p>
    <w:p>
      <w:pPr>
        <w:pStyle w:val="BookText"/>
        <w:rPr/>
      </w:pPr>
      <w:r>
        <w:rPr>
          <w:rFonts w:ascii="IRNazanin" w:hAnsi="IRNazanin" w:eastAsia="IRNazanin"/>
          <w:color w:val="111111"/>
          <w:sz w:val="28"/>
          <w:sz w:val="28"/>
          <w:szCs w:val="28"/>
          <w:rtl w:val="true"/>
          <w:lang w:bidi="fa-IR"/>
        </w:rPr>
        <w:t>پس از بيان اين مقدّمات 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گانه، محور بحث تا حدودي روشن شده و موضوعيّت اصل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محبّت توأم با اعتقاد به امامت منصوص و الهي بلافصل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مي‌گردد، و ثابت مي‌شود که صِرف اعتقاد به ولايتشان که همان ايمان واقعي است، از جهات متعدّدی، عامل نجات‌بخش مي‌باشد، حتّي اگر عملي هم در کار نباشد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مجموع اين مقدّمات، مجملاً به دست آمد که ولايت قلبي منهاي عمل جوارحي، در بسياري از موارد و از </w:t>
      </w:r>
    </w:p>
    <w:p>
      <w:pPr>
        <w:pStyle w:val="BookText"/>
        <w:rPr/>
      </w:pPr>
      <w:r>
        <w:rPr>
          <w:rFonts w:ascii="Amiri" w:hAnsi="Amiri" w:eastAsia="Amiri" w:cs="Amiri"/>
          <w:color w:val="111111"/>
          <w:sz w:val="28"/>
          <w:sz w:val="28"/>
          <w:szCs w:val="28"/>
          <w:rtl w:val="true"/>
          <w:lang w:bidi="ar-SA"/>
        </w:rPr>
        <w:t>جهات فراواني موضوعیّت دارد و کارساز و نجات</w:t>
      </w:r>
      <w:r>
        <w:rPr>
          <w:rFonts w:eastAsia="Amiri" w:cs="Amiri" w:ascii="Amiri" w:hAnsi="Amiri"/>
          <w:color w:val="111111"/>
          <w:sz w:val="28"/>
          <w:szCs w:val="28"/>
          <w:rtl w:val="true"/>
          <w:lang w:bidi="ar-SA"/>
        </w:rPr>
        <w:softHyphen/>
      </w:r>
      <w:r>
        <w:rPr>
          <w:rFonts w:ascii="Amiri" w:hAnsi="Amiri" w:eastAsia="Amiri" w:cs="Amiri"/>
          <w:color w:val="111111"/>
          <w:sz w:val="28"/>
          <w:sz w:val="28"/>
          <w:szCs w:val="28"/>
          <w:rtl w:val="true"/>
          <w:lang w:bidi="ar-SA"/>
        </w:rPr>
        <w:t>بخش و ملاک در سعادت و عدم سعادت است، و بالاخره کاربر و کارساز امور در آن عالم، ولايت و محبّت کامل خاندان رسالت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بس</w:t>
      </w:r>
      <w:r>
        <w:rPr>
          <w:rStyle w:val="FootnoteAnchor"/>
          <w:rtl w:val="true"/>
        </w:rPr>
        <w:footnoteReference w:id="1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تبارک و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توضيح بيشتر به پاره‌اي از آن جهات، تک‌تک و شمرده اشاره مي‌نماييم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اساساً در امر موضوعيّت داشتن نفس محبّت و اصل ولايت، همين بس که به حکم مدارک قطعي ثابت در محلّ خود، تنها معتقدين به امر ولايت، در دايرة نجات و قبولي اعمال قرار دارند و اينکه غير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نجات از مهلکه مأيوسند، و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اينکه مورد خطاب در عباراتي 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اهل ولايتند، نه غير آنان</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مجرّد وجود واقعي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اشاره شد</w:t>
      </w:r>
      <w:r>
        <w:rPr>
          <w:rStyle w:val="FootnoteAnchor"/>
          <w:rtl w:val="true"/>
        </w:rPr>
        <w:footnoteReference w:id="1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نفسه موفّقيّت مي‌آورد، و صاحبش را رفته‌رفته به عمل مي‌کشاند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يک نحوه اثر و موضوعيّت داشتن اصل اعتقاد </w:t>
      </w:r>
    </w:p>
    <w:p>
      <w:pPr>
        <w:pStyle w:val="BookText"/>
        <w:rPr/>
      </w:pPr>
      <w:r>
        <w:rPr>
          <w:rFonts w:ascii="IRNazanin" w:hAnsi="IRNazanin" w:eastAsia="IRNazanin"/>
          <w:color w:val="111111"/>
          <w:sz w:val="28"/>
          <w:sz w:val="28"/>
          <w:szCs w:val="28"/>
          <w:rtl w:val="true"/>
          <w:lang w:bidi="fa-IR"/>
        </w:rPr>
        <w:t>به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آنکه به تجربه ثابت شده</w:t>
      </w:r>
      <w:r>
        <w:rPr>
          <w:rStyle w:val="FootnoteAnchor"/>
          <w:rtl w:val="true"/>
        </w:rPr>
        <w:footnoteReference w:id="189"/>
      </w:r>
      <w:r>
        <w:rPr>
          <w:rFonts w:ascii="IRNazanin" w:hAnsi="IRNazanin" w:eastAsia="IRNazanin"/>
          <w:color w:val="111111"/>
          <w:sz w:val="28"/>
          <w:sz w:val="28"/>
          <w:szCs w:val="28"/>
          <w:rtl w:val="true"/>
          <w:lang w:bidi="fa-IR"/>
        </w:rPr>
        <w:t xml:space="preserve">و شواهد تاريخي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پاره‌اي از مدارک روايي و غيرروايي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مي‌آيد؛ همانگونه که بر هيچ انسان آگاهي پوشيده نيست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ولايت از جمله حسناتي است که بسياري از سيّئات را مي‌زدايد</w:t>
      </w:r>
      <w:r>
        <w:rPr>
          <w:rStyle w:val="FootnoteAnchor"/>
          <w:rtl w:val="true"/>
        </w:rPr>
        <w:footnoteReference w:id="1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 xml:space="preserve">( </w:t>
      </w:r>
      <w:r>
        <w:rPr>
          <w:rStyle w:val="FootnoteAnchor"/>
          <w:rtl w:val="true"/>
        </w:rPr>
        <w:footnoteReference w:id="191"/>
      </w:r>
      <w:r>
        <w:rPr>
          <w:rFonts w:ascii="IRNazanin" w:hAnsi="IRNazanin" w:eastAsia="IRNazanin"/>
          <w:color w:val="111111"/>
          <w:sz w:val="28"/>
          <w:sz w:val="28"/>
          <w:szCs w:val="28"/>
          <w:rtl w:val="true"/>
          <w:lang w:bidi="fa-IR"/>
        </w:rPr>
        <w:t xml:space="preserve">، بلکه بالاتر از اين، ماية ساير حسنات است که و اين خود نیز يک نحوه موضوعيّت به شمار می‌رود و ذوجهتین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زدایندة سیّئات و افزایندة </w:t>
      </w:r>
    </w:p>
    <w:p>
      <w:pPr>
        <w:pStyle w:val="BookText"/>
        <w:rPr/>
      </w:pPr>
      <w:r>
        <w:rPr>
          <w:rFonts w:ascii="IRNazanin" w:hAnsi="IRNazanin" w:eastAsia="IRNazanin"/>
          <w:color w:val="111111"/>
          <w:sz w:val="28"/>
          <w:sz w:val="28"/>
          <w:szCs w:val="28"/>
          <w:rtl w:val="true"/>
          <w:lang w:bidi="fa-IR"/>
        </w:rPr>
        <w:t>سایر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نفس وجود ولايت يعني نفس واقعي آن، به شهادت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احاديث معتبر و غير آن</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لايَصِفُ عَبْدٌ هَذَا الأمْرَ فَتَطْعَمَهُ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فِيهِمْ مَنْ يَفْعَلُ وَيَفْعَلُ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إِذَا كَانَ ذَلِكَ ابْتَلَى اللَّهُ تَبَارَكَ وَتَعَالَى أحَدَهُمْ فِي جَسَدِهِ، فَإِنْ كَانَ ذَلِكَ كَفَّارَةً لِذُنُوبِهِ وَإِلاَّ ضَيَّقَ اللَّهُ عَلَيْهِ فِي رِزْقِهِ، فَإِنْ كَانَ ذَلِكَ كَفَّارَةً لِذُنُوبِهِ وَإِلاَّ شَدَّدَ اللَّهُ عَلَيْهِ عِنْدَ مَوْتِهِ حَتَّى يَأتِيَ اللَّهَ وَلاَذَنْبَ لَهُ ثُمَّ يُدْخِلُهُ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مسلم گوید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هر که معتقد به ولایت ما باشد،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نخواهد 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کسانی هستند که هر کاری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آنان کار بدی کرد خدای تبارک و تعالی او را به بیماری در بدنش مبتلا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کفّارة گناهانش گردد، و اگر بیماری مؤثّر نشد، خداوند روزیش را تنگ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و اگر این هم مؤثّر نشد، خداوند در هنگام مرگ بر او سخت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گیرد و جانش را به سختی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ستاند تا هنگامی که روز قیامت در محضر خداوند حاضر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گناهی نداشته باشد و بعد او را وارد بهشت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موت، ح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صاحبش را در همين زندگاني دنيا، مورد الطاف خفيّة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مي‌دهد، مخصوصاً در صورتي که گناهاني مرتکب شده باشد،</w:t>
      </w:r>
    </w:p>
    <w:p>
      <w:pPr>
        <w:pStyle w:val="BookText"/>
        <w:rPr/>
      </w:pPr>
      <w:r>
        <w:rPr>
          <w:rFonts w:ascii="IRNazanin" w:hAnsi="IRNazanin" w:eastAsia="IRNazanin"/>
          <w:color w:val="111111"/>
          <w:sz w:val="28"/>
          <w:sz w:val="28"/>
          <w:szCs w:val="28"/>
          <w:rtl w:val="true"/>
          <w:lang w:bidi="fa-IR"/>
        </w:rPr>
        <w:t>توسّط همان الطاف خفيّه و ابتلائات و رنج‌هاي ظاهري دنيوي، پاک و پاکيزه، از مهلکه‌هاي اُخروي نجات مي‌يابد، به طوري اگر گناه و يا گناهاني بدون اينگونه ابتلائات باقی بماند، به‌جان کندن سخت که خود، لطفي است خفيّ، دچار مي گردد تا کاملاً تصفيه شود، بلکه چه بسا گناهي هم نداشته باشد، ولي مورد چنين الطاف خفيّه واقع مي‌شود تا مقامش رفيع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اينگونه ترفيع مقام و يا تصفيه از گناهان، هرگز براي غير اهل ولايت و غير اهل ايمان ميسّر نيست و اين از آثار مخصوص ولايت است که از اين حيثيّت موضوعيّت ولايت نيز تثبيت مي‌شود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معتقدين واقعي به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مقدّمة پنجم ثابت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مؤمنين حقيقي هستند که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قرآن مجيد در آية سوّم آيت‌الکرسي</w:t>
      </w:r>
      <w:r>
        <w:rPr>
          <w:rStyle w:val="FootnoteAnchor"/>
          <w:rtl w:val="true"/>
        </w:rPr>
        <w:footnoteReference w:id="1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وَلِيُّ الَّذينَ آمَنُوا يُخْرِجُهُمْ مِنَ الظُّلُماتِ إِلَى النُّورِ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خدا ياور مؤمنين و اهل ولايت است، آنان را از ظلمات گناهان، به نور طاعت مي‌رساند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آنها وعدة نصرت و ياري فرموده که حتماً آنان را به ياري خود، به طاعت و امتثال مي‌کشاند که از آثار وضعي و موضوعيّت داشتن ولايت در اين صورت، آن مي‌شود که صاحبش بدون آنکه عملي داشته باشد، مورد نصرت حقّ قرار مي‌گيرد و </w:t>
      </w:r>
    </w:p>
    <w:p>
      <w:pPr>
        <w:pStyle w:val="BookText"/>
        <w:rPr/>
      </w:pPr>
      <w:r>
        <w:rPr>
          <w:rFonts w:ascii="IRNazanin" w:hAnsi="IRNazanin" w:eastAsia="IRNazanin"/>
          <w:color w:val="111111"/>
          <w:sz w:val="28"/>
          <w:sz w:val="28"/>
          <w:szCs w:val="28"/>
          <w:rtl w:val="true"/>
          <w:lang w:bidi="fa-IR"/>
        </w:rPr>
        <w:t>حضرتش او را اهل طاعت و بالاخره اهل نجات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نفس ولايتي که به حسن اختيار انتخاب نموده زمينه مي‌شود براي وصول به نعیم ابدي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اهل ولايت داراي آثاري است که در اعمال سايرين نيست؛ مثلاً دعاي آنها چه بسا به هدف اجابت مي‌رسد و حوایج ايشان برآورده شده و توسّل آنها گيراست، و غير این موارد که به حقّانیّتشان اشاره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نحوه آثار در بین نصاري تا وقتي که دينشان بر حقّ بوده، دیده می‌شد؛ دعاهاي رهبرانشان گيرا بوده و به وسيلة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پيغمبرشان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شفای بیماران را به دست آورده و از مشکلات کارگشايي مي‌نمودند، تا وقت ظهور حضرت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چون دينشان منسوخ و از حقّانيّت افتاد، دعاي ايشان بي‌اثر شد، لذا مجبور شدند که از طريق تداوي، امراض را معالجه کنند و به اين ترتيب موقعيّت خود را حفظ نمايند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خود ذووجهين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و قبول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ايمان و ولايت، خداوند متعال در فرض عصيان، چنانچه توفيق طاعت و جبران معصيت را نصيب او نکند، لااقلّ او را به توبة کامل و نيز قبولي توبه‌اش پس از موفّق شدن به توبة کامل قبل از مرگ و يا پيش از ظهور نشانه‌هاي آن توفیق داده، براي مراحل بعد از مرگ، فائز و رستگارش مي‌فرمايد و اثر موضوعيّت نفس ولايت در اين دو صورت، اين مي‌شود که خداوند صاحبش را </w:t>
      </w:r>
    </w:p>
    <w:p>
      <w:pPr>
        <w:pStyle w:val="BookText"/>
        <w:rPr/>
      </w:pPr>
      <w:r>
        <w:rPr>
          <w:rFonts w:ascii="IRNazanin" w:hAnsi="IRNazanin" w:eastAsia="IRNazanin"/>
          <w:color w:val="111111"/>
          <w:sz w:val="28"/>
          <w:sz w:val="28"/>
          <w:szCs w:val="28"/>
          <w:rtl w:val="true"/>
          <w:lang w:bidi="fa-IR"/>
        </w:rPr>
        <w:t>لااقلّ از طريق توبه و قبولي آن هم که شده، نجات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ممکن است اين وجه را به جهت ششم و يا به جهت پنجم ارجاع دهيم؛ به ملاحظة اينکه توبة بعد از گناه هم خود يک نحوه خروج از ظلمت عصيان و دخول در نور طاعت است، و هم يک نحوه توفيق يافتن به عمل مي‌باشد، و لذا واجب است اتيان توبه فوراً ففوراً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اعتقاد به ولايت يا في نفسه و يا به نصرت حضرت حقّ، صاحبش را در رتبة اوّل به طاعت، و در رتبة دوّم، به توبه مي‌کشاند و اهل نجات مي‌کند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تذکّر نکته‌اي ضروري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اينکه به برکت ايمان و اعتقاد به ولايت، مؤمنين و معتقدين با نصرت حقّ تعالي و يا في نفسه، از ظلمت گناهان به نور طاعت کشانيده مي‌شوند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اين‌که آن طاعت، توبه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از اينکه به کلّي از گناهان خارج شده و اهل طاعت شوند، و يا آنکه فقط از گناهان زايد بر حسنات خارج شده و به حدّ تساوي حسنات و سيّئات يا رجحان حسنات بر سيّئات برسند، به هر تقدیر، اهل نجات خواهند شد؛ زيرا در همة اين صور از باب تفضّل و يا تفضّل در تفضّل ناجحند و هيچگونه عذاب و رنجي ندارند، مگر آن‌که سيّئات آنها راجح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مقتضاي برکت ايمان و اعتقاد و يا وعدة نصرتي که خداي متعال به مؤمنين و معتقدين فرموده، موضوعيّت داشتن ايمان به ولايت براي نجات از مطلق عذاب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خروج از مطلق گناهان حاصل </w:t>
      </w:r>
    </w:p>
    <w:p>
      <w:pPr>
        <w:pStyle w:val="BookText"/>
        <w:rPr/>
      </w:pPr>
      <w:r>
        <w:rPr>
          <w:rFonts w:ascii="IRNazanin" w:hAnsi="IRNazanin" w:eastAsia="IRNazanin"/>
          <w:color w:val="111111"/>
          <w:sz w:val="28"/>
          <w:sz w:val="28"/>
          <w:szCs w:val="28"/>
          <w:rtl w:val="true"/>
          <w:lang w:bidi="fa-IR"/>
        </w:rPr>
        <w:t>نشده باشد؛ به دقّت تأمّل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اهل ولايت به توبه از سيّئاتي که مرتکب شده‌اند، موفّق نشدند و يا در مرحلة بعد، توبة آنها قبول نشد، و بدون توبة مقبول بميرند، پس اگر حسناتشان افزون بر سيّئات و يا مساوي با آنها باشد، خداوند منّان تفضّلاً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در مقدّمة ششم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سيّئات چنين افرادي چشم پوشيده، و آنان را که حتماً اهل ولايت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آنکه غير اهل ولايت به تفصيلي که در مقدّمة پنجم ثابت شد، مؤمن نيستند و از دايرة اهل ايمان که اهل نجاتند، خارجند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مي‌بخشد و با آنها همچون افرادي که هيچ سيّئه‌اي ندارند، رفتار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خود يک نحوه موضوعيّتي است که براي اصل اعتقاد به ولايت است و اثرش آن است که در اين زمينه‌ها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افزايش حسنات بر سيّئات و يا تساوي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تفضّل قرار مي‌گيرند، و آنان که در دايرة ولايت نيستند، از اين نحوه تفضّل، خارج و مستخرجند، بلکه افرادي که داراي حسناتند و هيچ سيّئه‌اي ندارند، وقتي اهل نجات مي‌شوند که در زمرة اهل ولايت باشند، و الاّ حسناتشان، حسنات نيست؛ زيرا شرط قبولي، بلکه شرط صحّت حسنات، همان ايمان و ولايت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مقدّمة پنجم و مقدّمة هشتم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قهراً مورد نجات </w:t>
      </w:r>
    </w:p>
    <w:p>
      <w:pPr>
        <w:pStyle w:val="BookText"/>
        <w:rPr/>
      </w:pPr>
      <w:r>
        <w:rPr>
          <w:rFonts w:ascii="IRNazanin" w:hAnsi="IRNazanin" w:eastAsia="IRNazanin"/>
          <w:color w:val="111111"/>
          <w:sz w:val="28"/>
          <w:sz w:val="28"/>
          <w:szCs w:val="28"/>
          <w:rtl w:val="true"/>
          <w:lang w:bidi="fa-IR"/>
        </w:rPr>
        <w:t>نمي‌باشند، پس نجات اين عدّه</w:t>
      </w:r>
      <w:r>
        <w:rPr>
          <w:rStyle w:val="FootnoteAnchor"/>
          <w:rtl w:val="true"/>
        </w:rPr>
        <w:footnoteReference w:id="194"/>
      </w:r>
      <w:r>
        <w:rPr>
          <w:rFonts w:ascii="IRNazanin" w:hAnsi="IRNazanin" w:eastAsia="IRNazanin"/>
          <w:color w:val="111111"/>
          <w:sz w:val="28"/>
          <w:sz w:val="28"/>
          <w:szCs w:val="28"/>
          <w:rtl w:val="true"/>
          <w:lang w:bidi="fa-IR"/>
        </w:rPr>
        <w:t>هم در اثر ولايت و موضوعيّت داشتن امر اعتقاد ولايي خواهد بود؛ پس غفلت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معتقد به ولايت خاندان عصمت، موفّق به توبه نشد و بدون توبه از دنيا رفت، چنانچه سيّئاتش به مقدار مختصري افزون بر حسناتش باشد، چه بسا به مقتضاي پاره‌اي از مدارک، خداي متعال در اثر آن اعتقاد که حقيقت ايمان است، او را بعد از مرگ به عذاب جهنّم معذّب نکند، بلکه به بعضي از هول و هراس‌هاي عالم برزخ و یا اهوال قيامت مبتلا فرموده و تصفيه‌اش می فرمايد و خود به خود پس از تصفيه شدن به سعادت ابدي و نعمت سرمدي مي‌رسد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مکرّر در نظيرش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ولايت است که اين چنين نجات‌بخشي دارد و سعادت مي‌آفريند، و اين يک نحوه</w:t>
      </w:r>
      <w:r>
        <w:rPr>
          <w:rStyle w:val="FootnoteAnchor"/>
          <w:rtl w:val="true"/>
        </w:rPr>
        <w:footnoteReference w:id="195"/>
      </w:r>
      <w:r>
        <w:rPr>
          <w:rFonts w:ascii="IRNazanin" w:hAnsi="IRNazanin" w:eastAsia="IRNazanin"/>
          <w:color w:val="111111"/>
          <w:sz w:val="28"/>
          <w:sz w:val="28"/>
          <w:szCs w:val="28"/>
          <w:rtl w:val="true"/>
          <w:lang w:bidi="fa-IR"/>
        </w:rPr>
        <w:t>موضوعيّت است که غير اهل ولايت از دايرة اينگونه سعادت‌ها خارج و دور هستند، و همچون کفّار از اين عنايات و الطاف خفيّه‌اي که ساحت مقدّس کبريايي، پس از مرگ نيز نسبت به خصوص اهل ولايت دارد، بي‌نصيب و بي‌بهره مي‌باشند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اساساً غير اهل ولايت از فِرَق مسلمين همگي در آخرت به مقتضای روایات فراوانی</w:t>
      </w:r>
      <w:r>
        <w:rPr>
          <w:rStyle w:val="FootnoteAnchor"/>
          <w:rtl w:val="true"/>
        </w:rPr>
        <w:footnoteReference w:id="196"/>
      </w:r>
      <w:r>
        <w:rPr>
          <w:rFonts w:ascii="IRNazanin" w:hAnsi="IRNazanin" w:eastAsia="IRNazanin"/>
          <w:color w:val="111111"/>
          <w:sz w:val="28"/>
          <w:sz w:val="28"/>
          <w:szCs w:val="28"/>
          <w:rtl w:val="true"/>
          <w:lang w:bidi="fa-IR"/>
        </w:rPr>
        <w:t>اهل نجات نیستند، بلکه کافرند، هرچند در دنيا به صورت مسلمان باشند، لذا از بعضي از اعاظم عصر نقل شده است که در درس مي‌فرمودند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إنّهم مُسلمُوا الدّنيا وَکُفّار الآخرة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غیر اهل ولایت گسترده، در دنیا از مسلمانان محسوب می‌شوند، ولی در آخرت کافرند و نجات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يازدهم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اهل ولايت با آن رنج‌ها به ملاحظة ازدياد سيّئات بر حسنات مصفّي نشدند، نفس وجود آن ايمان و ولايت، چه بسا سبب مي‌شود که بعد از آن رنج‌ها مشمول عفو الهي قرار گيرند، و عفو الهي هر چند فراوان است، ولي شامل غير اهل ولايت نخواهد بود و آنها از اين نعمت بزرگ الهي در آخرت به نحوي که از جهنّم رهانيده شوند، محرومند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ممکن است که عفو به نحو تخفيف عذاب در جهنّم، براي بعضي از آنها در اثر پاره‌اي از مقتضيات بوده باشد</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جهت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 اهل ولايت در آن حدّ باشد که مشمول آنگونه عفو الهي هم نشوند، باز وجود آن ولايت زمينه مي‌شود که مشمول شفاعت شافعان مأذون و مرتضي</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بعید نیست این عمل استشفاع در اعراف که محلّ بلندی است و ظاهراً گذرگاه سخت راه بهشت است، به دست اولیا و پیشوایان دین نسبت به این دسته از گنهکاران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تفصیل این بحث موکول است به محلّ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به تفسیر آیات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اعراف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مخفي نماند که ظاهر اين است که عمل شفاعت و استشفاع بعد از يأس و مردوديّت از عفو الهي، صورت مي‌گيرد، نه بالعکس و نه در عرض همديگر، هر چند قبول شفاعت خود مرجعش به عفو الهي است؛ غفلت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مورد استشفاعشان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يک نحوه استکمال و رفع نقص و نواقص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گيرند، در حالي که غير اهل ولايت وجود لايقي براي رسيدن به کمال را از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رسد براي وصول به اين استکمال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و ندارند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آنکه اعتقاد به ولايت، منشأ اينگونه از آثار است که در غير آن نمي‌باشد</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سيزدهم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معتقد به ولايت در اثر توغّل در گناه فراوان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حقّ الناس‌هاي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فرو رفتن در معصيت، ايمان و اعتقاد به ولايت باطني خود را گم کند، نه به مقداري که آن ايمان و اعتقاد از بين برود، که هرچند بنا بر تحقیق از بين نخواهد رفت بعد از آن‌که حقيقةً موجود شده باشد</w:t>
      </w:r>
      <w:r>
        <w:rPr>
          <w:rStyle w:val="FootnoteAnchor"/>
          <w:rtl w:val="true"/>
        </w:rPr>
        <w:footnoteReference w:id="199"/>
      </w:r>
      <w:r>
        <w:rPr>
          <w:rFonts w:ascii="IRNazanin" w:hAnsi="IRNazanin" w:eastAsia="IRNazanin"/>
          <w:color w:val="111111"/>
          <w:sz w:val="28"/>
          <w:sz w:val="28"/>
          <w:szCs w:val="28"/>
          <w:rtl w:val="true"/>
          <w:lang w:bidi="fa-IR"/>
        </w:rPr>
        <w:t xml:space="preserve">، بلکه به طوري که درپوشش گناهان پوشيده و مستور گردد، و در اثر آن نتواند درک </w:t>
      </w:r>
    </w:p>
    <w:p>
      <w:pPr>
        <w:pStyle w:val="BookText"/>
        <w:rPr/>
      </w:pPr>
      <w:r>
        <w:rPr>
          <w:rFonts w:ascii="IRNazanin" w:hAnsi="IRNazanin" w:eastAsia="IRNazanin"/>
          <w:color w:val="111111"/>
          <w:sz w:val="28"/>
          <w:sz w:val="28"/>
          <w:szCs w:val="28"/>
          <w:rtl w:val="true"/>
          <w:lang w:bidi="fa-IR"/>
        </w:rPr>
        <w:t>کند که اهل ولايت و از امّت حقيقي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مگر پس از آنکه مدّت‌هاي مديدي که بر حسب پاره‌اي از روايات بيشتر از سيصد هزار سال نمي‌شود</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اگر بگويي در صورتي که منظور از سال، سال‌هاي اُخروی باشد، سيصد هزار سال اُخروی، در حکم خلود و ابديّت عذاب خواهد بود، مخصوصاً که خلود را خلود عرفي معني کنم، پس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ولايت هم از خلود عذاب مصون نمي‌باشد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معلوم نيست منظور از سال در اينجا، سال اُخروی باشد، بلکه منظور سال عرفي دنيوي است؛ چرا که روايت به لسان ما اهل دنيا صادر شده، و قطعاً سيصد هزار سال عرفي، در حکم خلود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چنانچه مرادشان سال اُخروی باشد، سيصد هزار سال نوري هم خلود نخواهد بود؛ چه آن که بالاخره گذراست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ثانياً در عالم آخرت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زودگذر است، و آنکه نمي‌گذرد همان خلود عقلي، واقعي و حقيقي است، مخصوصاً که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حضرت حقّ در رفع خلود از اهل ولايت، نظر ترحّم بر آنها است که نمي‌گذارد غير مخلّد در نظرشان مخلّد جلوه نمايد؛ دقّت شود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معذّب شود و در مرتبه‌اي از مراتب خفيف عذاب‌هاي جهنّم جرم‌گيري گردد تا آن ايمان حقيقي باطني همچون طلاي خالص، مصفّي و نمودار شده، صاحبش را آگاه و لايق استشفاع کند و چنان که در مقدّمة ششم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روايات به شفاعت نبيّ 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خلود در جهنّم رهانيده و نجات يابد، در حقيقت، صِرف اعتقاد به ولايت منشأ اثر</w:t>
      </w:r>
    </w:p>
    <w:p>
      <w:pPr>
        <w:pStyle w:val="BookText"/>
        <w:rPr/>
      </w:pPr>
      <w:r>
        <w:rPr>
          <w:rFonts w:ascii="IRNazanin" w:hAnsi="IRNazanin" w:eastAsia="IRNazanin"/>
          <w:color w:val="111111"/>
          <w:sz w:val="28"/>
          <w:sz w:val="28"/>
          <w:szCs w:val="28"/>
          <w:rtl w:val="true"/>
          <w:lang w:bidi="fa-IR"/>
        </w:rPr>
        <w:t>شده، بالاخره صاحبش را از خلود در دوزخ، آزاد نموده به نعيم ابدي مي‌کشاند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اعتقاد به ولايت در بسياري از مراحل</w:t>
      </w:r>
      <w:r>
        <w:rPr>
          <w:rStyle w:val="FootnoteAnchor"/>
          <w:rtl w:val="true"/>
        </w:rPr>
        <w:footnoteReference w:id="201"/>
      </w:r>
      <w:r>
        <w:rPr>
          <w:rFonts w:ascii="IRNazanin" w:hAnsi="IRNazanin" w:eastAsia="IRNazanin"/>
          <w:color w:val="111111"/>
          <w:sz w:val="28"/>
          <w:sz w:val="28"/>
          <w:szCs w:val="28"/>
          <w:rtl w:val="true"/>
          <w:lang w:bidi="fa-IR"/>
        </w:rPr>
        <w:t>منشأ اثر است و منظور از موضوعيّت همين منشأ اثر بودن است، که مهمترين آنها رفع خلود در عذاب و عقاب اُخروي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تفاصيل واضح شد که تنها اهل ولايت در مراحل متعدّدي که شرح يک‌يک آنها گذشت، نجات پيدا مي‌کنند، و غير اهل ولايت داراي چنين استعداد و زمينه‌اي براي نجات در آن مراحل نيستند، بلکه از همان بدو امر از دایرة نجات خارج و مستخرجند، و آنانکه مي‌توانند در تمام آن مراحل در دایره باشند و نجات يابند همين اهل ولايتند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زمينة نجات در همة آن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بالاخصّ نجات حتمي از خلود در جهنّم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مجرّد اعتقاد به ولايت است ولو بدون عمل</w:t>
      </w:r>
      <w:r>
        <w:rPr>
          <w:rStyle w:val="FootnoteAnchor"/>
          <w:rtl w:val="true"/>
        </w:rPr>
        <w:footnoteReference w:id="202"/>
      </w:r>
      <w:r>
        <w:rPr>
          <w:rFonts w:ascii="IRNazanin" w:hAnsi="IRNazanin" w:eastAsia="IRNazanin"/>
          <w:color w:val="111111"/>
          <w:sz w:val="28"/>
          <w:sz w:val="28"/>
          <w:szCs w:val="28"/>
          <w:rtl w:val="true"/>
          <w:lang w:bidi="fa-IR"/>
        </w:rPr>
        <w:t>، و مراد از موضوعيّت نيست مگر همين معني که نسبت به مراحل زمینة نجات و نسبت به مرحلة خلود، حتمي و پايدار است؛ پس آيا با آنچه تشريح شد مي‌توان گفت که ولايت موضوعيّت ندارد و يا اينکه ولايت بدون عمل مانند عمل بدون ولايت است؟ کلاّ و حاشا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چنانچه منظور منکرين موضوعيّت اين باشد که هيچگونه اثري براي ولايت بي عمل نيست، بطلان آن واضح و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منظور آنها اين باشد که ولايت به طور حتم، انسان را از مطلق عذاب نمي‌رهاند و اينکه ممکن است اهل ولايت در اثر گناه فراوان، معذّب به عذابي و يا به رنجي از رنج‌هاي عوالم بعد از مرگ دچار شوند، درست است، ولي اين معني في‌الواقع انکار موضوعيّت نيست، و همچنين طريقيّت ولايت را براي عمل اثبات نمي‌کند، و مخصوصاً اثبات نمي‌کند و نمي‌رساند که ولايت بدون عمل همچون عمل بدون ولايت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اگر چنانچه عمل از طريق ولايت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همانند آن‌که فاقد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منظورشان از آن تعابير مختلف اين باشد که اهل ولايت چنانچه بدون توبه بميرد، و اعمال حسنه‌اش بر سيّئاتش راجح و يا با آن مساوي نباشد، امکان دارد که چنانچه مشمول عفو و شفاعت قرار نگيرد، معذّب به عذاب و مبتلا به رنج‌هاي اُخروي بشود، و تنها ولايتش بدون انضمام عمل، او را از اينگونه عذاب‌ها به طور حتم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نسبت به خلود در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رهايي نمي‌دهد، هرچند به طور رجا، امکان رهايي از عذاب‌هاي غير خلودي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نظريّه هرچند بسيار مستحسن و از اعتقادات مسلّم است، ولي اوّلاً اين نظريّه در واقع منظور نظر دانشمندان منکر موضوعيّت ولايت نيست، و آنان نمي‌خواهند در </w:t>
      </w:r>
    </w:p>
    <w:p>
      <w:pPr>
        <w:pStyle w:val="BookText"/>
        <w:rPr/>
      </w:pPr>
      <w:r>
        <w:rPr>
          <w:rFonts w:ascii="IRNazanin" w:hAnsi="IRNazanin" w:eastAsia="IRNazanin"/>
          <w:color w:val="111111"/>
          <w:sz w:val="28"/>
          <w:sz w:val="28"/>
          <w:szCs w:val="28"/>
          <w:rtl w:val="true"/>
          <w:lang w:bidi="fa-IR"/>
        </w:rPr>
        <w:t xml:space="preserve">آن تعابير، براي ولايت چنين مزيّتي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رهايي از مطلق عذاب براي مجرّد وجود اعتقاد به ولايت بدون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اين خود يک نحوه موضوعيّت دادن به امر محبّت و اعتقاد به ولايت آن خاندان است؛ به لحاظ اينکه مجرّد وجود ولايت هر چند صاحبش را از مطلق عذاب به طور حتم رها نمي‌سازد، ولي گذشته بر آن‌که امکان رهايي دارد که اين امکان در غير ولايت نيست، صاحبش را از خلود در جهنّم به طور حتم رهايي مي‌بخشد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نظريّه که دربارة ولايت اجرا شده بعينه دربارة عمل حتّی با ولایت هم هست؛ چراکه اعمال حسنه هم هرچه باشد هيچگاه به طور حتم صاحبش را از عذاب نمي‌رهاند، و عملي مي‌رهاند که مقبول درگاه حقّ باشد و در نفس عمل نشانه‌اي از مقبوليّت نيست و همواره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به معناي واقع يعني به معناي معتقد به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قبول و عدم قبول عمل خود، بايد بين خوف و رجا باشد و هيچگاه به طور قطع به عمل خود اتّکا نداشته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هرحال،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 وثبت و کما هو ثابت مثبت في محلّه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مجرّد اعتقاد به ولايت که همان ايمان به واقع اسلام است، في نفسه داراي اثراتي است و از جهاتي موضوعيّت دارد، و صاحبش را هر چند عملي نداشته باشد، چه بسا در موارد مختلف و مواقف متعدّد نجات مي‌دهد که آنها براي غير اهل ولايت هرگز نبوده و نيست</w:t>
      </w:r>
      <w:r>
        <w:rPr>
          <w:rFonts w:eastAsia="IRNazanin" w:cs="IRNazanin"/>
          <w:color w:val="111111"/>
          <w:sz w:val="28"/>
          <w:szCs w:val="28"/>
          <w:rtl w:val="true"/>
          <w:lang w:bidi="fa-IR"/>
        </w:rPr>
        <w:t xml:space="preserve">. </w:t>
      </w:r>
      <w:bookmarkStart w:id="155" w:name="pg10706_114014"/>
    </w:p>
    <w:p>
      <w:pPr>
        <w:pStyle w:val="BookText"/>
        <w:rPr/>
      </w:pPr>
      <w:bookmarkEnd w:id="155"/>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سورة مبارکة عصر</w:t>
      </w:r>
      <w:r>
        <w:rPr>
          <w:rStyle w:val="FootnoteAnchor"/>
          <w:rtl w:val="true"/>
        </w:rPr>
        <w:footnoteReference w:id="203"/>
      </w:r>
      <w:r>
        <w:rPr>
          <w:rFonts w:ascii="IRNazanin" w:hAnsi="IRNazanin" w:eastAsia="IRNazanin"/>
          <w:color w:val="111111"/>
          <w:sz w:val="28"/>
          <w:sz w:val="28"/>
          <w:szCs w:val="28"/>
          <w:rtl w:val="true"/>
          <w:lang w:bidi="fa-IR"/>
        </w:rPr>
        <w:t xml:space="preserve">آن است که برای انسان، رهایی از خسران و زیان، جز در پرتو ایمان و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آیا این موضوعیّت‌ها که می‌رساند در موارد و مواقف مختلف و متفاوت در پرتو ایمان 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انسان رهایی از خسران و زیان می‌باشد، با مفاد سورة عصر که نجات و رهایی را مدیون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و 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منافات ندارد؟</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زیرا مفاد سورة عصر آن است که در پرتو آن دو از مطلق و کلّیّة خسران و زیان رهایی و نجات حاصل است و برای انسان در آن صورت هیچگونه زیان و خسرانی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موضوعیّت داشتن ایمان تنها، می‌رساند که در پرتو آن، بخشی از خسران و زیان مثل خلود در دوزخ منتفی می‌باشد، نه مطلق خسران و کلّیّة زیان‌ها؛ دقّت شود</w:t>
      </w:r>
      <w:r>
        <w:rPr>
          <w:rFonts w:eastAsia="IRNazanin" w:cs="IRNazanin"/>
          <w:color w:val="111111"/>
          <w:sz w:val="28"/>
          <w:szCs w:val="28"/>
          <w:rtl w:val="true"/>
          <w:lang w:bidi="fa-IR"/>
        </w:rPr>
        <w:t>.</w:t>
      </w:r>
    </w:p>
    <w:p>
      <w:pPr>
        <w:pStyle w:val="Heading3"/>
        <w:numPr>
          <w:ilvl w:val="2"/>
          <w:numId w:val="1"/>
        </w:numPr>
        <w:rPr/>
      </w:pPr>
      <w:bookmarkStart w:id="156" w:name="__RefHeading___Toc3433801_1051229030"/>
      <w:bookmarkStart w:id="157" w:name="_Toc51"/>
      <w:bookmarkEnd w:id="156"/>
      <w:r>
        <w:rPr>
          <w:rtl w:val="true"/>
        </w:rPr>
        <w:t>خاتمة بحث</w:t>
      </w:r>
      <w:bookmarkEnd w:id="157"/>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ختام بحث اگر بگويي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برصرف محبّت خاندان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مجرّد اعتقاد به ولايت ایشان، چه ثمري مثمَر و چه ارزشی مترتّب است در صورتي که منظور واقعي از آن، گرفتن دستور </w:t>
      </w:r>
    </w:p>
    <w:p>
      <w:pPr>
        <w:pStyle w:val="BookText"/>
        <w:rPr/>
      </w:pPr>
      <w:r>
        <w:rPr>
          <w:rFonts w:ascii="Amiri" w:hAnsi="Amiri" w:eastAsia="Amiri" w:cs="Amiri"/>
          <w:color w:val="111111"/>
          <w:sz w:val="28"/>
          <w:sz w:val="28"/>
          <w:szCs w:val="28"/>
          <w:rtl w:val="true"/>
          <w:lang w:bidi="ar-SA"/>
        </w:rPr>
        <w:t>براي عمل نمودن باشد؟</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به امر حقّ، واسطة در امر دين و احکام آن شده‌اند، اعمّ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واسطة بين او و خدا، ملک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واسطه‌اش خود پيامبر مي‌باشد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في نفسه ذوات مقدّسي هستند که به فرمان حقّ به اين امر عظيم و سفارت کبري منصوب شده‌اند، لذا ردّ آن ذوات مقدّس و عدم اعتقاد به اينکه آن بزرگواران از ناحية حضرت ربّ العزّة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في نفسه ردّ حضرت کبريايي حقّ تعالي است؛ چه آنکه واضح است ردّ فرمان حقّ ردّ خود حضرت حقّ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مجرّد اعتقاد به آن خاندان، به اعتقاد به خداوند و فرمان آن حضرت رجوع می‌کند و برگشت عدم اعتقاد به</w:t>
      </w:r>
    </w:p>
    <w:p>
      <w:pPr>
        <w:pStyle w:val="BookText"/>
        <w:rPr/>
      </w:pPr>
      <w:r>
        <w:rPr>
          <w:rFonts w:ascii="IRNazanin" w:hAnsi="IRNazanin" w:eastAsia="IRNazanin"/>
          <w:color w:val="111111"/>
          <w:sz w:val="28"/>
          <w:sz w:val="28"/>
          <w:szCs w:val="28"/>
          <w:rtl w:val="true"/>
          <w:lang w:bidi="fa-IR"/>
        </w:rPr>
        <w:t>آنان نیز به عدم اعتقاد به آن نازنين وجود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ثانياً منتخبين و منتصبين از طرف حضرت حقّ، در امر خطير تبليغ و ارشاد، بايد در حدّي از وارستگي باشند که تالي تلو حضرت حقّ و مظاهر صفات و افعال و کمال آن وجود نازنين در عالم امکان باشند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بزرگواران که در واقع وسايط فيض تکوين و تشريع و رهبر جان‌هاي عالم هستي مي‌باشند، بايد در لياقت و قابليّت در اوج بسيار بلند عالي اعلي باشند، به طوري که معرفت آنان، در کنار معرفت حقّ، لازم و واجب باشد، لذا به همان ملاک که حضرت باريتعالي بايد شناخته شود و در عدم شناخت </w:t>
      </w:r>
    </w:p>
    <w:p>
      <w:pPr>
        <w:pStyle w:val="BookText"/>
        <w:rPr/>
      </w:pPr>
      <w:r>
        <w:rPr>
          <w:rFonts w:ascii="IRNazanin" w:hAnsi="IRNazanin" w:eastAsia="IRNazanin"/>
          <w:color w:val="111111"/>
          <w:sz w:val="28"/>
          <w:sz w:val="28"/>
          <w:szCs w:val="28"/>
          <w:rtl w:val="true"/>
          <w:lang w:bidi="fa-IR"/>
        </w:rPr>
        <w:t>آن ذات اقدس، هلاک ابدي است، همچنين بايد آن ذوات مقدّس را شناخت و حقّاً به آنان، معتقد شد و بايد دانست که در عدم شناخت ايشان، هلاک ابدي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شناخت آنها، با مقدّمات گفته شده، خود في نفسه از شئون شناخت حضرت کبريايي حقّ است؛ چرا که واضح است که شناخت وسايط فيض، شناخت صاحب فيض است؛ همانگونه که شناخت اثر، شناخت مؤثّر مي‌باشد، بلکه چه بسا از شناخت آنان، حضرت حقّ به طور تفصيل شناخته شود؛ چنان که در ادعيه و زيارات، با مضمون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عَرَفَکُمْ فَقَدْ عَرَفَ اللهَ</w:t>
      </w:r>
      <w:r>
        <w:rPr>
          <w:rFonts w:eastAsia="IRNazanin" w:cs="IRNazanin"/>
          <w:color w:val="111111"/>
          <w:sz w:val="28"/>
          <w:szCs w:val="28"/>
          <w:rtl w:val="true"/>
          <w:lang w:bidi="fa-IR"/>
        </w:rPr>
        <w:t>...»</w:t>
      </w:r>
      <w:r>
        <w:rPr>
          <w:rStyle w:val="FootnoteAnchor"/>
          <w:rtl w:val="true"/>
        </w:rPr>
        <w:footnoteReference w:id="204"/>
      </w:r>
      <w:r>
        <w:rPr>
          <w:rFonts w:ascii="Amiri" w:hAnsi="Amiri" w:eastAsia="Amiri" w:cs="Amiri"/>
          <w:color w:val="111111"/>
          <w:sz w:val="28"/>
          <w:sz w:val="28"/>
          <w:szCs w:val="28"/>
          <w:rtl w:val="true"/>
          <w:lang w:bidi="ar-SA"/>
        </w:rPr>
        <w:t xml:space="preserve">و يا در دعاي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عَرِّفْنِي نَفْسَكَ فَإِنَّكَ إِنْ لَمْ تُعَرِّفْنِي نَفْسَكَ لَمْ أعْرِفْ نَبِيَّكَ أللَّهُمَّ عَرِّفْنِي رَسُولَكَ فَإِنَّكَ إِنْ لَمْ تُعَرِّفْنِي رَسُولَكَ لَمْ أعْرِفْ حُجَّتَكَ أللَّهُمَّ عَرِّفْنِي حُجَّتَكَ فَإِنَّكَ إِنْ لَمْ تُعَرِّفْنِي حُجَّتَكَ ضَلَلْتُ عَنْ دِينِي</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شناخت ايشان را از شناخت حقّ منشعب مي‌داند، منظور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اجمالي و چه بسا شناخت فطري حضرت حقّ است که قبل از شناخت آنان جلوه دارد، هر چند شناخت آنها از این شناخت اجمالي حضرت حقّ سرچشمه مي‌گيرد، ولي شناخت تفصيلي و کامل حضرت حقّ از اين بزرگواران به دست مي‌آيد که آن شناخت اجمالي در مقابل اين شناخت تفصيلي و واقعي شناخت نيست و لذا بعد از ارسال رُسل و انزال کتب و نصب امام، آن شناخت اجمالي کافي نخواهد بود، و بايد درصدد تفصيلي آن از طريق آن ذوات مقدّس بود، تا به‌جايي برسيم که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أللَّهُمَّ عَرِّفْنِي حُجَّتَكَ فَإِنَّكَ إِنْ لَمْ تُعَرِّفْنِي حُجَّتَكَ لَمْ أعْرِفْ رَسُولَكَ أللَّهُمَّ عَرِّفْنِي نَبِيّکَ فَإِنَّكَ إِنْ لَمْ تُعَرِّفْنِي نَبِيّکَ لَمْ أعْرِفْ نَفسَکَ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يعني تفصيلاً و به وساطت آن بزرگواران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إِنْ لَمْ تُعَرِّفْنِي نَفْسَكَ ضَلَلْتُ عَنْ دِينِي</w:t>
      </w:r>
      <w:r>
        <w:rPr>
          <w:rFonts w:eastAsia="IRNazanin" w:cs="IRNazanin"/>
          <w:color w:val="111111"/>
          <w:sz w:val="28"/>
          <w:szCs w:val="28"/>
          <w:rtl w:val="true"/>
          <w:lang w:bidi="fa-IR"/>
        </w:rPr>
        <w:t>»</w:t>
      </w:r>
      <w:r>
        <w:rPr>
          <w:rStyle w:val="FootnoteAnchor"/>
          <w:rtl w:val="true"/>
        </w:rPr>
        <w:footnoteReference w:id="2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گمراه و کافر در هلاکت خواهم افتاد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مي‌توان گفت که شخص تا معرفت کامل حقّ را </w:t>
      </w:r>
    </w:p>
    <w:p>
      <w:pPr>
        <w:pStyle w:val="BookText"/>
        <w:rPr/>
      </w:pPr>
      <w:r>
        <w:rPr>
          <w:rFonts w:ascii="IRNazanin" w:hAnsi="IRNazanin" w:eastAsia="IRNazanin"/>
          <w:color w:val="111111"/>
          <w:sz w:val="28"/>
          <w:sz w:val="28"/>
          <w:szCs w:val="28"/>
          <w:rtl w:val="true"/>
          <w:lang w:bidi="fa-IR"/>
        </w:rPr>
        <w:t xml:space="preserve">تحصيل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حاصل نمي‌شود مگر بعد از معرفت آن بزرگواران و اخذ معرفت کامل حقّ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کفر و هلاکت است</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پس ثابت شد که تنها اعتقاد به اين ذوات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عمل به دستورات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تنها اعتقاد به حضرت حقّ مثمر ثمر، بلکه مثمر ثمرها است؛ پس دقّت نما و غنيمت شمار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اين‌هم ناگفته نماند، بلکه بايد دانست که امر ولايت و محبّت خاندان رسالت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موضوعيّت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طريقيّت با اهمّيّتي بالا هم دارد؛ زيرا احکام حقيقي اسلام و شرح مرادات واقعي قرآن از آن ناحيه که به وحی و رسالت منتهی می‌شود، اخذ مي‌گردد، و گفته‌هاي آن ذوات مقدّس حقيقت اسلام و اسلام حقيقي است</w:t>
      </w:r>
      <w:r>
        <w:rPr>
          <w:rStyle w:val="FootnoteAnchor"/>
          <w:rtl w:val="true"/>
        </w:rPr>
        <w:footnoteReference w:id="208"/>
      </w:r>
      <w:r>
        <w:rPr>
          <w:rFonts w:ascii="IRNazanin" w:hAnsi="IRNazanin" w:eastAsia="IRNazanin"/>
          <w:color w:val="111111"/>
          <w:sz w:val="28"/>
          <w:sz w:val="28"/>
          <w:szCs w:val="28"/>
          <w:rtl w:val="true"/>
          <w:lang w:bidi="fa-IR"/>
        </w:rPr>
        <w:t xml:space="preserve">، و تنها راه سعادت دنيا و مخصوصاً آخرت، آن است که خداوند متعال از آن طريق و از آن مکتب، اطاعت </w:t>
      </w:r>
    </w:p>
    <w:p>
      <w:pPr>
        <w:pStyle w:val="BookText"/>
        <w:rPr/>
      </w:pPr>
      <w:r>
        <w:rPr>
          <w:rFonts w:ascii="Amiri" w:hAnsi="Amiri" w:eastAsia="Amiri" w:cs="Amiri"/>
          <w:color w:val="111111"/>
          <w:sz w:val="28"/>
          <w:sz w:val="28"/>
          <w:szCs w:val="28"/>
          <w:rtl w:val="true"/>
          <w:lang w:bidi="ar-SA"/>
        </w:rPr>
        <w:t xml:space="preserve">شود، و رمز آفرينش که به حکم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خَلَقْتُ الْجِنَّ وَالإِنْسَ إِلاَّ لِيَعْبُدُونِ</w:t>
      </w:r>
      <w:r>
        <w:rPr>
          <w:rFonts w:eastAsia="Amiri" w:cs="Amiri" w:ascii="Amiri" w:hAnsi="Amiri"/>
          <w:color w:val="111111"/>
          <w:sz w:val="28"/>
          <w:szCs w:val="28"/>
          <w:rtl w:val="true"/>
          <w:lang w:bidi="ar-SA"/>
        </w:rPr>
        <w:t>(</w:t>
      </w:r>
      <w:r>
        <w:rPr>
          <w:rStyle w:val="FootnoteAnchor"/>
          <w:rtl w:val="true"/>
        </w:rPr>
        <w:footnoteReference w:id="209"/>
      </w:r>
      <w:r>
        <w:rPr>
          <w:rFonts w:ascii="IRNazanin" w:hAnsi="IRNazanin" w:eastAsia="IRNazanin"/>
          <w:color w:val="111111"/>
          <w:sz w:val="28"/>
          <w:sz w:val="28"/>
          <w:szCs w:val="28"/>
          <w:rtl w:val="true"/>
          <w:lang w:bidi="fa-IR"/>
        </w:rPr>
        <w:t>، عبادت است، از آن طريق تأمين مي‌گردد، و انسان از آن مکتب به کمالات بندگي مي‌رسد و اوج مي‌گيرد و به ترقّي و تعالي مي‌رسد که از غير اين طريق طيّ منازل نمودن بيراهه و به راه گورستان 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محبّت توأم با اعتقاد به ولايت آن ذوات مقدّس به خاطر آن است که انسان از آن مکتب، دستورات الهي و مرادات واقعي قرآن را اخذ و عمل کند و خود را به مدارج بالا و کمالي علمي، عملي، اخلاقي و اعتقادی برساند که اين حقيقت، طريقيّت امر ولايت و محبّت توأم با اعتقاد به امامت ذوات مقدّس حضرات معصومين از آل محمّد و علي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والسَّلامُ عَلَی مَنِ اتَّبَعَ الهُدَی وعَلَی عِبادِ اللهِ الصَّالِحینَ </w:t>
      </w:r>
      <w:bookmarkStart w:id="158" w:name="pg10706_114020"/>
    </w:p>
    <w:p>
      <w:pPr>
        <w:pStyle w:val="Heading2"/>
        <w:numPr>
          <w:ilvl w:val="1"/>
          <w:numId w:val="1"/>
        </w:numPr>
        <w:rPr/>
      </w:pPr>
      <w:bookmarkStart w:id="159" w:name="__RefHeading___Toc3433803_1051229030"/>
      <w:bookmarkStart w:id="160" w:name="_Toc52"/>
      <w:bookmarkEnd w:id="158"/>
      <w:bookmarkEnd w:id="159"/>
      <w:r>
        <w:rPr>
          <w:rtl w:val="true"/>
        </w:rPr>
        <w:t>رسالة سوّم</w:t>
      </w:r>
      <w:r>
        <w:rPr>
          <w:rtl w:val="true"/>
        </w:rPr>
        <w:t>:</w:t>
      </w:r>
      <w:r>
        <w:rPr>
          <w:rtl w:val="true"/>
        </w:rPr>
        <w:t>اختصاص آمرزش گناهان مادون شرک،به پيروان اميرالمؤمنين</w:t>
      </w:r>
      <w:r>
        <w:rPr>
          <w:rtl w:val="true"/>
        </w:rPr>
        <w:t>(</w:t>
      </w:r>
      <w:r>
        <w:rPr>
          <w:rtl w:val="true"/>
        </w:rPr>
        <w:t>عَلَيْهَ السَّلاَمُ</w:t>
      </w:r>
      <w:r>
        <w:rPr>
          <w:rtl w:val="true"/>
        </w:rPr>
        <w:t>)</w:t>
      </w:r>
      <w:bookmarkEnd w:id="16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1" w:name="__RefHeading___Toc3433805_1051229030"/>
      <w:bookmarkStart w:id="162" w:name="_Toc53"/>
      <w:bookmarkEnd w:id="161"/>
      <w:r>
        <w:rPr>
          <w:rtl w:val="true"/>
        </w:rPr>
        <w:t>اشاره</w:t>
      </w:r>
      <w:bookmarkEnd w:id="162"/>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0706_114022"/>
      <w:bookmarkStart w:id="164" w:name="pg10706_114022"/>
      <w:bookmarkEnd w:id="164"/>
    </w:p>
    <w:p>
      <w:pPr>
        <w:pStyle w:val="BookText"/>
        <w:rPr/>
      </w:pPr>
      <w:bookmarkStart w:id="165" w:name="pg10706_114022"/>
      <w:bookmarkEnd w:id="165"/>
      <w:r>
        <w:rPr>
          <w:rFonts w:ascii="IRNazanin" w:hAnsi="IRNazanin" w:eastAsia="IRNazanin"/>
          <w:color w:val="111111"/>
          <w:sz w:val="28"/>
          <w:sz w:val="28"/>
          <w:szCs w:val="28"/>
          <w:rtl w:val="true"/>
          <w:lang w:bidi="fa-IR"/>
        </w:rPr>
        <w:t>بسمه تعالی و له الحمد</w:t>
      </w:r>
    </w:p>
    <w:p>
      <w:pPr>
        <w:pStyle w:val="Heading3"/>
        <w:numPr>
          <w:ilvl w:val="2"/>
          <w:numId w:val="1"/>
        </w:numPr>
        <w:rPr/>
      </w:pPr>
      <w:bookmarkStart w:id="166" w:name="__RefHeading___Toc3433807_1051229030"/>
      <w:bookmarkStart w:id="167" w:name="_Toc54"/>
      <w:bookmarkEnd w:id="166"/>
      <w:r>
        <w:rPr>
          <w:rtl w:val="true"/>
        </w:rPr>
        <w:t>اجمال بحث</w:t>
      </w:r>
      <w:bookmarkEnd w:id="167"/>
    </w:p>
    <w:p>
      <w:pPr>
        <w:pStyle w:val="BookText"/>
        <w:rPr/>
      </w:pPr>
      <w:r>
        <w:rPr>
          <w:rFonts w:ascii="IRNazanin" w:hAnsi="IRNazanin" w:eastAsia="IRNazanin"/>
          <w:color w:val="111111"/>
          <w:sz w:val="28"/>
          <w:sz w:val="28"/>
          <w:szCs w:val="28"/>
          <w:rtl w:val="true"/>
          <w:lang w:bidi="fa-IR"/>
        </w:rPr>
        <w:t xml:space="preserve">در اين نوشتار، درصدد هستيم که ثابت کنيم که گناهان پایین‌تر از شرک که به حکم آية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يَغْفِرُ أنْ يُشْرَكَ بِهِ وَيَغْفِرُ مادُونَ ذلِكَ لِمَنْ يَشاءُ</w:t>
      </w:r>
      <w:r>
        <w:rPr>
          <w:rFonts w:eastAsia="IRNazanin" w:cs="IRNazanin"/>
          <w:color w:val="111111"/>
          <w:sz w:val="28"/>
          <w:szCs w:val="28"/>
          <w:rtl w:val="true"/>
          <w:lang w:bidi="fa-IR"/>
        </w:rPr>
        <w:t xml:space="preserve">( </w:t>
      </w:r>
      <w:r>
        <w:rPr>
          <w:rStyle w:val="FootnoteAnchor"/>
          <w:rtl w:val="true"/>
        </w:rPr>
        <w:footnoteReference w:id="210"/>
      </w:r>
      <w:r>
        <w:rPr>
          <w:rFonts w:ascii="IRNazanin" w:hAnsi="IRNazanin" w:eastAsia="IRNazanin"/>
          <w:color w:val="111111"/>
          <w:sz w:val="28"/>
          <w:sz w:val="28"/>
          <w:szCs w:val="28"/>
          <w:rtl w:val="true"/>
          <w:lang w:bidi="fa-IR"/>
        </w:rPr>
        <w:t>مورد غفران است، در پيروان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است و ساير امم اسلامی و غير اسلامی چون به نحوي از انحا مشرکند، مورد غفران نمي‌باشند، مگر قاصران و مستضعفان که از محلّ بحث خارج و مستخرجند، هرچند معاند باشند؛ چون ممکن است در عنادشان، بر اثر شستشوی مغزی مستضعف شده و یا مستضعف بوده‌اند؛ دقت شود</w:t>
      </w:r>
      <w:r>
        <w:rPr>
          <w:rFonts w:eastAsia="IRNazanin" w:cs="IRNazanin"/>
          <w:color w:val="111111"/>
          <w:sz w:val="28"/>
          <w:szCs w:val="28"/>
          <w:rtl w:val="true"/>
          <w:lang w:bidi="fa-IR"/>
        </w:rPr>
        <w:t>.</w:t>
      </w:r>
    </w:p>
    <w:p>
      <w:pPr>
        <w:pStyle w:val="Heading3"/>
        <w:numPr>
          <w:ilvl w:val="2"/>
          <w:numId w:val="1"/>
        </w:numPr>
        <w:rPr/>
      </w:pPr>
      <w:bookmarkStart w:id="168" w:name="__RefHeading___Toc3433809_1051229030"/>
      <w:bookmarkStart w:id="169" w:name="_Toc55"/>
      <w:bookmarkEnd w:id="168"/>
      <w:r>
        <w:rPr>
          <w:rtl w:val="true"/>
        </w:rPr>
        <w:t>توبه‌پذیری خدا هر چند از مرتدّ فطری</w:t>
      </w:r>
      <w:bookmarkEnd w:id="169"/>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طبق مدارک قطعي مسلّم، توبه از هر گناهي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از شرک و کفر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طور صحيح و با شرايط و آدابش انجام </w:t>
      </w:r>
    </w:p>
    <w:p>
      <w:pPr>
        <w:pStyle w:val="BookText"/>
        <w:rPr/>
      </w:pPr>
      <w:r>
        <w:rPr>
          <w:rFonts w:ascii="IRNazanin" w:hAnsi="IRNazanin" w:eastAsia="IRNazanin"/>
          <w:color w:val="111111"/>
          <w:sz w:val="28"/>
          <w:sz w:val="28"/>
          <w:szCs w:val="28"/>
          <w:rtl w:val="true"/>
          <w:lang w:bidi="fa-IR"/>
        </w:rPr>
        <w:t>شود، و قبل از ظهور و بروز امارات و نشانه‌هاي مرگ تحقّق یابد</w:t>
      </w:r>
      <w:r>
        <w:rPr>
          <w:rStyle w:val="FootnoteAnchor"/>
          <w:rtl w:val="true"/>
        </w:rPr>
        <w:footnoteReference w:id="211"/>
      </w:r>
      <w:r>
        <w:rPr>
          <w:rFonts w:ascii="IRNazanin" w:hAnsi="IRNazanin" w:eastAsia="IRNazanin"/>
          <w:color w:val="111111"/>
          <w:sz w:val="28"/>
          <w:sz w:val="28"/>
          <w:szCs w:val="28"/>
          <w:rtl w:val="true"/>
          <w:lang w:bidi="fa-IR"/>
        </w:rPr>
        <w:t>، موجب غفران و رحمت خواهد بود</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وَإِنِّي لَغَفَّارٌ لِمَنْ تابَ وَآمَنَ وَعَمِلَ صالِحاً ثُمَّ اهْتَدى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همانا من بسیار بخشنده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برای آن کس که توبه كرد و ایمان آورد و عمل صالح انجام داد، سپس بر ايمان خود باقي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طه، آیة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تابَ مِنْ بَعْدِ ظُلْمِهِ وَ أصْلَحَ فَإِنَّ اللَّهَ يَتُوبُ عَلَيْهِ إِنَّ اللَّهَ غَفُورٌ رَحيمٌ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پس از ستمش توبه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نمود، پس همانا خدا توبة او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پذیرد که همانا خدا آمرزندة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سورة مائده،آیة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جملة روایات نیز می‌توان به موارد زیر اشاره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سَعْدِ بْنِ طَرِيفٍ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جَالِساً عِنْدَ أبِي‌جَعْفَرٍ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عَمْرُو بْنُ عُبَيْدٍ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عَنْ قَوْلِ اللَّهِ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وَلاتَطْغَوْا فِيهِ فَيَحِلَّ عَلَيْكُمْ غَضَبِي وَمَنْ يَحْلِلْ عَلَيْهِ غَضَبِي فَقَدْ هَوى وَإِنِّي لَغَفَّارٌ لِمَنْ تابَ وَآمَنَ وَعَمِلَ صالِحاً ثُمَّ اهْتَدى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لَهُ أبُوجَعْفَرٍ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اُخْبِرُكَ أنَّ التَّوْبَةَ وَالإِيمَانَ وَالْعَمَلَ الصَّالِحَ لايَقْبَلُهَا إِلاَّ بِالاهْتِدَاءِ أمَّا التَّوْبَةُ فَمِنَ الشِّرْكِ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سعد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که عمروبن عبید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این سخن خداوند توضیح بفرما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آن طغیان و زیاده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روی نکنید که خشم من بر شما فرود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آید و هر که خشم من بر‌او فرود آید بی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گمان در ورطة هلاکت افتاده است؛ و به یقین من آمرزندة کسی هستم که توبه کند و ایمان آورد و کار شایسته انجام دهد سپس به راه راست هدایت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خداوند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 که توبه و ایمان و عمل صالح را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پذیرد مگر با هدایت یافتن؛ امّا توبه یعنی از شرک توبه نمودن؛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مراجعه كنيد به روايت سفيان بن عُيینه در كافي،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 من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صيد، ح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اگر به تبعات و</w:t>
      </w:r>
    </w:p>
    <w:p>
      <w:pPr>
        <w:pStyle w:val="BookText"/>
        <w:rPr/>
      </w:pPr>
      <w:r>
        <w:rPr>
          <w:rFonts w:ascii="IRNazanin" w:hAnsi="IRNazanin" w:eastAsia="IRNazanin"/>
          <w:color w:val="111111"/>
          <w:sz w:val="28"/>
          <w:sz w:val="28"/>
          <w:szCs w:val="28"/>
          <w:rtl w:val="true"/>
          <w:lang w:bidi="fa-IR"/>
        </w:rPr>
        <w:t>لوازمش از قبيل قضاي نمازها و روزه‌هاي واجب و اداي کفّارات و ردّ مظالم لازم و ساير ديون شرعي و عرفي و غير آن، طبق موازين شرعي عمل 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آري، توبة مرتدّ فطري هر چند باطناً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 که به طور حقيقي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تحقيق قبول مي‌باشد</w:t>
      </w:r>
      <w:r>
        <w:rPr>
          <w:rStyle w:val="FootnoteAnchor"/>
          <w:rtl w:val="true"/>
        </w:rPr>
        <w:footnoteReference w:id="213"/>
      </w:r>
      <w:r>
        <w:rPr>
          <w:rFonts w:ascii="IRNazanin" w:hAnsi="IRNazanin" w:eastAsia="IRNazanin"/>
          <w:color w:val="111111"/>
          <w:sz w:val="28"/>
          <w:sz w:val="28"/>
          <w:szCs w:val="28"/>
          <w:rtl w:val="true"/>
          <w:lang w:bidi="fa-IR"/>
        </w:rPr>
        <w:t>، ولي بر حسب ظاهر شرع محکوم به قبول نيست</w:t>
      </w:r>
      <w:r>
        <w:rPr>
          <w:rStyle w:val="FootnoteAnchor"/>
          <w:rtl w:val="true"/>
        </w:rPr>
        <w:footnoteReference w:id="214"/>
      </w:r>
      <w:r>
        <w:rPr>
          <w:rFonts w:ascii="IRNazanin" w:hAnsi="IRNazanin" w:eastAsia="IRNazanin"/>
          <w:color w:val="111111"/>
          <w:sz w:val="28"/>
          <w:sz w:val="28"/>
          <w:szCs w:val="28"/>
          <w:rtl w:val="true"/>
          <w:lang w:bidi="fa-IR"/>
        </w:rPr>
        <w:t>، گرچه به طور حقيقي و با احراز شرايط و بدون ظهور امارات مرگ، توبه کرده باشد</w:t>
      </w:r>
      <w:r>
        <w:rPr>
          <w:rStyle w:val="FootnoteAnchor"/>
          <w:rtl w:val="true"/>
        </w:rPr>
        <w:footnoteReference w:id="215"/>
      </w:r>
      <w:r>
        <w:rPr>
          <w:rFonts w:ascii="IRNazanin" w:hAnsi="IRNazanin" w:eastAsia="IRNazanin"/>
          <w:color w:val="111111"/>
          <w:sz w:val="28"/>
          <w:sz w:val="28"/>
          <w:szCs w:val="28"/>
          <w:rtl w:val="true"/>
          <w:lang w:bidi="fa-IR"/>
        </w:rPr>
        <w:t xml:space="preserve">مخصوصاً پس </w:t>
      </w:r>
    </w:p>
    <w:p>
      <w:pPr>
        <w:pStyle w:val="BookText"/>
        <w:rPr/>
      </w:pPr>
      <w:r>
        <w:rPr>
          <w:rFonts w:ascii="IRNazanin" w:hAnsi="IRNazanin" w:eastAsia="IRNazanin"/>
          <w:color w:val="111111"/>
          <w:sz w:val="28"/>
          <w:sz w:val="28"/>
          <w:szCs w:val="28"/>
          <w:rtl w:val="true"/>
          <w:lang w:bidi="fa-IR"/>
        </w:rPr>
        <w:t>از ثبوت نزد حاکم شرع؛ چرا که اين توبه هيچگاه موجب برطرف شدن حدّ از او نمي‌گردد، بلکه ساير تبعات ارتداد نیز بر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همسرش عدّة وفات نگه می‌دارد، اموال موجودش بين ورثه تقسيم مي‌شود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بعضي از 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نجس مي‌باشد، با همان حالت مکلّف است که به تکاليف شرعي از قبيل غسل، وضو، نماز، روزه و غير آنها عمل کند</w:t>
      </w:r>
      <w:r>
        <w:rPr>
          <w:rStyle w:val="FootnoteAnchor"/>
          <w:rtl w:val="true"/>
        </w:rPr>
        <w:footnoteReference w:id="216"/>
      </w:r>
      <w:r>
        <w:rPr>
          <w:rFonts w:ascii="IRNazanin" w:hAnsi="IRNazanin" w:eastAsia="IRNazanin"/>
          <w:color w:val="111111"/>
          <w:sz w:val="28"/>
          <w:sz w:val="28"/>
          <w:szCs w:val="28"/>
          <w:rtl w:val="true"/>
          <w:lang w:bidi="fa-IR"/>
        </w:rPr>
        <w:t>، و ظاهر اين قول آن است که با فرض نجاست، انجام اين اعمال از او صحيح و مبرء ذمّه است، هر چند از ساير کفّار بدون شرط تحقّق ايمان صحيح، مبرء ذمّه نمي‌باشد</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 کسي که بدون توبه از دنيا برود، امکان دارد در صورتي که در حصن توحيد و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مورد عفو و غفران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زمينة عفو و غفران را در اين دنيا به </w:t>
      </w:r>
    </w:p>
    <w:p>
      <w:pPr>
        <w:pStyle w:val="BookText"/>
        <w:rPr/>
      </w:pPr>
      <w:r>
        <w:rPr>
          <w:rFonts w:ascii="IRNazanin" w:hAnsi="IRNazanin" w:eastAsia="IRNazanin"/>
          <w:color w:val="111111"/>
          <w:sz w:val="28"/>
          <w:sz w:val="28"/>
          <w:szCs w:val="28"/>
          <w:rtl w:val="true"/>
          <w:lang w:bidi="fa-IR"/>
        </w:rPr>
        <w:t xml:space="preserve">وسایطي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از طريق اعمالی مانند مستحبّات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و آماده نموده باشد، و يا لااقلّ در آخرت بعد از مختصري گرفتاري و عذاب حتمي، موجبات غفران و آمرزش ابدي برايش فراهم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امکان دارد شخصی که بدون توبه از دنیا رفته، در آخرت به طور ابد گرفتار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توبة صحيح چنانچه قبل از مرگ و نشانه‌های آن صورت بگیرد، هرچند مورد قبول حتمي حضرت حقّ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اگر توبه از گناه شرک و کفر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ولي این توبه‌پذیری، غير از عفو و غفران خاصّة</w:t>
      </w:r>
      <w:r>
        <w:rPr>
          <w:rStyle w:val="FootnoteAnchor"/>
          <w:rtl w:val="true"/>
        </w:rPr>
        <w:footnoteReference w:id="218"/>
      </w:r>
      <w:r>
        <w:rPr>
          <w:rFonts w:ascii="IRNazanin" w:hAnsi="IRNazanin" w:eastAsia="IRNazanin"/>
          <w:color w:val="111111"/>
          <w:sz w:val="28"/>
          <w:sz w:val="28"/>
          <w:szCs w:val="28"/>
          <w:rtl w:val="true"/>
          <w:lang w:bidi="fa-IR"/>
        </w:rPr>
        <w:t>آن حضرت است که در اثر شفاعت و يا بدون شفاعت پس از مرگ و يا پس از ظهور نشانه‌هایش امکان تحقّق دارد</w:t>
      </w:r>
      <w:r>
        <w:rPr>
          <w:rFonts w:eastAsia="IRNazanin" w:cs="IRNazanin"/>
          <w:color w:val="111111"/>
          <w:sz w:val="28"/>
          <w:szCs w:val="28"/>
          <w:rtl w:val="true"/>
          <w:lang w:bidi="fa-IR"/>
        </w:rPr>
        <w:t xml:space="preserve">. </w:t>
      </w:r>
      <w:r>
        <w:rPr>
          <w:rStyle w:val="FootnoteAnchor"/>
          <w:rtl w:val="true"/>
        </w:rPr>
        <w:footnoteReference w:id="219"/>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مقتضاي آية مذکور در عنوان بحث</w:t>
      </w:r>
      <w:r>
        <w:rPr>
          <w:rStyle w:val="FootnoteAnchor"/>
          <w:rtl w:val="true"/>
        </w:rPr>
        <w:footnoteReference w:id="220"/>
      </w:r>
      <w:r>
        <w:rPr>
          <w:rFonts w:ascii="IRNazanin" w:hAnsi="IRNazanin" w:eastAsia="IRNazanin"/>
          <w:color w:val="111111"/>
          <w:sz w:val="28"/>
          <w:sz w:val="28"/>
          <w:szCs w:val="28"/>
          <w:rtl w:val="true"/>
          <w:lang w:bidi="fa-IR"/>
        </w:rPr>
        <w:t xml:space="preserve">، آن است که عفو و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غفران نسبت به شرک و کفر اساساً و بالمرّة تحقّق ندارد، و کسي که با حال شرک و کفر بميرد، هرگز مشمول آمرزش نخواهد بود</w:t>
      </w:r>
      <w:r>
        <w:rPr>
          <w:rStyle w:val="FootnoteAnchor"/>
          <w:rtl w:val="true"/>
        </w:rPr>
        <w:footnoteReference w:id="221"/>
      </w:r>
      <w:r>
        <w:rPr>
          <w:rFonts w:ascii="IRNazanin" w:hAnsi="IRNazanin" w:eastAsia="IRNazanin"/>
          <w:color w:val="111111"/>
          <w:sz w:val="28"/>
          <w:sz w:val="28"/>
          <w:szCs w:val="28"/>
          <w:rtl w:val="true"/>
          <w:lang w:bidi="fa-IR"/>
        </w:rPr>
        <w:t>، و شمول غفران الهی، تنها برای اهل گناهان مادون شرک و کفر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چند ظاهر آيه اقتضا دارد که مورد عفو و غفران قرار گرفتن همة گناهان مادون شرک</w:t>
      </w:r>
      <w:r>
        <w:rPr>
          <w:rStyle w:val="FootnoteAnchor"/>
          <w:rtl w:val="true"/>
        </w:rPr>
        <w:footnoteReference w:id="222"/>
      </w:r>
      <w:r>
        <w:rPr>
          <w:rFonts w:ascii="IRNazanin" w:hAnsi="IRNazanin" w:eastAsia="IRNazanin"/>
          <w:color w:val="111111"/>
          <w:sz w:val="28"/>
          <w:sz w:val="28"/>
          <w:szCs w:val="28"/>
          <w:rtl w:val="true"/>
          <w:lang w:bidi="fa-IR"/>
        </w:rPr>
        <w:t>حتمي است، ولي حتمي و قطعي بودنِ آن چون منافي با لطف و موجب تجرّي بر گناه است، لذا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به حکم عقل براي عدّه‌اي و يا براي بسياري از افرادي که مشرک نيستند، حتمي است که مورد عفو و غفران خواهند بود، لکن چون براي همه نيست و آنها که مورد آن قرار مي‌گيرند معلوم و مشخّص نيستند، لذا تجرّي نخواهد بود؛ چون هر يک‌يک از اهل مادون شرک، نسبت به امر خود اطمينان ندارد که </w:t>
      </w:r>
      <w:bookmarkStart w:id="170" w:name="pg10706_114028"/>
    </w:p>
    <w:p>
      <w:pPr>
        <w:pStyle w:val="BookText"/>
        <w:rPr/>
      </w:pPr>
      <w:bookmarkEnd w:id="170"/>
      <w:r>
        <w:rPr>
          <w:rFonts w:ascii="IRNazanin" w:hAnsi="IRNazanin" w:eastAsia="IRNazanin"/>
          <w:color w:val="111111"/>
          <w:sz w:val="28"/>
          <w:sz w:val="28"/>
          <w:szCs w:val="28"/>
          <w:rtl w:val="true"/>
          <w:lang w:bidi="fa-IR"/>
        </w:rPr>
        <w:t>مورد آمرزش قرار گيرد، فقط اميد آن را مي‌تواند داشته باشد، و واضح است که اميد تنها، موجب تجرّي نخواهد بود</w:t>
      </w:r>
      <w:r>
        <w:rPr>
          <w:rFonts w:eastAsia="IRNazanin" w:cs="IRNazanin"/>
          <w:color w:val="111111"/>
          <w:sz w:val="28"/>
          <w:szCs w:val="28"/>
          <w:rtl w:val="true"/>
          <w:lang w:bidi="fa-IR"/>
        </w:rPr>
        <w:t>.</w:t>
      </w:r>
    </w:p>
    <w:p>
      <w:pPr>
        <w:pStyle w:val="Heading3"/>
        <w:numPr>
          <w:ilvl w:val="2"/>
          <w:numId w:val="1"/>
        </w:numPr>
        <w:rPr/>
      </w:pPr>
      <w:bookmarkStart w:id="171" w:name="__RefHeading___Toc3433811_1051229030"/>
      <w:bookmarkStart w:id="172" w:name="_Toc56"/>
      <w:bookmarkEnd w:id="171"/>
      <w:r>
        <w:rPr>
          <w:rtl w:val="true"/>
        </w:rPr>
        <w:t>مشرک کیست و اهل ما دون شرک کیانند؟</w:t>
      </w:r>
      <w:bookmarkEnd w:id="172"/>
    </w:p>
    <w:p>
      <w:pPr>
        <w:pStyle w:val="BookText"/>
        <w:rPr/>
      </w:pPr>
      <w:r>
        <w:rPr>
          <w:rFonts w:ascii="IRNazanin" w:hAnsi="IRNazanin" w:eastAsia="IRNazanin"/>
          <w:color w:val="111111"/>
          <w:sz w:val="28"/>
          <w:sz w:val="28"/>
          <w:szCs w:val="28"/>
          <w:rtl w:val="true"/>
          <w:lang w:bidi="fa-IR"/>
        </w:rPr>
        <w:t>حال بايد ملاحظه نمود که مشرک به شرک جليّ که غير قابل آمرزش است، کيست؟ و اهل مادون شرکِ مورد آمرزش کيانند؟</w:t>
      </w:r>
    </w:p>
    <w:p>
      <w:pPr>
        <w:pStyle w:val="BookText"/>
        <w:rPr/>
      </w:pPr>
      <w:r>
        <w:rPr>
          <w:rFonts w:ascii="IRNazanin" w:hAnsi="IRNazanin" w:eastAsia="IRNazanin"/>
          <w:color w:val="111111"/>
          <w:sz w:val="28"/>
          <w:sz w:val="28"/>
          <w:szCs w:val="28"/>
          <w:rtl w:val="true"/>
          <w:lang w:bidi="fa-IR"/>
        </w:rPr>
        <w:t>روايتي از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مرويّ و مشهور است که آن حضرت در هنگام تلاوت آية شریفة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مبارکة نساء</w:t>
      </w:r>
      <w:r>
        <w:rPr>
          <w:rStyle w:val="FootnoteAnchor"/>
          <w:rtl w:val="true"/>
        </w:rPr>
        <w:footnoteReference w:id="223"/>
      </w:r>
      <w:r>
        <w:rPr>
          <w:rFonts w:ascii="IRNazanin" w:hAnsi="IRNazanin" w:eastAsia="IRNazanin"/>
          <w:color w:val="111111"/>
          <w:sz w:val="28"/>
          <w:sz w:val="28"/>
          <w:szCs w:val="28"/>
          <w:rtl w:val="true"/>
          <w:lang w:bidi="fa-IR"/>
        </w:rPr>
        <w:t xml:space="preserve">، پس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نموده و چنين خطاب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شِيعَتِکَ وَمُحِبّيکَ يَا عَلِيُّ</w:t>
      </w:r>
      <w:r>
        <w:rPr>
          <w:rFonts w:eastAsia="IRNazanin" w:cs="IRNazanin"/>
          <w:color w:val="111111"/>
          <w:sz w:val="28"/>
          <w:szCs w:val="28"/>
          <w:rtl w:val="true"/>
          <w:lang w:bidi="fa-IR"/>
        </w:rPr>
        <w:t>»</w:t>
      </w:r>
      <w:r>
        <w:rPr>
          <w:rStyle w:val="FootnoteAnchor"/>
          <w:rtl w:val="true"/>
        </w:rPr>
        <w:footnoteReference w:id="224"/>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کساني که مشيّت حقّ تعلّق گرفته و ارادة حضرتش است که آنها را مورد آمرزش قرار دهد، فقط شيعيان و محبّين تو مي‌باشند اي علي</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می‌دارد که اين گروه اگر گناه کبيره هم مرتکب شوند، حتماً اهل مادون شرک خواهند بود؛ و این مطلب گرچه روشن است، ولی با توضیحاتی که ذیلاً می‌آید، روشن‌تر هم خواهد شد</w:t>
      </w:r>
      <w:r>
        <w:rPr>
          <w:rFonts w:eastAsia="IRNazanin" w:cs="IRNazanin"/>
          <w:color w:val="111111"/>
          <w:sz w:val="28"/>
          <w:szCs w:val="28"/>
          <w:rtl w:val="true"/>
          <w:lang w:bidi="fa-IR"/>
        </w:rPr>
        <w:t xml:space="preserve">. </w:t>
      </w:r>
      <w:bookmarkStart w:id="173" w:name="pg10706_114029"/>
    </w:p>
    <w:p>
      <w:pPr>
        <w:pStyle w:val="BookText"/>
        <w:rPr/>
      </w:pPr>
      <w:bookmarkEnd w:id="173"/>
      <w:r>
        <w:rPr>
          <w:rFonts w:ascii="IRNazanin" w:hAnsi="IRNazanin" w:eastAsia="IRNazanin"/>
          <w:color w:val="111111"/>
          <w:sz w:val="28"/>
          <w:sz w:val="28"/>
          <w:szCs w:val="28"/>
          <w:rtl w:val="true"/>
          <w:lang w:bidi="fa-IR"/>
        </w:rPr>
        <w:t>سرّ اين فرمايش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که پيروان حقيقي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شيعيان امامي اثناعشري هستند، به برکت تبعيّت از آن حضرت و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هيچگاه و به هيچ نحوي از انحاء، مشرک نيستند و نخواهند بود، در مقابل، ساير فِرَق اسلام و غير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مشرک و غير موحّدند</w:t>
      </w:r>
      <w:r>
        <w:rPr>
          <w:rFonts w:eastAsia="IRNazanin" w:cs="IRNazanin"/>
          <w:color w:val="111111"/>
          <w:sz w:val="28"/>
          <w:szCs w:val="28"/>
          <w:rtl w:val="true"/>
          <w:lang w:bidi="fa-IR"/>
        </w:rPr>
        <w:t>.</w:t>
      </w:r>
    </w:p>
    <w:p>
      <w:pPr>
        <w:pStyle w:val="Heading3"/>
        <w:numPr>
          <w:ilvl w:val="2"/>
          <w:numId w:val="1"/>
        </w:numPr>
        <w:rPr/>
      </w:pPr>
      <w:bookmarkStart w:id="174" w:name="__RefHeading___Toc3433813_1051229030"/>
      <w:bookmarkStart w:id="175" w:name="_Toc57"/>
      <w:bookmarkEnd w:id="174"/>
      <w:r>
        <w:rPr>
          <w:rtl w:val="true"/>
        </w:rPr>
        <w:t>بررسی وحدانیّت اهل سنّت</w:t>
      </w:r>
      <w:bookmarkEnd w:id="175"/>
    </w:p>
    <w:p>
      <w:pPr>
        <w:pStyle w:val="BookText"/>
        <w:rPr/>
      </w:pPr>
      <w:r>
        <w:rPr>
          <w:rFonts w:ascii="IRNazanin" w:hAnsi="IRNazanin" w:eastAsia="IRNazanin"/>
          <w:color w:val="111111"/>
          <w:sz w:val="28"/>
          <w:sz w:val="28"/>
          <w:szCs w:val="28"/>
          <w:rtl w:val="true"/>
          <w:lang w:bidi="fa-IR"/>
        </w:rPr>
        <w:t xml:space="preserve">اهل تسنّن گر چه به شرک ذاتي، مشرک نیستند، به این معنی که به دو ذات در عرض همديگر به عنوان مبدأ عالم قائل نمی‌باشند، ولی يا به شرک صفاتي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به شرک افعالي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مشرکند، و فِرَق اهل تسنّن از نظر اصول، از اين دو دسته خارج نيستند؛ چه آنکه اشاعره هر چند خداي متعال را ذاتاً واحد مي‌دانند، ولي چون صفات آن حضرت را عين ذات نمي‌دانند، بلکه غير ذات دانسته و در نتيجه متعدّد و جدا مي‌دانند، لذا به تعدّد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قائلند، و مجموع آن قدما را واحد اعتباري شمرده، و آن واحد اعتباري را خدا مي‌دانند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خداي متعال در نظر اشاعره کثير حقيقي و واحد اعتباري بوده و در حقيقت، به مبادي متعدّد عرضي قائل شده‌اند، و معتقدند که اين عالم، از يک مبدأ حقيقي صادر نشده، بلکه از مبادي عرضي مستقلّ متعدّد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ذات و صفات از علم و قدرت </w:t>
      </w:r>
    </w:p>
    <w:p>
      <w:pPr>
        <w:pStyle w:val="BookText"/>
        <w:rPr/>
      </w:pPr>
      <w:r>
        <w:rPr>
          <w:rFonts w:ascii="IRNazanin" w:hAnsi="IRNazanin" w:eastAsia="IRNazanin"/>
          <w:color w:val="111111"/>
          <w:sz w:val="28"/>
          <w:sz w:val="28"/>
          <w:szCs w:val="28"/>
          <w:rtl w:val="true"/>
          <w:lang w:bidi="fa-IR"/>
        </w:rPr>
        <w:t>و حيات و غير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آمده، و اين خود بالاترين شرک جليّ است که من حيث لايشعرون و به طور ناخودآگاه بدان دچار شده‌اند، و خلاصه در اثر کناره‌گيري از روح اسلام و حقيقت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وحدت محض حقّ حقيقي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معتزله هرچند صفات حقّ تعالی را همچون اماميّه، عين ذات بدانند، ولي در مرحلة افعال تشريعي عباد، قائل به تفويضند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بندگان از خود بنده سر مي‌زند، بدون آنکه خداي متعال در آن فعل مدخليّتي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اینان نیز قائلند که حضرت حقّ نسبت به فعل تشريعي بندگان نقشي ندارد، بلکه افعال آنها، از غير مبدأ حقّ سر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نظر، بنده در افعال تشريعي خود، مختار محض است، و مبدئش خود بنده مي‌باشد لاغير؛ همانگونه که مبدأ افعال تکويني، تنها حضرت حقّ است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از نظر آنان، دو فاعل ما منه الوجود در عالم حکمفرمايند، يکي حضرت باريتعالي در امور تکوين و کائنات، و ديگري بندگان در محدودة تشريعي افعال خود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معتزلي‌ها در حقيقت، به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لامُؤثِّرَ في الوُجُودِ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نيستند، بلکه به مؤثّري غير حقّ هم قائلند و آن مؤثّر عبارت است از خود بندگان نسبت به افعال خود که در اين عالم وجود مي‌گیرد، پس معتزله بندگان را در مرحلة افعال تشريعي </w:t>
      </w:r>
      <w:bookmarkStart w:id="176" w:name="pg10706_114031"/>
    </w:p>
    <w:p>
      <w:pPr>
        <w:pStyle w:val="BookText"/>
        <w:rPr/>
      </w:pPr>
      <w:bookmarkEnd w:id="176"/>
      <w:r>
        <w:rPr>
          <w:rFonts w:ascii="IRNazanin" w:hAnsi="IRNazanin" w:eastAsia="IRNazanin"/>
          <w:color w:val="111111"/>
          <w:sz w:val="28"/>
          <w:sz w:val="28"/>
          <w:szCs w:val="28"/>
          <w:rtl w:val="true"/>
          <w:lang w:bidi="fa-IR"/>
        </w:rPr>
        <w:t xml:space="preserve">خود، تنها مؤثّر مي‌دانند، و در نتيجه در مرحلة فعل، به مؤثّر متعدّد قائلند، و فاعل ما منه الوجود را به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نمي‌دانند، لذا اينان نیز در اين مرحله، به شرک جليّ مشرکند ، هرچند در مرحلة ذات و صفات موحّد باشند</w:t>
      </w:r>
      <w:r>
        <w:rPr>
          <w:rFonts w:eastAsia="IRNazanin" w:cs="IRNazanin"/>
          <w:color w:val="111111"/>
          <w:sz w:val="28"/>
          <w:szCs w:val="28"/>
          <w:rtl w:val="true"/>
          <w:lang w:bidi="fa-IR"/>
        </w:rPr>
        <w:t>.</w:t>
      </w:r>
    </w:p>
    <w:p>
      <w:pPr>
        <w:pStyle w:val="Heading3"/>
        <w:numPr>
          <w:ilvl w:val="2"/>
          <w:numId w:val="1"/>
        </w:numPr>
        <w:rPr/>
      </w:pPr>
      <w:bookmarkStart w:id="177" w:name="__RefHeading___Toc3433815_1051229030"/>
      <w:bookmarkStart w:id="178" w:name="_Toc58"/>
      <w:bookmarkEnd w:id="177"/>
      <w:r>
        <w:rPr>
          <w:rtl w:val="true"/>
        </w:rPr>
        <w:t>بررسی شرک سایر ملل</w:t>
      </w:r>
      <w:bookmarkEnd w:id="178"/>
    </w:p>
    <w:p>
      <w:pPr>
        <w:pStyle w:val="BookText"/>
        <w:rPr/>
      </w:pPr>
      <w:r>
        <w:rPr>
          <w:rFonts w:ascii="IRNazanin" w:hAnsi="IRNazanin" w:eastAsia="IRNazanin"/>
          <w:color w:val="111111"/>
          <w:sz w:val="28"/>
          <w:sz w:val="28"/>
          <w:szCs w:val="28"/>
          <w:rtl w:val="true"/>
          <w:lang w:bidi="fa-IR"/>
        </w:rPr>
        <w:t>وقتي که وضع اعتقادي اکثريّت اهل تسنّن، بلکه عموم آنها که وابستة به اسلامند، چنين آلوده به شرک جليّ باشد، پس وضع اعتقادي ساير فِرَق و مِلَل غير اسلام چون يهود و نصاري و غير آنان که از قرآن و اسلام واقعي فرسنگ‌ها دورند، قهراً به شرک جليّ آلوده‌تر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مثلاً يهوديان جناب عُزير و نصرانيان حضرت عيسي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نَبِيِّنَا وَآلِهِ وَعَلَيهِمَا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فرزند حقيقي خدا مي‌دانند</w:t>
      </w:r>
      <w:r>
        <w:rPr>
          <w:rStyle w:val="FootnoteAnchor"/>
          <w:rtl w:val="true"/>
        </w:rPr>
        <w:footnoteReference w:id="225"/>
      </w:r>
      <w:r>
        <w:rPr>
          <w:rFonts w:ascii="IRNazanin" w:hAnsi="IRNazanin" w:eastAsia="IRNazanin"/>
          <w:color w:val="111111"/>
          <w:sz w:val="28"/>
          <w:sz w:val="28"/>
          <w:szCs w:val="28"/>
          <w:rtl w:val="true"/>
          <w:lang w:bidi="fa-IR"/>
        </w:rPr>
        <w:t>و سخت دچار شرک جليّ، بلکه اجلي شده‌اند؛ زيرا ولد حقيقي و فرزند واقعي قطعه‌اي جدای از والد و در عرض او می‌باشد، و گرنه فرزند حقيقي صدق نمي‌کند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وقتي اين دو گروه که به اصطلاح اهل کتابند، اينگونه فرزند </w:t>
      </w:r>
    </w:p>
    <w:p>
      <w:pPr>
        <w:pStyle w:val="BookText"/>
        <w:rPr/>
      </w:pPr>
      <w:r>
        <w:rPr>
          <w:rFonts w:ascii="IRNazanin" w:hAnsi="IRNazanin" w:eastAsia="IRNazanin"/>
          <w:color w:val="111111"/>
          <w:sz w:val="28"/>
          <w:sz w:val="28"/>
          <w:szCs w:val="28"/>
          <w:rtl w:val="true"/>
          <w:lang w:bidi="fa-IR"/>
        </w:rPr>
        <w:t>منحاز و جداي از پدر را صاحب رتق و فتق و فعّال ما يشاء بدانند،</w:t>
      </w:r>
    </w:p>
    <w:p>
      <w:pPr>
        <w:pStyle w:val="BookText"/>
        <w:rPr/>
      </w:pPr>
      <w:r>
        <w:rPr>
          <w:rFonts w:ascii="IRNazanin" w:hAnsi="IRNazanin" w:eastAsia="IRNazanin"/>
          <w:color w:val="111111"/>
          <w:sz w:val="28"/>
          <w:sz w:val="28"/>
          <w:szCs w:val="28"/>
          <w:rtl w:val="true"/>
          <w:lang w:bidi="fa-IR"/>
        </w:rPr>
        <w:t>لازم مي‌آيد که فرزند به مانند پدر، فاعل ما منه الوجود جهان هستي و عالم باشد، و اين نيست مگر آلودگي به شرک جليّ اجلاي افعالي در عالم تکوين، بلکه و عالم تشريع</w:t>
      </w:r>
      <w:r>
        <w:rPr>
          <w:rStyle w:val="FootnoteAnchor"/>
          <w:rtl w:val="true"/>
        </w:rPr>
        <w:footnoteReference w:id="226"/>
      </w:r>
      <w:r>
        <w:rPr>
          <w:rFonts w:ascii="IRNazanin" w:hAnsi="IRNazanin" w:eastAsia="IRNazanin"/>
          <w:color w:val="111111"/>
          <w:sz w:val="28"/>
          <w:sz w:val="28"/>
          <w:szCs w:val="28"/>
          <w:rtl w:val="true"/>
          <w:lang w:bidi="fa-IR"/>
        </w:rPr>
        <w:t>الي غير ذلک از آلودگي‌ها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تو خود حديث مفصّل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آلودگي به شرک جليّ ساير مِلَل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از اين مجمل</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آري، در ساير مِلَل آلودگي بدتر از شرک هم وجود دارد، و آن، آلودگي به عدم اعتقاد به اصل وجود اله و الله است که به مراتب، از شرک جليِّ اَجلي، آلوده‌تر و کثيف‌تر و بيشتر مستوجب عذاب و عدم غفران الهي خواهد بود</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179" w:name="pg10706_114033"/>
    </w:p>
    <w:p>
      <w:pPr>
        <w:pStyle w:val="Heading3"/>
        <w:numPr>
          <w:ilvl w:val="2"/>
          <w:numId w:val="1"/>
        </w:numPr>
        <w:rPr/>
      </w:pPr>
      <w:bookmarkStart w:id="180" w:name="__RefHeading___Toc3433817_1051229030"/>
      <w:bookmarkStart w:id="181" w:name="_Toc59"/>
      <w:bookmarkEnd w:id="179"/>
      <w:bookmarkEnd w:id="180"/>
      <w:r>
        <w:rPr>
          <w:rtl w:val="true"/>
        </w:rPr>
        <w:t>اثبات توحید شیعه</w:t>
      </w:r>
      <w:bookmarkEnd w:id="18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اينها همه عقايد ديگران در امر توحيد بود، و امّا شيعة اماميّة اثناعشري پيروان حضرت اميرالمؤمنين علي و ساير عترت طاهره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برکت تبعيّت از آن بزرگواران که تبعيّت از اسلام حقيقي بي‌پيرايه است، در هر دو مرحلة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مرحلة صفات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ساير مراحل به توحيد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هم در مرحلة صفات حضرت حقّ موحّدند، به اين معني که آنها را عين ذات و عين همديگر مي‌دانند، و وحدت حقيقي بين آنها و در نتيجه نسبت به حضرت حقّ قائلند و اگر کثرتي بين ذات و صفات تصوّر مي‌شود حقيقي نيست، بلکه اعتباري محض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مرحلة افعال موحّدند و هر چند همچون اشاعره جبري محض نيستند تا مستلزم بطلان تکليف عباد و تعطيل عقاب و ثواب گردد، ولي همچون معتزله هم تفويضي محض نمي‌باشند تا مستلزم شرک در افعال لازم آيد، و اين همان معناي امر بين الامرين</w:t>
      </w:r>
      <w:r>
        <w:rPr>
          <w:rStyle w:val="FootnoteAnchor"/>
          <w:rtl w:val="true"/>
        </w:rPr>
        <w:footnoteReference w:id="228"/>
      </w:r>
      <w:r>
        <w:rPr>
          <w:rFonts w:ascii="IRNazanin" w:hAnsi="IRNazanin" w:eastAsia="IRNazanin"/>
          <w:color w:val="111111"/>
          <w:sz w:val="28"/>
          <w:sz w:val="28"/>
          <w:szCs w:val="28"/>
          <w:rtl w:val="true"/>
          <w:lang w:bidi="fa-IR"/>
        </w:rPr>
        <w:t>است که ضروري مذهب شيعيان مي‌باشد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خلاصه، همانگونه که در محلّش مبرهن گرديده وجود عيني و صفاتي حقّ، به حدود وجود عيني و صفاتی ما خلايق محدود نيست، همچنان که متّحد هم نيست و الاّ وحدت وجود عين و صفات که باطل است، لازم مي‌آيد؛ چنان که روشن است، همچنين وجود فعل حقّ، به حدودِ فعلِ ما بندگان محدود نمي‌باشد، همچنان که متّحد هم نيست، و الاّ وحدت وجود افعال لازم مي‌آيد؛ دقّت شود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تشريعيّات، همانگونه که فعل خارجي حقيقتاً مستند به عبد است، به طور حقيقت مستند به حقّ هم مي‌باشد؛ چون فعل خارجي متحقّق، محصول ارادة هر دو است؛ مانند توارد علّتين مستقلّتين بر معلول واحد که با وحدتش، معلول هر دو علّت مي‌باشد</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بنابراين، در قول امر بين الامرين هيچگونه شرک افعالي لازم نمي‌آيد، بلکه اراده و فعل حضرت حقّ، در قلمروِ وجودي خود، و</w:t>
      </w:r>
    </w:p>
    <w:p>
      <w:pPr>
        <w:pStyle w:val="BookText"/>
        <w:rPr/>
      </w:pPr>
      <w:r>
        <w:rPr>
          <w:rFonts w:ascii="IRNazanin" w:hAnsi="IRNazanin" w:eastAsia="IRNazanin"/>
          <w:color w:val="111111"/>
          <w:sz w:val="28"/>
          <w:sz w:val="28"/>
          <w:szCs w:val="28"/>
          <w:rtl w:val="true"/>
          <w:lang w:bidi="fa-IR"/>
        </w:rPr>
        <w:t>قلمرو وجودي اراده و فعل عبد بدون حدوث تزاحم و عروض اتّحاد، گذرا است؛ دقّت کنيد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مُؤثّرَ في الوُجودِ إلاّ الله، ولا حولَ ولا قُوّةَ إلاّ بالله، وليس للعبد مَسّ کَرامَةِ وُجودِهِ وأفعالِهِ تَبارکَ وتَعالي</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همانگونه که بندگان در حال نماز و غير نماز، گويندة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إيَّاکَ نَعبُدُ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فقط تو را عبادت مي‌کنيم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مي‌باشند، گويندة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إيَّاکَ نَستَعِينُ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فقط از تو کمک مي‌جوييم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مي‌باشند</w:t>
      </w:r>
      <w:r>
        <w:rPr>
          <w:rStyle w:val="FootnoteAnchor"/>
          <w:rtl w:val="true"/>
        </w:rPr>
        <w:footnoteReference w:id="231"/>
      </w:r>
      <w:r>
        <w:rPr>
          <w:rFonts w:ascii="IRNazanin" w:hAnsi="IRNazanin" w:eastAsia="IRNazanin"/>
          <w:color w:val="111111"/>
          <w:sz w:val="28"/>
          <w:sz w:val="28"/>
          <w:szCs w:val="28"/>
          <w:rtl w:val="true"/>
          <w:lang w:bidi="fa-IR"/>
        </w:rPr>
        <w:t xml:space="preserve">چون نمي‌شود بدون حول و </w:t>
      </w:r>
      <w:bookmarkStart w:id="182" w:name="pg10706_114036"/>
    </w:p>
    <w:p>
      <w:pPr>
        <w:pStyle w:val="BookText"/>
        <w:rPr/>
      </w:pPr>
      <w:bookmarkEnd w:id="182"/>
      <w:r>
        <w:rPr>
          <w:rFonts w:ascii="IRNazanin" w:hAnsi="IRNazanin" w:eastAsia="IRNazanin"/>
          <w:color w:val="111111"/>
          <w:sz w:val="28"/>
          <w:sz w:val="28"/>
          <w:szCs w:val="28"/>
          <w:rtl w:val="true"/>
          <w:lang w:bidi="fa-IR"/>
        </w:rPr>
        <w:t>قوّة الهي عبادت کرد، و يا حول و قوّه‌اي از خود به وجود آورد</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سرّ اينکه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فوق الذّکر به حضرت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وَيَغْفِرُ مادُونَ ذلِكَ لِمَنْ يَشاءُ مِنْ شِيعَتِك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بدين لحاظ است که شيعيان در اثر پيروي از آن حضرت و خاندان پاکش، به هيچگونه شرکي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ذاتي و نه صفاتي و نه افعالي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نمي‌باشند و ماعداي آنان از ساير ملل و مذاهب يا در چاه شرک جليّ و اجلي من حيث لايشعرون و به طور ناخودآگاه فرو رفته‌اند، و يا به بدتر از شرک چون عدم اعتقاد به اصل صانع تعالي، گرفتار و آلوده‌اند</w:t>
      </w:r>
      <w:r>
        <w:rPr>
          <w:rFonts w:eastAsia="IRNazanin" w:cs="IRNazanin"/>
          <w:color w:val="111111"/>
          <w:sz w:val="28"/>
          <w:szCs w:val="28"/>
          <w:rtl w:val="true"/>
          <w:lang w:bidi="fa-IR"/>
        </w:rPr>
        <w:t>.</w:t>
      </w:r>
    </w:p>
    <w:p>
      <w:pPr>
        <w:pStyle w:val="Heading3"/>
        <w:numPr>
          <w:ilvl w:val="2"/>
          <w:numId w:val="1"/>
        </w:numPr>
        <w:rPr/>
      </w:pPr>
      <w:bookmarkStart w:id="183" w:name="__RefHeading___Toc3433819_1051229030"/>
      <w:bookmarkStart w:id="184" w:name="_Toc60"/>
      <w:bookmarkEnd w:id="183"/>
      <w:r>
        <w:rPr>
          <w:rtl w:val="true"/>
        </w:rPr>
        <w:t>طرح یک شبهه و دفع آن</w:t>
      </w:r>
      <w:bookmarkEnd w:id="184"/>
    </w:p>
    <w:p>
      <w:pPr>
        <w:pStyle w:val="BookText"/>
        <w:rPr/>
      </w:pPr>
      <w:r>
        <w:rPr>
          <w:rFonts w:ascii="IRNazanin" w:hAnsi="IRNazanin" w:eastAsia="IRNazanin"/>
          <w:color w:val="111111"/>
          <w:sz w:val="28"/>
          <w:sz w:val="28"/>
          <w:szCs w:val="28"/>
          <w:rtl w:val="true"/>
          <w:lang w:bidi="fa-IR"/>
        </w:rPr>
        <w:t>اگر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که اعمال تشریعی به خلق و خالق هر دو مستند است، پس چگونه مسئولیّت اعمال زشت، خطاب، عتاب و عقاب تنها متوجّه خلق می‌شود؟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 ناشایسته، هر چند خداوند متعال سبب گردیده و وجود و عقل و اختیار به خلق داده و همواره می‌دهد، ولی برای آن داده که کار خیر انجام دهند، و زمانی که خلق خود به اختیاری که به ایشان داده شده، به انجام اعمال شرّ مباشرت </w:t>
      </w:r>
      <w:bookmarkStart w:id="185" w:name="pg10706_114037"/>
    </w:p>
    <w:p>
      <w:pPr>
        <w:pStyle w:val="BookText"/>
        <w:rPr/>
      </w:pPr>
      <w:bookmarkEnd w:id="185"/>
      <w:r>
        <w:rPr>
          <w:rFonts w:ascii="IRNazanin" w:hAnsi="IRNazanin" w:eastAsia="IRNazanin"/>
          <w:color w:val="111111"/>
          <w:sz w:val="28"/>
          <w:sz w:val="28"/>
          <w:szCs w:val="28"/>
          <w:rtl w:val="true"/>
          <w:lang w:bidi="fa-IR"/>
        </w:rPr>
        <w:t>نمایند، در این صورت مباشر اقوی از سبب می‌شود، لذا عقلاً و عرفاً خلق مباشر مسئول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چنانچه اختیار در کار نباشد و خلق در اعمال خود مضطرّ شوند، دیگر مسئول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هر چند اعمال بندگان به سبب و مباشر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است، ولی چنانچه مباشر اقوی باشد مسئول خواهد بود، و مسئولیّت و تکلیف در فرض اضطرار منتفی است؛ به طور کامل دقّت شود</w:t>
      </w:r>
      <w:r>
        <w:rPr>
          <w:rFonts w:eastAsia="IRNazanin" w:cs="IRNazanin"/>
          <w:color w:val="111111"/>
          <w:sz w:val="28"/>
          <w:szCs w:val="28"/>
          <w:rtl w:val="true"/>
          <w:lang w:bidi="fa-IR"/>
        </w:rPr>
        <w:t>.</w:t>
      </w:r>
    </w:p>
    <w:p>
      <w:pPr>
        <w:pStyle w:val="Heading3"/>
        <w:numPr>
          <w:ilvl w:val="2"/>
          <w:numId w:val="1"/>
        </w:numPr>
        <w:rPr/>
      </w:pPr>
      <w:bookmarkStart w:id="186" w:name="__RefHeading___Toc3433821_1051229030"/>
      <w:bookmarkStart w:id="187" w:name="_Toc61"/>
      <w:bookmarkEnd w:id="186"/>
      <w:r>
        <w:rPr>
          <w:rtl w:val="true"/>
        </w:rPr>
        <w:t>طرح شبهة دیگر</w:t>
      </w:r>
      <w:bookmarkEnd w:id="187"/>
    </w:p>
    <w:p>
      <w:pPr>
        <w:pStyle w:val="BookText"/>
        <w:rPr/>
      </w:pPr>
      <w:r>
        <w:rPr>
          <w:rFonts w:ascii="IRNazanin" w:hAnsi="IRNazanin" w:eastAsia="IRNazanin"/>
          <w:color w:val="111111"/>
          <w:sz w:val="28"/>
          <w:sz w:val="28"/>
          <w:szCs w:val="28"/>
          <w:rtl w:val="true"/>
          <w:lang w:bidi="fa-IR"/>
        </w:rPr>
        <w:t>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کرديم که شيعيان به برکتِ پيروي از آن بزرگواران در مراحل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صفات و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 نيستند، ولي آيا در مرحلة عبادت و پرستش حضرت حقّ هم مشرک نيستند؟ در صورتي که مشاهده مي‌شود از غيرخداي متعال چون حضرات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مي‌خواهند، و به آنان متوسّل مي‌شوند، و استشفاع مي‌نمايند، و نيز به زيارت اموات و مشاهد مشرّفه مي‌روند، و به جهتشان نذر مي‌کنند، و عَتَبه و ضريح مقدّسشان را مي‌بوسند و غير 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اعمال، اعمال عبادي نيست که براي غير خدا انجام مي‌شود؟ آيا شيعيان که همواره بدينگونه اعمال زبانزدند، مشرک نيستند، و گرفتار شرک در عبادت حضرت کبريايي نمي‌باشند؟</w:t>
      </w:r>
    </w:p>
    <w:p>
      <w:pPr>
        <w:pStyle w:val="Heading3"/>
        <w:numPr>
          <w:ilvl w:val="2"/>
          <w:numId w:val="1"/>
        </w:numPr>
        <w:rPr/>
      </w:pPr>
      <w:bookmarkStart w:id="188" w:name="__RefHeading___Toc3433823_1051229030"/>
      <w:bookmarkStart w:id="189" w:name="_Toc62"/>
      <w:bookmarkEnd w:id="188"/>
      <w:r>
        <w:rPr>
          <w:rtl w:val="true"/>
        </w:rPr>
        <w:t>دفع شبهه</w:t>
      </w:r>
      <w:bookmarkEnd w:id="189"/>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انجام اينگونه اعمال براي غير خدا، به شيعيان </w:t>
      </w:r>
    </w:p>
    <w:p>
      <w:pPr>
        <w:pStyle w:val="BookText"/>
        <w:rPr/>
      </w:pPr>
      <w:r>
        <w:rPr>
          <w:rFonts w:ascii="Amiri" w:hAnsi="Amiri" w:eastAsia="Amiri" w:cs="Amiri"/>
          <w:color w:val="111111"/>
          <w:sz w:val="28"/>
          <w:sz w:val="28"/>
          <w:szCs w:val="28"/>
          <w:rtl w:val="true"/>
          <w:lang w:bidi="ar-SA"/>
        </w:rPr>
        <w:t xml:space="preserve">اختصاص ندارد، همة فِرَق مسلمين 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عدّة معدودي آن هم به تبعيّت از ابن تيميّة</w:t>
      </w:r>
      <w:r>
        <w:rPr>
          <w:rStyle w:val="FootnoteAnchor"/>
          <w:rtl w:val="true"/>
        </w:rPr>
        <w:footnoteReference w:id="233"/>
      </w:r>
      <w:r>
        <w:rPr>
          <w:rFonts w:ascii="Amiri" w:hAnsi="Amiri" w:eastAsia="Amiri" w:cs="Amiri"/>
          <w:color w:val="111111"/>
          <w:sz w:val="28"/>
          <w:sz w:val="28"/>
          <w:szCs w:val="28"/>
          <w:rtl w:val="true"/>
          <w:lang w:bidi="ar-SA"/>
        </w:rPr>
        <w:t xml:space="preserve">منفور و مطرود جامعة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تنها از آن</w:t>
      </w:r>
    </w:p>
    <w:p>
      <w:pPr>
        <w:pStyle w:val="BookText"/>
        <w:rPr/>
      </w:pPr>
      <w:r>
        <w:rPr>
          <w:rFonts w:ascii="IRNazanin" w:hAnsi="IRNazanin" w:eastAsia="IRNazanin"/>
          <w:color w:val="111111"/>
          <w:sz w:val="28"/>
          <w:sz w:val="28"/>
          <w:szCs w:val="28"/>
          <w:rtl w:val="true"/>
          <w:lang w:bidi="fa-IR"/>
        </w:rPr>
        <w:t>گريزان نيستند، بلکه عموماً معتقد، معترف و پايبندند، و تنها آن عدّة معدود همچون حيوانات خلق الساعة، در اين قرون اخير، به نام فرقة وهابيّه</w:t>
      </w:r>
      <w:r>
        <w:rPr>
          <w:rStyle w:val="FootnoteAnchor"/>
          <w:rtl w:val="true"/>
        </w:rPr>
        <w:footnoteReference w:id="234"/>
      </w:r>
      <w:r>
        <w:rPr>
          <w:rFonts w:ascii="IRNazanin" w:hAnsi="IRNazanin" w:eastAsia="IRNazanin"/>
          <w:color w:val="111111"/>
          <w:sz w:val="28"/>
          <w:sz w:val="28"/>
          <w:szCs w:val="28"/>
          <w:rtl w:val="true"/>
          <w:lang w:bidi="fa-IR"/>
        </w:rPr>
        <w:t xml:space="preserve">و اخیراً به نام سلفیّه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ناسلف و ناخلف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آمدند، و در قبال همة مسلمين قَد عَلَم کرده و داعيه‌هايي برخلاف ما أنزل الله تعالي وما جاء به النبيّ المکرّم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وصدّق به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زيرا در تواريخ معتبر است</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بخاری،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مِسوَر بن مَخرَمه و مروان آورده که در 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وَاللهِ إن تَنَخَّمَ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نُخامةً إلاّ وَقَعَت فِی کَفِّ رَجُلٍ مِنهُم فَدَلَکَ بِها وَجهَهُ وَجِلدَهُ وَإذا أمَرَهُم ابتَدَرُوا أمرَهُ وَإذا تَوَضَّأ کادُوا یَقتَتِلُونَ عَلی وَضُوءِهِ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دهان بیندازد و در کف دست یکی از اصحابش قرار گیرد، آن را به صورت و پوست خود می‌مالد و چون فرمانشان دهد، بر اطاعتش از یکدیگر سبقت بگیرند، و چون وضو سازد، نزدیک است که بر گرفتن بقایای آب وضوی حضرت با هم بجنگند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کتاب،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از جُعید بن عبدالرّحمن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السَّائِبَ بنَ یَزِیدَ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بِی خالَتِی إلَی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ابنَ اُختِی وَقِعٌ فَمَسَحَ رَأسِی وَدَعا لِی بِالبَرَکَةِ وَتَوَضَّأ فَشَرِبتُ مِن وَضُوءِهِ ثُمَّ قُمتُ خَلفَ ظَهرِهِ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سائب بن یزید شنیدم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خاله‌ام مرا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پسر خواهرم زخم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دستی بر سرم کشید و برایم دعا نمود و وضو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آب وضویش نوشیدم سپس پشت سر ایشان ایستادم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ابی‌جُحَیفَه چنین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وَقامَ النَّاسُ یَأخُذُونَ یَدَیهِ فَیَمسَحُونَ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فَأخَذتُ بِیَدِهِ فَوَضَعتُها عَلَی وَجهِی، فَإذا هِیَ أبرَدُ مِنَ الثَّلجِ وَأطیَبُ رائِحَةً مِنَ المِسکِ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برخاستند و دستان حضرت را گرفته و به صورت خود مالیدند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 ایشان را گرفته بر صورتم نهادم؛ دست ایشان خنک‌تر از برف بود و خوشبوتر از مُشک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در صحیحش،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عون ابن أبی جُحَیفَه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بِلالٌ فَنادَی بِالصَّلاةِ ثُمَّ دَخَلَ فَأخرَجَ فَضلَ وَضوءِ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فَوَقَعَ النَّاسُ عَلَیهِ یَأخُذُونَ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بلال خارج شد و ندای نماز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وارد خیمه شد و باقیماندة آب وضوی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بیرون آورد، مردم برسر او ریختند تا از باقیماندة آب وضوی ایشان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حاکم نیشابوری در مستدرک،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از داود ابن أبی صالح آورده که در 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مَروانُ یَوماً فَوَجَدَ رَجُلاً واضِعاً وَجهَهُ عَلَی القَبرِ فَأخَذَ بِرَقَبَتِهِ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ماتَصنَعُ؟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عَلَیهِ فَإذا هُوَ أبُوأیُّوب الأنصارِیِّ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آتِ الحَجَرَ؛ سَمِعتُ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تَبکُوا عَلَی الدِّینِ إذا وَلِیَهُ أهلُهُ، وَلَکِن ابکُوا عَلَیهِ إذا وَلِیَهُ غَیرُ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مروان روزی مردی را دید که صورتش را بر قبر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گرفته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چه می‌کنی؟ جواب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صورتش نگریست، دید که او ابوایّوب انصاری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ابوایّوب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نه پیش سنگ‌ها؛ شنیدم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دین، زمانی که اهل دین متولّی آن هستند مگریید، ولی بر آن بگریید چنانچه غیر اهلش متولّی آن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علاّمه امینی</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وزین الغدیر،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التوسُّل والاستشفاع بقبره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جواز توسّل به آن حضرت از دیدگاه اهل سنّت، در زمان حیات حضرتش و قبل و بعد از آن می‌پردازد و کتبی چند از اعلام عامّه را که در این زمینه نگاشته شده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همان کتاب،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215</w:t>
      </w:r>
      <w:r>
        <w:rPr>
          <w:rFonts w:eastAsia="IRNazanin" w:cs="IRNazanin"/>
          <w:color w:val="111111"/>
          <w:sz w:val="28"/>
          <w:szCs w:val="28"/>
          <w:rtl w:val="true"/>
          <w:lang w:bidi="fa-IR"/>
        </w:rPr>
        <w:t xml:space="preserve"> -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التبرُّک بالقبر الشّریف بالتزامٍ وتمریغٍ وتقبیلٍ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ایراد روایاتی از اهل سنّت در این زمینه می‌پردازد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صحابة پيامبر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تارهای موي آن</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رشحات و قطرات آب وضوي مبارک</w:t>
      </w:r>
      <w:r>
        <w:rPr>
          <w:rStyle w:val="FootnoteAnchor"/>
          <w:rtl w:val="true"/>
        </w:rPr>
        <w:footnoteReference w:id="236"/>
      </w:r>
      <w:r>
        <w:rPr>
          <w:rFonts w:ascii="IRNazanin" w:hAnsi="IRNazanin" w:eastAsia="IRNazanin"/>
          <w:color w:val="111111"/>
          <w:sz w:val="28"/>
          <w:sz w:val="28"/>
          <w:szCs w:val="28"/>
          <w:rtl w:val="true"/>
          <w:lang w:bidi="fa-IR"/>
        </w:rPr>
        <w:t>، به عصا</w:t>
      </w:r>
      <w:r>
        <w:rPr>
          <w:rStyle w:val="FootnoteAnchor"/>
          <w:rtl w:val="true"/>
        </w:rPr>
        <w:footnoteReference w:id="237"/>
      </w:r>
      <w:r>
        <w:rPr>
          <w:rFonts w:ascii="IRNazanin" w:hAnsi="IRNazanin" w:eastAsia="IRNazanin"/>
          <w:color w:val="111111"/>
          <w:sz w:val="28"/>
          <w:sz w:val="28"/>
          <w:szCs w:val="28"/>
          <w:rtl w:val="true"/>
          <w:lang w:bidi="fa-IR"/>
        </w:rPr>
        <w:t xml:space="preserve">و منبر </w:t>
      </w:r>
    </w:p>
    <w:p>
      <w:pPr>
        <w:pStyle w:val="BookText"/>
        <w:rPr/>
      </w:pPr>
      <w:r>
        <w:rPr>
          <w:rFonts w:ascii="Amiri" w:hAnsi="Amiri" w:eastAsia="Amiri" w:cs="Amiri"/>
          <w:color w:val="111111"/>
          <w:sz w:val="28"/>
          <w:sz w:val="28"/>
          <w:szCs w:val="28"/>
          <w:rtl w:val="true"/>
          <w:lang w:bidi="ar-SA"/>
        </w:rPr>
        <w:t>شريف</w:t>
      </w:r>
      <w:r>
        <w:rPr>
          <w:rStyle w:val="FootnoteAnchor"/>
          <w:rtl w:val="true"/>
        </w:rPr>
        <w:footnoteReference w:id="238"/>
      </w:r>
      <w:r>
        <w:rPr>
          <w:rFonts w:ascii="IRNazanin" w:hAnsi="IRNazanin" w:eastAsia="IRNazanin"/>
          <w:color w:val="111111"/>
          <w:sz w:val="28"/>
          <w:sz w:val="28"/>
          <w:szCs w:val="28"/>
          <w:rtl w:val="true"/>
          <w:lang w:bidi="fa-IR"/>
        </w:rPr>
        <w:t>و به ساير امور متعلّق به ايشان، تبرّک مي‌جستند</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 xml:space="preserve">لازم به ذکر است که کتاب مزبور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 توسّط آقای حیدر انصاری نجف‌آبادی به فارسی ترجمه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تحقيق</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بدون آنکه</w:t>
      </w:r>
    </w:p>
    <w:p>
      <w:pPr>
        <w:pStyle w:val="BookText"/>
        <w:rPr/>
      </w:pPr>
      <w:r>
        <w:rPr>
          <w:rFonts w:ascii="IRNazanin" w:hAnsi="IRNazanin" w:eastAsia="IRNazanin"/>
          <w:color w:val="111111"/>
          <w:sz w:val="28"/>
          <w:sz w:val="28"/>
          <w:szCs w:val="28"/>
          <w:rtl w:val="true"/>
          <w:lang w:bidi="fa-IR"/>
        </w:rPr>
        <w:t>حضرتش منعي بفرمايد، و يا از ناحية مقدّس حضرت حقّ تعالي ردعی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روايات معتبر بين فريقين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مخصوصاً به روح مقدّس پيامبر مکرّم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ولادتشان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عصر پيامبران گذشته چون عصر حضرت آدم و نوح عَلَي نَبِيّنَا وآلِهِ وعَلَيهِمَا السَّلامُ</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و هم بعد از ولادت و قبل از رحلتشان، و هم بعد از رحلت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قيام قيامت، و هم بعد از قيام قيامت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شاء الله تعالي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آخرت</w:t>
      </w:r>
      <w:r>
        <w:rPr>
          <w:rStyle w:val="FootnoteAnchor"/>
          <w:rtl w:val="true"/>
        </w:rPr>
        <w:footnoteReference w:id="241"/>
      </w:r>
      <w:r>
        <w:rPr>
          <w:rFonts w:ascii="IRNazanin" w:hAnsi="IRNazanin" w:eastAsia="IRNazanin"/>
          <w:color w:val="111111"/>
          <w:sz w:val="28"/>
          <w:sz w:val="28"/>
          <w:szCs w:val="28"/>
          <w:rtl w:val="true"/>
          <w:lang w:bidi="fa-IR"/>
        </w:rPr>
        <w:t>، استشفاع و توسّل فراوان مي‌شده و هم مشروع است که بشود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بعضي از اينگونه اعمال، مصداقاً عمل عبادي نيستند، و تنها به عنوان تجليل و احترام انجام مي‌شود؛ مثل زيارت عتبه و یا ضريح‌بوسي </w:t>
      </w:r>
    </w:p>
    <w:p>
      <w:pPr>
        <w:pStyle w:val="BookText"/>
        <w:rPr/>
      </w:pPr>
      <w:r>
        <w:rPr>
          <w:rFonts w:ascii="IRNazanin" w:hAnsi="IRNazanin" w:eastAsia="IRNazanin"/>
          <w:color w:val="111111"/>
          <w:sz w:val="28"/>
          <w:sz w:val="28"/>
          <w:szCs w:val="28"/>
          <w:rtl w:val="true"/>
          <w:lang w:bidi="fa-IR"/>
        </w:rPr>
        <w:t>و استلام مرقد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بعضي ديگر از این اعمال، همچون حقيقت استشفاع و توسّل، در متن صريح قرآن، نسبت به غير خدا در صورتي که مأذون و مورد رضاي حضرتش باشند، تثبيت شده است</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بعضي ديگر مانند نذورات، در واقع براي خدا انجام مي‌شود، و فقط چون ثواب آنها، به ارواح مقدّس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غير معصومين اهدا مي‌گردد، و يا چون آن حضرات وسيلة برآورده شدن حاجات شده‌اند، به ايشان منتسب مي‌شود، و در حقيقت نذر، در صورتي که فقط و فقط براي خدا و محضاً لله تعالي باشد، صحيح </w:t>
      </w:r>
    </w:p>
    <w:p>
      <w:pPr>
        <w:pStyle w:val="BookText"/>
        <w:rPr/>
      </w:pPr>
      <w:r>
        <w:rPr>
          <w:rFonts w:ascii="IRNazanin" w:hAnsi="IRNazanin" w:eastAsia="IRNazanin"/>
          <w:color w:val="111111"/>
          <w:sz w:val="28"/>
          <w:sz w:val="28"/>
          <w:szCs w:val="28"/>
          <w:rtl w:val="true"/>
          <w:lang w:bidi="fa-IR"/>
        </w:rPr>
        <w:t>است، و به اسامي مبارک آن حضرت، تحقّق‌پذير است لا غير</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 اساساً بايد گفت که هر تذلّل و کرنش و احترامي، عبادت نيست، بلکه حقيقت عبادت تذلّل خاصّي است که محقّق نمي‌شود مگر به دو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اينکه آن تذلّل و کرنش در عرف شريعت اسلام بنفسه عبادت شمرده شود، هرچند که کرنش‌کننده آن را در قبال کسي که او را ربّ و اله بداند، انجام ندهد؛ مثل نماز، رکوع، سجود، طواف و سعي به وضع مأثور و مرويّ و نظاير آن که اينگونه تذلّل‌ها مطلقاً بدون هيچگونه قيدي عبادت شمرده مي‌شوند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اينکه آن تذلّل و کرنش وقتي در شريعت عبادت محسوب مي‌شود که انجام دهنده‌اش، آن را در مقابل کسي یا ذاتي یا چيزي که او را اِله و ربّ می‌داند، انجام دهد؛ مثل بوسيدن، لمس و تبرّک جستن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چنانچه انسان بوسيدن اعتاب مقدّس، لمس مراقد منوّر، زيارت مشاهد مشرّف، تسليم، احترام، توسّل و تبرّک جستن به اينگونه امور مقدّس و نظاير آن را در قبال آنچه که او را اله و ربّ نمي‌داند، انجام دهد، عبادت تحقّق پيدا نکرده و هيچگونه محذوري نخواهد داشت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0" w:name="pg10706_114046"/>
      <w:bookmarkStart w:id="191" w:name="pg10706_114046"/>
      <w:bookmarkEnd w:id="191"/>
    </w:p>
    <w:p>
      <w:pPr>
        <w:pStyle w:val="Heading2"/>
        <w:numPr>
          <w:ilvl w:val="1"/>
          <w:numId w:val="1"/>
        </w:numPr>
        <w:rPr/>
      </w:pPr>
      <w:bookmarkStart w:id="192" w:name="pg10706_114046"/>
      <w:bookmarkStart w:id="193" w:name="__RefHeading___Toc3433825_1051229030"/>
      <w:bookmarkStart w:id="194" w:name="_Toc63"/>
      <w:bookmarkEnd w:id="192"/>
      <w:bookmarkEnd w:id="193"/>
      <w:r>
        <w:rPr>
          <w:rtl w:val="true"/>
        </w:rPr>
        <w:t>رسالة چهارم</w:t>
      </w:r>
      <w:r>
        <w:rPr>
          <w:rtl w:val="true"/>
        </w:rPr>
        <w:t>:</w:t>
      </w:r>
      <w:r>
        <w:rPr>
          <w:rtl w:val="true"/>
        </w:rPr>
        <w:t>ماهيّت و حقيقت عبادت و پرستش</w:t>
      </w:r>
      <w:bookmarkEnd w:id="19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95" w:name="__RefHeading___Toc3433827_1051229030"/>
      <w:bookmarkStart w:id="196" w:name="_Toc64"/>
      <w:bookmarkEnd w:id="195"/>
      <w:r>
        <w:rPr>
          <w:rtl w:val="true"/>
        </w:rPr>
        <w:t>اشاره</w:t>
      </w:r>
      <w:bookmarkEnd w:id="196"/>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7" w:name="pg10706_114048"/>
      <w:bookmarkStart w:id="198" w:name="pg10706_114048"/>
      <w:bookmarkEnd w:id="198"/>
    </w:p>
    <w:p>
      <w:pPr>
        <w:pStyle w:val="BookText"/>
        <w:rPr/>
      </w:pPr>
      <w:bookmarkStart w:id="199" w:name="pg10706_114048"/>
      <w:bookmarkEnd w:id="199"/>
      <w:r>
        <w:rPr>
          <w:rFonts w:ascii="IRNazanin" w:hAnsi="IRNazanin" w:eastAsia="IRNazanin"/>
          <w:color w:val="111111"/>
          <w:sz w:val="28"/>
          <w:sz w:val="28"/>
          <w:szCs w:val="28"/>
          <w:rtl w:val="true"/>
          <w:lang w:bidi="fa-IR"/>
        </w:rPr>
        <w:t>بسمه تعالی و له الحمد</w:t>
      </w:r>
    </w:p>
    <w:p>
      <w:pPr>
        <w:pStyle w:val="Heading3"/>
        <w:numPr>
          <w:ilvl w:val="2"/>
          <w:numId w:val="1"/>
        </w:numPr>
        <w:rPr/>
      </w:pPr>
      <w:bookmarkStart w:id="200" w:name="__RefHeading___Toc3433829_1051229030"/>
      <w:bookmarkStart w:id="201" w:name="_Toc65"/>
      <w:bookmarkEnd w:id="200"/>
      <w:r>
        <w:rPr>
          <w:rtl w:val="true"/>
        </w:rPr>
        <w:t>مقدّمه</w:t>
      </w:r>
      <w:bookmarkEnd w:id="201"/>
    </w:p>
    <w:p>
      <w:pPr>
        <w:pStyle w:val="BookText"/>
        <w:rPr/>
      </w:pPr>
      <w:r>
        <w:rPr>
          <w:rFonts w:ascii="IRNazanin" w:hAnsi="IRNazanin" w:eastAsia="IRNazanin"/>
          <w:color w:val="111111"/>
          <w:sz w:val="28"/>
          <w:sz w:val="28"/>
          <w:szCs w:val="28"/>
          <w:rtl w:val="true"/>
          <w:lang w:bidi="fa-IR"/>
        </w:rPr>
        <w:t>این رساله در بیان اين است که ماهيّت و حقيقت عبادت و پرستش، مطلق تذلّل و تواضع و کرنش نيست، بلکه تذلّل و تواضع و کرنش خاصّ</w:t>
      </w:r>
      <w:r>
        <w:rPr>
          <w:rStyle w:val="FootnoteAnchor"/>
          <w:rtl w:val="true"/>
        </w:rPr>
        <w:footnoteReference w:id="245"/>
      </w:r>
      <w:r>
        <w:rPr>
          <w:rFonts w:ascii="Amiri" w:hAnsi="Amiri" w:eastAsia="Amiri" w:cs="Amiri"/>
          <w:color w:val="111111"/>
          <w:sz w:val="28"/>
          <w:sz w:val="28"/>
          <w:szCs w:val="28"/>
          <w:rtl w:val="true"/>
          <w:lang w:bidi="ar-SA"/>
        </w:rPr>
        <w:t>و يا حالت خاصّي از آن مي‌باشد</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در واقع ماهيّت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فارسي آن را پرستش می‌خوانند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تواضع و کُرنش به هر شکل، و در قبال هر ذات و شخصيّتي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در بسياري از کتاب‌هاي لغت</w:t>
      </w:r>
      <w:r>
        <w:rPr>
          <w:rStyle w:val="FootnoteAnchor"/>
          <w:rtl w:val="true"/>
        </w:rPr>
        <w:footnoteReference w:id="247"/>
      </w:r>
      <w:r>
        <w:rPr>
          <w:rFonts w:ascii="IRNazanin" w:hAnsi="IRNazanin" w:eastAsia="IRNazanin"/>
          <w:color w:val="111111"/>
          <w:sz w:val="28"/>
          <w:sz w:val="28"/>
          <w:szCs w:val="28"/>
          <w:rtl w:val="true"/>
          <w:lang w:bidi="fa-IR"/>
        </w:rPr>
        <w:t xml:space="preserve">، بدين معناي وسيع تفسير شده است؛ زيرا اين معني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روشن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تفسيري ناقص بوده و مستلزم آن است که انکار ضرورت کنيم و بسياري از مؤمنان يکتاپرست، بلکه بيشتر مسلمانان </w:t>
      </w:r>
      <w:bookmarkStart w:id="202" w:name="pg10706_114049"/>
    </w:p>
    <w:p>
      <w:pPr>
        <w:pStyle w:val="BookText"/>
        <w:rPr/>
      </w:pPr>
      <w:bookmarkEnd w:id="202"/>
      <w:r>
        <w:rPr>
          <w:rFonts w:ascii="IRNazanin" w:hAnsi="IRNazanin" w:eastAsia="IRNazanin"/>
          <w:color w:val="111111"/>
          <w:sz w:val="28"/>
          <w:sz w:val="28"/>
          <w:szCs w:val="28"/>
          <w:rtl w:val="true"/>
          <w:lang w:bidi="fa-IR"/>
        </w:rPr>
        <w:t>جهان را جليّاً، مشرک در عبادت بدانيم</w:t>
      </w:r>
      <w:r>
        <w:rPr>
          <w:rFonts w:eastAsia="IRNazanin" w:cs="IRNazanin"/>
          <w:color w:val="111111"/>
          <w:sz w:val="28"/>
          <w:szCs w:val="28"/>
          <w:rtl w:val="true"/>
          <w:lang w:bidi="fa-IR"/>
        </w:rPr>
        <w:t>!!</w:t>
      </w:r>
    </w:p>
    <w:p>
      <w:pPr>
        <w:pStyle w:val="Heading3"/>
        <w:numPr>
          <w:ilvl w:val="2"/>
          <w:numId w:val="1"/>
        </w:numPr>
        <w:rPr/>
      </w:pPr>
      <w:bookmarkStart w:id="203" w:name="__RefHeading___Toc3433831_1051229030"/>
      <w:bookmarkStart w:id="204" w:name="_Toc66"/>
      <w:bookmarkEnd w:id="203"/>
      <w:r>
        <w:rPr>
          <w:rtl w:val="true"/>
        </w:rPr>
        <w:t>ماهیّت عبادت چیست؟</w:t>
      </w:r>
      <w:bookmarkEnd w:id="204"/>
    </w:p>
    <w:p>
      <w:pPr>
        <w:pStyle w:val="BookText"/>
        <w:rPr/>
      </w:pPr>
      <w:r>
        <w:rPr>
          <w:rFonts w:ascii="IRNazanin" w:hAnsi="IRNazanin" w:eastAsia="IRNazanin"/>
          <w:color w:val="111111"/>
          <w:sz w:val="28"/>
          <w:sz w:val="28"/>
          <w:szCs w:val="28"/>
          <w:rtl w:val="true"/>
          <w:lang w:bidi="fa-IR"/>
        </w:rPr>
        <w:t>ماهيّت عبادت، حقيقتي است که در خارج محقّق نمي‌شود مگر به يکي از دو گونه‌اي که سوّمي ندارد</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به هر حال، ماهيّت عبادت به طريقة منفصلة حقيقيّه محقّق نمي‌شود مگر در ضمن يکي از اين دو، به این بیان که اگر در موردي يکي از اين دو تحقّق نیابد، عبادت محقّق نخواهد شد، بلکه ممکن است کرنشي باشد غيرعبادي که جايز است انسان آن را در قبال غير حقّ از ذوات مقدّسي که سزاوار آن کرنش هستند، به‌جا آورد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در موردي يکي از آن دو گونه محقّق گردد، ماهيّت عبادت عملاً تحقّق یافته، و جايز نیست که آن را براي احدي جز ذات کبريايي حضرت باريتعالي انجام داد، ولي در موردي که هيچ يک از آن دو محقّق نشود، هرچند تذلّل و تواضع و کرنش تحقّق یافته باشد، ماهيّت عبادت و حقيقت پرستش محقّق نشده، و مي‌توان آن را در قبال شخصيّت‌هاي ديگر و به قصد ماسواي ذات مقدّس حضرت کبريايي انجام داد؛ زيرا وقتي چنين عملي ذاتاً عبادت نباشد، انجام آن در قبال ديگران از ماسواي حقّ تعالي هيچگونه نهي و منعي ندارد و هيچگونه محذوري در بر نخواهد داشت، بلکه نیک و</w:t>
      </w:r>
      <w:bookmarkStart w:id="205" w:name="pg10706_114050"/>
    </w:p>
    <w:p>
      <w:pPr>
        <w:pStyle w:val="BookText"/>
        <w:rPr/>
      </w:pPr>
      <w:bookmarkEnd w:id="205"/>
      <w:r>
        <w:rPr>
          <w:rFonts w:ascii="IRNazanin" w:hAnsi="IRNazanin" w:eastAsia="IRNazanin"/>
          <w:color w:val="111111"/>
          <w:sz w:val="28"/>
          <w:sz w:val="28"/>
          <w:szCs w:val="28"/>
          <w:rtl w:val="true"/>
          <w:lang w:bidi="fa-IR"/>
        </w:rPr>
        <w:t>مستحسن و یک نحوه احترام و ادب و اکرامی است از بزرگان خاصّه ذوات مقدّس</w:t>
      </w:r>
      <w:r>
        <w:rPr>
          <w:rFonts w:eastAsia="IRNazanin" w:cs="IRNazanin"/>
          <w:color w:val="111111"/>
          <w:sz w:val="28"/>
          <w:szCs w:val="28"/>
          <w:rtl w:val="true"/>
          <w:lang w:bidi="fa-IR"/>
        </w:rPr>
        <w:t>.</w:t>
      </w:r>
    </w:p>
    <w:p>
      <w:pPr>
        <w:pStyle w:val="Heading3"/>
        <w:numPr>
          <w:ilvl w:val="2"/>
          <w:numId w:val="1"/>
        </w:numPr>
        <w:rPr/>
      </w:pPr>
      <w:bookmarkStart w:id="206" w:name="__RefHeading___Toc3433833_1051229030"/>
      <w:bookmarkStart w:id="207" w:name="_Toc67"/>
      <w:bookmarkEnd w:id="206"/>
      <w:r>
        <w:rPr>
          <w:rtl w:val="true"/>
        </w:rPr>
        <w:t>انواع عبادت</w:t>
      </w:r>
      <w:bookmarkEnd w:id="207"/>
    </w:p>
    <w:p>
      <w:pPr>
        <w:pStyle w:val="BookText"/>
        <w:rPr/>
      </w:pPr>
      <w:r>
        <w:rPr>
          <w:rFonts w:ascii="IRNazanin" w:hAnsi="IRNazanin" w:eastAsia="IRNazanin"/>
          <w:color w:val="111111"/>
          <w:sz w:val="28"/>
          <w:sz w:val="28"/>
          <w:szCs w:val="28"/>
          <w:rtl w:val="true"/>
          <w:lang w:bidi="fa-IR"/>
        </w:rPr>
        <w:t>در توضيح این مدّعا که ماهيّت عبادت دو مفهوم خاصّ از کرنش است و مطلق کرنش نمي‌باشد، می‌گوييم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تذلّلات و کرنش‌های متحقّق در خارج بر دو نوع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 که به مجرّد موجود شدن در خارج مطلقاً، هر چند در مقابل ذاتي که او را اله و ربّ</w:t>
      </w:r>
      <w:r>
        <w:rPr>
          <w:rStyle w:val="FootnoteAnchor"/>
          <w:rtl w:val="true"/>
        </w:rPr>
        <w:footnoteReference w:id="249"/>
      </w:r>
      <w:r>
        <w:rPr>
          <w:rFonts w:ascii="IRNazanin" w:hAnsi="IRNazanin" w:eastAsia="IRNazanin"/>
          <w:color w:val="111111"/>
          <w:sz w:val="28"/>
          <w:sz w:val="28"/>
          <w:szCs w:val="28"/>
          <w:rtl w:val="true"/>
          <w:lang w:bidi="fa-IR"/>
        </w:rPr>
        <w:t>ندانند، آورده شود، عبادت محسوب خواهد شد؛ مانند نماز، رکوع و سجود</w:t>
      </w:r>
      <w:r>
        <w:rPr>
          <w:rStyle w:val="FootnoteAnchor"/>
          <w:rtl w:val="true"/>
        </w:rPr>
        <w:footnoteReference w:id="250"/>
      </w:r>
      <w:r>
        <w:rPr>
          <w:rFonts w:ascii="IRNazanin" w:hAnsi="IRNazanin" w:eastAsia="IRNazanin"/>
          <w:color w:val="111111"/>
          <w:sz w:val="28"/>
          <w:sz w:val="28"/>
          <w:szCs w:val="28"/>
          <w:rtl w:val="true"/>
          <w:lang w:bidi="fa-IR"/>
        </w:rPr>
        <w:t xml:space="preserve">و بلکه مانند طواف و سعي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وضعيّتي که در شرع مطهّر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مقابل هر مقامي انجام گردد، هر چند اله و ربّ دانسته نشود، عبادت شمرده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در عرف شريعت‌هاي گذشته، بعضي از اين قسم کرنش‌ها در قبال کسي که اله و ربّ دانسته نمي‌شد انجام مي‌گرديد، و پرستش به حساب نمي‌آمد؛ مثل سجدة ملائکه نسبت به حضرت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نَبِيِّنا وَآلِهِ وَعَلَيهِ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کسان حضرت يعقوب نسبت به حضرت 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نَبِيِّنا وَآلِهِ وَعَلَيهِمَا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نظایر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معلوم نيست در شرايع گذشته، آن سجده‌ها و مانند آنها به گونة گذاردن پيشاني بر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بحث ما در عرف اسلام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بلکه چه بسا آن کرنش‌ها، به گونه‌ای دیگر که خواهد آمد، انجام می‌شده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بر فرض تسليم،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اسلام ناسخ عرف‌هاي شرايع گذشته است؛ از این رو، نمی‌توان به عرف‌هاي سابق اعتبار داده و آنها را به عرف اسلام که بعضی از کرنش‌ها را في نفسه عبادت مي‌داند، ربط داد</w:t>
      </w:r>
      <w:r>
        <w:rPr>
          <w:rFonts w:eastAsia="IRNazanin" w:cs="IRNazanin"/>
          <w:color w:val="111111"/>
          <w:sz w:val="28"/>
          <w:szCs w:val="28"/>
          <w:rtl w:val="true"/>
          <w:lang w:bidi="fa-IR"/>
        </w:rPr>
        <w:t xml:space="preserve">. </w:t>
      </w:r>
      <w:bookmarkStart w:id="208" w:name="pg10706_114052"/>
    </w:p>
    <w:p>
      <w:pPr>
        <w:pStyle w:val="BookText"/>
        <w:rPr/>
      </w:pPr>
      <w:bookmarkEnd w:id="208"/>
      <w:r>
        <w:rPr>
          <w:rFonts w:ascii="IRNazanin" w:hAnsi="IRNazanin" w:eastAsia="IRNazanin"/>
          <w:color w:val="111111"/>
          <w:sz w:val="28"/>
          <w:sz w:val="28"/>
          <w:szCs w:val="28"/>
          <w:rtl w:val="true"/>
          <w:lang w:bidi="fa-IR"/>
        </w:rPr>
        <w:t>و گمان اینکه سجده در شرایع پیشین عبادت بوده، ولی اُمّت‌هاي گذشته مجاز بوده‌اند که آن را احياناً براي غير خداي</w:t>
      </w:r>
    </w:p>
    <w:p>
      <w:pPr>
        <w:pStyle w:val="BookText"/>
        <w:rPr/>
      </w:pPr>
      <w:r>
        <w:rPr>
          <w:rFonts w:ascii="IRNazanin" w:hAnsi="IRNazanin" w:eastAsia="IRNazanin"/>
          <w:color w:val="111111"/>
          <w:sz w:val="28"/>
          <w:sz w:val="28"/>
          <w:szCs w:val="28"/>
          <w:rtl w:val="true"/>
          <w:lang w:bidi="fa-IR"/>
        </w:rPr>
        <w:t>متعال انجام دهند، گمان بي‌جايي است؛ زيرا اين گمان مستلزم آن است که در اُمَم گذشته‌ای که خداپرست بوده‌اند، شرک در بعضي از عبادات جايز باشد، با آنکه امر توحيد و يکتاپرستي در همة عبادت‌ها از مهمترين مسائل دعوت پيامبران الهي در هر اُمّت و ملّت، و اساسي‌ترين برنامة آیين آنان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 که به مجرّد به‌جا آوردن، عبادت محسوب نمي‌گردد، مگر آنکه انسان آن را در قبال ذاتي که او را اله و ربّ خود می‌داند، انجام دهد؛ مواردی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تبرُّک، سلام، استلام، زيارت، تکريم، تعظيم، تجليل و تقبيل عتبه و درب و ديوار و همة آنچه که نشانگر علاقه، محبّت و نوعي احترام و ادب است، از این نوع به حساب می‌آید</w:t>
      </w:r>
      <w:r>
        <w:rPr>
          <w:rFonts w:eastAsia="IRNazanin" w:cs="IRNazanin"/>
          <w:color w:val="111111"/>
          <w:sz w:val="28"/>
          <w:szCs w:val="28"/>
          <w:rtl w:val="true"/>
          <w:lang w:bidi="fa-IR"/>
        </w:rPr>
        <w:t>.</w:t>
      </w:r>
    </w:p>
    <w:p>
      <w:pPr>
        <w:pStyle w:val="Heading3"/>
        <w:numPr>
          <w:ilvl w:val="2"/>
          <w:numId w:val="1"/>
        </w:numPr>
        <w:rPr/>
      </w:pPr>
      <w:bookmarkStart w:id="209" w:name="__RefHeading___Toc3433835_1051229030"/>
      <w:bookmarkStart w:id="210" w:name="_Toc68"/>
      <w:bookmarkEnd w:id="209"/>
      <w:r>
        <w:rPr>
          <w:rtl w:val="true"/>
        </w:rPr>
        <w:t>مقایسة بین دو نوع عبادت</w:t>
      </w:r>
      <w:bookmarkEnd w:id="21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قسم اوّل از تذلّلات و کرنش‌ها پس چون مجرّد به‌جا آوردن آنها عبادت محسوب مي‌شود، لذا انجام اينگونه کرنش‌ها در مقابل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قصد آنکه او را اله و ربّ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است؛ چون بدينگونه تذلّل و کرنش خواهی نخواهی شرک جليّ در عبادت محقّق مي‌شود، بر خلاف قسم دوّم که عبادت شمرده نمي‌شود مگر آنکه آن را در قبال آن کس که او را اله و ربّ بداند، </w:t>
      </w:r>
      <w:bookmarkStart w:id="211" w:name="pg10706_114053"/>
    </w:p>
    <w:p>
      <w:pPr>
        <w:pStyle w:val="BookText"/>
        <w:rPr/>
      </w:pPr>
      <w:bookmarkEnd w:id="211"/>
      <w:r>
        <w:rPr>
          <w:rFonts w:ascii="IRNazanin" w:hAnsi="IRNazanin" w:eastAsia="IRNazanin"/>
          <w:color w:val="111111"/>
          <w:sz w:val="28"/>
          <w:sz w:val="28"/>
          <w:szCs w:val="28"/>
          <w:rtl w:val="true"/>
          <w:lang w:bidi="fa-IR"/>
        </w:rPr>
        <w:t>انجام دهد، پس تنها بدين قصد جايز نيست اينگونه کرنش‌ها را براي غير خدا انجام داد؛ چه آنکه با چنين قصدي شرک جليّ شده</w:t>
      </w:r>
    </w:p>
    <w:p>
      <w:pPr>
        <w:pStyle w:val="BookText"/>
        <w:rPr/>
      </w:pPr>
      <w:r>
        <w:rPr>
          <w:rFonts w:ascii="IRNazanin" w:hAnsi="IRNazanin" w:eastAsia="IRNazanin"/>
          <w:color w:val="111111"/>
          <w:sz w:val="28"/>
          <w:sz w:val="28"/>
          <w:szCs w:val="28"/>
          <w:rtl w:val="true"/>
          <w:lang w:bidi="fa-IR"/>
        </w:rPr>
        <w:t>که شرعاً ممنوع و منهيّ عنه مي‌باشد، امّا اگر اينها را بدين قصد انجام ندهد، مثل اینکه در قبال کسی که او را مخلوقي از مخلوقات مقدّس و يا اشرف مخلوقات و مجراي فيض اقدسش در تمام عوالم وجود بداند، انجام دهد، عبادت تحقّق نيافته، لذا هيچگونه اشکال و منع و محذوري در بر نخواهد داشت</w:t>
      </w:r>
      <w:r>
        <w:rPr>
          <w:rFonts w:eastAsia="IRNazanin" w:cs="IRNazanin"/>
          <w:color w:val="111111"/>
          <w:sz w:val="28"/>
          <w:szCs w:val="28"/>
          <w:rtl w:val="true"/>
          <w:lang w:bidi="fa-IR"/>
        </w:rPr>
        <w:t>.</w:t>
      </w:r>
    </w:p>
    <w:p>
      <w:pPr>
        <w:pStyle w:val="Heading3"/>
        <w:numPr>
          <w:ilvl w:val="2"/>
          <w:numId w:val="1"/>
        </w:numPr>
        <w:rPr/>
      </w:pPr>
      <w:bookmarkStart w:id="212" w:name="__RefHeading___Toc3433837_1051229030"/>
      <w:bookmarkStart w:id="213" w:name="_Toc69"/>
      <w:bookmarkEnd w:id="212"/>
      <w:r>
        <w:rPr>
          <w:rtl w:val="true"/>
        </w:rPr>
        <w:t>جواز انجام نوع دوّم عبادت برای غیر خدا و دلیل آن</w:t>
      </w:r>
      <w:bookmarkEnd w:id="213"/>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توسّل به ذيل عنايت ذوات مقدّس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تقرّب به آن بزرگواران، زيارت مشاهد مشرّف ایشان، تقبیل و بوسيدن اعتاب مقدّس آنها و استلام و تبرّک جستن به هر چيزي که به نفوس قدسي ایشان تعلّق داشته باشد</w:t>
      </w:r>
      <w:r>
        <w:rPr>
          <w:rStyle w:val="FootnoteAnchor"/>
          <w:rtl w:val="true"/>
        </w:rPr>
        <w:footnoteReference w:id="251"/>
      </w:r>
      <w:r>
        <w:rPr>
          <w:rFonts w:ascii="IRNazanin" w:hAnsi="IRNazanin" w:eastAsia="IRNazanin"/>
          <w:color w:val="111111"/>
          <w:sz w:val="28"/>
          <w:sz w:val="28"/>
          <w:szCs w:val="28"/>
          <w:rtl w:val="true"/>
          <w:lang w:bidi="fa-IR"/>
        </w:rPr>
        <w:t xml:space="preserve">و همچنین زيارت قبور انبيا، اوليا، علما، شهدا و نظایر آنها، بلکه و زيارت مطلق مؤمنين حتّي آنهايي که در قيد حيات نيستند، و غير این موارد از انواع کرنش‌هاي قسم دوّم نسبت به شخصيّت‌هايي که ربّ و اله شمرده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نمی‌شوند، عبادت نخواهد بود و مستلزم هيچگونه شرکي در عبادت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هيچ الزامي هم وجود ندارد که کرنش‌هاي قسم دوّم را در انحصار حضرت 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درآوريم و از آن تخطّي نکنيم و ذوات مقدّس ديگر را در آن شرکت ندهيم؛ چون هيچ نهي و منعي در اين زمينه از شرع مطهّر نرسيده و هيچگونه محذور و تالي فاسدي در بر نخواهد داشت، بلکه انجام آن در قبال غير ذات مقدّس پروردگار از ساير ذوات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بالاخصّ 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مستحبّات اکيدی است که طبق مدارک قعطي که در محلّ خود مضبوط است، داراي مثوبات بسیاری نیز می‌باشد</w:t>
      </w:r>
      <w:r>
        <w:rPr>
          <w:rStyle w:val="FootnoteAnchor"/>
          <w:rtl w:val="true"/>
        </w:rPr>
        <w:footnoteReference w:id="2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چنين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سيرة همة مسلمانان از زمان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رضوان الله تعالي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بر تبرّک جستن به هر چيزي که به رسول گرامي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همچون عترت طاهرة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قطرات آب وضوي مبارک، موي شريف ایشان، منبر منوّر و مانند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داشته و دارد، استقرار يافته است</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سيرة مسلمین بر بوسيدن دست‌هاي مبارک اکابر و ارکان دين، و تجليل عملي و لساني نسبت به بزرگان و سروران آيين، و بر زيارت </w:t>
      </w:r>
    </w:p>
    <w:p>
      <w:pPr>
        <w:pStyle w:val="BookText"/>
        <w:rPr/>
      </w:pPr>
      <w:r>
        <w:rPr>
          <w:rFonts w:ascii="IRNazanin" w:hAnsi="IRNazanin" w:eastAsia="IRNazanin"/>
          <w:color w:val="111111"/>
          <w:sz w:val="28"/>
          <w:sz w:val="28"/>
          <w:szCs w:val="28"/>
          <w:rtl w:val="true"/>
          <w:lang w:bidi="fa-IR"/>
        </w:rPr>
        <w:t>ارحام و دوستان و اعاظم و اساتيد و مانند آنان، بدون آنکه کسي آن را انکار کند و يا ملامت و سرزنش نمايد،</w:t>
      </w:r>
      <w:r>
        <w:rPr>
          <w:rStyle w:val="FootnoteAnchor"/>
          <w:rtl w:val="true"/>
        </w:rPr>
        <w:footnoteReference w:id="254"/>
      </w:r>
      <w:r>
        <w:rPr>
          <w:rFonts w:ascii="Amiri" w:hAnsi="Amiri" w:eastAsia="Amiri" w:cs="Amiri"/>
          <w:color w:val="111111"/>
          <w:sz w:val="28"/>
          <w:sz w:val="28"/>
          <w:szCs w:val="28"/>
          <w:rtl w:val="true"/>
          <w:lang w:bidi="ar-SA"/>
        </w:rPr>
        <w:t>استقرار يافته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تنها مخالفین این سیرة مستمرّه، عدّة معدود و گروهي اندک از بي‌خبران و يا معاندان می‌باشند که به طور تصنّعی مدرک می‌سازند و يا گروهي ديگر از اهل بدعت و انديشه‌هاي باطل و بيهوده و يا گروهک‌هاي مسلمان‌نما هستند که در اين دوران اخير، حادث و پديدار شده‌اند</w:t>
      </w:r>
      <w:r>
        <w:rPr>
          <w:rFonts w:eastAsia="IRNazanin" w:cs="IRNazanin"/>
          <w:color w:val="111111"/>
          <w:sz w:val="28"/>
          <w:szCs w:val="28"/>
          <w:rtl w:val="true"/>
          <w:lang w:bidi="fa-IR"/>
        </w:rPr>
        <w:t>.</w:t>
      </w:r>
      <w:r>
        <w:rPr>
          <w:rStyle w:val="FootnoteAnchor"/>
          <w:rtl w:val="true"/>
        </w:rPr>
        <w:footnoteReference w:id="25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اي مسلمان مؤمن متعهّد هوشيار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ملاحظة آنچه که تشريح شد، آيا به خود اجازه مي‌دهي که حکم کني همة مسلمانان از صدر اسلام تاکنون مشرک بوده، و از زيّ عبوديّت خالص حضرت سبحان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و هرگز؛ چون ضروري است که پيامبر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خود هيچگاه اُمّت مشرک به يادگار نگذارده، بلکه اُمّت موحّدي که داراي توحيد خالص و پاک هستند، به‌جا گذاشته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همانگونه که در روايت از ابن عمر رسيده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مسلمانان به کفر، خود کفر است</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شَهِدَ رَجُلٌ عَلَى رَجُلٍ بِكُفْرٍ قَطُّ إِلاَّ بَاءَ بِهِ أحَدُهُمَا إِنْ كَانَ شَهِدَ بِهِ عَلَى كَافِرٍ صَدَقَ وَإِنْ كَانَ مُؤْمِناً رَجَعَ الْكُفْرُ عَلَيْهِ، فَإِيَّاكُمْ وَالطَّعْنَ عَلَى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هرگز مردی به کفر مرد دیگری گواهی ندهد مگر این که به یکی از آن دو برگردد؛ اگر به کفر کافری گواهی داده، راست گفته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کفر به خودش باز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گردد؛ پس مبادا به مؤمنین طعن کفر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باب السّباب،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إِبْرَاهِيمَ بْنِ عُمَرَ الْيَمَانِيِّ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الْمُسْلِمِ عَلَى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قَالَ الرَّجُلُ لأخِيهِ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انْقَطَعَ مَا بَيْنَهُمَا مِنَ الْوَلايَةِ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عَدُوِّي كَفَرَ أحَدُهُمَا، فَإِذَا اتَّهَمَهُ انْمَاثَ الإِيمَانُ فِي قَلْبِهِ كَمَا يَنْمَاثُ الْمِلْحُ فِي الْمَاء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بن عمر یمانی روایت نموده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مسلمان بر مسلمان این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کسی به 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میان آن دو گسسته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هنگامی که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دشمن منی یکی از آن دو کافر گردد و هنگامی که تهمتی بر او بندد، ایمان در دلش آب شود، همان گونه که نمک در آب نابود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باب حقّ المؤمن، 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تحقیق در منابع اهل سنّت به کتب صحیح بخاری،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وصحیح مسلم،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مسند احمد،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نمایید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سزاوار نيست در حقّ کساني که بي‌باکانه نسبت کفر و شرک به عموم مسلمانان داده و</w:t>
      </w:r>
      <w:bookmarkStart w:id="214" w:name="pg10706_114057"/>
    </w:p>
    <w:p>
      <w:pPr>
        <w:pStyle w:val="BookText"/>
        <w:rPr/>
      </w:pPr>
      <w:bookmarkEnd w:id="214"/>
      <w:r>
        <w:rPr>
          <w:rFonts w:ascii="IRNazanin" w:hAnsi="IRNazanin" w:eastAsia="IRNazanin"/>
          <w:color w:val="111111"/>
          <w:sz w:val="28"/>
          <w:sz w:val="28"/>
          <w:szCs w:val="28"/>
          <w:rtl w:val="true"/>
          <w:lang w:bidi="fa-IR"/>
        </w:rPr>
        <w:t>مي‌دهند، به طور قطع حکم کنيم و بگوييم که خود آنان در رتبة اوّل از کافرترين کافران مي‌باشند؟</w:t>
      </w:r>
    </w:p>
    <w:p>
      <w:pPr>
        <w:pStyle w:val="Heading3"/>
        <w:numPr>
          <w:ilvl w:val="2"/>
          <w:numId w:val="1"/>
        </w:numPr>
        <w:rPr/>
      </w:pPr>
      <w:bookmarkStart w:id="215" w:name="__RefHeading___Toc3433839_1051229030"/>
      <w:bookmarkStart w:id="216" w:name="_Toc70"/>
      <w:bookmarkEnd w:id="215"/>
      <w:r>
        <w:rPr>
          <w:rtl w:val="true"/>
        </w:rPr>
        <w:t>طرح یک شبهه</w:t>
      </w:r>
      <w:bookmarkEnd w:id="216"/>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کرديم که ماهيّت پرستش به کرنش‌هاي قسم دوّم محقّق نمي‌شود، ولي اين در صورتي است که آنها را در مقابل زندگان انجام دهند که نمی‌توان آنان را خدا و ربّ دانست، امّا چنانچه در مقابل مردگان انجام شود، عبادت خود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خود محقّق مي‌شود حتّي اگر آن مردگان را خدا و ربّ ندانند</w:t>
      </w:r>
      <w:r>
        <w:rPr>
          <w:rStyle w:val="FootnoteAnchor"/>
          <w:rtl w:val="true"/>
        </w:rPr>
        <w:footnoteReference w:id="257"/>
      </w:r>
      <w:r>
        <w:rPr>
          <w:rFonts w:ascii="IRNazanin" w:hAnsi="IRNazanin" w:eastAsia="IRNazanin"/>
          <w:color w:val="111111"/>
          <w:sz w:val="28"/>
          <w:sz w:val="28"/>
          <w:szCs w:val="28"/>
          <w:rtl w:val="true"/>
          <w:lang w:bidi="fa-IR"/>
        </w:rPr>
        <w:t>همانگونه که پرستش به کرنش‌هاي قسم اوّل خودبه‌خود محقّق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شرک در عبادت در قبال مردگان به هر نحو تذلّل، تعظيم و کرنشي محقّق مي‌شود، حتّي به مانند زيارت و عتبه‌بوسي و استلام و توسّل و تبرّک‌جويي از کرنش‌هاي قسم دوّم، هر چند آنان را خدا و ربّ ندانند</w:t>
      </w:r>
      <w:r>
        <w:rPr>
          <w:rFonts w:eastAsia="IRNazanin" w:cs="IRNazanin"/>
          <w:color w:val="111111"/>
          <w:sz w:val="28"/>
          <w:szCs w:val="28"/>
          <w:rtl w:val="true"/>
          <w:lang w:bidi="fa-IR"/>
        </w:rPr>
        <w:t xml:space="preserve">. </w:t>
      </w:r>
      <w:bookmarkStart w:id="217" w:name="pg10706_114058"/>
    </w:p>
    <w:p>
      <w:pPr>
        <w:pStyle w:val="Heading3"/>
        <w:numPr>
          <w:ilvl w:val="2"/>
          <w:numId w:val="1"/>
        </w:numPr>
        <w:rPr/>
      </w:pPr>
      <w:bookmarkStart w:id="218" w:name="__RefHeading___Toc3433841_1051229030"/>
      <w:bookmarkStart w:id="219" w:name="_Toc71"/>
      <w:bookmarkEnd w:id="217"/>
      <w:bookmarkEnd w:id="218"/>
      <w:r>
        <w:rPr>
          <w:rtl w:val="true"/>
        </w:rPr>
        <w:t>دفع شبهه</w:t>
      </w:r>
      <w:bookmarkEnd w:id="219"/>
    </w:p>
    <w:p>
      <w:pPr>
        <w:pStyle w:val="BookText"/>
        <w:rPr/>
      </w:pPr>
      <w:r>
        <w:rPr>
          <w:rFonts w:ascii="IRNazanin" w:hAnsi="IRNazanin" w:eastAsia="IRNazanin"/>
          <w:color w:val="111111"/>
          <w:sz w:val="28"/>
          <w:sz w:val="28"/>
          <w:szCs w:val="28"/>
          <w:rtl w:val="true"/>
          <w:lang w:bidi="fa-IR"/>
        </w:rPr>
        <w:t>می‌گوييم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همانگونه که سیرة مسلمین مستقرّ است بر اینکه ماهيّت پرستش به کرنش‌هاي قسم دوّم در قبال زندگان در صورتي که آنها را اله و ربّ ندانند، محقّق نمي‌شود، همان سيره استقرار و</w:t>
      </w:r>
    </w:p>
    <w:p>
      <w:pPr>
        <w:pStyle w:val="BookText"/>
        <w:rPr/>
      </w:pPr>
      <w:r>
        <w:rPr>
          <w:rFonts w:ascii="IRNazanin" w:hAnsi="IRNazanin" w:eastAsia="IRNazanin"/>
          <w:color w:val="111111"/>
          <w:sz w:val="28"/>
          <w:sz w:val="28"/>
          <w:szCs w:val="28"/>
          <w:rtl w:val="true"/>
          <w:lang w:bidi="fa-IR"/>
        </w:rPr>
        <w:t>استمرار دارد بر این که ماهيّت پرستش به آن کرنش‌ها در مقابل مردگاني که خدا و ربّ دانسته نشوند نيز تحقّق نمی‌یابد؛ زيرا بداهتاً سيرة قطعي از قديم و جديد استقرار دارد بر تجليل بزرگان اموات و سروران ديني، و تبرّک جستن به قبورشان، همانگونه که استقرار دارد بر تکريم زندگان، بدون کوچکترين فرقي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آنچه که به حضرتش تعلّق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چون منبر و عصا و آب وضوی آن حضرت از جمادات بیجان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تبرّک مي‌جستند؛ تواريخ معتبر بين فريقين بر آنچه گفتيم، گواهي می دهد؛ چنان که بر هیچ مطلّع منصفی پوشيده نيست</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ثانياً مدارک قطعي اعمّ از قرآن و روايات نبوي و غیر نبوي ثابت است بر حيات و زنده بودن ارواح، به خصوص ارواح انبيا، اوليا، علما، شهدا و صلحا</w:t>
      </w:r>
      <w:r>
        <w:rPr>
          <w:rStyle w:val="FootnoteAnchor"/>
          <w:rtl w:val="true"/>
        </w:rPr>
        <w:footnoteReference w:id="259"/>
      </w:r>
      <w:r>
        <w:rPr>
          <w:rFonts w:ascii="IRNazanin" w:hAnsi="IRNazanin" w:eastAsia="IRNazanin"/>
          <w:color w:val="111111"/>
          <w:sz w:val="28"/>
          <w:sz w:val="28"/>
          <w:szCs w:val="28"/>
          <w:rtl w:val="true"/>
          <w:lang w:bidi="fa-IR"/>
        </w:rPr>
        <w:t>و اینکه در عالم برزخ که از اين دنیا بزرگتر است، از زندگي واقعي و والاتري برخوردارند</w:t>
      </w:r>
      <w:r>
        <w:rPr>
          <w:rStyle w:val="FootnoteAnchor"/>
          <w:rtl w:val="true"/>
        </w:rPr>
        <w:footnoteReference w:id="260"/>
      </w:r>
      <w:r>
        <w:rPr>
          <w:rFonts w:ascii="IRNazanin" w:hAnsi="IRNazanin" w:eastAsia="IRNazanin"/>
          <w:color w:val="111111"/>
          <w:sz w:val="28"/>
          <w:sz w:val="28"/>
          <w:szCs w:val="28"/>
          <w:rtl w:val="true"/>
          <w:lang w:bidi="fa-IR"/>
        </w:rPr>
        <w:t xml:space="preserve">خداوند در </w:t>
      </w:r>
    </w:p>
    <w:p>
      <w:pPr>
        <w:pStyle w:val="BookText"/>
        <w:rPr/>
      </w:pP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الدَّارَ الآخِرَةَ لَهِيَ الْحَيَوانُ</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آخرت که شامل عالم برزخ همچون عالم قيامت مي‌شود، جهاني است که در تمام ابعاد آن حيات و زندگاني جاری و ساری است، بلکه کفايت مي‌کند تو را نسبت به زنده بودن شهدا از عترت طاهرة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مطلق شهدا نزد پروردگارشان زنده‌اند؛ همچنان که در قرآن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تَحْسَبَنَّ الَّذينَ قُتِلُوا في سَبيلِ اللَّهِ أمْواتاً بَلْ أحْياءٌ عِنْدَ رَبِّهِمْ يُرْزَقُونَ</w:t>
      </w:r>
      <w:r>
        <w:rPr>
          <w:rFonts w:eastAsia="IRNazanin" w:cs="IRNazanin"/>
          <w:color w:val="111111"/>
          <w:sz w:val="28"/>
          <w:szCs w:val="28"/>
          <w:rtl w:val="true"/>
          <w:lang w:bidi="fa-IR"/>
        </w:rPr>
        <w:t>(</w:t>
      </w:r>
      <w:r>
        <w:rPr>
          <w:rStyle w:val="FootnoteAnchor"/>
          <w:rtl w:val="true"/>
        </w:rPr>
        <w:footnoteReference w:id="26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مبر کساني که در راه خدا کشته شده‌اند، مردگانند، بلکه زندگانی هستند که نزد پروردگارشان روزي مي‌خورند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قرآن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تَقُولُوا لِمَنْ يُقْتَلُ في سَبيلِ اللَّهِ أمْواتٌ بَلْ أحْياءٌ وَلكِنْ لاتَشْعُرُونَ</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مگوييد دربارة کساني که در راه خدا کشته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مردگانند، بلکه زندگانند، ولي شما درک آن را نداريد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تعظيم و تکريم ذوات مقدّس و ساير مقرّبان درگاه حضرت باريتعالي، حتّي در حال ممات ظاهري ایشان، به صورت سلام، زيارت، توسّل، استشفاع، تبرّک، بوسيدن و استلام به آنچه </w:t>
      </w:r>
    </w:p>
    <w:p>
      <w:pPr>
        <w:pStyle w:val="BookText"/>
        <w:rPr/>
      </w:pPr>
      <w:r>
        <w:rPr>
          <w:rFonts w:ascii="IRNazanin" w:hAnsi="IRNazanin" w:eastAsia="IRNazanin"/>
          <w:color w:val="111111"/>
          <w:sz w:val="28"/>
          <w:sz w:val="28"/>
          <w:szCs w:val="28"/>
          <w:rtl w:val="true"/>
          <w:lang w:bidi="fa-IR"/>
        </w:rPr>
        <w:t>که به آنان تعلّق دارد و مانند آنها از کرنش‌هاي قسم دوّم، هيچگونه اشکال و منع و محذوري در برنخواهد داشت، مخصوصاً اگر اينگونه کرنش‌ها از کساني صادر شود که به زنده و پاینده بودن آن ذوات مقدّس نزد پروردگارشان</w:t>
      </w:r>
      <w:r>
        <w:rPr>
          <w:rStyle w:val="FootnoteAnchor"/>
          <w:rtl w:val="true"/>
        </w:rPr>
        <w:footnoteReference w:id="264"/>
      </w:r>
      <w:r>
        <w:rPr>
          <w:rFonts w:ascii="IRNazanin" w:hAnsi="IRNazanin" w:eastAsia="IRNazanin"/>
          <w:color w:val="111111"/>
          <w:sz w:val="28"/>
          <w:sz w:val="28"/>
          <w:szCs w:val="28"/>
          <w:rtl w:val="true"/>
          <w:lang w:bidi="fa-IR"/>
        </w:rPr>
        <w:t>معتقدند، بلکه محقّقاً ثابت شده و در موارد خود با مدارک قعطي فراواني ضبط شده که اينگونه کرنش‌ها نسبت به مقامات مزبور رجحان و استحباب هم دارد و ثواب‌هاي بسيار بزرگ براي انجام دهندة آنها مي‌باشد؛ چنان که واضح و روشن است، مخصوصاً براي کساني که از اهل انصاف باشند و راه عناد و انحراف و بي‌رويّه‌گي را نپيموده باشند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هیچگاه نبايد به ياوه‌گويي‌هاي معاندين و گمراهانی که از تبليغات شوم کفّار، اجانب و مخالفين دين مبين اسلام سرچشمه </w:t>
      </w:r>
    </w:p>
    <w:p>
      <w:pPr>
        <w:pStyle w:val="BookText"/>
        <w:rPr/>
      </w:pPr>
      <w:r>
        <w:rPr>
          <w:rFonts w:ascii="IRNazanin" w:hAnsi="IRNazanin" w:eastAsia="IRNazanin"/>
          <w:color w:val="111111"/>
          <w:sz w:val="28"/>
          <w:sz w:val="28"/>
          <w:szCs w:val="28"/>
          <w:rtl w:val="true"/>
          <w:lang w:bidi="fa-IR"/>
        </w:rPr>
        <w:t>گرفته و مي‌گيرد، گوش فرا داد و اعتنا نمود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دَعْوانَا أنِ الْحَمْدُ لِلَّهِ رَبِّ الْعالَمينَ وَالصَّلاةُ وَالسَّلامُ عَلَی مُحَمَّدٍ وَآلِهِ الطَّاهِرینَ وَأصحابِهِ المُنتَجَبِینَ</w:t>
      </w:r>
      <w:r>
        <w:rPr>
          <w:rFonts w:eastAsia="Amiri" w:cs="Amiri" w:ascii="Amiri" w:hAnsi="Amiri"/>
          <w:color w:val="111111"/>
          <w:sz w:val="28"/>
          <w:szCs w:val="28"/>
          <w:rtl w:val="true"/>
          <w:lang w:bidi="ar-SA"/>
        </w:rPr>
        <w:t xml:space="preserve">. </w:t>
      </w:r>
      <w:bookmarkStart w:id="220" w:name="pg10706_114062"/>
    </w:p>
    <w:p>
      <w:pPr>
        <w:pStyle w:val="Heading2"/>
        <w:numPr>
          <w:ilvl w:val="1"/>
          <w:numId w:val="1"/>
        </w:numPr>
        <w:rPr/>
      </w:pPr>
      <w:bookmarkStart w:id="221" w:name="__RefHeading___Toc3433843_1051229030"/>
      <w:bookmarkStart w:id="222" w:name="_Toc72"/>
      <w:bookmarkEnd w:id="220"/>
      <w:bookmarkEnd w:id="221"/>
      <w:r>
        <w:rPr>
          <w:rtl w:val="true"/>
        </w:rPr>
        <w:t>رسالة پنجم</w:t>
      </w:r>
      <w:r>
        <w:rPr>
          <w:rtl w:val="true"/>
        </w:rPr>
        <w:t>:</w:t>
      </w:r>
      <w:r>
        <w:rPr>
          <w:rtl w:val="true"/>
        </w:rPr>
        <w:t>تحقیق در معنای أمرٌ بَینَ الأمرَینِ</w:t>
      </w:r>
      <w:bookmarkEnd w:id="222"/>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23" w:name="__RefHeading___Toc3433845_1051229030"/>
      <w:bookmarkStart w:id="224" w:name="_Toc73"/>
      <w:bookmarkEnd w:id="223"/>
      <w:r>
        <w:rPr>
          <w:rtl w:val="true"/>
        </w:rPr>
        <w:t>اشاره</w:t>
      </w:r>
      <w:bookmarkEnd w:id="224"/>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5" w:name="pg10706_114064"/>
      <w:bookmarkStart w:id="226" w:name="pg10706_114064"/>
      <w:bookmarkEnd w:id="226"/>
    </w:p>
    <w:p>
      <w:pPr>
        <w:pStyle w:val="BookText"/>
        <w:rPr/>
      </w:pPr>
      <w:bookmarkStart w:id="227" w:name="pg10706_114064"/>
      <w:bookmarkEnd w:id="227"/>
      <w:r>
        <w:rPr>
          <w:rFonts w:ascii="IRNazanin" w:hAnsi="IRNazanin" w:eastAsia="IRNazanin"/>
          <w:color w:val="111111"/>
          <w:sz w:val="28"/>
          <w:sz w:val="28"/>
          <w:szCs w:val="28"/>
          <w:rtl w:val="true"/>
          <w:lang w:bidi="fa-IR"/>
        </w:rPr>
        <w:t>بسمه تعالی و له الحمد</w:t>
      </w:r>
    </w:p>
    <w:p>
      <w:pPr>
        <w:pStyle w:val="Heading3"/>
        <w:numPr>
          <w:ilvl w:val="2"/>
          <w:numId w:val="1"/>
        </w:numPr>
        <w:rPr/>
      </w:pPr>
      <w:bookmarkStart w:id="228" w:name="__RefHeading___Toc3433847_1051229030"/>
      <w:bookmarkStart w:id="229" w:name="_Toc74"/>
      <w:bookmarkEnd w:id="228"/>
      <w:r>
        <w:rPr>
          <w:rtl w:val="true"/>
        </w:rPr>
        <w:t>مقدّمه</w:t>
      </w:r>
      <w:bookmarkEnd w:id="229"/>
    </w:p>
    <w:p>
      <w:pPr>
        <w:pStyle w:val="BookText"/>
        <w:rPr/>
      </w:pPr>
      <w:r>
        <w:rPr>
          <w:rFonts w:ascii="IRNazanin" w:hAnsi="IRNazanin" w:eastAsia="IRNazanin"/>
          <w:color w:val="111111"/>
          <w:sz w:val="28"/>
          <w:sz w:val="28"/>
          <w:szCs w:val="28"/>
          <w:rtl w:val="true"/>
          <w:lang w:bidi="fa-IR"/>
        </w:rPr>
        <w:t>در این رساله برآنیم که به بررسی مذاهب اشاعره، امامیّه و معتزله نسبت به اعتقاد جبر و تفویض بپردازیم و صحّت و درستی عقیدة وسط را که همان أمرٌ بَینَ الأمرَینِ می‌باشد در ضمن ابطال دو مذهب دیگر اثبات نماییم</w:t>
      </w:r>
      <w:r>
        <w:rPr>
          <w:rFonts w:eastAsia="IRNazanin" w:cs="IRNazanin"/>
          <w:color w:val="111111"/>
          <w:sz w:val="28"/>
          <w:szCs w:val="28"/>
          <w:rtl w:val="true"/>
          <w:lang w:bidi="fa-IR"/>
        </w:rPr>
        <w:t>.</w:t>
      </w:r>
    </w:p>
    <w:p>
      <w:pPr>
        <w:pStyle w:val="Heading3"/>
        <w:numPr>
          <w:ilvl w:val="2"/>
          <w:numId w:val="1"/>
        </w:numPr>
        <w:rPr/>
      </w:pPr>
      <w:bookmarkStart w:id="230" w:name="__RefHeading___Toc3433849_1051229030"/>
      <w:bookmarkStart w:id="231" w:name="_Toc75"/>
      <w:bookmarkEnd w:id="230"/>
      <w:r>
        <w:rPr>
          <w:rtl w:val="true"/>
        </w:rPr>
        <w:t>اقسام فعل و فاعل</w:t>
      </w:r>
      <w:bookmarkEnd w:id="231"/>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بدان‌که فعل به اعتباری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تکوینی و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تکوینی نسبت به دستگاه آفرینش جهان هستی صورت می‌گیرد و فعل تشریعی در افعال عباد و امور بندگان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تعدّد فعل، فاعل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عالم تکوین و چه در عالم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فاعل، سرچشمة فعل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ما مِنهُ الفِعلُ والوُجُودُ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دیگر فاعل تنها واسطه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فاعل ما بِهِ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آورده می‌شود</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بنابراین، خلقت و آفرینش هم که خود فعلی است از افعال، بر دو گونه صورت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بلاواسطه و آن تعلّق خلقت است به ذات حقّ تعالی نسبت به صادر اوّل که مستقیماً و بدون وساطت واسطه‌ای صورت می‌گیرد؛ یعنی در آنجا فقط فاعل ما منه الخلقة تحقّق دارد که همان خداوند متعال است و دیگر فاعلی به نام فاعل ما به الخلقة وجود ندارد، نه آنکه وجود داشته باشد و با فاعل ما منه الخلقة هر دو در وجود تحقّق داشته باشند؛ چرا که واضح است چنین فاعلی در اینجا وجهی برای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گونة دیگر، خلقت مع الواسطة است که شامل خلقت ماسوای صادر اوّل از سایر مخلوقات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نیز ما منه الوجود خدای متعال می‌باشد و ما به الوجود همان واسطه یعنی صادر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مع الواسطة اقسام مختلفی پیدا می‌کند؛ زیرا گاه به یک واسطه و گاه به دو واسطه و گاه به وسایط بیشتری صورت می‌گیرد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فاعل مامنه الوجود یکی بیش نیست که همان ذات مقدّس کبریایی است، ولی فاعل ما به الوجود امکان دارد که فراوان و متعدّد باشد، حتّی در عالم تشریع و افعال عباد، فاعل ما به الوجود می‌تواند به طور متعدّد وجود داشته باشد؛ البتّه از صادر اوّل شروع شده و در طول همدیگر به مراتب مادون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در عالم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می‌گردد، ولی فاعل ما منه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و باز هم </w:t>
      </w:r>
      <w:bookmarkStart w:id="232" w:name="pg10706_114066"/>
    </w:p>
    <w:p>
      <w:pPr>
        <w:pStyle w:val="BookText"/>
        <w:rPr/>
      </w:pPr>
      <w:bookmarkEnd w:id="232"/>
      <w:r>
        <w:rPr>
          <w:rFonts w:ascii="IRNazanin" w:hAnsi="IRNazanin" w:eastAsia="IRNazanin"/>
          <w:color w:val="111111"/>
          <w:sz w:val="28"/>
          <w:sz w:val="28"/>
          <w:szCs w:val="28"/>
          <w:rtl w:val="true"/>
          <w:lang w:bidi="fa-IR"/>
        </w:rPr>
        <w:t xml:space="preserve">خواهیم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جا حتّی در عالم تشریع و افعال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هو 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 و آن ذات متعال می‌باشد</w:t>
      </w:r>
      <w:r>
        <w:rPr>
          <w:rFonts w:eastAsia="IRNazanin" w:cs="IRNazanin"/>
          <w:color w:val="111111"/>
          <w:sz w:val="28"/>
          <w:szCs w:val="28"/>
          <w:rtl w:val="true"/>
          <w:lang w:bidi="fa-IR"/>
        </w:rPr>
        <w:t>.</w:t>
      </w:r>
    </w:p>
    <w:p>
      <w:pPr>
        <w:pStyle w:val="Heading3"/>
        <w:numPr>
          <w:ilvl w:val="2"/>
          <w:numId w:val="1"/>
        </w:numPr>
        <w:rPr/>
      </w:pPr>
      <w:bookmarkStart w:id="233" w:name="__RefHeading___Toc3433851_1051229030"/>
      <w:bookmarkStart w:id="234" w:name="_Toc76"/>
      <w:bookmarkEnd w:id="233"/>
      <w:r>
        <w:rPr>
          <w:rtl w:val="true"/>
        </w:rPr>
        <w:t>فاعل در دو عالم تکوین و تشریع و پیدایش مکتب جبر و تفویض</w:t>
      </w:r>
      <w:bookmarkEnd w:id="234"/>
    </w:p>
    <w:p>
      <w:pPr>
        <w:pStyle w:val="BookText"/>
        <w:rPr/>
      </w:pPr>
      <w:r>
        <w:rPr>
          <w:rFonts w:ascii="IRNazanin" w:hAnsi="IRNazanin" w:eastAsia="IRNazanin"/>
          <w:color w:val="111111"/>
          <w:sz w:val="28"/>
          <w:sz w:val="28"/>
          <w:szCs w:val="28"/>
          <w:rtl w:val="true"/>
          <w:lang w:bidi="fa-IR"/>
        </w:rPr>
        <w:t>این را باید دانست که بنابر تمامی مذاهب و مکاتب اسلامی بدون هیچگونه شکّ و شبهه‌ای، فاعل ما منه الوجود در امر دستگاه خلقت و آفرینش عوالم یعنی عالم تکوین، فقط و فقط ذات کبریایی حضرت حقّ است، و غیر حضرتش، هر فاعلی که باشد، فاعل ما به الوجود و واسطه است؛ چرایی این مطلب از این قرار است که عوالم مادون صادر اوّل، قابلیّت آن را ندارند که بدون واسطة فاعل ما به الوجود و الخلقة یعنی صادر اوّل، کسب فیض وجود و خلقت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بدین معنی نیست که ذات مقدّس کبریایی حضرت قادر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نداشته باشد، کیف؟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 تَعَالَی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بدون استثنا بر هر چیز قادر است، ولی آنچه که قابل نیست از تحت قدرت حضرتش به استثنای منقطع خارج است نه به استثنای متّصل</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بنابراین، باید گفت که انجام فعل قبیح از جانب خدا امکان دارد، منتها باید به مراد از این امکان توجّه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امکان بر قریب به هشت معنا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امکان دراین مورد، امکان صدوری است، نه امکان وقوعی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صدوری که مناط قدرت فاعل بوده و به امکان فاعلی و نسبی نیز معروف است، سلب ضرورت وجود و عدم است معاً از چیزی به اعتبار صدور آن از چیز دیگر؛ مثل مشی نسبت به انسان که از حیث صدور و عدم صدورش از انسان،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مقابل این امکان، ضرورت 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حرارت نسبت به آتش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ضرورت عدم صدور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پرواز نسبت به سنگ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ممکنات ذاتی نیز به همین امکان تحت قدرت خداست و همین امکان معنای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وَإنَّهُ تَعَالَی عَلَی کُلِّ شَیءٍ 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امکان وقوعی که به امکان عامّ معروف است، سلب ضرورت عدم است از چیزی به جهت لزوم ممتنعی از وجود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تمامی اشیا به همین امکان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این امکان، امتناع وقوعی به معنی ضرورت عدم چیزی به جهت لزوم ممتنعی از وجود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قبایح از ذات باریتعالی، به همین معنا، ممتنع است؛ زیرا از وجود آن، جهل و احتیاج که در ذات خدا ممتنعند،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معتزله، خدا را بر فعل قبیح قادر ندانسته و وقوعش را از ذات باریتعالی محال می‌دانند، به جهت خلط بین این دو امکان است؛ برای تحقیق بیشتر به کتاب توضیح المراد،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امر افعال عباد یعنی عالم تشریع، امر چنین پاک و خالص نیست، بلکه در تعیین فاعل آن، بین اشاعره، معتزله و امامیّه اختلاف است</w:t>
      </w:r>
      <w:r>
        <w:rPr>
          <w:rStyle w:val="FootnoteAnchor"/>
          <w:rtl w:val="true"/>
        </w:rPr>
        <w:footnoteReference w:id="267"/>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معتزله که معتقدند خداوند امور و افعال را به خلق تفویض نموده و هیچ اراده و قدرتی نسبت به افعال آنان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جَهم بن صفوان که شاگرد جَعد بن درهم از زنادقة معاصر با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 خلاف استاد خود، جبری محض بوده و معتقد است که انسان هیچ قدرتی نسبت به افعال خود ندارد و نسبت افعال به انسان مجازی است، بلکه بندگان در آنچه که به آنها نسبت داده می‌شود، مانند درختی هستند که باد آن را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سوّم، عقیدة اکثر جبریّون است که معتقدند خداوند افعال عباد را خلق نموده پس خالق فعل خداست و عباد تنها محلّ آن فعلند و اینکه بندگان به قدرت و اراده و فاعلیّت افعال توصیف می‌شوند به این معنی است که آن افعال خلق شده را کسب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مذهب، خود بر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ابوالحسن اشعری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که هیچ تأثیری برای قدرت و ارادة عبد نیست، بلکه عبد در این مقام، مجبور است و تنها به کسب افعال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ابوبکر باقلانی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قدرت عبد، تأثیری قائلند، امّا به اندازة اختیار عنوان فعل که نماز باشد یا غیر آن، ولی در حقیقت و ذات فعل هیچ تأثیری برای آن قائل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مذهب، رویّة فلاسفه است که معتقدند انسان مجبور است که مختار باشد؛ زیرا ایشان فعل عبد را تابع قدرت و اراده‌اش که آن هم تابع قدرت و ارادة خداست می‌دانند و چون مسبَّب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بین اسباب و عللش، برسبب 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و ارادة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مترتّب می‌کنند، لذا انسان را در عین اختیار مجبور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مذهب روش عرفاست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از آنجا که به وحدت وجود و حلول خالق در مخلوق و اتّحاد آن دو قائلند، لذا فاعل را همچون فعل، واحد دانسته و این فاعل واحد را خدا در مظهر انسانی یا مظاهر دیگر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مذهب به مکتب اهل بیت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دارد که همان أمرٌ بَینَ الأمرَینِ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این مذهب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الوجود همانگونه که در وجود خود به واجب الوجود نیازمند است در افعالش نیز که به صفت امکان متّصف است، استقلالی نداشته و محتاج واجب 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عقیده، افعال و حرکات انسان، از خود او صادر شده، ولی در عین حال، محتاج به خداست که حقّ اختیار، ایجاد و تصرّف را به او بدهد؛ برای تحقیق بیشتر به کتاب توضیح المراد،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eastAsia="IRNazanin" w:cs="IRNazanin"/>
          <w:color w:val="111111"/>
          <w:sz w:val="28"/>
          <w:szCs w:val="28"/>
          <w:rtl w:val="true"/>
          <w:lang w:bidi="fa-IR"/>
        </w:rPr>
        <w:t xml:space="preserve"> -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 این همان اختلاف معروف جبر و تفویض و أمرٌ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بَینَ الأمرَینِ است بر سبیل لفّ و نشر مرتّب</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که در ریشه‌یابی این اختلاف کهنه به نظر می‌رسد این است که چون اشاعره و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قدمای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حقیقت که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قسم است، بی اطّلاع بوده‌اند و یا فاعل را فقط فاعل ما منه الوجود می‌دانستند و از وجود واقعی حقیقتی به نام فاعل ما به الوجود اطّلاع نداشته‌اند، لذا در امر افعال بندگان، راه افراط و تفریط را پیموده و مذهب جبر و تفویض را به 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میان، امامیّه به طور ناخودآگاه به واسطة پیروی از فرمودة امام صادق و سایر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مزبور</w:t>
      </w:r>
      <w:r>
        <w:rPr>
          <w:rStyle w:val="FootnoteAnchor"/>
          <w:rtl w:val="true"/>
        </w:rPr>
        <w:footnoteReference w:id="268"/>
      </w:r>
      <w:r>
        <w:rPr>
          <w:rFonts w:ascii="IRNazanin" w:hAnsi="IRNazanin" w:eastAsia="IRNazanin"/>
          <w:color w:val="111111"/>
          <w:sz w:val="28"/>
          <w:sz w:val="28"/>
          <w:szCs w:val="28"/>
          <w:rtl w:val="true"/>
          <w:lang w:bidi="fa-IR"/>
        </w:rPr>
        <w:t xml:space="preserve">پایبند بوده و به مذهب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جَبرَ وَلا تَفوِیضَ، بَل أمرٌ بَینَ </w:t>
      </w:r>
    </w:p>
    <w:p>
      <w:pPr>
        <w:pStyle w:val="BookText"/>
        <w:rPr/>
      </w:pPr>
      <w:r>
        <w:rPr>
          <w:rFonts w:ascii="Amiri" w:hAnsi="Amiri" w:eastAsia="Amiri" w:cs="Amiri"/>
          <w:color w:val="111111"/>
          <w:sz w:val="28"/>
          <w:sz w:val="28"/>
          <w:szCs w:val="28"/>
          <w:rtl w:val="true"/>
          <w:lang w:bidi="ar-SA"/>
        </w:rPr>
        <w:t>أمرَینِ</w:t>
      </w:r>
      <w:r>
        <w:rPr>
          <w:rFonts w:eastAsia="Amiri" w:cs="Amiri" w:ascii="Amiri" w:hAnsi="Amiri"/>
          <w:color w:val="111111"/>
          <w:sz w:val="28"/>
          <w:szCs w:val="28"/>
          <w:rtl w:val="true"/>
          <w:lang w:bidi="ar-SA"/>
        </w:rPr>
        <w:t>»</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از جمله روایات مبیّن این دیدگاه روايت زير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حَرِيزٍ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فِي الْقَدَرِ عَلَى ثَلاثَةِ أوْجُهٍ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زَعَمَ أنَّ اللَّهَ عَزَّ وَجَلَّ أجْبَرَ النَّاسَ عَلَى الْمَعَاصِي، فَهَذَا قَدْ ظَلَّمَ اللَّهَ عَزَّ وَجَلَّ فِي حُكْمِهِ وَهُوَ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يَزْعُمُ أنَّ الأمْرَ مُفَوَّضٌ إِلَيْهِمْ فَهَذَا وَهَّنَ اللَّهَ فِي سُلْطَانِهِ فَهُوَ كَافِرٌ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كَلَّفَ الْعِبَادَ مَا يُطِيقُونَ وَلَمْ يُكَلِّفْهُمْ مَا لا يُطِيقُونَ فَإِذَا أحْسَنَ حَمِدَ اللَّهَ وَإِذَا أسَاءَ اسْتَغْفَرَ اللَّهَ، فَهَذَا مُسْلِمٌ بَالِغٌ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حریز روایت نموده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نسبت به تقدیر بر سه دسته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 یکی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خدای عزّوجلّ مردم را به گناه مجبور نموده است؛ این شخص خدا را در حکمی که دربارة کیفر گناه انجام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دهد، ستمگر شمرده است و کافر است؛ و شخصی نیز عقیده دارد که خداوند همة کارها را به دست مردم سپرده است، اين شخص مقام سلطة الهي را خوار نموده است و كافر است؛ و شخصي معتقد است كه خداوند به قدر توان بندگان، تکلیف معیّن نموده است و آنچه را که توان ندارند بر آنان تکلیف نکرده است، پس چون بنده کار نیکی انجام دهد خدا را سپاس گزارد و چون کار بدی کند از خداوند آمرزش جوید، پس این شخص مسلمانی کامل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عدل، ح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در این باره مي‌توانيد به آدرس‌هاي زير مراجعه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عدل و ج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آيات نازله دربارة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گروه تحقیق</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واقع براساس تعدّد فاعل در طول همدیگر بنا شده، گراییده‌اند</w:t>
      </w:r>
      <w:r>
        <w:rPr>
          <w:rFonts w:eastAsia="IRNazanin" w:cs="IRNazanin"/>
          <w:color w:val="111111"/>
          <w:sz w:val="28"/>
          <w:szCs w:val="28"/>
          <w:rtl w:val="true"/>
          <w:lang w:bidi="fa-IR"/>
        </w:rPr>
        <w:t>.</w:t>
      </w:r>
      <w:bookmarkStart w:id="235" w:name="pg10706_114071"/>
    </w:p>
    <w:p>
      <w:pPr>
        <w:pStyle w:val="Heading3"/>
        <w:numPr>
          <w:ilvl w:val="2"/>
          <w:numId w:val="1"/>
        </w:numPr>
        <w:rPr/>
      </w:pPr>
      <w:bookmarkStart w:id="236" w:name="__RefHeading___Toc3433853_1051229030"/>
      <w:bookmarkStart w:id="237" w:name="_Toc77"/>
      <w:bookmarkEnd w:id="235"/>
      <w:bookmarkEnd w:id="236"/>
      <w:r>
        <w:rPr>
          <w:rtl w:val="true"/>
        </w:rPr>
        <w:t>علل گرایش به جبر و تفویض</w:t>
      </w:r>
      <w:bookmarkEnd w:id="237"/>
    </w:p>
    <w:p>
      <w:pPr>
        <w:pStyle w:val="BookText"/>
        <w:rPr/>
      </w:pPr>
      <w:r>
        <w:rPr>
          <w:rFonts w:ascii="IRNazanin" w:hAnsi="IRNazanin" w:eastAsia="IRNazanin"/>
          <w:color w:val="111111"/>
          <w:sz w:val="28"/>
          <w:sz w:val="28"/>
          <w:szCs w:val="28"/>
          <w:rtl w:val="true"/>
          <w:lang w:bidi="fa-IR"/>
        </w:rPr>
        <w:t>برای توضیح بهتر پیدایش تفاوت رویّه بین این سه مکتب اسلامی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اشاعره برای تحکیم توحید افعالی و بیان اینکه فاعل و مؤثّر حقیقی در تمام عوالم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تکوین و تشریع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باید خدا باشد، راه افراط پیموده و معتقد شده‌اند که حقیقتاً فاعل در فعل بندگان نیز خدای متعال است، و بندگان در این امر هیچکاره و مجبورند</w:t>
      </w:r>
      <w:r>
        <w:rPr>
          <w:rStyle w:val="FootnoteAnchor"/>
          <w:rtl w:val="true"/>
        </w:rPr>
        <w:footnoteReference w:id="2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اشاعره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زدودن هر گونه ظلمی از ساحت حقّ تعالی و اینکه دامن کبریاییش همواره باید از لوث بیدادگری‌هایی که دامنگیر بندگان است، پاک باشد، راه تفریط را پیموده و پنداشته‌اند که خداوند متعال در امر فعل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اَلعِیَاذُ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معزول و هیچکاره است و انجام آن را به بندگان تفویض نموده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منظور هر دو فرقه از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از خلق سلب نموده و به خدای متعال نسبت داده و دوّمی از خدا سلب و به خلق منسوب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ما منه الوجود می‌باشد؛ چه آنکه گفتیم که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قدمایشان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حقیقت تعدّد فاعل و یا لااقلّ از فاعل ما به الوجود بیخبر بوده‌اند، لذا محور بحث إثباتاً و نفیاً، حول یک نوع </w:t>
      </w:r>
      <w:bookmarkStart w:id="238" w:name="pg10706_114072"/>
    </w:p>
    <w:p>
      <w:pPr>
        <w:pStyle w:val="BookText"/>
        <w:rPr/>
      </w:pPr>
      <w:bookmarkEnd w:id="238"/>
      <w:r>
        <w:rPr>
          <w:rFonts w:ascii="IRNazanin" w:hAnsi="IRNazanin" w:eastAsia="IRNazanin"/>
          <w:color w:val="111111"/>
          <w:sz w:val="28"/>
          <w:sz w:val="28"/>
          <w:szCs w:val="28"/>
          <w:rtl w:val="true"/>
          <w:lang w:bidi="fa-IR"/>
        </w:rPr>
        <w:t>فاعل قرار گرفته است</w:t>
      </w:r>
      <w:r>
        <w:rPr>
          <w:rFonts w:eastAsia="IRNazanin" w:cs="IRNazanin"/>
          <w:color w:val="111111"/>
          <w:sz w:val="28"/>
          <w:szCs w:val="28"/>
          <w:rtl w:val="true"/>
          <w:lang w:bidi="fa-IR"/>
        </w:rPr>
        <w:t>.</w:t>
      </w:r>
    </w:p>
    <w:p>
      <w:pPr>
        <w:pStyle w:val="Heading3"/>
        <w:numPr>
          <w:ilvl w:val="2"/>
          <w:numId w:val="1"/>
        </w:numPr>
        <w:rPr/>
      </w:pPr>
      <w:bookmarkStart w:id="239" w:name="__RefHeading___Toc3433855_1051229030"/>
      <w:bookmarkStart w:id="240" w:name="_Toc78"/>
      <w:bookmarkEnd w:id="239"/>
      <w:r>
        <w:rPr>
          <w:rtl w:val="true"/>
        </w:rPr>
        <w:t>تشریح مکتب امامیّه</w:t>
      </w:r>
      <w:bookmarkEnd w:id="240"/>
    </w:p>
    <w:p>
      <w:pPr>
        <w:pStyle w:val="BookText"/>
        <w:rPr/>
      </w:pPr>
      <w:r>
        <w:rPr>
          <w:rFonts w:ascii="IRNazanin" w:hAnsi="IRNazanin" w:eastAsia="IRNazanin"/>
          <w:color w:val="111111"/>
          <w:sz w:val="28"/>
          <w:sz w:val="28"/>
          <w:szCs w:val="28"/>
          <w:rtl w:val="true"/>
          <w:lang w:bidi="fa-IR"/>
        </w:rPr>
        <w:t xml:space="preserve">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دو مذهب اشاعره و معتزله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پیروی از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ناآگاه از تعدّد فاعل، آگاه و واقف بوده‌اند، و لذا به مذهب أمرٌ بینَ الأمرَینِ عقیده 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این مذهب که در واقع مذهب وسط می‌باشد، آن است که خداوند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 وَعَلا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تشریع و افعال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امر تکوین و کاینات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ما منه الفعل والوجود است، و عبد هم فاعل است، ولی فاعل ما به الفعل والوجود می‌باشد، به این معنا که در خارج، فعل از این دو فاعل محقّق می‌شود، به طوری که آن فعل عرفاً به هر دو فاعل، صحّت انتساب دارد؛ چراکه عبد در این فعل مجبور نیست؛ چون جنبة فاعلی به معنای ما به الوجود دارد، و مفوَّض هم نیست، به این ترتیب که خدای متعال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معزول باشد؛ چون حضرتش ما منه الوجود این فعل می‌باشد؛ همانطور که حضرتش در عالم هستی و صدور ما سوای صادر اوّل، فاعل ما منه الوجود بوده و صادر اوّل و همچنین وسایط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ما به الوجودند</w:t>
      </w:r>
      <w:r>
        <w:rPr>
          <w:rFonts w:eastAsia="IRNazanin" w:cs="IRNazanin"/>
          <w:color w:val="111111"/>
          <w:sz w:val="28"/>
          <w:szCs w:val="28"/>
          <w:rtl w:val="true"/>
          <w:lang w:bidi="fa-IR"/>
        </w:rPr>
        <w:t>.</w:t>
      </w:r>
    </w:p>
    <w:p>
      <w:pPr>
        <w:pStyle w:val="Heading3"/>
        <w:numPr>
          <w:ilvl w:val="2"/>
          <w:numId w:val="1"/>
        </w:numPr>
        <w:rPr/>
      </w:pPr>
      <w:bookmarkStart w:id="241" w:name="__RefHeading___Toc3433857_1051229030"/>
      <w:bookmarkStart w:id="242" w:name="_Toc79"/>
      <w:bookmarkEnd w:id="241"/>
      <w:r>
        <w:rPr>
          <w:rtl w:val="true"/>
        </w:rPr>
        <w:t>شبهة اوّل</w:t>
      </w:r>
      <w:r>
        <w:rPr>
          <w:rtl w:val="true"/>
        </w:rPr>
        <w:t xml:space="preserve">: </w:t>
      </w:r>
      <w:r>
        <w:rPr>
          <w:rtl w:val="true"/>
        </w:rPr>
        <w:t>توارد علّتین بر معلول واحد</w:t>
      </w:r>
      <w:bookmarkEnd w:id="242"/>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هرچند که هم در امر تشریع و هم در امر تکوین، دو </w:t>
      </w:r>
      <w:bookmarkStart w:id="243" w:name="pg10706_114073"/>
    </w:p>
    <w:p>
      <w:pPr>
        <w:pStyle w:val="BookText"/>
        <w:rPr/>
      </w:pPr>
      <w:bookmarkEnd w:id="243"/>
      <w:r>
        <w:rPr>
          <w:rFonts w:ascii="IRNazanin" w:hAnsi="IRNazanin" w:eastAsia="IRNazanin"/>
          <w:color w:val="111111"/>
          <w:sz w:val="28"/>
          <w:sz w:val="28"/>
          <w:szCs w:val="28"/>
          <w:rtl w:val="true"/>
          <w:lang w:bidi="fa-IR"/>
        </w:rPr>
        <w:t>فاعل مؤثّر وجود دارد، ولی این دو به طور مستقلّ و در عرض همدیگر اثر نمی‌گذارند تا توارد علّتین مستقلّتین بر معلول واحد که مستحیل است لازم آید، بلکه در طول همدیگر مؤثّرند، به نحوی که فعل واقعاً و حقیقتاً به هر دو منتسب است؛ دقّت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بعید نیست که به همین معنا بر‌گردد آنچه در تقریب أمرٌ بینَ الأمرَینِ گفته شده به این بیان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طرفی خدای متعال دائماً و لاینقطع افاضة فیض وجود داشته و زمینه را آناً فآناً برای تحقّق فعل آماده می‌سازد، حضرتش فاعل خواهد بود، و از طرفی دیگر، چون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از قِبَلِ مولا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دارد، و فعل از او صادر شده است، عبد هم فاعل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علیهذا فعل خارجی، هم از مولی و هم از عبد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شاید به همین معنا برگردد آن کس که جریان أمرٌ بینَ الأمرَینِ را به انسانی که در اعضای او نیرویی نبوده و به طور مثال، همواره از نیروی برق استفاده می‌کند، تنظیر کرده است که فعل خارجی نتیجتاً در اثر نیروی برق و اختیار انسانی هردو حاصل شده است</w:t>
      </w:r>
      <w:r>
        <w:rPr>
          <w:rFonts w:eastAsia="IRNazanin" w:cs="IRNazanin"/>
          <w:color w:val="111111"/>
          <w:sz w:val="28"/>
          <w:szCs w:val="28"/>
          <w:rtl w:val="true"/>
          <w:lang w:bidi="fa-IR"/>
        </w:rPr>
        <w:t>.</w:t>
      </w:r>
    </w:p>
    <w:p>
      <w:pPr>
        <w:pStyle w:val="Heading3"/>
        <w:numPr>
          <w:ilvl w:val="2"/>
          <w:numId w:val="1"/>
        </w:numPr>
        <w:rPr/>
      </w:pPr>
      <w:bookmarkStart w:id="244" w:name="__RefHeading___Toc3433859_1051229030"/>
      <w:bookmarkStart w:id="245" w:name="_Toc80"/>
      <w:bookmarkEnd w:id="244"/>
      <w:r>
        <w:rPr>
          <w:rtl w:val="true"/>
        </w:rPr>
        <w:t>شبهة دوّم</w:t>
      </w:r>
      <w:r>
        <w:rPr>
          <w:rtl w:val="true"/>
        </w:rPr>
        <w:t xml:space="preserve">: </w:t>
      </w:r>
      <w:r>
        <w:rPr>
          <w:rtl w:val="true"/>
        </w:rPr>
        <w:t>وحدت اشاعره و امامیّه</w:t>
      </w:r>
      <w:bookmarkEnd w:id="24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کسی ادّعا کند که قول اشاعره به همین قول امامیّه رجوع دارد؛ زیرا اشاعره هرچند فاعل حقیقی را خدا می‌دانند، ولی عبد را فاعل صوری می‌خوانند، و فاعل صوری، همین فاعل ما به </w:t>
      </w:r>
    </w:p>
    <w:p>
      <w:pPr>
        <w:pStyle w:val="BookText"/>
        <w:rPr/>
      </w:pPr>
      <w:r>
        <w:rPr>
          <w:rFonts w:ascii="IRNazanin" w:hAnsi="IRNazanin" w:eastAsia="IRNazanin"/>
          <w:color w:val="111111"/>
          <w:sz w:val="28"/>
          <w:sz w:val="28"/>
          <w:szCs w:val="28"/>
          <w:rtl w:val="true"/>
          <w:lang w:bidi="fa-IR"/>
        </w:rPr>
        <w:t>الوجود است، همچنان که فاعل حقیقی فاعل ما منه الوجود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ردّ این ادّعا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فاعل ما منه الوجود، فاعل حقیقی است، کلامی سنجیده و قابل قبول است، ولی نه حقیقی در مقابل مجازی و صوری، بلکه مرتبه‌ای از حقیقت است که فاعل ما به الوجود در مرتبه‌ای دیگر از آن قرار دارد، نه اینکه از حقیقت بودن خارج بوده و مجازی و صوری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فاعل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 الوجود و ما به الوجود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قول امامیّه، حقیقی بوده و هیچیک مجازی و صوری نمی‌باشند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روشن می‌شود اینکه اشعری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حقیقی و یکی صوری و مجازی است، قول امامیّه نیست</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بنابر قول امامیّه، فاعل ما منه الوجود، فاعلی حقیقی و باطنی است و فاعل ما به الوجود، فاعلی حقیقی و ظاهری است که در رتبه، مؤخّر بوده و در طول اوّل است، و این غیر از قول اشاعره می‌باشد؛ دقّت شود</w:t>
      </w:r>
      <w:r>
        <w:rPr>
          <w:rFonts w:eastAsia="IRNazanin" w:cs="IRNazanin"/>
          <w:color w:val="111111"/>
          <w:sz w:val="28"/>
          <w:szCs w:val="28"/>
          <w:rtl w:val="true"/>
          <w:lang w:bidi="fa-IR"/>
        </w:rPr>
        <w:t xml:space="preserve">. </w:t>
      </w:r>
      <w:bookmarkStart w:id="246" w:name="pg10706_114075"/>
    </w:p>
    <w:p>
      <w:pPr>
        <w:pStyle w:val="Heading3"/>
        <w:numPr>
          <w:ilvl w:val="2"/>
          <w:numId w:val="1"/>
        </w:numPr>
        <w:rPr/>
      </w:pPr>
      <w:bookmarkStart w:id="247" w:name="__RefHeading___Toc3433861_1051229030"/>
      <w:bookmarkStart w:id="248" w:name="_Toc81"/>
      <w:bookmarkEnd w:id="246"/>
      <w:bookmarkEnd w:id="247"/>
      <w:r>
        <w:rPr>
          <w:rtl w:val="true"/>
        </w:rPr>
        <w:t>شبهة سوّم</w:t>
      </w:r>
      <w:r>
        <w:rPr>
          <w:rtl w:val="true"/>
        </w:rPr>
        <w:t xml:space="preserve">: </w:t>
      </w:r>
      <w:r>
        <w:rPr>
          <w:rtl w:val="true"/>
        </w:rPr>
        <w:t>خروج امامیّه از اعتقاد به عدالت خدا</w:t>
      </w:r>
      <w:bookmarkEnd w:id="248"/>
    </w:p>
    <w:p>
      <w:pPr>
        <w:pStyle w:val="BookText"/>
        <w:rPr/>
      </w:pPr>
      <w:r>
        <w:rPr>
          <w:rFonts w:ascii="IRNazanin" w:hAnsi="IRNazanin" w:eastAsia="IRNazanin"/>
          <w:color w:val="111111"/>
          <w:sz w:val="28"/>
          <w:sz w:val="28"/>
          <w:szCs w:val="28"/>
          <w:rtl w:val="true"/>
          <w:lang w:bidi="fa-IR"/>
        </w:rPr>
        <w:t>اگر کسی چنین اشکال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عقیدة أمرٌ بَینَ الأمرَینِ و تفسیر آن</w:t>
      </w:r>
      <w:r>
        <w:rPr>
          <w:rStyle w:val="FootnoteAnchor"/>
          <w:rtl w:val="true"/>
        </w:rPr>
        <w:footnoteReference w:id="272"/>
      </w:r>
      <w:r>
        <w:rPr>
          <w:rFonts w:ascii="IRNazanin" w:hAnsi="IRNazanin" w:eastAsia="IRNazanin"/>
          <w:color w:val="111111"/>
          <w:sz w:val="28"/>
          <w:sz w:val="28"/>
          <w:szCs w:val="28"/>
          <w:rtl w:val="true"/>
          <w:lang w:bidi="fa-IR"/>
        </w:rPr>
        <w:t>که مذهب امامیّه است، مستلزم آن است که تعدّیات و تجاوزات بندگان، همانطوری که به خودشان مستند است، به حقّتعالی هم مستند باشد و در نتیجه، خداوند متعال را همچون اشاعره، ظالم و جائر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این اعتقاد با توجّه به تفسیر آن، مذهب امامیّه را از قول به عدل خارج می‌سازد، در حالی که همچون معتزله، به عدلیّه معروف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جوابش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ذات کبریایی بنابر این تفسیر، فاعل ما منه الوجود مظالم و مفاسدی است که از بندگان سر می‌زند، ولی فاعل ما منه الوجود بودن خدا، حقیقت کامله‌ای است که هیچگاه گرد منقصت ظلم و تعدّی صادرة از سوء اختیار عبد، بر آن نمی‌نشیند و در آن اثر نمی‌گذارد و نمی‌تواند مسّ کرامت او را بنماید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که حضرتش همانگونه که فاعل ما </w:t>
      </w:r>
    </w:p>
    <w:p>
      <w:pPr>
        <w:pStyle w:val="BookText"/>
        <w:rPr/>
      </w:pPr>
      <w:r>
        <w:rPr>
          <w:rFonts w:ascii="IRNazanin" w:hAnsi="IRNazanin" w:eastAsia="IRNazanin"/>
          <w:color w:val="111111"/>
          <w:sz w:val="28"/>
          <w:sz w:val="28"/>
          <w:szCs w:val="28"/>
          <w:rtl w:val="true"/>
          <w:lang w:bidi="fa-IR"/>
        </w:rPr>
        <w:t>منه الوجود کلّیّة شایستگی‌های بندگان است، فاعل ما منه الوجود کلّیّة ناشایستگی‌های افعال آنها نیز می‌باشد، ولی چون ناشایستگی‌ها</w:t>
      </w:r>
    </w:p>
    <w:p>
      <w:pPr>
        <w:pStyle w:val="BookText"/>
        <w:rPr/>
      </w:pPr>
      <w:r>
        <w:rPr>
          <w:rFonts w:ascii="IRNazanin" w:hAnsi="IRNazanin" w:eastAsia="IRNazanin"/>
          <w:color w:val="111111"/>
          <w:sz w:val="28"/>
          <w:sz w:val="28"/>
          <w:szCs w:val="28"/>
          <w:rtl w:val="true"/>
          <w:lang w:bidi="fa-IR"/>
        </w:rPr>
        <w:t xml:space="preserve">در مجرای اختیار و انتخاب عبدی که فاعل ما به الوجود است قرار می‌گیرد، جهت ناشایستگی از آن عبد می‌شود، و به خدای متعال مرتبط نمی‌گردد؛ زیرا این بنده است که به ملاحظة داشتن اختیار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خدای متعال در مسیر اختیار و انتخاب او فاعل ما منه الوجود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تعدّی ناشایسته را انتخاب نموده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واضح‌تر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ناشایست هرچند از آنِ مولا و عبد هر دو می‌باشد به این معنی که هردو فاعل آن فعلند، ولی در عین حال، در اختیار و انتخاب عبد است و این عبد است که با استفادة سوء از اختیاری که خدای متعال به علل و مصالحی به او داده عمل ناپسند را اختیار می‌کند، و سوء اختیار و یا حسن انتخاب فعل، به عبد منتسب می‌شود، نه به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در صورت حسن انتخاب، چون به دستور حقّ انجام شده، و در راه هدف او به کار رفته، یعنی در مسیر کمال که هدف و غرض از خلقت و آفرینش است، قرار گرفته به حقّ هم منتسب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در سوء اختیار، چون از دستور و از مسیر کمال و هدف منحرف شده است، تنها به عبد منتسب می‌شود؛ همانطور که خداوند تبارک وتعالی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w:t>
      </w:r>
    </w:p>
    <w:p>
      <w:pPr>
        <w:pStyle w:val="BookText"/>
        <w:rPr/>
      </w:pPr>
      <w:r>
        <w:rPr>
          <w:rFonts w:ascii="Amiri" w:hAnsi="Amiri" w:eastAsia="Amiri" w:cs="Amiri"/>
          <w:color w:val="111111"/>
          <w:sz w:val="28"/>
          <w:sz w:val="28"/>
          <w:szCs w:val="28"/>
          <w:rtl w:val="true"/>
          <w:lang w:bidi="ar-SA"/>
        </w:rPr>
        <w:t>أصابَكَ مِنْ حَسَنَةٍ فَمِنَ اللَّهِ وَما أصابَكَ مِنْ سَيِّئَةٍ فَمِنْ نَفْسِكَ</w:t>
      </w:r>
      <w:r>
        <w:rPr>
          <w:rFonts w:eastAsia="Amiri" w:cs="Amiri" w:ascii="Amiri" w:hAnsi="Amiri"/>
          <w:color w:val="111111"/>
          <w:sz w:val="28"/>
          <w:szCs w:val="28"/>
          <w:rtl w:val="true"/>
          <w:lang w:bidi="ar-SA"/>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در اینجا شایسته است که به بیان روایاتی که با این آیه تناسب دارند،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ابواب عدل، ح</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الْبَزَنْطِيِّ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أصْحَابَنَا بَعْضُهُمْ يَقُولُ بِالْجَبْرِ وَبَعْضُهُمْ يَقُولُ بِالاسْتِطَاعَةِ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بِمَشِيَّتِي كُنْتَ أنْتَ الَّذِي تَشَاءُ لِنَفْسِكَ مَا تَشَاءُ وَبِقُوَّتِي أدَّيْتَ إِلَيَّ فَرَائِضِي وَبِنِعْمَتِي قَوِيتَ عَلَى مَعْصِيَتِي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جَعَلْتُكَ سَمِيعاً بَصِيراً قَوِيّاً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أصَابَكَ مِنْ حَسَنَةٍ فَمِنَ اللَّهِ وَمَا أصَابَكَ مِنْ سَيِّئَةٍ فَمِنْ نَفْسِكَ؛ وَذَلِكَ أنِّي أوْلَى بِحَسَنَاتِكَ مِنْكَ وَأنْتَ أوْلَى بِسَيِّئَاتِكَ مِنِّي وَذَلِكَ أنِّي لااُسْألُ عَمَّا أفْعَلُ وَهُمْ يُسْئَلُونَ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نَظَمْتُ لَكَ كُلَّ شَيْ‌ءٍ تُرِيدُ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قائل به جبر و برخی قائل به تفویض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بنویس که 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مشیّت و خواستة من، تو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آنچه را که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خواهی و به نیرو و قدرت من، واجباتت را انجام دادی و با نعمت من، بر نافرمانی من توانا شدی، تو را شنوا و بینا و توانا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نیکی به تو رسد از ماست و هر آنچه سختی به تو رسد از خودت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باشد؛ زیرا من سزاوارترم که نیکی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 من نسبت داده شود و تو نیز سزاوارتری که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هایت به خودت نسبت داده شود؛ و این به آن جهت است که من دربارة کارهایم بازخواست نشوم، ولی از تو دربارة کارهایت بازخواست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که خواستی برایت منظّم و مرتّب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مي‌توانيد در اين باره به آدرس‌هاي زير مراجعه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صص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ابواب عدل و ص </w:t>
      </w:r>
      <w:r>
        <w:rPr>
          <w:rFonts w:eastAsia="IRNazanin" w:cs="IRNazanin"/>
          <w:color w:val="111111"/>
          <w:sz w:val="28"/>
          <w:szCs w:val="28"/>
          <w:lang w:bidi="fa-IR"/>
        </w:rPr>
        <w:t>201</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تحقيق</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را تیشه دادم که هیزم کنی ندادم که بر فرق مردم زنی</w:t>
      </w:r>
    </w:p>
    <w:p>
      <w:pPr>
        <w:pStyle w:val="BookText"/>
        <w:rPr/>
      </w:pPr>
      <w:r>
        <w:rPr>
          <w:rFonts w:ascii="IRNazanin" w:hAnsi="IRNazanin" w:eastAsia="IRNazanin"/>
          <w:color w:val="111111"/>
          <w:sz w:val="28"/>
          <w:sz w:val="28"/>
          <w:szCs w:val="28"/>
          <w:rtl w:val="true"/>
          <w:lang w:bidi="fa-IR"/>
        </w:rPr>
        <w:t>یعنی تو را اختیار دادم و فاعل ما به الوجودت نمودم که حسن انتخاب داشته باشی نه سوء انتخاب، پس اگر بنده‌ای سوء انتخاب</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داشت از سوء اختیار خود او است، و چون انتخاب حَسَن نمود، به حقّ نیز منتسب است؛ همچنان که به خود عبد هم منتسب است، و پاداش نیک هم خواهد داشت؛ فَلیُتَأمَّل جَیِّداً</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9" w:name="pg10706_114080"/>
      <w:bookmarkStart w:id="250" w:name="pg10706_114080"/>
      <w:bookmarkEnd w:id="250"/>
    </w:p>
    <w:p>
      <w:pPr>
        <w:pStyle w:val="Heading2"/>
        <w:numPr>
          <w:ilvl w:val="1"/>
          <w:numId w:val="1"/>
        </w:numPr>
        <w:rPr/>
      </w:pPr>
      <w:bookmarkStart w:id="251" w:name="pg10706_114080"/>
      <w:bookmarkStart w:id="252" w:name="__RefHeading___Toc3433863_1051229030"/>
      <w:bookmarkStart w:id="253" w:name="_Toc82"/>
      <w:bookmarkEnd w:id="251"/>
      <w:bookmarkEnd w:id="252"/>
      <w:r>
        <w:rPr>
          <w:rtl w:val="true"/>
        </w:rPr>
        <w:t>فهرست منابع</w:t>
      </w:r>
      <w:bookmarkEnd w:id="253"/>
    </w:p>
    <w:p>
      <w:pPr>
        <w:pStyle w:val="BookText"/>
        <w:rPr/>
      </w:pPr>
      <w:r>
        <w:rPr>
          <w:rFonts w:ascii="IRNazanin" w:hAnsi="IRNazanin" w:eastAsia="IRNazanin"/>
          <w:color w:val="111111"/>
          <w:sz w:val="28"/>
          <w:sz w:val="28"/>
          <w:szCs w:val="28"/>
          <w:rtl w:val="true"/>
          <w:lang w:bidi="fa-IR"/>
        </w:rPr>
        <w:t>فهرست منابع و مصادری که در تحقیق این کتاب از آنها استفاده و یا از آنها نام برده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اشارة السّبق إلی معرفة الحقّ، علاء الدّین، ابن ابی المجد علیّ بن حسن حلبی، دفتر انتشارات اسلامی وابسته به جامعة مدرّسین حوزة علمیّة قم،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بحارالأنوار الجامعة لدرر أخبار الأئمّة الأطهار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محمّدباقر بن محمّدتقی، علاّمه‌مجلسی، 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تبرّک الصّحابة بآثار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محمّدطاهر کردی مکّی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تذکرة الفقهاء، حسن بن یوسف بن مطهّر، علاّمه‌حلّی، مؤسّسة آل‌البیت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تفسیر روح البیان، اسماعیل حقّی بروسوی، دار الفکر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مقتنیات الدّرر وملتقطات الثّمر، میرسیّدعلی حائری تهرانی، دار الکتب الإسلامیّة،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تفصیل وسائل الشّیعة إلی تحصیل مسائل الشّریعة، محمّد بن حسن، حرّ عاملی، مؤسّسة آل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تهذیب الأحکام، ابوجعفر محمّد بن حسن، شیخ طوسی، دارالکتب الإسلامیّة،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المراد تعلیقة علی شرح تجرید الاعتقاد، سیّدهاشم حسینی تهرانی، انتشارات مفید،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الجمل والعقود فی العبادات، ابوجعفر محمّد بن حسن، شیخ طوسی، مؤسّسة نشر دانشگاه فردوسی مشهد،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 الکلام فی شرح شرائع الإسلام، محمّدحسن نجفی، دار إحیاء التّراث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الحدائق النّاضرة فی أحکام العترة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یوسف بن احمد بن ابراهیم بحرانی، دفتر انتشارات اسلامی وابسته به‌جامعة مدرّسین حوزة علمیّة قم،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خصال، ابوجعفر محمّد بن علیّ بن بابویه قمّی، شیخ صدوق، دفتر انتشارات اسلامی وابسته به‌جامعة مدرّسین حوزة علمیّة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الدّروس الشّرعیّة فی فقه الإمامیّة، محمّد بن مکّی عاملی، شهید اوّل، دفتر انتشارات اسلامی وابسته به‌جامعة مدرّسین حوزة علمیّة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دیوان امام‌علی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امام‌علیّ 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پیام اسلام،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المحقّق الکرکیّ، علیّ بن حسین کرکی، محقّق ثانی، دفتر نشر اسلامی،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رسائل ومسائل، احمد بن محمّدمهدی نراقی، کنگرة نراقیین،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ستّ رسالاتٍ فقهیّة استدلالیّة، سیّدمحمّدحسین مرتضوی لنگرودی، دفتر انتشارات اسلامی وابسته به جامعة مدرّسین حوزة علمیّة 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صحیح بخاری، ابوعبدالله محمّد بن اسماعیل بخاری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من الأنباء والمناقب، سیّد بن طاووس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العروة الوثقی، سیّدمحمّدکاظم طباطبایی یزدی، دفتر انتشارات اسلامی وابسته به‌جامعة مدرّسین حوزة علمیّة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عوالی اللئالی العزیزیّة، ابن ابی جمهور محمّد بن علیّ احسایی، دار 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للنّشر،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الغدیر، عبد الحسین امینی، مؤسّسة دایرة المعارف فقه اسلامی،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غرر الحکم ودرر الکلم، عبدالواحد بن محمّد تمیمی آمدی، انتشارات دفتر تبلیغات،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غیبت نعمانی، محمّد بن ابراهیم نعمانی، مکتبة الصّدوق،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کافی،ابوجعفر محمّد بن یعقوب کلینی، دارالکتب الإسلامیّة،</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کشف الغمّة فی معرفة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علیّ بن حسین إربلی، مکتبة بنی هاشمی،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لسان العرب، ابن منظور، دار صادر، بیروت،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مجمع البحرین، فخر الدّین طریحی، کتابفروشی مرتضوی،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مستدرک الوسائل ومستنبط المسائل، میرزا حسین نوری، مؤسّسة آل البیت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المستدرک علی الصّحیحین، ابوعبدالله محمّد بن عبدالله حاکم نیشابوری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معانی الأخبار، ابوجعفر محمّد بن علیّ بن بابویه قمّی، شیخ صدوق، دفتر انتشارات اسلامی وابسته به جامعة مدرّسین حوزة علمیّة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مفتاح الکرامة فی شرح قواعد العلاّمة، سیّدجواد بن محمّد حسینی </w:t>
      </w:r>
    </w:p>
    <w:p>
      <w:pPr>
        <w:pStyle w:val="BookText"/>
        <w:rPr/>
      </w:pPr>
      <w:r>
        <w:rPr>
          <w:rFonts w:ascii="IRNazanin" w:hAnsi="IRNazanin" w:eastAsia="IRNazanin"/>
          <w:color w:val="111111"/>
          <w:sz w:val="28"/>
          <w:sz w:val="28"/>
          <w:szCs w:val="28"/>
          <w:rtl w:val="true"/>
          <w:lang w:bidi="fa-IR"/>
        </w:rPr>
        <w:t xml:space="preserve">عاملی، دفتر انتشارات اسلامی وابسته به‌جامعة مدرّسین حوزة علمیّة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لایحضره الفقیه، ابوجعفر محمّد بن علیّ بن بابویه قمّی، شیخ صدوق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المنجد، لویس معلوف، دار المشرق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المهذّب البارع فی شرح المختصر النّافع، جمال الدّین احمد بن محمّد بن اسدی حلّی، دفتر انتشارات اسلامی وابسته به‌جامعة مدرّسین حوزة علمیّة قم،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موسوعة طبقات الفقهاء، جعفر سبحانی تبریزی، مؤسّسة امام‌صادق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النّکت الاعتقادیّة، محمّد بن محمّد بن نعمان، شیخ مفید، کنگرة شیخ مفید،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ابوالحسن محمّد بن حسین بن موسی، سیّد رضیّ، انتشارات دار الهجرة</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مقدّمة عبادات،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از ابواب ولایت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کسر لام تولّي و راء تبرّي مثل تصدّي و تکدّي صحيح است، و به فتح لام و راء، غلط مشهور مي‌باشد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فروع دین مطلق، پس اساس آن بر چهار چیز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عبادات که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است؛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ایقاعات؛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سیاسات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انواع این سه قسم آخر، بسیار زیاد است که بر کسی پوشیده نیست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تعداد فروع عبادی دين، طيّ يک بررسي اجمالي، به نتايج زير دست‌يافتيم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الجمل والعقود،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مقام شمارش عبادات شرعي که ظاهراً تعبير ديگري از فروع عبادی دين است،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عبادات الشرع خمس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الصلاة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والزكاة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والصوم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 خمس را به عنوان فصلي از فصول زکات، آورده و امر به معروف و نهي از منکر را در فصل چهارم از فصول کتاب جِهاد، متعرّض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ترتيب، فروع دين از نظر شيخ</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امر است که با تولّی و تبرّی، به ده امر مي‌رسد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علاء‌الدّين حلبی</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اشارة السّبق،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رويّة 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دنبال کرده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منشأ اين‌رساله، بحثي بود که با مرحوم والد معظّم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آيت الله العظمي حاج سيّد مرتضي لنگرودی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داشتم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زماني به محضر مقدّسشان عرض نمودم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ظاهر حقّ با متأخّرين و متجدّدين است که اساس فروع عبادي دين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قدما که ده 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روزه، زکات، خمس، حجّ، جِهاد، امر به معروف، نهي از منکر، تولّي و تبرّي مي‌شمردند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هشت امر مي‌دانند، و تولّي و تبرّي را، از فروع حذف نموده‌اند؛ زيرا به نظر مي‌رسد که اين دو، از شعب اصول عقايد دين باشند، و نبايد اين دو را همچون هشت امر ديگر، از فروع دين به حساب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 له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متجدّدينِ از متأخّرين، به علل سياسي و به ملاحظة امر وحدت اسلامي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به لحاظ انصراف آن به اصل ولایت، و الاّ شامل اصل توحید و رسالت نیز می‌باشد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را جزء اصول دين، ذکر کرده‌اند، حال آنکه حقّ با همان قدما مي‌باشد که فروع را ده امر مي‌دانستند؛ چه آن که تولّی و تبرّی، غیر از ولایت و برائت اعتقادی 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تولّي، رجوع کنيد به مقدّمة دوّم، و در مورد تبرّي، رجوع کنيد به مقدّمة چهارم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از طريق اطاعت اهل ولايت باشد که بهترين نوع تولّي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يکي ديگر از مصاديق تبرّي عملي، از طريق جاري ساختن شهادت بر زبان است، مثلاً به ولايت شهادت دادن و جاري کردن آن بر زبان، از مصاديق تظاهر به ولايت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تبرّي عملي هم عمل به ارکان است و هم اقرار به لسان، ولي اعتقادي همان تصديق به جنان مي‌باشد؛ غنيمت بشمر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 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کنيد به مقدّمة يازدهم</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نه دوست و نه دشمن، نباشد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بين آن و محبّت دروني و هم تحبّب، تباين کلّي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ولايت هرچند اخصّ از محبّت است، ولي با صفت تحبّب تباين دارد؛ چنان که پوشيده نيست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ولايت به طور اشتراک لفظي بر معناي ديگر هم اطلاق مي‌شود، و آن معنا، نفس سرپرستي و صاحب اختياري محبوب است، که کلمة وليّ و مولي به عکس معناي اوّل تفسير 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اعتبار اسم فاعلي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محبوب صاحب اختيار، و کلمة مولي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اعتبار اسم مفعولي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محبّ و سرسپرده گفته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در زيارات هفتگي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روز دوشنبه، حضرت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جمله خطاب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أنا مولي لک ولآل بيتک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اي سرپرستم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سرسپردة تو و خاندان توام،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هر دو معناي مزبور آمده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از مصاديق تولّي که عمل به ولايت است، همان تظاهر است؛ چنان که از مصاديق بارز آن، اطاعت و به دست آوردن احکام واقعي اسلام از طريق اهل بيت ولايت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می‌باشد که به طور مسند، به منبع وحی و رسالت می‌رسد، و اين دو مصداق همانگونه که از مصاديق تولّي هستند، از مصاديق ولايت هم مي‌باشند و لذا بر ولايت حضرت امير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خيرالعمل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لحاظ فصول اذان و اقامه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شده يعني منظور از ولايت که خيرالعمل است، همين تظاهر به ولايت و يا عمل به دستورات آن حضرت است؛ به خوبي دقّت شود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بين آن تظاهر و هر يک از ولايت دروني و تولّي تباين کلّي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آري، در تولّي هم عمل لازم است، 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اشاره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عمل، همان عمل اظهار و جلوه دادن ولايت و محبّت دروني است، و در مفهوم آنها عمل به دستورات مطاع نيامده، ولي در تشيّع گذشته بر اين عمل تظاهر، عمل به دستور هم لازم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حقيقت، تشيّع به مثابة تقوي و خويشتن‌داري و عمل به ارکان است که پس از وجود اسلام ظاهري و ايمان قلبي تحقّق مي‌يابد، و لذا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کتاب دروس، تأليف شهيد 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من شايع عليّاً وأهل بيته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مشايعت، برخورداري از رهنمودهاي رهبر است، و اين معنا، هرچند از نظر واقع و قطع نظر از اصطلاح، به اهل 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اختصاص ندارد، بلکه شامل اطاعت عملي از شارع مقدّس و رسول مکرّم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مي‌باشد، ولي با همين قيد، از بعضي شيعه‌نماها سلب اطلاق تشيّع شده است</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تحبّب و ولايت است که در عرض يکديگرند و چه بسا نسبت بين آن دو تباين باشد؛ دقّت کنيد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خاتمه اين بحث خواهد آمد، در پاره‌اي از روايات است 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فصول اذان و اقامه، ولايت حضرات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چون عمل، ظهور در عمل خارجي دارد، لذا بايد گفت که منظور از ولايت در اينگونه روايات، همين تولّي و تظاهر عملي به ولايت است و مراد از آن، تنها ولايت قلبي نمي‌باشد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آنچه اعتقادي محض است از اصول دين مي‌باشد، و آنچه عملي و فعالي است، از فروع دين شمرده مي‌شود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مبغضت، جزء محبّت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حتّي جزء معناي سادة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بيايد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ابعاد منفي آن مي‌گردد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چنانچه متعلّق محبّت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برخلاف مشهور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دشمن باشد، در اين صورت محبّت به عکس حالت قبل، از ابعاد منفي مبغضت، خواهد شد؛ دقّت کنيد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جامعيّت اين معني و کامليّت معناي سابق در مقدّمات آينده واضح و روشن خواهد 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تحبّب در ولايت و يا بالعکس نمي‌تواند مندرج باشد، و همچنين است تبغّض در برائت و يا بالعکس؛ چنان که واضح است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به معناي جامع خود باشد، و يا با غير معناي جامع خود؛ زيرا نهايتاً در همديگر داخل مي‌شوند و در نتيجه لفظ محبّت با لفظ مبغضت مترادف مي‌شود؛ دقّت شود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در محبّت، گذشته از آنکه نسبت به دوست و دوستان دوست، بايد دوست بود، و دشمن يا بي‌تفاوت در اين دوستي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مبغضت، گذشته از آنکه نسبت به دشمن و يا دوستان دشمن، دشمن بود، و دوست يا بي‌تفاوت در اين دشمني نبود؛ دقّت کنيد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هر يک از تشيّع و تمرّد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اعتبار معناي جامع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حقايق دهگانه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عدل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معجونی مرکّب از همة آنها مي‌باشد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همچنين دشمني کامل متحقّق نمي‌شود مگر به تحقّق ابعاد دشمني؛ چنان که بر هیچ خبير دقيقی مخفي نيست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دوستانِ دوستان او، و دوستانِ دوستانِ دوستانِ او، و</w:t>
      </w:r>
      <w:r>
        <w:rPr>
          <w:rFonts w:eastAsia="IRNazanin" w:cs="IRNazanin"/>
          <w:b w:val="false"/>
          <w:bCs w:val="false"/>
          <w:i w:val="false"/>
          <w:iCs w:val="false"/>
          <w:color w:val="333333"/>
          <w:sz w:val="20"/>
          <w:szCs w:val="20"/>
          <w:rtl w:val="true"/>
        </w:rPr>
        <w:t>...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دشمنانِ دشمنان او، و دشمنانِ دشمنانِ دشمنانِ او، و</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دوستانِ دوستان او، و دوستانِ دوستانِ دوستانِ او، و</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دشمنانِ دشمنان او، و دشمنانِ دشمنانِ دشمنانِ او، و</w:t>
      </w:r>
      <w:r>
        <w:rPr>
          <w:rFonts w:eastAsia="IRNazanin" w:cs="IRNazanin"/>
          <w:b w:val="false"/>
          <w:bCs w:val="false"/>
          <w:i w:val="false"/>
          <w:iCs w:val="false"/>
          <w:color w:val="333333"/>
          <w:sz w:val="20"/>
          <w:szCs w:val="20"/>
          <w:rtl w:val="true"/>
        </w:rPr>
        <w:t>...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نسبت بين اصل‌ها با عدل‌ها پس واضح است که عموم من وجه است، مگر آنکه برخلاف اصطلاح، متعلّق عدل‌ها عين متعلّق اصل‌ها که دوست است، باشد که در اين صورت نسبت بين آنها تباين کلّي خواهد بود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 به مقدّمة هشتم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همين قياس است چنانچه براي برائت معنايي چون ولايت باشد که با هر سه معني مذکور برائت، مشترک لفظي است؛ دقّت کنيد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اتَّخَذَهُ بَريئاً يعني گفته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 فلاني را 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 ويژه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يا ديگري را بريء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دشمن ويژه</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کنيد به صفحة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وجود ايمان مستلزم عمل نيست؛ زيرا حقيقت ايمان که تصديق به جنان است، ممکن است وجود داشته باشد، ولي عمل به ارکان نباشد، بلکه وقتي حقيقت ايمان باشد، چه بسا خداي متعال به برکت وجود آن، صاحبش را از ظلمات گناه به نور طاعت مي‌رساند؛ چنان که در فرض عکس آن، کافر به سبب کفرش از نور ظاهري طاعت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صورت وجود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ظلمات عصيان کشيده مي‌شود؛ همانطور که در آيت الکرسي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وَلِيُّ الَّذينَ آمَنُوا يُخْرِجُهُمْ مِنَ الظُّلُماتِ إِلَى النُّور وَالَّذينَ كَفَرُوا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همانگونه که وجود ايمان مستلزم عمل نيست، وجود کفر و عدم ايمان هم مستلزم عدم عمل نمي‌باشد و ممکن است شخص کافر، عمل ظاهري داشته باشد</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تمام صفات ثبوتيّة حضرت حقّ تعالي مورد اعتقاد شيعيان است، و به صفت عدل اختصاص ندارد، و اينکه خصوص صفت عدل اهمّيّت داده شده و از اصول مذهب تشيّع شمرده شده است، به ملاحظة آن است که از فصول مميّز شيعه از اهل تسنّن که نوعاً جبري مذهب و منکر صفت عدل حضرت کبريايي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 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مي‌باشد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امر در برائت و به همين قياس ساير عدل</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بالعکس است؛ به خوبي دقّت شود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في الغيبة،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 ساير ذوات مقدّس از مبدأ تا مختم، به شرح و تفصيلي که در مقدّمة سيزدهم گذشت، و نيز در همان مقدّمه گفتيم که اختصاص به عترت، از اين لحاظ است که اعتقاد به مقام عترت طاهره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فصول مميّز مذهب است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اينگونه امور را دربارة دوستان عترت و يا دشمنان دشمن عترت، بايد پياده ساخت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این روایت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تَبَارَكَ وَتَعَالَی اطَّلَعَ إِلَی الأرْضِ فَاخْتَارَنَا وَاخْتَارَ لَنَا شِيعَةً يَنْصُرُونَنَا وَيَفْرَحُونَ لِفَرَحِنَا وَيَحْزَنُونَ لِحُزْنِنَا وَيَبْذُلُونَ أمْوَالَهُمْ وَأنْفُسَهُمْ فِينَا اُولَئِكَ مِنَّا وَإِلَيْنَا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خدای متعال به دنیا نگریست و ما را برگزید و برای ما شیعیان را برگزید که ما را یاری رسانند و به شادی ما شاد باشند و به حزن ما اندوهگین باشند و مال و جان خود را در راه ما بذل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از مایند و رو به سوی ما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احتجاجات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خصال،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شِيعَتُنَا جُزْءٌ مِنَّا خُلِقُوا مِنْ فَضْلِ طِينَتِنَا يَسُوؤُهُمْ مَا يَسُوؤُنَا وَيَسُرُّهُمْ مَا يَسُرُّنَا فَإِذَا أرَادَنَا أحَدٌ فَلْيَقْصِدْهُمْ فَإِنَّهُمُ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يُوصلُ مِنْهُ إِلَيْنَا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شیعیان ما جزئی از ما هستند که از فزونی گِل ما آفریده 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ناراحتی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شان ما را ناراحت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و آنچه شادشان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ما را نیز خوشحال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پس هر گاه کسی ما را اراده کند باید شیعیان ما را دیدار کند؛ آنان وسیله رسیدن به مایند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ايمان،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پایه‌های اسلام در این روایت، به اين پنج مورد، براي اهمّيّت آنهاست؛ زيرا پايه‌هاي 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حتّي امور عادي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 از اين موارد است؛ چنان که واضح و روشن است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دعائم الإسلام از كتاب ايمان و كفر،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شوري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لا أسْئَلُكُمْ عَلَيْهِ أجْراً إِلاَّ الْمَوَدَّةَ فِي الْقُرْبى</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مرجع اين معني چه بسا به آن است که مراد از مودّت، تظاهر به ولايت و يا تولّي باشد؛ زيرا تنها اعتقاد به مطاعيّت ذوي القربي در صدق مودّت، کافي نیست و به پيروي عملي نیاز دارد، و لذا بعضی، مودّت را به همین معنی گرفته‌اند؛ دقت شود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غرر الحکم از حضرت اميرمؤمنان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الْمَوَدَّةَ يُعَبِّرُ عَنْهَا اللِّسَانُ وَعَنِ الْمَحَبَّة الْعَيْنَانِ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که مودّت را زبان، ظاهر و آشکار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و محبّت را چشمان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وأيضاً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أحَبَّ شَيْئاً لَهِجَ بِذِکْرِهِ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کس چیزی را دوست بدارد بسیار یادش 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غرر، 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دَلِيلُ الْحُبِّ إِيثَارُ الْمَحْبُوبِ عَلَي مَنْ سِوَاهُ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نشان دوست داشتن، برگزیدن محبوب است بر هر آنچه غیر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 ج</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مكارم اخلاق، ح</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مصباح الشّريعة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مانند آن، که از امثال اينگونه روايات استفاده مي‌شود که منظور از مودّت، تحبّب، بلکه تولّي است که لازمه‌اش تظاهر به زبان و لهج به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لَهِجَ يلهَجُ لَهَجاً از باب عَلِمَ يَعْلَمُ يعني سخت پايبند بودن به ستايش کسي يا چيزي و پيوسته ياد او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ايثار است، به خلاف محبّت که تظاهري ندارد، جز آنکه از چشم و حالات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از گريه، و بالاخصّ گرية شوق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هيچگونه تظاهري نمايان مي‌شود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اصول فِرَق اسلام و مسلمين اين تعداد است، والاّ با ملاحظة فروع شايد قابل احصا نباشد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يَحْيَى الْبَكَّاءِ عَنْ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سَتَفْتَرِقُ اُمَّتِي عَلَى ثَلاثٍ وَسَبْعِينَ فِرْقَةً؛ فِرْقَةٌ مِنْهَا نَاجِيَةٌ، وَالْبَاقُونَ هَالِكُونَ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وَالنَّاجُونَ الَّذِينَ يَتَمَسَّكُونَ بِوَلايَتِكُمْ وَيَقْتَبِسُونَ مِنْ عِلْمِكُمْ وَلا يَعْمَلُونَ بِرَأيِهم فَاُولَئِكَ مَا عَلَيْهِمْ مِنْ 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یحیی بکّاء نقل شده که امیرمؤمنان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حضرت از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 من هفتاد و سه فرقه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شوند؛ یک فرقه نجات یافته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دیگر فرقه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هلاک 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نجات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یافتگان آنانند که به ولایت شما تمسّک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از عمل شما پیروی 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و به نظر خویش عمل ننموده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پس مسؤؤلیّتی بر عهدة آنان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صفات قاضي، ح </w:t>
      </w:r>
      <w:r>
        <w:rPr>
          <w:rFonts w:eastAsia="IRNazanin" w:cs="IRNazanin"/>
          <w:b w:val="false"/>
          <w:bCs w:val="false"/>
          <w:i w:val="false"/>
          <w:iCs w:val="false"/>
          <w:color w:val="333333"/>
          <w:sz w:val="20"/>
          <w:szCs w:val="20"/>
        </w:rPr>
        <w:t>33180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اين‌باره روايات و اشعاري به آن حضرت منسوب است که خطاب به حارث همداني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مؤمن و کافري در حال مرگش مرا مي‌بيند و مي‌شناسد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روايت و اشعار به بحارالانوار،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موت،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 ديوان امام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اگرچه مي‌توان گفت که شيعه و تشيّع مراتب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هرچند در مفهوم و حقيقت آن، اطاعت و عدم گناه معتبر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نه به آن معني که هيچ گناه نکند، بلکه ممکن است شيعه باشد و برخي از گناهان هم از او صادر شود؛ زيرا در آن مقداري که اطاعت دارد، صادق است که از رهنمودهاي اهل بيت عصمت و طهارت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مشايعت و تبعيّت نموده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بسياري از روايات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حُبُّ عَليٍّ حَسَنَةٌ لاتَضُرُّ مَعَهَا سَيِّئَةٌ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دوستي حضرت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نيکي است که هيچ زشتي به او ضرر نمي‌رساند،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بُغضُ عَلِيٍّ سَيّئَةٌ لا يَنفَعُ مَعَهَا 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مصدر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يعني دشمني با آن حضرت، گناهي است که با وجود آن هيچ کار نيکي سود نمي‌رساند، و همچنين در برخي از روايات وارد است که مبغض علي و آل علي در آتش است و محبّ علي و آل علي در بهشت؛ به عنوان نمونه، رجوع كنيد به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طُرَف من الأنباء والمناقب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سيّد بن طاووس، 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اساساً تشيّع و راه خاندان رسالت همان صراط مستقيم حقّ است، و آنکه مراد از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اَلْمَغْضُوبِِ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سورة فاتحه همانهايي هستند که مورد غضب حضرت فاطمه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گرفتند و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الضّالِّينَ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تابعين آنها مي‌باشد و به يهود و نصاري اختصاص ندارد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که با شوق و شعف بگوییم</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السنه مشهور و معروف است که فروع دين، ده امر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شايد کفايت کند که 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مسمّاي هريک واجب است و آن مسمّا است که جزء ضروري مذهب، بلکه دين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اين‌که تشهّد و صلوات در نمازهايي قرار گيرد که آن نماز در حمّام مثلاً، خوانده شود، که در اين صورت همانگونه که نماز مکروه است، همچنين است تشهّد و صلوات واقع در آن</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است که در پاره‌اي از روايات است که محبّت امري قلبي و مظهر او اشک چشم است، برخلاف مودّت که امري است لساني و مظهر او زبان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مراد از مودّت در اين حديث، تولّي مي‌باشد؛ براي توضيح بيشتر و دستيابي به مأخذ روايات، به پاورقي یک از صفحة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نوشتار رجوع شود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 است که تحبّب و تبغّض که مندرج در تولّي و تبرّي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اندراج محبّت و مبغضت در ولايت و برائت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همچون اندراج عدد نود در عدد صد مي‌باشد، بنابراين از نظر جوانحي و جوارحي بودن در حکم مندرج فیه مي‌باشد؛ کما لا يخفي</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مقدّمات گذشته گفته شد که آن دو و همچنين ولايت و برائت و حتّي عدل‌هاي آنها، داراي عرضی عريض و طويلند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ابعاد تولّي منتفي مي‌شود، بلکه و هم ابعاد تبرّي؛ زيرا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در مقدّمات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تولّي غير متعلّق تبرّي بوده، و انسان مکلّف است که هر دو را دارا باشد، هر چند در ضمن تولّي جامع و يا تبرّي جامع؛ باز هم دقّت شود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اشاره شد تشيّع به معني جامع خود، همچون تولّي و تبرّي داراي عرض عريض و طويلي است که از مبدأ متعال، سرچشمه گرفته و به مراحل آخر، به مختم مي‌رسد</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چنانچه فروع دين را به عبادات اختصاص ندهيم، بلکه نسبت به تمام فقه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طهارت گرفته تا ديات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گسترش دهيم، شايد بتوان همه را در اين چهار امر منطوي و مندرج ساخت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عبادات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معناي شامل مقدّمات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عقود؛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ايقاعات؛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سياسات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احکام ارث، حدود و ديات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که اهل و آل و عترت، همانگونه که در عرف و لغت قريب المعني، بلکه مترادفند و بر اولاد و ذرّيّة صلبي شخص اطلاق مي‌شوند، در عرف شرع مطهّر هم بر حسب روايات وارده، وقتي به پيغمبر اکرم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اضافه شوند، به يک معني و مفهومند، و مراد، آن عدّه از اولاد و ذرّيّة صلبي مي‌باشند که گذشته بر انتساب ظاهري جسماني به حضرت، از نظر کمالات معنوي و روحاني نيز به آن حضرت منتسب و تالي تلو آن وجود مقدّس باشند، و آنان منحصر به حضرت زهرا</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ساير ائمّة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حضرت عليّ بن ابي‌طالب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با حضرت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يک شجره‌اند مي‌باشند؛ چنان که روايات فراواني به اين معني گواهي 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روايتي است که در آن، از حضرت امير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دربارة عترت پيغمبر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من، حسن، حسين و امامان نه‌گانه از فرزندان حسينند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امامت، 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حديث ديگر در جواب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آل عبا مي‌باشند؛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مجمع البحرين،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الأخبار،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ابن اعرابي لغوي نقل است که عترت، اولاد و ذرّيّة صلبي شخص است، و لذا ذرّيّة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علي و فاطمه</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عترت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ناميده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دربارة معناي آل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سؤال شد؟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مراد ذرّيّة آن حضرت است و از اهل پرسش شد؟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منظورشان از ذرّيّه نيز خصوص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مراد از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مخصوصاً از آية عصمت و تطهير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يُريدُ اللَّهُ لِيُذْهِبَ عَنْكُمُ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حضرات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هستند و با وجود دو حرف خطاب جمع مذکّر در اين آيه، نساء 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 که ديگران پنداشته‌اند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نمي‌توانند مراد باشند</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آنکه صلوات در مکتب اسلام و تشيّع، به طور وجوب تشريع شده، و اکثر اهل تسنّن بين قول به وجوب و استحباب فتوا داده‌اند، و در ميان آنها، قول به جواز خالي از حکم به وجوب و يا استحباب، در اقلّيّت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همين حکم به جواز نيز مطلوب ما را که اهمّيّت آل است، تأييد مي‌کند؛ چرا که اگر اهمّيّت نداشتند، چه بسا به کراهت و يا حرمت حکم داده مي‌شد؛ دقّت کنيد</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فرستادن صلوات در تشهّد، خود، تظاهر به ولايت و از مصاديق تولّي سابق الذکر محسوب مي‌شود</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اينکه اين تشيّع، به مذهب تشيّع معروف و موسوم گشت، و به دين اسلام خوانده نشد، به ملاحظة آن است که چون پس از رحلت پيغمبر عظيم الشّأن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فرقة سنّي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يعني تابع بدعت‌هاي ديگران که این بدعت‌ها را اوّلاً بدعت حسنه نامیدند و رفته‌رفته سنّت خواندند، وگرنه حقّ آن است که به‌جای سنّی، بدعی خوانده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وجود آمد، لذا به تابعين و پيروان گفتة خدا و پيغمبر، شيعه گفته شد، و در رسالة اولي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رسالات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اشاره نموده‌ايم که وجه تسمية سنّيان به سنّي، از لحاظ عمل به سنّت پيغمبر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 زيرا به آن سنّت تقيّد ندارند، و لذا دوّمي در زمان قدرتش گفته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مُتْعَتَانِ كَانَتَا عَلَى عَهْدِ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وَأنَا اُحَرِّمُهُمَا وَاُعَاقِبُ عَلَيْهِمَا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فِتَن و مِحَن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دو سنّت حلال نبوي را من حرام مي‌کنم و کسي را که به آن دو عمل کند، عقاب مي‌نمايم و هم پس از قتل دوّمي خواستند با حضرت امير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سنّت شيخين بيعت کنند که حضرتش قبول نفرمود، و غير اينها از قرايني که مي‌رساند آنان تقيّد به سنّت شيخين و شيوخ نگه مي‌دارند و ملاک در تسميه تقيّد است پس مي‌توان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 نبوي حقيقي، همين شيعيان اثناعشري مي‌باشند که به سنّت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هيچ گونه پيرايه، عمل مي‌کنند، و اگر خواهي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سنّي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يکي سنّي نبوي که شيعيان هستند و ديگري سنّي غير نبوي که همين سنّيان معروف و مشهور مي‌باشند</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معني که حضرتش مبعوث به ايمان و ابلاغ ديني و آييني بودند که بر پاية جانشيني عترت بنا شده بود</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بترسان عشيره و فاميل نزديک خود را از عواقب وخيم بيراهه شدن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شعراء، 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احوال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منافق بر سه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يکي آن‌که فقط به عنوان استفادة شخصي اظهار اسلام مي‌کند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آنکه اظهار اسلامش براي آن است که بدانوسيله به طور پنهاني مبارزه داشته باشد، و با تيشة اظهار اسلام، در همان حال به ريشة اسلام بزند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سوّم آن‌که اظهار مي‌کند که بدانوسيله در انحراف جانشيني آينده، بهتر بکوشد، و عليه آن به طور مرموزانه نقشه طرح کند</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آن‌که سياست بر دوگونه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يکي سياست به معناي شيطنت، حقّه و نيرنگ که از ديانت جدا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به معناي مصلحت و مآل‌انديشي و تدبير امور به طور حکمت و صلاح که عين ديانت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با ملاحظة آن‌که تشهّد از مادّة شهادت است، و بدين مناسبت آن را تشهّد گفته‌اند، پس هرچه شهادت در آن کاملتر صورت گيرد، به حقيقت تشهّد، نزديکتر خواهد بود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 حضرت سرسلسله و نمونة کامل ولايت آل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مي‌باشند، و به ملاحظة آن‌که همه يک نورند، در وجود مقدّس علي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متبلور مي‌گردند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وضوح مطلب، به بياني از والد معظّم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نه از باب تشبيه، بلکه از باب تفهيم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مي‌جويم؛ ايشان مي‌فرمودند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پاره‌اي از روايات وارد است که مادّة آهن اقتضاي نجاست داشت، ولي شارع مقدّس، با ملاحظة حرج نوعي، به طهارت آن حكم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معني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 به طهارت آهن از باب حرج نوعي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مطالعة دقيق مجموع 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روايات 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نجاسات و اواني وسائل الشّيعة و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نواقض وضو از همان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مي‌آيد و از آنها استفاده مي‌شود كه در آهن قذارتي است كه حكم نجاستش برطرف شده؛ چه آنكه در اين روايات، از طرفي به نجاست آهن حكم شده است و اين كه لباس اهل آتش است، و از طرف ديگر به نظافت و مسح به آب امر شده است كه نوعاً اثر انفعال نجاستش به مسح تنها پاك نمي‌شود؛ دقّت شود</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لحاظ آنکه ايشان، اولياي خاصّة حضرت ربّ العزّة، و علّت ماندگاري دين مبين و نگهبانان شريعت مقدّس مي‌باشند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اساساً بايد گفت که شعارِ ذکر صلوات بعد از ذکر نام مقدّس رسول اکرم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اشعار به همين معني است که ذوات مقدّس آل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اشرف و اجلّ کائنات، و داراي مقام بسيار بلند و ارجمندي مي‌باشند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آن که گفته شود که عدم تجليل از نام نامي حضرت حقّ و تجليل از خصوص نام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ذکر صلوات، به اين خاطر بوده که مسلمانان، در بدو اسلام، در مقابل ساير ملل و مذاهب که اکثراً به حضرت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ولو به طور شرک‌آميز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 بودند، قرار داشتند، لذا به عنوان فصل مميّز و جدا ساختن مسلمانان از سايرين، از ذکر نام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چنين تجليل اختصاصي مي‌شد، و از ذکر نام حضرت حقّ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تجليل نمي‌گرديد، لکن اين توجيه هم خالي از وجه به نظر مي‌رسد؛ زيرا اصل توحيد خالصي که فقط در اسلام واقعي مي‌توان يافت، خود نيز فصل مميّز اسلام و مسلمين از ساير ملل و مذاهب مي‌با‌شد؛ دقّت کنيد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احزاب،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همانگونه که طبق روايت معاوية بن عمّار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ذكر، ح </w:t>
      </w:r>
      <w:r>
        <w:rPr>
          <w:rFonts w:eastAsia="IRNazanin" w:cs="IRNazanin"/>
          <w:b w:val="false"/>
          <w:bCs w:val="false"/>
          <w:i w:val="false"/>
          <w:iCs w:val="false"/>
          <w:color w:val="333333"/>
          <w:sz w:val="20"/>
          <w:szCs w:val="20"/>
        </w:rPr>
        <w:t>9129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وارد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بعد از اسامي انبيا، غير از حضرت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بر اساس روايت مرويّ در مجمع البحرين،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از جملة انبياي گرام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استثنا شده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 نَبِيِّنَا وَآلِهِ وَعَلَيْهِ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العکس، همچنين طبق مدارک مختلفة متکثّره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اکثر روايات 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ذکر کتاب وسائل الشّيعة،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بايد بعد از ذکر نام پيامبر، صلوات بر آن حضرت و بر آل ایشان ذکر شود، دون 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نداريم بعد از ذکر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نام پيامبر برده شود، و اينکه 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وَسَلِّمُوا تَسْلِيماً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معني است که بعد از ذکر صلوات بر پيامبر، سلام بر آل گفته 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براي توضيح بيشتر، مراجعه کنيد به رسالة سوّم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 رسالات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تبع اين بحث، شايد اين سؤال مطرح شود که آيا مي‌توان در نماز ميّت، به استحباب شهادت به ولايت أئمّة طاهرين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بعد از شهادتين، حکم نمود؛ مثلاً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وَأشْهَدُ أنَّ الأئِمَّةَ الْهُداةَ الْمَهْدِيّينَ الْمَعْصُومينَ الْمُکَرَّمينَ الْمُقَرَّبينَ الطَّيِّبيِنَ الطَّاهِرينَ عِبادُکَ وَأوْلِيَاؤُکَ وَاُمَنَاؤُکَ وَحُجَجُکَ عَلَي الْخَلْقِ أجْمَعينَ يَا إِلَهَ الْعَالِمينَ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جواب بايد بگوييم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با استفاده از عمومات اوّليّه، بتوان به استحباب آن حکم نمود</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اهل تسنّن به دستور دوّمي، آن را از فصول اذان حذف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مخفي نماند که آنها به امر او، آن را از فصول اقامه نيز حذف نمودند، و اينکه نامي از اقامه برده نشده به ملاحظة آن است که منظور از اذان در اينجا، به معناي عامّ شامل اقامه مي‌باشد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اذان، ح </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اين اسقاط که به نام دين شده، خود يک نحوه بدعتي است که به ادلّة اربعه، محرّم و گناه نابخشودني است؛ چه آنکه تعریف بدعت تنها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إدخال ما ليس من الدين في الدين بقصد أنّه من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بلکه در تعریف بدعت باید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البدعة أعمُّ مِنَ الإدخالِ المَذکور ومن الإخراج من الدين ما کان أو علم أنّه من الدين بقصد أنّه من الدين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بدعت تنها آن نيست که انسان امري را که از دين نيست داخل در دين کند، بلکه بدعت اعمّ است از آن ادخال و اینکه به نام دين اخراج و اسقاط کند امري را که از دين بوده و يا به علم شخصي فهميده كه از دين است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از آن‌که معناي نماز بر جملة خير العمل تحميل و بار شد، و با تحکّم و زور مراد از آن نماز گرديد، يعني برخلاف آنچه که از زمان پيغمبر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 شده بود مبنيّ بر اينکه مراد از آن، ولايت و تولّي است، به مردم چنين وانمود شد که چون خيرالعمل نماز است و وجود آن در اذان موجب ترغيب به نماز حتّي در مقابل جهاد مي‌شود، لذا به بهانة آنکه در مقابل جهاد، رغبت به نماز نشود، حذف شد، و در حقيقت از اهمّيّت امر جبهه و جهاد، سوء استفاده نمودند و وانمود کردند که جهاد، اوجب واجبات، و بر نماز که بايد خير العمل باشد، مقدّم است و نوع مردم غافل بودند از اينکه منظور نظر، کنار زدن اوجب واجبات اصولي و فروعي بوده که هيچ واجبي نمي‌تواند بدون وجود آن قبول و صحيح باشد و آن واجب، امر ولايت و تولّي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اذان، ذيل حديث </w:t>
      </w:r>
      <w:r>
        <w:rPr>
          <w:rFonts w:eastAsia="IRNazanin" w:cs="IRNazanin"/>
          <w:b w:val="false"/>
          <w:bCs w:val="false"/>
          <w:i w:val="false"/>
          <w:iCs w:val="false"/>
          <w:color w:val="333333"/>
          <w:sz w:val="20"/>
          <w:szCs w:val="20"/>
        </w:rPr>
        <w:t>4187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اين عمل فريبکارانه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حيث لايشعرون و به طور ناخودآگاه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وانمود ساختند که از خداي متعال و پيامبر گراميش، به رموز حقايق اسلام و مصالح و مفاسد احکام آن، بهتر واقف و آشنا مي‌باشند؛ نعوذ بالله تعالي من النفاق والعناد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بايد گفت که ليس هذا أوّل قارورة کسرت في الاسلام، اين اوّلين ضربه و يکتا لطمه‌اي نبود که بر پيکرة اسلام و خاندان 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آمد، بلکه منحرفين مغرض و منافقين معاند، براي اسقاط بسياري از حقايق اسلام و انحراف آن از مسير اصلي خود، علّت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هاي ظاهري مي‌تراشيدند تا مطلب بر تودة مردم مشتبه شود و در واقع علّت ديگري داشت؛ همچون امر شهادت نبيّ مکرّم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بضعة طاهره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شهادت حضرت ثامن‌الائمّه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اينها که عاملين حقيقي آنها، برخلاف مشهور، کسان ديگري بودند، و يا همچون علّت اصلي حذف خمس از احکام اسلام، و يا ممانعت ذرّيّه و آل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فدک، و غير اين موارد، که همگي، علل ديگري داشتند، ولي بر حسب ظاهر امور ديگري جلوه داده مي‌شد که بر منصف خبير پوشيده نيست، و در عين حال بايد گفت کما قال الله تعالي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يُريدُونَ لِيُطْفِئُوا نُورَ اللَّهِ بِأفْواهِهِمْ وَاللَّهُ مُتِمُّ نُورِهِ وَلَوْ كَرِهَ الْكافِرُونَ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خواهند نور خدا را با دهانهایشان خاموش سازند، در حالی که خداوند کامل کنندة نور خویش است؛ هر چند کافران خوش نداشته باشند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صفّ،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برحسب پاره‌اي از 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روايت ابي‌خالد مرويّ در کتاب کافي،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و روايت محمّد بن مسلم منقول در کتاب غيبت نعماني،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از 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آية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فَاسْتَبِِقُوا الْخَيْراتِ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همين امر ولايت است، و اطلاق جمع بر آن، تأکيد بر آن است که ولايت به تنهايي، همة خيرات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آية مبارکه، هر چند نمي‌رساند که ولايت عمل است، ولي بر چند مطلب مهم دلالت مي‌کند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مي‌رساند که ولايت، از نظر مذهب و شريعت، شاهفرد خير و خيرات است، هرچند اعتقادي صرف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ثانياً تأکيد مي‌کند که 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خير العمل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فصل اذان، ولايت و تولّي مي‌باشد؛ چنان که معروف است، و چه بسا وارد شده باشد که مراد از خير در دعاي نماز ميّت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اللَّهُمَّ إِنَّا لاَ نَعْلَمُ مِنْهُ إِلاَّ خَيْراً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نظاير آن، همان ولايت مي‌باشد که ايمان و اسلام واقعي است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اعداد فرايض، ح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امر قلبي است، بلکه چه بسا نوع عملي 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همان تولّي سابق الذکر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منظور باشد؛ زيرا آن هم از شئون ولايت بوده و مي‌تواند به ميزاني که در قدرت مکلّف است، از شرايط قبول باشد؛ دقّت کنيد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مخفي نماند که منظور از تولّي، تنها تظاهر به ولايت نيست و اگر تنها همان، منظور باشد، مراد از تظاهر به ولايت، آن نيست که کليشه‌اي که محبّت توأم با اعتقاد به امامت است، به وسيله‌اي متعارف از قلب، زبان، دست و غير آن به ظاهر درآورد، بلکه منظور آن است که به گفتة اهل ولايت که اهل بيت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مي‌باشند، عمل نمايد، و بلکه منظور از عمل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علي خير العمل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 نيست که تنها به ظاهر و با زبان گفته شود، بلکه منظور آن است که بهترين عمل اين است که احکام الهي، از طريق اهل بيت و از بيت عصمت و طهارت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شود، و اگر نماز مراد باشد، نمازي است که آداب و شرايطش، از آن راه به دست آيد و مانند آن است ساير اعمال؛ غنيمت بدان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بين تقيّه و وحدت اسلامي آن است که تقيّه در موردي است که انسان در تحت قدرت و نفوذ دشمن قرار گرفته، خود را در عمل ظاهري، به صورت اعمال آنان درمي‌آورد، و بدينوسيله خود و دين خود را محفوظ مي‌دارد، ولي وحدت اسلامي آن است که انسان با وجود قدرت و عدم نفوذ دشمن، براي سرکوب نمودن دشمن مشترک، از اعمال و گفتاري که موجب تشديد اختلاف و نزاع فيما بين است، خودداري کند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صفحة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مقدّمة هفدهم مراجعه شود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فقهاي عظام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جمله سيّدطباطبايي در عروة،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مسئلة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استحباب حکايت فصول اذان بعينها، و يا استحباب تبديل حيعلات آنها به حولقه، براي شنوندگان آن فصول از مؤذّن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بالمعني الأعمّ الشامل للمقيم ظاهراً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فرموده‌اند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اين صيغة جمع، فصولي است که در اذان، به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مصدَّر است، يعني فصل حيّ علي الصلاة، و حيّ علي الفلاح و حيّ علي خير العمل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دو کلمة جبت و طاغوت در 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أللّهُمّ العَنِ الجبتَ والطَّاغوتَ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از اسامي بت‌هاي زمان جاهليّت مي‌باشند، و در اين مقام به طور کنايي، در محلّ مورد نظر، به کار برده شده‌اند؛ چنان که واضح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گاه بعضي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اضافه مي‌كنند كه نام فردي يهودي بوده كه ريش یکی از خلفا مانند ريش وی بوده است و عايشه بدين مناسبت از 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 و تكذيب مي‌نمود</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بلکه براي شنوندگان اقامه نيز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اشاره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بلکه براي خود مؤذّن و مقيم نيز راجح است</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که روش اسلام در امر ولايت از زمان پيغمبر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بود که حقيقت امر ولايت در خلال قرآن و احاديث متّفق و غير آنها، به طور کنايي و زيرکي قرار گیرد تا هم مغرضين حذف نکنند و هم محقّقين آينده، مدرک کافي و شافي براي بدست آوردنِ حقيقت اسلام داشته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لِيَهْلِكَ مَنْ هَلَكَ عَنْ بَيِّنَةٍ وَ يَحْيَى مَنْ حَيَّ عَنْ بَيِّنَةٍ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هر کس هلاک شده، از روی بیّنه هلاک شود و هر کس زنده مانده، از روی بیّنه زنده بماند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انفال، 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خبر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الصَّلاَةُ عَمُودُ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اعداد فرايض، ح </w:t>
      </w:r>
      <w:r>
        <w:rPr>
          <w:rFonts w:eastAsia="IRNazanin" w:cs="IRNazanin"/>
          <w:b w:val="false"/>
          <w:bCs w:val="false"/>
          <w:i w:val="false"/>
          <w:iCs w:val="false"/>
          <w:color w:val="333333"/>
          <w:sz w:val="20"/>
          <w:szCs w:val="20"/>
        </w:rPr>
        <w:t>4424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قُبِلَتْ قُبِلَ مَا سِوَاهَا، وَإِنْ رُدَّتْ رُدَّ مَا سِوَاهَا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مواقيت، ح </w:t>
      </w:r>
      <w:r>
        <w:rPr>
          <w:rFonts w:eastAsia="IRNazanin" w:cs="IRNazanin"/>
          <w:b w:val="false"/>
          <w:bCs w:val="false"/>
          <w:i w:val="false"/>
          <w:iCs w:val="false"/>
          <w:color w:val="333333"/>
          <w:sz w:val="20"/>
          <w:szCs w:val="20"/>
        </w:rPr>
        <w:t>4636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از قراين مقالي و مقامي، مشهود و معلوم است که منظور از قبول منفي در اينجا، نفي کمال نيست تا همچون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لِجَارِ الْمَسْجِدِ إِلاَّ فِي الْمَسْجِدِ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مستدرک ا‌لوسائل،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مساجد، ح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تنها کمال نماز همساية مسجدي که در غير مسجد، نماز کند، منتفي شده، و صحّتش پابرجا باشد، بلکه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إِلاَّ بِفَاتِحَةِ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قرائت در نماز، ح </w:t>
      </w:r>
      <w:r>
        <w:rPr>
          <w:rFonts w:eastAsia="IRNazanin" w:cs="IRNazanin"/>
          <w:b w:val="false"/>
          <w:bCs w:val="false"/>
          <w:i w:val="false"/>
          <w:iCs w:val="false"/>
          <w:color w:val="333333"/>
          <w:sz w:val="20"/>
          <w:szCs w:val="20"/>
        </w:rPr>
        <w:t>4365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نماز بدون سورة حمد، باطل و مردود است</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اين مضمون روايات فراواني وجود دارد که اعمال غير اهل ولايت، گرچه از کثرت عبادت، همچون مَشک، خشکيده شوند، هيچگونه ارزشي ندارد، بلکه خداوند قهّار، او را به علّت عناد و عدم ولايت به سوء اختيار، به رو در آتش جهنّم خواهد انداخت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أعَاذَنَا اللهُ تَعَالَي مِنْ مُوجِبَاتِ سَخَطِهِ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باب نمونه رجوع شود به 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معاد،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آيات نازله دربارة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مزار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آية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ترجمة آزاد اين آيه مبارکه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تنها سعي و کوشش در عمل است که موجب سعادت و نجات انسان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دنيا و آخرت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مي‌شود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آية مبارکة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أرادَ الآخِرَةَ وَسَعى لَها سَعْيَها وَهُوَ مُؤْمِنٌ فَاُولئِكَ كانَ سَعْيُهُمْ مَشْكُوراً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که آخرت را خواهد و تلاشش را برای آن به کار بندد در حالی که مؤمن باشد؛ پس آنانند که تلاششان مشکور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سورة بني اسرائيل، 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استفادة اين معني از حديث ثقلين که عترت امانت است براي اخذ دستورالعمل از آن مکتب، بعيد نيست، و از خيرالعمل بودن ولايت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منظور ولايت عملي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استفاده مي‌شود که همان اطاعت از دستور خاندان رسالت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ولی این مطلب، موضوعیّت را نفی نمی‌کند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نمونه رجوع کنید به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الحبّ في الله،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امر و نهي، احادیث </w:t>
      </w:r>
      <w:r>
        <w:rPr>
          <w:rFonts w:eastAsia="IRNazanin" w:cs="IRNazanin"/>
          <w:b w:val="false"/>
          <w:bCs w:val="false"/>
          <w:i w:val="false"/>
          <w:iCs w:val="false"/>
          <w:color w:val="333333"/>
          <w:sz w:val="20"/>
          <w:szCs w:val="20"/>
        </w:rPr>
        <w:t>13927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13929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ضمن مباحث آینده روشن می‌شود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ولایت گسترده تا حضرت ولیّ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نوّاب خاصّ و عامّ ایشان</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کسی که دارای ایمان گستردة ولایت باشد، از مرز اعتقاد به مبدأ و معاد و رسالت به طور صحیح گذشته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اذان، ح </w:t>
      </w:r>
      <w:r>
        <w:rPr>
          <w:rFonts w:eastAsia="IRNazanin" w:cs="IRNazanin"/>
          <w:b w:val="false"/>
          <w:bCs w:val="false"/>
          <w:i w:val="false"/>
          <w:iCs w:val="false"/>
          <w:color w:val="333333"/>
          <w:sz w:val="20"/>
          <w:szCs w:val="20"/>
        </w:rPr>
        <w:t>6977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وسائل‌الشّيعة،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مقدّمة عبادات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کلمة تولّي به لام مفتوح، که به عنوان فروع دين عبادي، به غلط مشهور شده است، و صحيح آن به لام مکسور است، به همين معناي تولّي عملي و تظاهري است، و هم مي‌شود به معناي عملي اوّل باشد، که تولّي يعني عمل به واقع شريعت به دستور خاندان رسالت، و تبرّي يعني ترک عمل به فرامين ديگران</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دوست آن خاندان و دوست دوستانشان و دشمن دشمنانشان بودن</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حتماً در مخالفين وجود ندارد؛ چه آنکه مخالفين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اهل تسنّن، بلکه حتّی فِرَق شیعة غیر اثناعشری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نوعاً دشمن دوستان آن خاندان که شيعيان اثناعشری هستند، مي‌باشند، و عموماً دوستان دشمنانشان که از جمله شيخين و اتباع آنها هستند، مي‌باشند؛ زیرا محبّت کامل آن است که در عین این که دوست آنها و دوست دوستانشان است، دشمن دشمنانشان هم باشد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نجم، 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رواياتي كه تمامي اعمال خير را بدون دارا بودن شرط ولايت، مردود مي‌داند؛ جهت دستيابي بر پاره‌اي از اين روايات، مي‌توانيد به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مقدّمة عبادات مراجعه كنيد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تمامی آنچه که صاحبان ولایت از شریعت می‌فرمایند، به طور مسند از مصدر وحی و رسالت است، لذا تنها پیروان ایشان، سنّی واقعی نبوی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به تواتر اجمالي، بلکه معنوي از لابلاي متون آيات، اخبار و احاديث معتبر، خطب و ادعيه و زيارات مأثور مستفاد است، و ما در يکي از ابحاث ناب به طور مستوفا شرح و بسط داده‌ايم که حضرات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وسایط و مجاری فیوضات تکوینیّه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بر تشریعیّه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می‌باشند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اگر کسي تنها به ولايت تکويني آنان بدون تشريعي معتقد باشد، و در نتيجه، عمل به دستورشان هم نباشد، در آخرت اهل نجات نخواهد بود، و شايد فرقة زيديّه نسبت به خمسة 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باشند؛ دقّت کنيد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زیرا اصل اين بحث در مورد ولايت تشريعي است که دانشمندان مزبور، بدان موضوعيّت نداده‌اند و حقّ آن است که موضوعيّت دارد، نهایتاً به ضميمة ولايت تکويني، بنابراعتقاد اکثريّت شيعة اثنا‌عشري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پاورقی صفحة قبل گذشت که این امر متواتر است</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 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در قرآن مجيد، سورة ذاریات، آیة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وَما خَلَقْتُ الْجِنَّ وَالإِنْسَ إِلاَّ لِيَعْبُدُونِ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هدف از خلقت، انجام عبادت و نظایر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عدّه‌اي، عبادت در اين آيه را به معرفت تفسير نموده‌اند، ولي منظورشان اين است که لازمة عبادت، معرفت است؛ چون عبادت بي‌معرفت، عبادت نيست؛ زیرا هدف از خلقت، معرفت است، و انجام عبادت هدف نيست</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اين معني که مکتب و حدیث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آن خاندان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خُذُوا مَا رَوَوا وَذَرُوا مَا رَأَوا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جهت آن که در اوج عدالت و وثاقت هستند، قبول نمایند؛ همان گونه که اصحاب ما به دستور شرع از بنی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فضّال که مورد وثوق، ولی در فرقة باطل بودند، قبول حدیث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نمودند، ولی پذیرای آرا و عقاید آنها نبودند، این در حالی است که اهل سنّت باید مکتب و حدیث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از باب این که آن بزرگواران دارای ولایت و وساطت در تشریع و یا در تکوین هستند، از آنان اخذ نمایند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تمسّک به عترت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همانگونه که تنها محبّت نيست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عمل به گفته‌هايشان با محبّت، ولي بدون اعتقاد به امامت آنها نمي‌باشد؛ به اين معني که انسان اگر به امامت و ولایت آنها معتقد نباشد، ولي چون به آنها محبّت دارد به گفته‌هايشان که به طور سلسله مراتب به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مي‌رسد، عمل کند و آنان را همانند ساير راويان حديث از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بداند، اين چنين کسي در حقيقت به عترت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تمسّک نکرده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که ما در مقام احتجاج با مخالفين به آنها مي‌گوييم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که به امامتشان قائل نیستید، لااقلّ به گفتة آل رسول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 در واقع روایاتی مسند به وحی و رسالت و شرح و تفسير قرآن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اهمّيّت دهید؛ دقّت شود</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مقدّمة چهارم</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صفحة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مقدّمة چهارم</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يکي از چيزهايي که مانند گوي به ناحقّ، به دست اين و آن افکنده و جابه‌جا، بلکه مظلومانه ذبح مي‌شود، کلمات و الفاظي است که ظالمانه بر آنها، پاره‌اي از معاني که حتّي به طور مجاز و کنايه شايستگي آن را ندارند، تحميل و بار مي‌کنند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 واضحتر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انکار موضوعيّت داشتن اصل ولايت از طرف بعضي از دانشمندان شيعي به اين تفصيل که اعتقاد به ولايت بدون 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عمل بدون ولايت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بي‌نتيجه است و محبّين و اهل ولايت که حضرت امير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قبل از مرگ به صورت خوش زيارت مي‌کنند، به ملاحظة صِرف محبّت و اعتقاد به ولايت نيست، بلکه به لحاظ عمل نيک آنان است که در وجود مرآتي حضرتش جلوه مي‌نمايد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قاعدة لطف در اکثر کتب کلامي، روايي و فقهي، به چشم مي‌خورد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شيخ 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النکت الاعتقاديّة،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متعرّض قاعدة لطف و علّت لزوم آن شده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در محلّش روشن و مبرهن شده است که خلود در عذاب براي اهل ولايت نمي‌باشد؛ جهت تحقیق بیشتر، رجوع شود به بحار الأنوار،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معاد</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موت،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پاره‌اي از روايات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روایتی که در بحار الأنوار،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مكارم الأخلاق به نقل از جامع الأخبار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است که فقرا، پانصد سال زودتر و اغنيا ديرتر، به نعيم بهشتي متنعّم مي‌شوند، هرچند ممکن است که معطّلي، براي حساب و کتاب از اغنياي اهل ولايت نباشد، بلکه صرفاً براي امر تعديل در تنعيم بين بندگان صالح اهل ولايت باشد</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آن که روش پروردگار بر این قرار گرفته که چیزی را که بیشتر نیاز باشد، فراوان سازد؛ و روشن است که همه و همه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در آن عالم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عفو الهی نیاز داریم، لذا فراوان خواهد بود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مقدّمة پنجم مراجعه شود</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در 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قارعه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وَأمَّا مَنْ خَفَّتْ مَوازينُهُ فَاُمُّهُ هاوِيَةٌ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امّا آن کس که کفّة اعمالش سبک است، پس جایگاهش هاویه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اعراف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خَفَّتْ مَوازينُهُ فَاُولئِكَ الَّذينَ خَسِرُوا أنْفُسَهُمْ بِما كانُوا بِآياتِنا يَظْلِمُونَ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 که کفّة اعمالش سبک است، پس آنان کسانی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که به خویشتن زیان زده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 چرا که به آیات ما ستم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مؤمنون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خَفَّتْ مَوازينُهُ فَاُولئِكَ الَّذينَ خَسِرُوا أنْفُسَهُمْ في جَهَنَّمَ خالِدُونَ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 که کفّة اعمالش سبک باشد، پس آنانند که به خود زیان زده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دوزخ جاودانه خواهند بود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آري، اگر قائل شويم که معتقد به اصل محبّت و ولايت، به کلّي از مطلق عذاب‌هاي اُخروي مصون و محفوظ است و اختصاص ندارد به اينکه از خصوص عذاب مخلّد، محفوظ باشد، و به عبارت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بگوييم که اهل محبّت و ولايت، به طور حتم و يقين، نه تنها از خلود در عذاب بيمه شده‌اند، بلکه از کلّيّة عذاب‌هاي اُخروي بيمه‌اند و چنانچه سيّئات فراوان زايد بر حسنات داشته باشند و يا اساساً حسناتي نداشته باشند، و فقط سيّئات غير متعقّب به توبه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حال حيات دنيوي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داشته باشند، حتماً از نظر وجود محبّت و ايمان به ولايتشان مورد عفو و يا شفاعت قرار مي‌گيرند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قارعه، آیة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ملاحظة سبقت رحمت بر غضب در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مَنْ سَبَقَت رَحْمَتُه غَضَبَهُ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گروه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مستوي الحسنة و السيّئة به روايات زير و نظاير آن مراجعه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باب اصناف النّاس،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باب الضّلال،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معاني الاخبار،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معني الظّالم لنفسه،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همین مقدّمه گذشت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كَبائِرَ ما تُنْهَوْنَ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مضاف است و جمع مضاف مفید عموم می‌باشد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همچنین رجوع کنید به بحار 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ايمان و اسلام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فِتَن و مِحَن</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فِتَن و مِحَن،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فِتَن و مِحَن،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يتعلّق بالنّبيّ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ضرس قاطع می‌توان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صحابة پیامبر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شیعه بودند و حتّی خود آن‌حضرت از اوّل به اسلام بر مبنای ولایت امیرمؤمنان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مبعوث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این حقیقت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گذشته از آن که از مسلّمات تواریخ معتبر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آیة مبارکة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وَأنذِر عَشیرَتَکَ الأقرَبینَ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خویشان نزدیکت را انذار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شعرا، آیة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گواه قاطعی 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طلوع نمود اسلام در حالي که نه ابوحنيفه بود و نه مالک، نه شافعي، نه احمد حنبل و نه ديگران، بلکه طلوع نمود با وجود خمسة طيّبه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علي، فاطمه و حسنين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صلوات الله وسلامه وتحيّاته</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 بدون هيچگونه حساب و کتابي؛ چه آنکه فرض اين است که جز حسنات ندارد، و حساب و کتاب در صورت تخلّف و وجود سيّئات مي‌باشد، ولي بايد دانست که پاداش اينان از باب استحقاق نيست، بلکه از باب تفضّل و ايفاي وعدة ده برابر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حسنه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بیاورد، ده برابرش از آنِِ اوست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انعام، آیة</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چنانچه لطف نفرمود، نمي‌توان مطالبة حقّ و استحقاق نمود که چرا احقاق حقّ و عدل بپا ننمودي؟ بلکه سؤال نمي‌شود که چرا به وعده وفا نفرمودي؟ پس وقتي که پاداش از نوع تفضّل است، واضح است که آن طائفه که حسنات راجح و يا مساوي با سيّئات داشته باشند، تفضّل در تفضّل خواهد بود، و آن طوائف که در مراحل بعدي مورد عفو و يا شفاعت قرار مي‌گيرند، ديگر تفضّل محض و يا تفضّل در تفضّل در تفضّل است؛ چنان که پوشيده نيست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قارعه، آیة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ثَقُلَتْ مَوازينُهُ فَاُولئِكَ هُمُ الْمُفْلِحُونَ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که کفّة ترازویش سنگین باشد، پس آنان همان رستگارانند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اعراف،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مؤمنون، آیة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احراز پيامبر و ائمّه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همان ابواب و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مايتعلّق بشهر ذي الحجّة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خلاصه همانگونه که در فقه نسبت به اداي نماز وارد است که هر کس يک رکعت در وقت درک کند، از باب تفضّل مانند کسي است که همة رکعات را در وقت درک کرده، همچنين است تفضّل پروردگار نسبت به اعمال مؤمن معتقد در قيامت که هر کس حسناتش افزون بر سيّئات و يا مساوي باشد، مانند کسي است که هيچ گناهي نکرده و با او تفضّلاً همانند کسي که تنها حسنات دارد، رفتار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فَکَما أنَّ مَنْ أدْرَكَ رَكْعَةً فَقَدْ أدْرَکَ الکُلّ جميعاً تَفَضُّلاً مِنْهُ تبارک وتعالي، کَذلِکَ مَنْ زادَتْ حَسَناتُهُ عَلي سَيِّئاتِهِ أوْ ساوَتها فَکَأنَّما لَمْ يُسِيء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وَهَذَا تَفَضُّلٌ عَظيمٌ مِنْهُ تعالي کَمَا نَطَقَت بِهِ المَدَارِکُ، وَلا سِيَّما القُرْآنِ الْمَجيِدِ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قارعه،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مانند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خَفَّتْ مَوازينُهُ فَاُولئِكَ الَّذينَ خَسِرُوا أنْفُسَهُمْ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هر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سنجیده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سبک باشد، پس آنانند که بر خویشتن زیان رسانیده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سورة اعراف، آیة</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مؤمنون، آیة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روایت زیر و امثال آن، ناظر به همین معناست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شَفاعَتِی لأهلِ الکَبَائِرِ مِن اُمَّتِی، فَأمَّا المُحسِنونَ فَما عَلَیهِم مِن سَبیلٍ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شفاعت من به اهل گناهان کبیره از امّتم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رسد، امّا بر نیکوکاران امّت، مسؤولیّتی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جهاد نفس، ح </w:t>
      </w:r>
      <w:r>
        <w:rPr>
          <w:rFonts w:eastAsia="IRNazanin" w:cs="IRNazanin"/>
          <w:b w:val="false"/>
          <w:bCs w:val="false"/>
          <w:i w:val="false"/>
          <w:iCs w:val="false"/>
          <w:color w:val="333333"/>
          <w:sz w:val="20"/>
          <w:szCs w:val="20"/>
        </w:rPr>
        <w:t>20675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موت،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معاد، ح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حضرت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اتَّقُوا اللهَ فی عِبادِهِ وبِلادِهِ؛ فَإنَّکُم مَسئولونَ حَتَّی عَنِ البِقاعِ والبَهَائِمِ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دربارة بندگان خدا و شهرهایش تقوای خدا را پیشه کنید که همانا شما از بقعه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 و چهارپایان نیز پرسیده خواهید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باب</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ما يتعلّق بالإمام الحسن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تکاثر،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معاد، 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آيات نازله دربارة اهل 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آداب أكل،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اين است که از اهل ولايت در مورد نعمت‌هاي دنيوي سؤال نمي‌شود، و به اصطلاح چون ايمان و ولايت دارند نوش جانشان 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غير اهل ولايت که گفته شد، از آنها اضافه بر نعمت ولايت، از نعمت‌های دنیوی به طور مؤکّد سؤال مي‌شود، کوفتشان باد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رعد، آیة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صافّات، آیة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سورة تکاثر، آیة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معاد،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مكارم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اغنيا و فقراي غير اهل ولايت که در هلاکت ابدي هستند، از دايرة رفتن به بهشت برين و استفاده از نعمت‌هاي آن محرومند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یونس، 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آنکه في الواقع و طبق مدارک مسلّم، شرط قبولي اعمال، بلکه صحّت آنها، اعتقاد به ولايت خاندان مقدّس الهي است؛ رجوع شود به 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مقدّمة عبادات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آیة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 در حقيقت تفسير آيه چنين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ناصر الّذين اعتقدوا بالْولاية يُخْرِجُهُمْ مِنْ ظُلُماتِ الْمَعاصي اِلي نُورِ الطّاعة؛ فليغتنم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في من دانَ الله عزّ وجلّ بغير إمام،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مقدّمة آتی، به برخی از روایاتی که بر این مطلب دلالت دارد، اشاره خواهد شد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روایات، آیاتی از قرآن کریم، بر این مطلب، دلالت صریح دارند که می‌توان به موارد زیر اشاره نمود</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روایتی که در بحارالانوار،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ایمان از امیرالمؤمنین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شده که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شِيعَتِنَا أحَدٌ يُقَارِفُ أمْراً نَهَيْنَاهُ عَنْهُ فَيَمُوتُ حَتَّى يَبْتَلِيَهُ اللَّهُ بِبَلِيَّةٍ تُمَحَّصُ بِهَا ذُنُوبُهُ إِمَّا فِي مَالِهِ أوْ وُلْدِهِ وَإِمَّا فِي نَفْسِهِ حَتَّى يَلْقَى اللَّهَ مُحِبُّنَا وَمَا لَهُ ذَنْبٌ وَإِنَّهُ لَيَبْقَى عَلَيْهِ شَيْ‌ءٌ مِنْ ذُنُوبِهِ فَيُشَدَّدُ عَلَيْهِ عِنْدَ مَوْتِهِ فَتُمَحَّصُ ذُنُوبُهُ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شیعیان ما کسی نیست که مرتکب حرام یا مکروهی شود و بمیرد مگر اینکه به بلایی مبتلا شود که به واسطة آن، گناهانش از بین برود، این بلا ممکن است در مال یا فرزند او و یا در جسم و جانش باشد که در این صورت خداوند را در حالی ملاقات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 که گناهی برایش نوشته نشده است</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آري، در مورد بعضي از اعمال توصّلي غير اهل ايمان، چنانچه به قصد خدمت به خلق که مرجعش به خدا است، باشد و خلق هم از آن استفاده نموده باشند، مي‌توان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باطل محض نيست، بلکه برايشان اثر تخفيف عذاب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انسان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عبادي و توصّلي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توصّلي نيز بر دو قسم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اوّل اعمالی است که به نيّت استفادة خود، انجام داده است؛ مثل اينکه لباس خود را شسته که خودش پاک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عملِ توصّلي براي آنان هیچ اثري ندارد، هر چند که تصادفاً خلق هم استفاده کنند؛ چون از اوّل، نيّت استفادة ديگران را نداشته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وَإنّما الأعمالُ بِالنّيّاتِ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تهذيب،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خلاف شرط وجوبي، همچون وقت براي وجوب نماز و استطاعت براي وجوب حجّ که خود‌به‌خود، آن شرايط بايد محقّق بشود، و تحصيل و تحقّق دادن آن، واجب نيست؛ دقّت شود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برخي امکنه، معروف است که چلچله تا گِل مکّه در منقارش نباشد، خانه‌ساز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است انسان، تا ولايت و محبّت نداشته باشد، در آن عالم چاره‌ساز و کارساز نمي‌باشد</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مقدّمة هفتم رجوع کنید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بسیاری از باباشَمَل‌های گنهکار دیده و شنیده شده که به خاطر همین ایمان واقعی و صفای باطنی پرهیزکار شده‌اند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همچنان که در روایت آمده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عَبْدِ الرَّحْمَنِ بْنِ كَثِيرٍ عَنْ أبِي عَبْدِاللَّهِ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 لِلْمُسْلِمِينَ عَامَّةً وَالْحَسَنَةُ الْوَلايَةُ، فَمَنْ عَمِلَ مِنْ حَسَنَةٍ كُتِبَتْ لَهُ عَشْراً فَإِنْ لَمْ يَكُنْ وَلايَةٌ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 عَنْهُ بِمَا عَمِلَ مِنْ حَسَنَتِهِ فِي الدُّنْيَا وَمَا لَهُ فِي الآخِرَةِ مِنْ خَلاَقٍ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عبدالرحمن بن کثیر روایت نموده که امام 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دربارة این آیه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که نیکی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به‌جا آورد، ده برابرش از آنِ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آیه برای همة مسلمین است و منظور از حسنه، ولایت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هر که حسنه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به‌جا آورد ده برابر برای او نوشته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پس اگر ولایت نداشته باشد، از او در دنیا به واسطة حسنه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اش دفع بلا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شود و در آخرت برای او نصیبی نخواهد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ولاية الأئمّة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آیة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نمونه‌هایی از این احادیث در مقدّمة هشتم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نیز به بيان نمونه‌ای بسنده می‌کنیم</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اين عدّه که تنها حسنات دارند، چه رسد به آنها که سيّئات مرجوح هم دارند، و باز چه رسد به آنها که سيّئات مساوي دارند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لحاظ این که هول‌های قیامت جدای از هراس‌های برزخ است، دو نحوه موضوعیّت می‌شود، لذا این جهت مانند جهت هشتم ذووجهین می‌شود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مقدّمة پنجم به بعضی از آنها اشاره شد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سخا و جود حاتم طایی، و قربانی نمودن ابولهب از شادی روز دوشنبه به خاطر میلاد برادرزاده‌اش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طبق پاره‌ای از روایات روزهای دوشنبه برایش تخفیف عذابی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آنچه در تفسیر روح‌البیان،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تفسیر مقتنیات الدُّرر،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ابولهب در روز دوشنبه‌ای که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به دنیا آمد، خبر ولادت را از زبان کنیز خود شنید و به جهت خوشحالیش وی را آزاد نمود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این‌رو هر شب دوشنبه از انگشت ابهام یا بین ابهام و سبّابة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اختلاف نقل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آب نوشانده می‌شود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حکم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ذَا الَّذي يَشْفَعُ عِنْدَهُ إِلاَّ بِإِذْنِهِ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کسی است که شفاعت کند نزدش جز به اذنش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بقره، 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يَشْفَعُونَ إِلاَّ لِمَنِ ارْتَضى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شفاعت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 xml:space="preserve">کنند مگر برای کسی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او راضی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انبيا،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آنها</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آن که حقّ آن است که ايمان متحقّق شده، از کثرت گناه از بين نمي‌رود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كَذَّبُوا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آية شريفة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كانَ عاقِبَةَ الَّذينَ أساؤُا السُّواى أنْ كَذَّبُوا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سورة روم، آیة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علّت است، نه غايت؛ يعني علّت آنان که گناه و بد کردند همان بود که از اوّل تکذيب کنندة وليّ دين بودند، نه آنکه گناه کردن به تکذيب و بي‌ديني منجر شد، پس عاقبت آنان که بد کردند همان بدي است، ولي علّت آن بدکردن‌ها آن بود که از اوّل بي‌دين بودند و ايمان واقعي نياورده بودند، بلکه به حکم آية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اللَّهُ وَلِيُّ الَّذينَ آمَنُوا يُخْرِجُهُمْ مِنَ الظُّلُماتِ إِلَى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گذشت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انسان ايمان حقيقي آورد و آن را به حضرت حقّ تحويل نمود، حضرت حقّ ياور او خواهد بود و او را در ترک گناه کمک و مساعدت مي‌فرمايد، و امّا جريان‌هایی نظير بلعم باعورا و برصیصای عابد که پس از آن همه عبادت و بندگي و داشتن ايمان، کافر شدند، بايد گفت که اينان در حقیقت همچون شیطان، ايمان واقعي نداشتند و بر حسب ظاهر ايمان و عبادت داشتند و خرق عادت‌هايي هم که داشتند از خاصيّت‌هاي بعضي از اسماء و آثار وجودي بعضي از طلسمات و نظاير آنها بوده، و الاّ چنانچه به طور حقيقت ايمان داشتند، به حکم آیة شریفه محفوظ مي‌بودند؛ پس غنيمت شمار</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در مقدّمة ششم گذشت</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همان جهات سیزده‌گانه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ملاحظه‌ای پانزده‌گانه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اگر کافری پیش از آثار مرگ، اهل ولایت شود</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بعید نیست که منظور از عصر مورد قسم، عصر باعظمت امام 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عَجَّلَ اللهُ تَعالَی فَرَجَهُ الشَّریفَ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که از عصر غیبت صغری و کبری تا عصر ظهور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شاءَ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گسترده است</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هر کس شما خاندان رسالت را شناخت، خداي را شناخته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وسائل الشّيعة،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مزار، ح </w:t>
      </w:r>
      <w:r>
        <w:rPr>
          <w:rFonts w:eastAsia="IRNazanin" w:cs="IRNazanin"/>
          <w:b w:val="false"/>
          <w:bCs w:val="false"/>
          <w:i w:val="false"/>
          <w:iCs w:val="false"/>
          <w:color w:val="333333"/>
          <w:sz w:val="20"/>
          <w:szCs w:val="20"/>
        </w:rPr>
        <w:t>19797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عَرَفَهُم فقد عَرَفَ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بحارالانوار،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تاريخ پيامبر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كتاب امامت،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عَرَفنا فقد عَرَفَ الله</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خدايا خودت را به من بشناسان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ولو شناخت اجمالي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اگر نشناساني، پيامبرت را نخواهم شناخت، و چون پس از شناساندن خود، او را به من نشناساني، حجّت تو را نخواهم شناخت و در نتيجه گمراه مي‌شوم؛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في الغيبة،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خدايا حجّتت را پس از شناسايي اجمالي خودت به من بشناسان، که اگر نشناساني، پيامبرت را به طور کامل نخواهم شناخت، و پيامبرت را به طور کامل من بشناسان، که اگر نشناساني، خودت را به طور کامل نخواهم شناخت، و چون تو را به طور کامل نشناسم، گمراه خواهم بود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چه نیک سروده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سایر حجج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شناختم من به خدا قسم، خدا را</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واقع سنّی حقیقی نبوی، همین اهل ولایتند، و دیگران سنّی غیر نبوی، بلکه بدعی‌اند؛ زیرا بدعت‌های دیگران را ابتداءً بدعت حسنه و سپس رفته‌رفته سنّت نامیدند و به سنّی نامیده شدند، و بی‌خبران تصوّر می‌کنند که آنها سنّی نبوی هستند؛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والدّلیلُ عَلَی ذلِکَ أنّهُم عاکِفونَ عَلَی تِلکَ البِدَعِ، ولدی الدَّوَرانِ یُقَدِّمونَها عَلَی السُّنَنِ النَّبَوِیَّة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ذاريات، 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آية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نمي‌آمرزد آن كس را كه به حضرتش شرك ورزيده باشد، ولي مي‌آمرزد پايين‌تر از گناه شرك را براي هر كس كه بخواهد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خود يکي از شرايط توبه است که شايد جدا آوردن آن، نشانة تأکيد مؤلّف محترم بر اين مطلب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 تحقیق</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کلام خدا می‌توان به آیات زیر اشاره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يا عِبادِيَ الَّذينَ أسْرَفُوا عَلى أنْفُسِهِمْ لا تَقْنَطُوا مِنْ رَحْمَةِ اللَّهِ إِنَّ اللَّهَ يَغْفِرُ الذُّنُوبَ جَميعاً إِنَّهُ هُوَ الْغَفُورُ الرَّحيمُ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بگو ای بندگانم که بر خویشتن اسراف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ستم</w:t>
      </w:r>
      <w:r>
        <w:rPr>
          <w:rFonts w:eastAsia="IRNazanin" w:cs="IRNazanin"/>
          <w:b w:val="false"/>
          <w:bCs w:val="false"/>
          <w:i w:val="false"/>
          <w:iCs w:val="false"/>
          <w:color w:val="333333"/>
          <w:sz w:val="20"/>
          <w:szCs w:val="20"/>
          <w:rtl w:val="true"/>
        </w:rPr>
        <w:t xml:space="preserve">] </w:t>
        <w:softHyphen/>
      </w:r>
      <w:r>
        <w:rPr>
          <w:rFonts w:ascii="IRNazanin" w:hAnsi="IRNazanin" w:eastAsia="IRNazanin"/>
          <w:b w:val="false"/>
          <w:b w:val="false"/>
          <w:bCs w:val="false"/>
          <w:i w:val="false"/>
          <w:i w:val="false"/>
          <w:iCs w:val="false"/>
          <w:color w:val="333333"/>
          <w:sz w:val="20"/>
          <w:sz w:val="20"/>
          <w:szCs w:val="20"/>
          <w:rtl w:val="true"/>
        </w:rPr>
        <w:t>کرديد؛ از رحمت خدا ناامید نگردید که خداوند همة گناهان 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بخشد؛ همانا او بخشندة مهربان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زمر، آیة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تحقیق بیشتر، رجوع کنید به تذکرة الفقهاء،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رسائل المحقّق الکرکی،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الحدائق الناضرة،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جواهرالکلام،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اقسام طلاق، ح </w:t>
      </w:r>
      <w:r>
        <w:rPr>
          <w:rFonts w:eastAsia="IRNazanin" w:cs="IRNazanin"/>
          <w:b w:val="false"/>
          <w:bCs w:val="false"/>
          <w:i w:val="false"/>
          <w:iCs w:val="false"/>
          <w:color w:val="333333"/>
          <w:sz w:val="20"/>
          <w:szCs w:val="20"/>
        </w:rPr>
        <w:t>28301</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مگر آنکه گفته شود که همان محکوم بودنِ مرتدّ فطري به مرگ و قتل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بعد از تحقّق حکم حاکم شرع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از نشانه‌هاي ظهور مرگ است که توبه در آن حالت حتّي از نظر باطن، قبول نخواهد شد؛ دقّت شود</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البارع،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الحدائق الناضرة،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تحقيق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 گفت که وجوب قضای تکالیف شرعی بر مرتدّ در زمان ارتداد، برمکلّف بودن مرتدّ به احکام تکلیفی قبل از اجرای حدّ، دلالت دارد؛ برای تحقیق بیشتر، رجوع کنید به مفتاح‌الکرامة،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آنکه حقّ آن است که کفّار همانگونه که به تحصيل اصول دين مکلّف هستند، به انجام فروع هم مکلّف مي‌باشند، و لذا در قيامت از فروع هم مؤاخذه 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جواب دهند که انجام آن بدون تحقّق اصول امکان نداشت در ردّ آن جواب گفته مي‌شود که چرا شرط آن را که ايمان به اصول است، در خود تحقّق نداديد؟</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قيد خاصّه اشاره به اين است که پذيرفتن توبة توبه‌کنندگان حقيقي از طرف حضرت حقّ، في نفسه يک نحوه عفو و غفراني است که حضرتش، نسبت به گنهکار مي‌فرمايد؛ چه آنکه در واقع معاملة بي‌گناه کردن با تائب از گناه، از باب تفضّل است، نه از باب استحقاق؛ دقّت کنيد</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بين توبه و قبولي آن و بين عفو و غفران دو فرق است، يکي اينکه توبه و قبولي آن قبل از مرگ و ظهور نشانه‌هاي آن است، و عفو و غفران بعد از آن مي‌باشد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اينکه توبه چنانچه در وقتش به طور حقيقي تحقّق يابد، قبولي آن حتمي است، ولي عفو و غفران در موردش حتمي نيست، بلکه ممکن مي‌باشد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لايَغْفِرُ أنْ يُشْرَكَ بِهِ وَيَغْفِرُ مادُونَ ذلِكَ لِمَنْ يَشاء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نمی‌آمرزد آن کس را که به حضرتش شرک ورزیده باشد، ولی می‌آمرزد پایین‌تر از گناه شرک را برای هر کس که بخواهد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مخفي نماند وقتي که مشرک چنين است پس به طريق اولي کسی که منکر اصل الوهيّت الله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العیاذ بالله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کمونيست‌ها به خدايي قائل نيست و يا لااقلّ شاکّ است، و يا غير قابلي را از روي غلوّ، خدا مي‌داند و غلوّ نابجا دارد چون عليّ اللهيان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مشمول آمرزش نيست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آنکه هرچند غفران گناهان مادون در آيه، بر مشيّت حقّ معلّق شده، و اين تعلّق چه بسا مي‌رساند که آمرزش حتمي نيست، بلکه تحت مشيّت است، لکن از لحن آيه عند الدقّة استظهار مي‌شود که مشيّت حضرتش در واقع امر، به آمرزش مادون شرک تعلّق گرفته و حتميّت دارد؛ دقّت کنيد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لايَغْفِرُ أنْ يُشْرَكَ بِهِ وَيَغْفِرُ مادُونَ ذلِكَ لِمَنْ يَشاء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نمی‌آمرزد آن کس را که به حضرتش شرک ورزیده باشد، ولی می‌آمرزد پایین‌تر از گناه شرک را برای هر کس که بخواهد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به اين معني از بنوّت تصريح دارند که ابن الله حقيقي‌اند، والاّ اطلاق عنوان مجازي همچون اطلاق يد الله، عين الله، اُذُن الله، اَسَد الله و نظاير آن بر غير حضرت حقّ، محذوري نخواهد داشت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صورتي که آن فرزند در افعال تشريعي خود مستقلّ باشد؛ چنان که برحسب معتقداتشان هست؛ چه آنکه وقتي به مقتضاي اعتقادشان در امر تکوين، در عرض پدر، صاحب اختيار باشد، قهراً بايد در امر فعل خويش به طریق اولي، صاحب اختيار باشد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عبارت ديگر عالم را از وجود حضرت حقّ بريدن و ممحّض به وجود غير آن مبدأ حقيقي دانستن، هرچند شرک نيست، ولي توحيد هم نيست، بلکه تکثير است که باطل‌تر از تشريک مي‌باشد، اگر يافت شود، و لکن به ضرس قاطع مي‌توان گفت که چنين اعتقاد سلبي و قول به عدم وجود حقّ، در دنيا يافت نمي‌شود، هرچند تظاهر شود و آنچه يافت مي‌شود في الواقع شکّ و عدم اعتقاد است، منظور از انکار حقّ هم همين معناي شکّ است، و الاّ اعتقاد به عدم، چون اعتقاد به وجود، مستلزم اقامة برهان و دليل است که هرگز ندارند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که روايت از 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لاَجَبْرَ وَلاَتَفْوِيضَ وَلَكِنْ أمْرٌ بَيْنَ أمْرَيْنِ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 الجبر از كتاب توحيد،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در عالم تشريع نه جبر محض تحقّق دارد و نه تفويض محض، و آنچه محقّق است حقيقتي بينابين است، و حقّ آن است که اين حقيقت بين‌الامريني به افعال تشريعي بندگان اختصاص ندارد، بلکه بنابر روايات، چون حضرات معصومين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عالم تکوين فاعل ما منه الوجودند بايد گفت که فاعليّتشان در کائنات نيز جبر محض و تفويض محض نيست، بلکه بين الامرين است و به طور حقيقت، هم مستند به حقّ می‌باشند و هم مستند به آن حضرات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دقّت کنيد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رسالة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تحقیق در معنای أمرٌ بَینَ الأمرَینِ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انتهای همین کتاب خواهد آمد، رجوع کنید</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برحسب ظاهر، هر کدام جزء العلّة به حساب مي‌آيند، ولي برحسب باطن امر، هر کدام علّت تامّة وجود آن معلول و مؤکّد وجودي آن اثر مي‌باشند؛ دقّت کنيد</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بدانکه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إيَّاکَ نَعبُدُ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سورة مبارکة حمد، اشاره به نفي جبر است و اينکه عمل عبادت از آنِ بندگان و در اختيار آنان مي‌باشد، و بندگان آنگونه نيستند که اختيار عمل را نداشته باشند، 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إيَّاکَ نَستَعِينُ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نفي تفويض است و اينکه اختيار بنده در عمل، اختيار محض نيست، بلکه با استعانت و کمک حضرتش تحقّق مي‌يابد، و لذا مي‌توان گفت که جملات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إهدِنَا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آخر سوره، اشاره به همان امر بين الامرين است؛ چه آنکه معنايش آن است که تو ما را به راه راست بدار تا ما با واداشتن تو، راه راست را بپيماييم؛ اشارة مزبور از اينجاست که عمل هدايت، به 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 و بنده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است، به خلاف عمل اعانت که تنها به حقّ مستند است و به خلاف عمل عبادت که تنها به خلق مستند است؛ دقّت کنيد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همچنين ذکر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بحول الله وقوّته أقوم وأقعد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حال قيام نماز وارد است، مي‌رساند که قيام و قعود در اختيار محض انسان نيست، بلکه با حول و قوّة الهي توأم است، و اين همان معناي امر بين الامرين است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از عقاید و آرای ابن تیمیّه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برخورد علمای اهل سنّت با وی، رجوع کنید به موسوعة طبقات الفقهاء،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حقیقت نقشة اجانب این بود که چنین آیینی را به صورت اسلامی بسازند و آثار مسلّم اسلام و تشیّع را به نام اسلام، محو و نابود کنند و مسلمانان را بدینوسیله، از حقیقت اسلام منحرف و خارج سازند؛ زیرا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دانستند که مسلمانان هرگز حاضر نیستند به سادگی از اسلام و حقایق و آثار آن دست بردارند و به آیین تحریف شدة گذشته درآیند؛ لذا به محو آثار اسلام، رنگ اسلامی زدند تا به راحتی به مراد ضدّ اسلامی خود برسند</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به موارد زیر توجّه کنید</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روایت ابن‌عبّاس که در بحارالانوار، ج</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فضائل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فَقَالَ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الْمَلائِكَةَ يَتَسَابَقُونَ عَلَى أخْذِ الْمَاءِ الَّذِي يَقَعُ مِنْ يَدِكَ فَيَغْسِلُونَ بِهِ وُجُوهَهُمْ يَتَبَرَّكُونَ 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فرشتگان بر گرفتن آبی که از دستت فرو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چکد سبقت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جویند و صورت</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هایشان را با آن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شویند تا با آن تبرّک جویند</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روایتی که در بحار الانوار،ج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احتجاجات أميرالمؤمنين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وَلَكِنَّهَا عَصَا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فَأرَدْتُ أنْ أتَبَرَّكَ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إِنِّي لَوْ عَلِمْتُ ذَلِكَ وَأنَّهَا عَصَا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لَقُمْتُ وَقَبَّلْتُهَا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ولکن این عصای پیامبر است،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خواهم به آن تبرّک جویم؛ ابوحنیفه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دانستم که این، عصای پیامبر است، برمی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خاستم و آن را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بوسیدم</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نظیر روایت معاویة بن عمّار که در وسائل‌الشّيعة،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مزار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فَائْتِ الْمِنْبَرَ فَامْسَحْهُ بِيَدِكَ وَخُذْ بِرُمَّانَتَيْهِ وَهُمَا السُّفْلاوَانِ وَامْسَحْ عَيْنَيْكَ وَوَجْهَكَ بِهِ فَإِنَّهُ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شِفَاءٌ لِلْعَيْن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نزد منبر بیا و با دستت آن را مسح کن و دو قبّة آن را که پایین آن است بگیر و چشمان و صورتت را به آن مسح کن که همانا گفته شده است که آن شفای چشم است</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علمای اهل سنّت به نام علاّمه شیخ محمّدطاهر کردی مکّی در سال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قمری به چاپ تألیفی از خود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تبرُّک الصَّحابة بآثار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اقدام نمود که در آن ثابت کرده همة مسلمانان به آثار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تبرّک می‌جستند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مقدّمة کتاب خود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باید دانست که تبرّک جستن به آثار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نزد مؤمنین از زمان‌های دور تاکنون یک روش پیوسته بوده و هست؛ زیرا پیامبران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نزد خدا بزرگند و هم بر همة مردم برتری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در ادامه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صحابه که راه‌دان و رهبر و سرمشق شایستة دیگرانند به مو، آب وضو، عرق بدن، لباس‌ها، ظروف، جسد و به دیگر آثار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تبرُّک جسته‌اند و بزرگان مورّخین نقل کرده‌اند و به جرأت می‌توان گفت که تبرُّک جستن به آثار پیامبر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سیره و سنّت صحابه بوده است و سپس تابعین و مؤمنین برجسته و صالح نیز از آنان پیروی کرده‌اند</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نظیر روایت جابر و دیگران که در مستدرك الوسائل،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سجود آمده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فَلَمَّا قَارَفَ آدَمُ الْخَطِيئَةَ وَاُخْرِجَ مِنَ الْجَنَّةِ تَوَسَّلَ إِلَى اللَّهِ وَهُوَ سَاجِدٌ بِمُحَمَّدٍ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وَحَامَّتِهِ وَأهْلِ بَيْتِهِ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هَؤُلآءِ فَغَفَرَ لَهُ خَطِيئَتَه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هنگامی که آدم مبتلا به خطا شد و از بهشت خارج گردید، در سجده به واسطة محمّد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خاندان و خویشانش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سوی خداوند توسّل جست، پس خداوند خطایش را بخشید </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عنوان نمونه می‌توان به روایت سماعه که در بحارالانوار،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معاد آمده اشاره نمود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فَيَأتُونَ آدَمَ فَيَقُولُونَ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اشْفَعْ 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فَيَقُولُ عَلَيْكُمْ بِمُحَمَّدٍ رَسُولِ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نزد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نبیّنا و آله و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آمدند 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شفاعت کن 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آنجا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شما باد به محمّد پیامبر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او شفاعت جویید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گروه تحقیق</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آية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ذَاالَّذي يَشْفَعُ عِنْدَهُ إِلاَّ بِإِذْنِهِ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شَفيعٍ إِلاَّ مِنْ بَعْدِ إِذْنِهِ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کننده</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ای نیست مگر پس از اجازه دادن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يَمْلِكُونَ الشَّفاعَةَ إِلاَّ مَنِ اتَّخَذَ عِنْدَ الرَّحْمنِ عَهْداً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را مالک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شوند مگر کسی که پیماني نزد خدای رحمان بسته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لاتَنْفَعُ الشَّفاعَةُ إِلاَّ مَنْ أذِنَ لَهُ الرَّحْمنُ وَرَضِيَ لَهُ قَوْلاً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سودی ندارد مگر برای کسی که خدای بخشنده به او اجازه داده باشد و از سخن او خشنود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انبياء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يَشْفَعُونَ إِلاَّ لِمَنِ ارْتَضی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نمی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کنند مگر برای کسی که خدا رضایت 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سبأ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تَنْفَعُ الشَّفاعَةُ إِلاَّ مَنْ أذِنَ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شفاعت سودی ندارد جز برای کسی که به او اجازه 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بهترين آية توسّل به غير، گفتة فرزندان يعقوب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خطاب به پدرشان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أبانَا اسْتَغْفِرْ لَنا ذُنُوبَنا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پدر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گناهانمان طلب مغفرت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نذر</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تحقیق بیشتر به رساله‌ای که در ادامه خواهد آمد و به بررسی حقیقت و ماهیّت عبادت می‌پردازد، مراجعه کنید</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نماز و رکوع و سجود و مانند آنها که بدون هيچگونه قيدي در مصاديق واقعي ماهيّت عبادت و پرستش در می‌آیند</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زيارت، توسّل، استلام، بوسه و نظایر آنها که اگر در قبال کسي که او را اله و ربّ واقعي بدانند انجام شود، از مصاديق واقعي ماهيّت عبادت و پرستش شمرده مي‌شوند، نه مطلقاً</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لسان العرب،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هر يک به لحاظ خصوصيّتي که دارند، نسبت به همديگر تباين کلّي داشته، و نسبت به معناي لغويِ وسيع‌تر از هر دو، اخصّ مطلق مي‌باشند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اله و ربّ حقيقي و مبدأ آفرينش جهان وجود و هستي</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مي‌توان گفت که اين سجده و نظایر آن، چون اکثراً در عرف شريعت اسلام هيچگاه آورده نمي‌شود مگر در قبال ذاتي که انسان، او را اله و ربّ بداند، لذا به سبب این علاقة کثرت، سجده و نظایرش در عرف اسلام عبادت محسوب شده، وگرنه معلوم نيست که في نفسه و خود‌به‌خود چنين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بايد گفت که اگر چنين باشد لازم می‌آيد که در اسلام جایز باشد که انسان سجده و نظایر آن 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روش بسياري از فرقة صوفيّه و دراويش نسبت به مرشدشان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قبال کسي که او را اله و ربّ نداند، انجام دهد، در حالي که چنین چیزی جايز نيست، بلکه شديداً ممنوع و منهيّ عنه است؛ چنان که در دعاي بعد از نماز زيارت روز عرفة حضرت اباعبدالله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چنين عبارتي وارد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الصَّلَوةَ وَالرُّکُوعَ وَالسُّجُودَ لاتَکُونُ الاّ لَکَ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زيارت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 اعمّ از نماز، رکوع و سجود در انحصار حضرت حقّ‌تعالي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اين به خوبي مي‌رساند که اينگونه کرنش‌هاي رکوعي و سجودي در برابر غير حضرت حقّ به کلّي ممنوع و محرَّم است، هرچند که آن غير، اله و ربّ دانسته نشود</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اين قبيل است ندا دردادن و خواندنِِ آن ذوات مقدّس در مقام توسّل، و هم آنان را قسم دادن در آن مقام به حقّ حضرت حقّ و به حقّ همديگر، و يا حضرت باريتعالي را قسم دادن به حقّ آن بزرگواران، و از حضرتش بدان وسيله حاجت خواستن و غیر این موارد از تذلّلاتي که در آن از سوی بي‌خبران و وابستگان به اجانب تشکيک مي‌شود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مزار</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برخی از روایاتی که بر این مدّعا دلالت دارد، در پاورقی صفحة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چه بسا از اهلش تحسين،ترغيب و تحريص بسيار صادر شده و مي‌شود</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پيروان ابن تيميّه و گروهک وهّابيّه و غير آنها و می‌توان گفت که اينان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مخصوصاً گروه دوّم که همچون حيوانات خلق‌السّاعة از بوتة مستعمرة انگليس به وجود آمده‌اند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هيچگونه مجوّزي با نام و تيشة دين، بي‌باکانه به همة اُمّت موحّد و يکتاپرست اسلام نسبت شرک و بت‌پرستي داده و مي‌دهند</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چنین روایتی در منابع حدیثی شیعی برنخوردیم؛ آنچه از روایات شیعه بر این مطلب اشعار دارد، روایات زیر است</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دوّم نسبت به مردگان، حکم قسم اوّل را پيدا مي‌کند نسبت به مردگان و زندگان هر دو؛ همانگونه که انجام قسم اوّل در قبال زندگان و مردگان مطلقاً یعنی اگر آنان را اله و ربّ هم ندانند، عبادت مي‌شد، همچنين است قسم دوّم در قبال خصوص مردگان مطلقاً، یعنی اگر آنها را اله و ربّ هم ندانند، عبادت مي‌شود</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روایاتی که بر این مدّعا دلالت دارد، گذشت</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موت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موت</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عنکبوت، 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عمران،آية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مخصوصاً ذوات مقدّس معصومین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بالاخصّ خمسة طيّبه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که طبق مدارک فراوان داراي وساطت فيض و ولايت کلّيّة مطلقة الهيّه نسبت به همة موجودات مي‌باشند، ولي متأسّفانه بي‌خبراني چند، در اثر آنکه توانايي فهم اينگونه معارف حقّه را که در پرتو تبعيّت از خاندان عصمت و طهارت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مي‌آيد، نداشته و ندارند، لذا اين حقايق عالية متعاليه را به اشدّ وجه انکار مي‌نمايند، و به تجليلات مستحسن و مستحبّي که از ناحية موحّدان خالص و پاک در قبال آن ذوات، انجام مي‌شود، برچسب ناروا زده، آنان را به شرک در عبادت متّهم مي‌سازند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غافل از اینکه اين عمل از ناداني و عدم تعقّل است؛ زيرا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النَّاسُ أعْدَاءُ مَاجَهِلُوا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ابواب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 بالطبع نسبت به آنچه که نمي‌داند و تعقّل ندارد، دشمني مي‌کند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این مطلب، وجود روشنایی نسبت به کارخانة برق و چراغ می‌باشد؛ کارخانه دراین‌مثال،ما منه الوجود روشنایی است‌وچراغ، ما به الوجود آن است</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قادِرٌ عَلَی کُلِّ شَیءٍ إلاَّ القَبِیحَ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نتیجة این استثنا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متّصل فرض شود و چه منقطع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خدا بر انجام قبیح قدرت ندارد و این خلاف مفروض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إنَّهُ تَعَالَی عَلَی کُلِّ شَیءٍ قَدِیرٌ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از کتب کلامی، متکلّمین از نظر اعتقاد به فاعلیّت انسان، به شش دسته تقسیم شده‌اند</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حقیقت که فاعل بر دو قسم است و در طول فاعل ما منه الوجود، حقیقتی دیگر به نام فاعل ما به الوجود واقعیّت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 تحقیق</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باب جبر از كتاب توحيد،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فقط صورتاً فاعلند، یعنی فاعل مجازی می‌باشند، نه حقیقی، اعمّ از باطنی و ظاهری؛ چنان که بیاید</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گفتیم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تفسیر أمرٌ بَینَ الأمرَینِ که تفسیر عقیدة امامیّه است، نسبت فعل به هر دو فاعل به طور حقیقت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غایت الأمر، این دو فاعل در طول یکدیگرند نه در عرض هم تا محذوری پیش آید، ولی بنابر عقیدة اشاعره، نسبت فعل به عبد، به طور مجاز و صورت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تشریح مکتب امامیّه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گذشت و گفته شد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متعال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 وَعَلا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امر تشریع و افعال بندگان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همانند امر تکوین و کاینات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فاعل ما منه الفعل والوجود است، و عبد هم فاعل است، ولی فاعل ما به الفعل والوجود؛ به این معنا که در خارج، فعل از این دو فاعل محقّق می‌شود و عرفاً به هر دو فاعل، صحّت انتساب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گروه تحقیق</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نساء، آیة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image" Target="media/image2.jpeg"/><Relationship Id="rId223" Type="http://schemas.openxmlformats.org/officeDocument/2006/relationships/image" Target="media/image2.jpeg"/><Relationship Id="rId224" Type="http://schemas.openxmlformats.org/officeDocument/2006/relationships/footer" Target="footer217.xml"/><Relationship Id="rId225" Type="http://schemas.openxmlformats.org/officeDocument/2006/relationships/footnotes" Target="footnotes.xml"/><Relationship Id="rId226" Type="http://schemas.openxmlformats.org/officeDocument/2006/relationships/numbering" Target="numbering.xml"/><Relationship Id="rId227" Type="http://schemas.openxmlformats.org/officeDocument/2006/relationships/fontTable" Target="fontTable.xml"/><Relationship Id="rId228" Type="http://schemas.openxmlformats.org/officeDocument/2006/relationships/settings" Target="settings.xml"/><Relationship Id="rId2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221</Pages>
  <Words>45510</Words>
  <Characters>173691</Characters>
  <CharactersWithSpaces>218317</CharactersWithSpaces>
  <Paragraphs>1410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2026-08-27T10:50:37Z</dcterms:created>
  <dc:creator>ghaemiyeh.com</dc:creator>
  <dc:description/>
  <dc:language>en-US</dc:language>
  <cp:lastModifiedBy/>
  <dcterms:modified xsi:type="dcterms:W3CDTF">2026-08-27T14:20:45Z</dcterms:modified>
  <cp:revision>1</cp:revision>
  <dc:subject/>
  <dc:title>تولی و تبری</dc:title>
</cp:coreProperties>
</file>

<file path=docProps/custom.xml><?xml version="1.0" encoding="utf-8"?>
<Properties xmlns="http://schemas.openxmlformats.org/officeDocument/2006/custom-properties" xmlns:vt="http://schemas.openxmlformats.org/officeDocument/2006/docPropsVTypes"/>
</file>