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مبانی حقوق در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0707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150709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50711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150713_1051229030">
            <w:r>
              <w:rPr>
                <w:webHidden/>
                <w:rStyle w:val="IndexLink"/>
                <w:rtl w:val="true"/>
              </w:rPr>
              <w:t>پیش درآمد</w:t>
            </w:r>
            <w:r>
              <w:rPr>
                <w:rStyle w:val="IndexLink"/>
                <w:rtl w:val="true"/>
              </w:rPr>
              <w:t>:</w:t>
              <w:tab/>
            </w:r>
            <w:r>
              <w:rPr>
                <w:rStyle w:val="IndexLink"/>
              </w:rPr>
              <w:t>17</w:t>
            </w:r>
          </w:hyperlink>
        </w:p>
        <w:p>
          <w:pPr>
            <w:pStyle w:val="Contents2"/>
            <w:tabs>
              <w:tab w:val="clear" w:pos="8743"/>
              <w:tab w:val="right" w:pos="9026" w:leader="dot"/>
            </w:tabs>
            <w:rPr/>
          </w:pPr>
          <w:hyperlink w:anchor="__RefHeading___Toc2150715_1051229030">
            <w:r>
              <w:rPr>
                <w:webHidden/>
                <w:rStyle w:val="IndexLink"/>
                <w:rtl w:val="true"/>
              </w:rPr>
              <w:t xml:space="preserve">بخش نخست </w:t>
            </w:r>
            <w:r>
              <w:rPr>
                <w:rStyle w:val="IndexLink"/>
                <w:rtl w:val="true"/>
              </w:rPr>
              <w:t xml:space="preserve">- </w:t>
            </w:r>
            <w:r>
              <w:rPr>
                <w:rStyle w:val="IndexLink"/>
                <w:rtl w:val="true"/>
              </w:rPr>
              <w:t>تمهیدات</w:t>
            </w:r>
            <w:r>
              <w:rPr>
                <w:rStyle w:val="IndexLink"/>
                <w:rtl w:val="true"/>
              </w:rPr>
              <w:tab/>
            </w:r>
            <w:r>
              <w:rPr>
                <w:rStyle w:val="IndexLink"/>
              </w:rPr>
              <w:t>22</w:t>
            </w:r>
          </w:hyperlink>
        </w:p>
        <w:p>
          <w:pPr>
            <w:pStyle w:val="Contents3"/>
            <w:tabs>
              <w:tab w:val="clear" w:pos="8459"/>
              <w:tab w:val="right" w:pos="9026" w:leader="dot"/>
            </w:tabs>
            <w:rPr/>
          </w:pPr>
          <w:hyperlink w:anchor="__RefHeading___Toc2150717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150719_1051229030">
            <w:r>
              <w:rPr>
                <w:webHidden/>
                <w:rStyle w:val="IndexLink"/>
                <w:rtl w:val="true"/>
              </w:rPr>
              <w:t xml:space="preserve">گفتار اول </w:t>
            </w:r>
            <w:r>
              <w:rPr>
                <w:rStyle w:val="IndexLink"/>
                <w:rtl w:val="true"/>
              </w:rPr>
              <w:t>:</w:t>
            </w:r>
            <w:r>
              <w:rPr>
                <w:rStyle w:val="IndexLink"/>
                <w:rtl w:val="true"/>
              </w:rPr>
              <w:t>مفاهیم حقوقی نسبی است یا مطلق؟</w:t>
            </w:r>
            <w:r>
              <w:rPr>
                <w:rStyle w:val="IndexLink"/>
                <w:rtl w:val="true"/>
              </w:rPr>
              <w:tab/>
            </w:r>
            <w:r>
              <w:rPr>
                <w:rStyle w:val="IndexLink"/>
              </w:rPr>
              <w:t>23</w:t>
            </w:r>
          </w:hyperlink>
        </w:p>
        <w:p>
          <w:pPr>
            <w:pStyle w:val="Contents4"/>
            <w:tabs>
              <w:tab w:val="clear" w:pos="8176"/>
              <w:tab w:val="right" w:pos="9026" w:leader="dot"/>
            </w:tabs>
            <w:rPr/>
          </w:pPr>
          <w:hyperlink w:anchor="__RefHeading___Toc2150721_105122903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150723_1051229030">
            <w:r>
              <w:rPr>
                <w:webHidden/>
                <w:rStyle w:val="IndexLink"/>
                <w:rtl w:val="true"/>
              </w:rPr>
              <w:t>مکتب تاریخی و طبیعی</w:t>
            </w:r>
            <w:r>
              <w:rPr>
                <w:rStyle w:val="IndexLink"/>
                <w:rtl w:val="true"/>
              </w:rPr>
              <w:tab/>
            </w:r>
            <w:r>
              <w:rPr>
                <w:rStyle w:val="IndexLink"/>
              </w:rPr>
              <w:t>24</w:t>
            </w:r>
          </w:hyperlink>
        </w:p>
        <w:p>
          <w:pPr>
            <w:pStyle w:val="Contents4"/>
            <w:tabs>
              <w:tab w:val="clear" w:pos="8176"/>
              <w:tab w:val="right" w:pos="9026" w:leader="dot"/>
            </w:tabs>
            <w:rPr/>
          </w:pPr>
          <w:hyperlink w:anchor="__RefHeading___Toc2150725_1051229030">
            <w:r>
              <w:rPr>
                <w:webHidden/>
                <w:rStyle w:val="IndexLink"/>
                <w:rtl w:val="true"/>
              </w:rPr>
              <w:t>دیدگاههای نسبی‌گرایی</w:t>
            </w:r>
            <w:r>
              <w:rPr>
                <w:rStyle w:val="IndexLink"/>
                <w:rtl w:val="true"/>
              </w:rPr>
              <w:tab/>
            </w:r>
            <w:r>
              <w:rPr>
                <w:rStyle w:val="IndexLink"/>
              </w:rPr>
              <w:t>28</w:t>
            </w:r>
          </w:hyperlink>
        </w:p>
        <w:p>
          <w:pPr>
            <w:pStyle w:val="Contents5"/>
            <w:tabs>
              <w:tab w:val="clear" w:pos="7892"/>
              <w:tab w:val="right" w:pos="9026" w:leader="dot"/>
            </w:tabs>
            <w:rPr/>
          </w:pPr>
          <w:hyperlink w:anchor="__RefHeading___Toc2150727_105122903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2150729_1051229030">
            <w:r>
              <w:rPr>
                <w:webHidden/>
                <w:rStyle w:val="IndexLink"/>
              </w:rPr>
              <w:t>1</w:t>
            </w:r>
            <w:r>
              <w:rPr>
                <w:rStyle w:val="IndexLink"/>
                <w:rtl w:val="true"/>
              </w:rPr>
              <w:t xml:space="preserve">- </w:t>
            </w:r>
            <w:r>
              <w:rPr>
                <w:rStyle w:val="IndexLink"/>
                <w:rtl w:val="true"/>
              </w:rPr>
              <w:t>ازنظر جامعه‌شناسی</w:t>
            </w:r>
            <w:r>
              <w:rPr>
                <w:rStyle w:val="IndexLink"/>
                <w:rtl w:val="true"/>
              </w:rPr>
              <w:tab/>
            </w:r>
            <w:r>
              <w:rPr>
                <w:rStyle w:val="IndexLink"/>
              </w:rPr>
              <w:t>29</w:t>
            </w:r>
          </w:hyperlink>
        </w:p>
        <w:p>
          <w:pPr>
            <w:pStyle w:val="Contents5"/>
            <w:tabs>
              <w:tab w:val="clear" w:pos="7892"/>
              <w:tab w:val="right" w:pos="9026" w:leader="dot"/>
            </w:tabs>
            <w:rPr/>
          </w:pPr>
          <w:hyperlink w:anchor="__RefHeading___Toc2150731_1051229030">
            <w:r>
              <w:rPr>
                <w:webHidden/>
                <w:rStyle w:val="IndexLink"/>
              </w:rPr>
              <w:t>2</w:t>
            </w:r>
            <w:r>
              <w:rPr>
                <w:rStyle w:val="IndexLink"/>
                <w:rtl w:val="true"/>
              </w:rPr>
              <w:t xml:space="preserve">- </w:t>
            </w:r>
            <w:r>
              <w:rPr>
                <w:rStyle w:val="IndexLink"/>
                <w:rtl w:val="true"/>
              </w:rPr>
              <w:t>از نظر روانشناسی فردی</w:t>
            </w:r>
            <w:r>
              <w:rPr>
                <w:rStyle w:val="IndexLink"/>
                <w:rtl w:val="true"/>
              </w:rPr>
              <w:tab/>
            </w:r>
            <w:r>
              <w:rPr>
                <w:rStyle w:val="IndexLink"/>
              </w:rPr>
              <w:t>30</w:t>
            </w:r>
          </w:hyperlink>
        </w:p>
        <w:p>
          <w:pPr>
            <w:pStyle w:val="Contents5"/>
            <w:tabs>
              <w:tab w:val="clear" w:pos="7892"/>
              <w:tab w:val="right" w:pos="9026" w:leader="dot"/>
            </w:tabs>
            <w:rPr/>
          </w:pPr>
          <w:hyperlink w:anchor="__RefHeading___Toc2150733_1051229030">
            <w:r>
              <w:rPr>
                <w:webHidden/>
                <w:rStyle w:val="IndexLink"/>
              </w:rPr>
              <w:t>3</w:t>
            </w:r>
            <w:r>
              <w:rPr>
                <w:rStyle w:val="IndexLink"/>
                <w:rtl w:val="true"/>
              </w:rPr>
              <w:t xml:space="preserve">- </w:t>
            </w:r>
            <w:r>
              <w:rPr>
                <w:rStyle w:val="IndexLink"/>
                <w:rtl w:val="true"/>
              </w:rPr>
              <w:t>از نظر فلسفی</w:t>
            </w:r>
            <w:r>
              <w:rPr>
                <w:rStyle w:val="IndexLink"/>
                <w:rtl w:val="true"/>
              </w:rPr>
              <w:tab/>
            </w:r>
            <w:r>
              <w:rPr>
                <w:rStyle w:val="IndexLink"/>
              </w:rPr>
              <w:t>32</w:t>
            </w:r>
          </w:hyperlink>
        </w:p>
        <w:p>
          <w:pPr>
            <w:pStyle w:val="Contents5"/>
            <w:tabs>
              <w:tab w:val="clear" w:pos="7892"/>
              <w:tab w:val="right" w:pos="9026" w:leader="dot"/>
            </w:tabs>
            <w:rPr/>
          </w:pPr>
          <w:hyperlink w:anchor="__RefHeading___Toc2150735_1051229030">
            <w:r>
              <w:rPr>
                <w:webHidden/>
                <w:rStyle w:val="IndexLink"/>
              </w:rPr>
              <w:t>4</w:t>
            </w:r>
            <w:r>
              <w:rPr>
                <w:rStyle w:val="IndexLink"/>
                <w:rtl w:val="true"/>
              </w:rPr>
              <w:t xml:space="preserve">- </w:t>
            </w:r>
            <w:r>
              <w:rPr>
                <w:rStyle w:val="IndexLink"/>
                <w:rtl w:val="true"/>
              </w:rPr>
              <w:t>از نظر علوم تجربی</w:t>
            </w:r>
            <w:r>
              <w:rPr>
                <w:rStyle w:val="IndexLink"/>
                <w:rtl w:val="true"/>
              </w:rPr>
              <w:tab/>
            </w:r>
            <w:r>
              <w:rPr>
                <w:rStyle w:val="IndexLink"/>
              </w:rPr>
              <w:t>34</w:t>
            </w:r>
          </w:hyperlink>
        </w:p>
        <w:p>
          <w:pPr>
            <w:pStyle w:val="Contents5"/>
            <w:tabs>
              <w:tab w:val="clear" w:pos="7892"/>
              <w:tab w:val="right" w:pos="9026" w:leader="dot"/>
            </w:tabs>
            <w:rPr/>
          </w:pPr>
          <w:hyperlink w:anchor="__RefHeading___Toc2150737_1051229030">
            <w:r>
              <w:rPr>
                <w:webHidden/>
                <w:rStyle w:val="IndexLink"/>
              </w:rPr>
              <w:t>5</w:t>
            </w:r>
            <w:r>
              <w:rPr>
                <w:rStyle w:val="IndexLink"/>
                <w:rtl w:val="true"/>
              </w:rPr>
              <w:t xml:space="preserve">- </w:t>
            </w:r>
            <w:r>
              <w:rPr>
                <w:rStyle w:val="IndexLink"/>
                <w:rtl w:val="true"/>
              </w:rPr>
              <w:t>ازنظر تاریخی</w:t>
            </w:r>
            <w:r>
              <w:rPr>
                <w:rStyle w:val="IndexLink"/>
                <w:rtl w:val="true"/>
              </w:rPr>
              <w:tab/>
            </w:r>
            <w:r>
              <w:rPr>
                <w:rStyle w:val="IndexLink"/>
              </w:rPr>
              <w:t>39</w:t>
            </w:r>
          </w:hyperlink>
        </w:p>
        <w:p>
          <w:pPr>
            <w:pStyle w:val="Contents5"/>
            <w:tabs>
              <w:tab w:val="clear" w:pos="7892"/>
              <w:tab w:val="right" w:pos="9026" w:leader="dot"/>
            </w:tabs>
            <w:rPr/>
          </w:pPr>
          <w:hyperlink w:anchor="__RefHeading___Toc2150739_1051229030">
            <w:r>
              <w:rPr>
                <w:webHidden/>
                <w:rStyle w:val="IndexLink"/>
              </w:rPr>
              <w:t>6</w:t>
            </w:r>
            <w:r>
              <w:rPr>
                <w:rStyle w:val="IndexLink"/>
                <w:rtl w:val="true"/>
              </w:rPr>
              <w:t xml:space="preserve">- </w:t>
            </w:r>
            <w:r>
              <w:rPr>
                <w:rStyle w:val="IndexLink"/>
                <w:rtl w:val="true"/>
              </w:rPr>
              <w:t>ازنظر حقوقی</w:t>
            </w:r>
            <w:r>
              <w:rPr>
                <w:rStyle w:val="IndexLink"/>
                <w:rtl w:val="true"/>
              </w:rPr>
              <w:tab/>
            </w:r>
            <w:r>
              <w:rPr>
                <w:rStyle w:val="IndexLink"/>
              </w:rPr>
              <w:t>42</w:t>
            </w:r>
          </w:hyperlink>
        </w:p>
        <w:p>
          <w:pPr>
            <w:pStyle w:val="Contents4"/>
            <w:tabs>
              <w:tab w:val="clear" w:pos="8176"/>
              <w:tab w:val="right" w:pos="9026" w:leader="dot"/>
            </w:tabs>
            <w:rPr/>
          </w:pPr>
          <w:hyperlink w:anchor="__RefHeading___Toc2150741_1051229030">
            <w:r>
              <w:rPr>
                <w:webHidden/>
                <w:rStyle w:val="IndexLink"/>
                <w:rtl w:val="true"/>
              </w:rPr>
              <w:t>نتیجه و برآیند مطلب</w:t>
            </w:r>
            <w:r>
              <w:rPr>
                <w:rStyle w:val="IndexLink"/>
                <w:rtl w:val="true"/>
              </w:rPr>
              <w:tab/>
            </w:r>
            <w:r>
              <w:rPr>
                <w:rStyle w:val="IndexLink"/>
              </w:rPr>
              <w:t>43</w:t>
            </w:r>
          </w:hyperlink>
        </w:p>
        <w:p>
          <w:pPr>
            <w:pStyle w:val="Contents3"/>
            <w:tabs>
              <w:tab w:val="clear" w:pos="8459"/>
              <w:tab w:val="right" w:pos="9026" w:leader="dot"/>
            </w:tabs>
            <w:rPr/>
          </w:pPr>
          <w:hyperlink w:anchor="__RefHeading___Toc2150743_1051229030">
            <w:r>
              <w:rPr>
                <w:webHidden/>
                <w:rStyle w:val="IndexLink"/>
                <w:rtl w:val="true"/>
              </w:rPr>
              <w:t xml:space="preserve">گفتار دوم </w:t>
            </w:r>
            <w:r>
              <w:rPr>
                <w:rStyle w:val="IndexLink"/>
                <w:rtl w:val="true"/>
              </w:rPr>
              <w:t>:</w:t>
            </w:r>
            <w:r>
              <w:rPr>
                <w:rStyle w:val="IndexLink"/>
                <w:rtl w:val="true"/>
              </w:rPr>
              <w:t>حقوق بیگانه و روش تجربی</w:t>
            </w:r>
            <w:r>
              <w:rPr>
                <w:rStyle w:val="IndexLink"/>
                <w:rtl w:val="true"/>
              </w:rPr>
              <w:tab/>
            </w:r>
            <w:r>
              <w:rPr>
                <w:rStyle w:val="IndexLink"/>
              </w:rPr>
              <w:t>45</w:t>
            </w:r>
          </w:hyperlink>
        </w:p>
        <w:p>
          <w:pPr>
            <w:pStyle w:val="Contents4"/>
            <w:tabs>
              <w:tab w:val="clear" w:pos="8176"/>
              <w:tab w:val="right" w:pos="9026" w:leader="dot"/>
            </w:tabs>
            <w:rPr/>
          </w:pPr>
          <w:hyperlink w:anchor="__RefHeading___Toc2150745_105122903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150747_1051229030">
            <w:r>
              <w:rPr>
                <w:webHidden/>
                <w:rStyle w:val="IndexLink"/>
                <w:rtl w:val="true"/>
              </w:rPr>
              <w:t>تاثیر علوم تجربی در حقوق</w:t>
            </w:r>
            <w:r>
              <w:rPr>
                <w:rStyle w:val="IndexLink"/>
                <w:rtl w:val="true"/>
              </w:rPr>
              <w:tab/>
            </w:r>
            <w:r>
              <w:rPr>
                <w:rStyle w:val="IndexLink"/>
              </w:rPr>
              <w:t>48</w:t>
            </w:r>
          </w:hyperlink>
        </w:p>
        <w:p>
          <w:pPr>
            <w:pStyle w:val="Contents4"/>
            <w:tabs>
              <w:tab w:val="clear" w:pos="8176"/>
              <w:tab w:val="right" w:pos="9026" w:leader="dot"/>
            </w:tabs>
            <w:rPr/>
          </w:pPr>
          <w:hyperlink w:anchor="__RefHeading___Toc2150749_1051229030">
            <w:r>
              <w:rPr>
                <w:webHidden/>
                <w:rStyle w:val="IndexLink"/>
                <w:rtl w:val="true"/>
              </w:rPr>
              <w:t>نتیجه و خلاصه</w:t>
            </w:r>
            <w:r>
              <w:rPr>
                <w:rStyle w:val="IndexLink"/>
                <w:rtl w:val="true"/>
              </w:rPr>
              <w:tab/>
            </w:r>
            <w:r>
              <w:rPr>
                <w:rStyle w:val="IndexLink"/>
              </w:rPr>
              <w:t>52</w:t>
            </w:r>
          </w:hyperlink>
        </w:p>
        <w:p>
          <w:pPr>
            <w:pStyle w:val="Contents3"/>
            <w:tabs>
              <w:tab w:val="clear" w:pos="8459"/>
              <w:tab w:val="right" w:pos="9026" w:leader="dot"/>
            </w:tabs>
            <w:rPr/>
          </w:pPr>
          <w:hyperlink w:anchor="__RefHeading___Toc2150751_1051229030">
            <w:r>
              <w:rPr>
                <w:webHidden/>
                <w:rStyle w:val="IndexLink"/>
                <w:rtl w:val="true"/>
              </w:rPr>
              <w:t xml:space="preserve">گفتار سوم </w:t>
            </w:r>
            <w:r>
              <w:rPr>
                <w:rStyle w:val="IndexLink"/>
                <w:rtl w:val="true"/>
              </w:rPr>
              <w:t>:</w:t>
            </w:r>
            <w:r>
              <w:rPr>
                <w:rStyle w:val="IndexLink"/>
                <w:rtl w:val="true"/>
              </w:rPr>
              <w:t>سیر تحول مبانی استنباط</w:t>
            </w:r>
            <w:r>
              <w:rPr>
                <w:rStyle w:val="IndexLink"/>
                <w:rtl w:val="true"/>
              </w:rPr>
              <w:tab/>
            </w:r>
            <w:r>
              <w:rPr>
                <w:rStyle w:val="IndexLink"/>
              </w:rPr>
              <w:t>53</w:t>
            </w:r>
          </w:hyperlink>
        </w:p>
        <w:p>
          <w:pPr>
            <w:pStyle w:val="Contents4"/>
            <w:tabs>
              <w:tab w:val="clear" w:pos="8176"/>
              <w:tab w:val="right" w:pos="9026" w:leader="dot"/>
            </w:tabs>
            <w:rPr/>
          </w:pPr>
          <w:hyperlink w:anchor="__RefHeading___Toc2150753_105122903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150755_1051229030">
            <w:r>
              <w:rPr>
                <w:webHidden/>
                <w:rStyle w:val="IndexLink"/>
                <w:rtl w:val="true"/>
              </w:rPr>
              <w:t>مکتب فلسفه‌گرایان</w:t>
            </w:r>
            <w:r>
              <w:rPr>
                <w:rStyle w:val="IndexLink"/>
                <w:rtl w:val="true"/>
              </w:rPr>
              <w:tab/>
            </w:r>
            <w:r>
              <w:rPr>
                <w:rStyle w:val="IndexLink"/>
              </w:rPr>
              <w:t>55</w:t>
            </w:r>
          </w:hyperlink>
        </w:p>
        <w:p>
          <w:pPr>
            <w:pStyle w:val="Contents4"/>
            <w:tabs>
              <w:tab w:val="clear" w:pos="8176"/>
              <w:tab w:val="right" w:pos="9026" w:leader="dot"/>
            </w:tabs>
            <w:rPr/>
          </w:pPr>
          <w:hyperlink w:anchor="__RefHeading___Toc2150757_1051229030">
            <w:r>
              <w:rPr>
                <w:webHidden/>
                <w:rStyle w:val="IndexLink"/>
                <w:rtl w:val="true"/>
              </w:rPr>
              <w:t xml:space="preserve">مکتب اخباری و ظاهری </w:t>
            </w:r>
            <w:r>
              <w:rPr>
                <w:rStyle w:val="IndexLink"/>
                <w:rtl w:val="true"/>
              </w:rPr>
              <w:t>(</w:t>
            </w:r>
            <w:r>
              <w:rPr>
                <w:rStyle w:val="IndexLink"/>
                <w:rtl w:val="true"/>
              </w:rPr>
              <w:t>مکتب الفاظ</w:t>
            </w:r>
            <w:r>
              <w:rPr>
                <w:rStyle w:val="IndexLink"/>
                <w:rtl w:val="true"/>
              </w:rPr>
              <w:t xml:space="preserve">) </w:t>
            </w:r>
            <w:r>
              <w:rPr>
                <w:rStyle w:val="IndexLink"/>
                <w:rtl w:val="true"/>
              </w:rPr>
              <w:t>و مکتب اجتهاد</w:t>
            </w:r>
            <w:r>
              <w:rPr>
                <w:rStyle w:val="IndexLink"/>
                <w:rtl w:val="true"/>
              </w:rPr>
              <w:tab/>
            </w:r>
            <w:r>
              <w:rPr>
                <w:rStyle w:val="IndexLink"/>
              </w:rPr>
              <w:t>56</w:t>
            </w:r>
          </w:hyperlink>
        </w:p>
        <w:p>
          <w:pPr>
            <w:pStyle w:val="Contents4"/>
            <w:tabs>
              <w:tab w:val="clear" w:pos="8176"/>
              <w:tab w:val="right" w:pos="9026" w:leader="dot"/>
            </w:tabs>
            <w:rPr/>
          </w:pPr>
          <w:hyperlink w:anchor="__RefHeading___Toc2150759_1051229030">
            <w:r>
              <w:rPr>
                <w:webHidden/>
                <w:rStyle w:val="IndexLink"/>
                <w:rtl w:val="true"/>
              </w:rPr>
              <w:t>مکتب تفسیر واژه به واژه</w:t>
            </w:r>
            <w:r>
              <w:rPr>
                <w:rStyle w:val="IndexLink"/>
                <w:rtl w:val="true"/>
              </w:rPr>
              <w:tab/>
            </w:r>
            <w:r>
              <w:rPr>
                <w:rStyle w:val="IndexLink"/>
              </w:rPr>
              <w:t>60</w:t>
            </w:r>
          </w:hyperlink>
        </w:p>
        <w:p>
          <w:pPr>
            <w:pStyle w:val="Contents4"/>
            <w:tabs>
              <w:tab w:val="clear" w:pos="8176"/>
              <w:tab w:val="right" w:pos="9026" w:leader="dot"/>
            </w:tabs>
            <w:rPr/>
          </w:pPr>
          <w:hyperlink w:anchor="__RefHeading___Toc2150761_1051229030">
            <w:r>
              <w:rPr>
                <w:webHidden/>
                <w:rStyle w:val="IndexLink"/>
                <w:rtl w:val="true"/>
              </w:rPr>
              <w:t>مکتب حقوق فطری و نظام فلسفی آن</w:t>
            </w:r>
            <w:r>
              <w:rPr>
                <w:rStyle w:val="IndexLink"/>
                <w:rtl w:val="true"/>
              </w:rPr>
              <w:tab/>
            </w:r>
            <w:r>
              <w:rPr>
                <w:rStyle w:val="IndexLink"/>
              </w:rPr>
              <w:t>61</w:t>
            </w:r>
          </w:hyperlink>
        </w:p>
        <w:p>
          <w:pPr>
            <w:pStyle w:val="Contents3"/>
            <w:tabs>
              <w:tab w:val="clear" w:pos="8459"/>
              <w:tab w:val="right" w:pos="9026" w:leader="dot"/>
            </w:tabs>
            <w:rPr/>
          </w:pPr>
          <w:hyperlink w:anchor="__RefHeading___Toc2150763_1051229030">
            <w:r>
              <w:rPr>
                <w:webHidden/>
                <w:rStyle w:val="IndexLink"/>
                <w:rtl w:val="true"/>
              </w:rPr>
              <w:t xml:space="preserve">گفتار چهارم </w:t>
            </w:r>
            <w:r>
              <w:rPr>
                <w:rStyle w:val="IndexLink"/>
                <w:rtl w:val="true"/>
              </w:rPr>
              <w:t>:</w:t>
            </w:r>
            <w:r>
              <w:rPr>
                <w:rStyle w:val="IndexLink"/>
                <w:rtl w:val="true"/>
              </w:rPr>
              <w:t xml:space="preserve">قوانین غایی </w:t>
            </w:r>
            <w:r>
              <w:rPr>
                <w:rStyle w:val="IndexLink"/>
                <w:rtl w:val="true"/>
              </w:rPr>
              <w:t>(</w:t>
            </w:r>
            <w:r>
              <w:rPr>
                <w:rStyle w:val="IndexLink"/>
                <w:rtl w:val="true"/>
              </w:rPr>
              <w:t>آرمانی</w:t>
            </w:r>
            <w:r>
              <w:rPr>
                <w:rStyle w:val="IndexLink"/>
                <w:rtl w:val="true"/>
              </w:rPr>
              <w:t xml:space="preserve">) </w:t>
            </w:r>
            <w:r>
              <w:rPr>
                <w:rStyle w:val="IndexLink"/>
                <w:rtl w:val="true"/>
              </w:rPr>
              <w:t>و قوانین علّی</w:t>
            </w:r>
            <w:r>
              <w:rPr>
                <w:rStyle w:val="IndexLink"/>
                <w:rtl w:val="true"/>
              </w:rPr>
              <w:t>(</w:t>
            </w:r>
            <w:r>
              <w:rPr>
                <w:rStyle w:val="IndexLink"/>
                <w:rtl w:val="true"/>
              </w:rPr>
              <w:t>تجربی و عملی</w:t>
            </w:r>
            <w:r>
              <w:rPr>
                <w:rStyle w:val="IndexLink"/>
                <w:rtl w:val="true"/>
              </w:rPr>
              <w:t>)</w:t>
              <w:tab/>
            </w:r>
            <w:r>
              <w:rPr>
                <w:rStyle w:val="IndexLink"/>
              </w:rPr>
              <w:t>65</w:t>
            </w:r>
          </w:hyperlink>
        </w:p>
        <w:p>
          <w:pPr>
            <w:pStyle w:val="Contents2"/>
            <w:tabs>
              <w:tab w:val="clear" w:pos="8743"/>
              <w:tab w:val="right" w:pos="9026" w:leader="dot"/>
            </w:tabs>
            <w:rPr/>
          </w:pPr>
          <w:hyperlink w:anchor="__RefHeading___Toc2150765_1051229030">
            <w:r>
              <w:rPr>
                <w:webHidden/>
                <w:rStyle w:val="IndexLink"/>
                <w:rtl w:val="true"/>
              </w:rPr>
              <w:t xml:space="preserve">بخش دوم </w:t>
            </w:r>
            <w:r>
              <w:rPr>
                <w:rStyle w:val="IndexLink"/>
                <w:rtl w:val="true"/>
              </w:rPr>
              <w:t xml:space="preserve">- </w:t>
            </w:r>
            <w:r>
              <w:rPr>
                <w:rStyle w:val="IndexLink"/>
                <w:rtl w:val="true"/>
              </w:rPr>
              <w:t>همسنجی نظامهای حقوقی</w:t>
            </w:r>
            <w:r>
              <w:rPr>
                <w:rStyle w:val="IndexLink"/>
                <w:rtl w:val="true"/>
              </w:rPr>
              <w:tab/>
            </w:r>
            <w:r>
              <w:rPr>
                <w:rStyle w:val="IndexLink"/>
              </w:rPr>
              <w:t>75</w:t>
            </w:r>
          </w:hyperlink>
        </w:p>
        <w:p>
          <w:pPr>
            <w:pStyle w:val="Contents3"/>
            <w:tabs>
              <w:tab w:val="clear" w:pos="8459"/>
              <w:tab w:val="right" w:pos="9026" w:leader="dot"/>
            </w:tabs>
            <w:rPr/>
          </w:pPr>
          <w:hyperlink w:anchor="__RefHeading___Toc2150767_105122903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150769_1051229030">
            <w:r>
              <w:rPr>
                <w:webHidden/>
                <w:rStyle w:val="IndexLink"/>
                <w:rtl w:val="true"/>
              </w:rPr>
              <w:t xml:space="preserve">گفتار اول </w:t>
            </w:r>
            <w:r>
              <w:rPr>
                <w:rStyle w:val="IndexLink"/>
                <w:rtl w:val="true"/>
              </w:rPr>
              <w:t>:</w:t>
            </w:r>
            <w:r>
              <w:rPr>
                <w:rStyle w:val="IndexLink"/>
                <w:rtl w:val="true"/>
              </w:rPr>
              <w:t>سیاست اقتصادی</w:t>
            </w:r>
            <w:r>
              <w:rPr>
                <w:rStyle w:val="IndexLink"/>
                <w:rtl w:val="true"/>
              </w:rPr>
              <w:tab/>
            </w:r>
            <w:r>
              <w:rPr>
                <w:rStyle w:val="IndexLink"/>
              </w:rPr>
              <w:t>75</w:t>
            </w:r>
          </w:hyperlink>
        </w:p>
        <w:p>
          <w:pPr>
            <w:pStyle w:val="Contents4"/>
            <w:tabs>
              <w:tab w:val="clear" w:pos="8176"/>
              <w:tab w:val="right" w:pos="9026" w:leader="dot"/>
            </w:tabs>
            <w:rPr/>
          </w:pPr>
          <w:hyperlink w:anchor="__RefHeading___Toc2150771_1051229030">
            <w:r>
              <w:rPr>
                <w:webHidden/>
                <w:rStyle w:val="IndexLink"/>
                <w:rtl w:val="true"/>
              </w:rPr>
              <w:t>مقدمه</w:t>
            </w:r>
            <w:r>
              <w:rPr>
                <w:rStyle w:val="IndexLink"/>
                <w:rtl w:val="true"/>
              </w:rPr>
              <w:t>:</w:t>
              <w:tab/>
            </w:r>
            <w:r>
              <w:rPr>
                <w:rStyle w:val="IndexLink"/>
              </w:rPr>
              <w:t>75</w:t>
            </w:r>
          </w:hyperlink>
        </w:p>
        <w:p>
          <w:pPr>
            <w:pStyle w:val="Contents4"/>
            <w:tabs>
              <w:tab w:val="clear" w:pos="8176"/>
              <w:tab w:val="right" w:pos="9026" w:leader="dot"/>
            </w:tabs>
            <w:rPr/>
          </w:pPr>
          <w:hyperlink w:anchor="__RefHeading___Toc2150773_1051229030">
            <w:r>
              <w:rPr>
                <w:webHidden/>
                <w:rStyle w:val="IndexLink"/>
                <w:rtl w:val="true"/>
              </w:rPr>
              <w:t xml:space="preserve">ویژگیهای حقوق روسیه </w:t>
            </w:r>
            <w:r>
              <w:rPr>
                <w:rStyle w:val="IndexLink"/>
                <w:rtl w:val="true"/>
              </w:rPr>
              <w:t>(</w:t>
            </w:r>
            <w:r>
              <w:rPr>
                <w:rStyle w:val="IndexLink"/>
                <w:rtl w:val="true"/>
              </w:rPr>
              <w:t>پیش از فروپاشی</w:t>
            </w:r>
            <w:r>
              <w:rPr>
                <w:rStyle w:val="IndexLink"/>
                <w:rtl w:val="true"/>
              </w:rPr>
              <w:t>)</w:t>
              <w:tab/>
            </w:r>
            <w:r>
              <w:rPr>
                <w:rStyle w:val="IndexLink"/>
              </w:rPr>
              <w:t>78</w:t>
            </w:r>
          </w:hyperlink>
        </w:p>
        <w:p>
          <w:pPr>
            <w:pStyle w:val="Contents4"/>
            <w:tabs>
              <w:tab w:val="clear" w:pos="8176"/>
              <w:tab w:val="right" w:pos="9026" w:leader="dot"/>
            </w:tabs>
            <w:rPr/>
          </w:pPr>
          <w:hyperlink w:anchor="__RefHeading___Toc2150775_1051229030">
            <w:r>
              <w:rPr>
                <w:webHidden/>
                <w:rStyle w:val="IndexLink"/>
                <w:rtl w:val="true"/>
              </w:rPr>
              <w:t>اعتبار اقتصاد</w:t>
            </w:r>
            <w:r>
              <w:rPr>
                <w:rStyle w:val="IndexLink"/>
                <w:rtl w:val="true"/>
              </w:rPr>
              <w:tab/>
            </w:r>
            <w:r>
              <w:rPr>
                <w:rStyle w:val="IndexLink"/>
              </w:rPr>
              <w:t>80</w:t>
            </w:r>
          </w:hyperlink>
        </w:p>
        <w:p>
          <w:pPr>
            <w:pStyle w:val="Contents4"/>
            <w:tabs>
              <w:tab w:val="clear" w:pos="8176"/>
              <w:tab w:val="right" w:pos="9026" w:leader="dot"/>
            </w:tabs>
            <w:rPr/>
          </w:pPr>
          <w:hyperlink w:anchor="__RefHeading___Toc2150777_1051229030">
            <w:r>
              <w:rPr>
                <w:webHidden/>
                <w:rStyle w:val="IndexLink"/>
                <w:rtl w:val="true"/>
              </w:rPr>
              <w:t>آرای مارکس</w:t>
            </w:r>
            <w:r>
              <w:rPr>
                <w:rStyle w:val="IndexLink"/>
                <w:rtl w:val="true"/>
              </w:rPr>
              <w:tab/>
            </w:r>
            <w:r>
              <w:rPr>
                <w:rStyle w:val="IndexLink"/>
              </w:rPr>
              <w:t>82</w:t>
            </w:r>
          </w:hyperlink>
        </w:p>
        <w:p>
          <w:pPr>
            <w:pStyle w:val="Contents3"/>
            <w:tabs>
              <w:tab w:val="clear" w:pos="8459"/>
              <w:tab w:val="right" w:pos="9026" w:leader="dot"/>
            </w:tabs>
            <w:rPr/>
          </w:pPr>
          <w:hyperlink w:anchor="__RefHeading___Toc2150779_1051229030">
            <w:r>
              <w:rPr>
                <w:webHidden/>
                <w:rStyle w:val="IndexLink"/>
                <w:rtl w:val="true"/>
              </w:rPr>
              <w:t xml:space="preserve">گفتار دوم </w:t>
            </w:r>
            <w:r>
              <w:rPr>
                <w:rStyle w:val="IndexLink"/>
                <w:rtl w:val="true"/>
              </w:rPr>
              <w:t>:</w:t>
            </w:r>
            <w:r>
              <w:rPr>
                <w:rStyle w:val="IndexLink"/>
                <w:rtl w:val="true"/>
              </w:rPr>
              <w:t>عرف و سابقه</w:t>
            </w:r>
            <w:r>
              <w:rPr>
                <w:rStyle w:val="IndexLink"/>
                <w:rtl w:val="true"/>
              </w:rPr>
              <w:tab/>
            </w:r>
            <w:r>
              <w:rPr>
                <w:rStyle w:val="IndexLink"/>
              </w:rPr>
              <w:t>85</w:t>
            </w:r>
          </w:hyperlink>
        </w:p>
        <w:p>
          <w:pPr>
            <w:pStyle w:val="Contents4"/>
            <w:tabs>
              <w:tab w:val="clear" w:pos="8176"/>
              <w:tab w:val="right" w:pos="9026" w:leader="dot"/>
            </w:tabs>
            <w:rPr/>
          </w:pPr>
          <w:hyperlink w:anchor="__RefHeading___Toc2150781_1051229030">
            <w:r>
              <w:rPr>
                <w:webHidden/>
                <w:rStyle w:val="IndexLink"/>
                <w:rtl w:val="true"/>
              </w:rPr>
              <w:t>مقدمه</w:t>
            </w:r>
            <w:r>
              <w:rPr>
                <w:rStyle w:val="IndexLink"/>
                <w:rtl w:val="true"/>
              </w:rPr>
              <w:t>:</w:t>
              <w:tab/>
            </w:r>
            <w:r>
              <w:rPr>
                <w:rStyle w:val="IndexLink"/>
              </w:rPr>
              <w:t>85</w:t>
            </w:r>
          </w:hyperlink>
        </w:p>
        <w:p>
          <w:pPr>
            <w:pStyle w:val="Contents4"/>
            <w:tabs>
              <w:tab w:val="clear" w:pos="8176"/>
              <w:tab w:val="right" w:pos="9026" w:leader="dot"/>
            </w:tabs>
            <w:rPr/>
          </w:pPr>
          <w:hyperlink w:anchor="__RefHeading___Toc2150783_1051229030">
            <w:r>
              <w:rPr>
                <w:webHidden/>
                <w:rStyle w:val="IndexLink"/>
                <w:rtl w:val="true"/>
              </w:rPr>
              <w:t>ارزش قانون</w:t>
            </w:r>
            <w:r>
              <w:rPr>
                <w:rStyle w:val="IndexLink"/>
                <w:rtl w:val="true"/>
              </w:rPr>
              <w:tab/>
            </w:r>
            <w:r>
              <w:rPr>
                <w:rStyle w:val="IndexLink"/>
              </w:rPr>
              <w:t>87</w:t>
            </w:r>
          </w:hyperlink>
        </w:p>
        <w:p>
          <w:pPr>
            <w:pStyle w:val="Contents4"/>
            <w:tabs>
              <w:tab w:val="clear" w:pos="8176"/>
              <w:tab w:val="right" w:pos="9026" w:leader="dot"/>
            </w:tabs>
            <w:rPr/>
          </w:pPr>
          <w:hyperlink w:anchor="__RefHeading___Toc2150785_1051229030">
            <w:r>
              <w:rPr>
                <w:webHidden/>
                <w:rStyle w:val="IndexLink"/>
                <w:rtl w:val="true"/>
              </w:rPr>
              <w:t>عرف و سابقه چیست ؟</w:t>
            </w:r>
            <w:r>
              <w:rPr>
                <w:rStyle w:val="IndexLink"/>
                <w:rtl w:val="true"/>
              </w:rPr>
              <w:tab/>
            </w:r>
            <w:r>
              <w:rPr>
                <w:rStyle w:val="IndexLink"/>
              </w:rPr>
              <w:t>89</w:t>
            </w:r>
          </w:hyperlink>
        </w:p>
        <w:p>
          <w:pPr>
            <w:pStyle w:val="Contents4"/>
            <w:tabs>
              <w:tab w:val="clear" w:pos="8176"/>
              <w:tab w:val="right" w:pos="9026" w:leader="dot"/>
            </w:tabs>
            <w:rPr/>
          </w:pPr>
          <w:hyperlink w:anchor="__RefHeading___Toc2150787_1051229030">
            <w:r>
              <w:rPr>
                <w:webHidden/>
                <w:rStyle w:val="IndexLink"/>
                <w:rtl w:val="true"/>
              </w:rPr>
              <w:t>مقایسه با حقوق فرانسه</w:t>
            </w:r>
            <w:r>
              <w:rPr>
                <w:rStyle w:val="IndexLink"/>
                <w:rtl w:val="true"/>
              </w:rPr>
              <w:tab/>
            </w:r>
            <w:r>
              <w:rPr>
                <w:rStyle w:val="IndexLink"/>
              </w:rPr>
              <w:t>90</w:t>
            </w:r>
          </w:hyperlink>
        </w:p>
        <w:p>
          <w:pPr>
            <w:pStyle w:val="Contents4"/>
            <w:tabs>
              <w:tab w:val="clear" w:pos="8176"/>
              <w:tab w:val="right" w:pos="9026" w:leader="dot"/>
            </w:tabs>
            <w:rPr/>
          </w:pPr>
          <w:hyperlink w:anchor="__RefHeading___Toc2150789_1051229030">
            <w:r>
              <w:rPr>
                <w:webHidden/>
                <w:rStyle w:val="IndexLink"/>
                <w:rtl w:val="true"/>
              </w:rPr>
              <w:t>رویه قضایی در اسلام</w:t>
            </w:r>
            <w:r>
              <w:rPr>
                <w:rStyle w:val="IndexLink"/>
                <w:rtl w:val="true"/>
              </w:rPr>
              <w:tab/>
            </w:r>
            <w:r>
              <w:rPr>
                <w:rStyle w:val="IndexLink"/>
              </w:rPr>
              <w:t>90</w:t>
            </w:r>
          </w:hyperlink>
        </w:p>
        <w:p>
          <w:pPr>
            <w:pStyle w:val="Contents4"/>
            <w:tabs>
              <w:tab w:val="clear" w:pos="8176"/>
              <w:tab w:val="right" w:pos="9026" w:leader="dot"/>
            </w:tabs>
            <w:rPr/>
          </w:pPr>
          <w:hyperlink w:anchor="__RefHeading___Toc2150791_1051229030">
            <w:r>
              <w:rPr>
                <w:webHidden/>
                <w:rStyle w:val="IndexLink"/>
                <w:rtl w:val="true"/>
              </w:rPr>
              <w:t>اعتبار عقل</w:t>
            </w:r>
            <w:r>
              <w:rPr>
                <w:rStyle w:val="IndexLink"/>
                <w:rtl w:val="true"/>
              </w:rPr>
              <w:tab/>
            </w:r>
            <w:r>
              <w:rPr>
                <w:rStyle w:val="IndexLink"/>
              </w:rPr>
              <w:t>91</w:t>
            </w:r>
          </w:hyperlink>
        </w:p>
        <w:p>
          <w:pPr>
            <w:pStyle w:val="Contents3"/>
            <w:tabs>
              <w:tab w:val="clear" w:pos="8459"/>
              <w:tab w:val="right" w:pos="9026" w:leader="dot"/>
            </w:tabs>
            <w:rPr/>
          </w:pPr>
          <w:hyperlink w:anchor="__RefHeading___Toc2150793_1051229030">
            <w:r>
              <w:rPr>
                <w:webHidden/>
                <w:rStyle w:val="IndexLink"/>
                <w:rtl w:val="true"/>
              </w:rPr>
              <w:t xml:space="preserve">گفتار سوم </w:t>
            </w:r>
            <w:r>
              <w:rPr>
                <w:rStyle w:val="IndexLink"/>
                <w:rtl w:val="true"/>
              </w:rPr>
              <w:t>:</w:t>
            </w:r>
            <w:r>
              <w:rPr>
                <w:rStyle w:val="IndexLink"/>
                <w:rtl w:val="true"/>
              </w:rPr>
              <w:t>قانون نوشته</w:t>
            </w:r>
            <w:r>
              <w:rPr>
                <w:rStyle w:val="IndexLink"/>
                <w:rtl w:val="true"/>
              </w:rPr>
              <w:tab/>
            </w:r>
            <w:r>
              <w:rPr>
                <w:rStyle w:val="IndexLink"/>
              </w:rPr>
              <w:t>95</w:t>
            </w:r>
          </w:hyperlink>
        </w:p>
        <w:p>
          <w:pPr>
            <w:pStyle w:val="Contents4"/>
            <w:tabs>
              <w:tab w:val="clear" w:pos="8176"/>
              <w:tab w:val="right" w:pos="9026" w:leader="dot"/>
            </w:tabs>
            <w:rPr/>
          </w:pPr>
          <w:hyperlink w:anchor="__RefHeading___Toc2150795_1051229030">
            <w:r>
              <w:rPr>
                <w:webHidden/>
                <w:rStyle w:val="IndexLink"/>
                <w:rtl w:val="true"/>
              </w:rPr>
              <w:t>مقدمه</w:t>
            </w:r>
            <w:r>
              <w:rPr>
                <w:rStyle w:val="IndexLink"/>
                <w:rtl w:val="true"/>
              </w:rPr>
              <w:t>:</w:t>
              <w:tab/>
            </w:r>
            <w:r>
              <w:rPr>
                <w:rStyle w:val="IndexLink"/>
              </w:rPr>
              <w:t>95</w:t>
            </w:r>
          </w:hyperlink>
        </w:p>
        <w:p>
          <w:pPr>
            <w:pStyle w:val="Contents4"/>
            <w:tabs>
              <w:tab w:val="clear" w:pos="8176"/>
              <w:tab w:val="right" w:pos="9026" w:leader="dot"/>
            </w:tabs>
            <w:rPr/>
          </w:pPr>
          <w:hyperlink w:anchor="__RefHeading___Toc2150797_1051229030">
            <w:r>
              <w:rPr>
                <w:webHidden/>
                <w:rStyle w:val="IndexLink"/>
                <w:rtl w:val="true"/>
              </w:rPr>
              <w:t>قدرت قانون</w:t>
            </w:r>
            <w:r>
              <w:rPr>
                <w:rStyle w:val="IndexLink"/>
                <w:rtl w:val="true"/>
              </w:rPr>
              <w:tab/>
            </w:r>
            <w:r>
              <w:rPr>
                <w:rStyle w:val="IndexLink"/>
              </w:rPr>
              <w:t>96</w:t>
            </w:r>
          </w:hyperlink>
        </w:p>
        <w:p>
          <w:pPr>
            <w:pStyle w:val="Contents4"/>
            <w:tabs>
              <w:tab w:val="clear" w:pos="8176"/>
              <w:tab w:val="right" w:pos="9026" w:leader="dot"/>
            </w:tabs>
            <w:rPr/>
          </w:pPr>
          <w:hyperlink w:anchor="__RefHeading___Toc2150799_1051229030">
            <w:r>
              <w:rPr>
                <w:webHidden/>
                <w:rStyle w:val="IndexLink"/>
                <w:rtl w:val="true"/>
              </w:rPr>
              <w:t xml:space="preserve">عرف و عادت در نظام </w:t>
            </w:r>
            <w:r>
              <w:rPr>
                <w:rStyle w:val="IndexLink"/>
                <w:rtl w:val="true"/>
              </w:rPr>
              <w:t>«</w:t>
            </w:r>
            <w:r>
              <w:rPr>
                <w:rStyle w:val="IndexLink"/>
                <w:rtl w:val="true"/>
              </w:rPr>
              <w:t>قانون مدون</w:t>
            </w:r>
            <w:r>
              <w:rPr>
                <w:rStyle w:val="IndexLink"/>
                <w:rtl w:val="true"/>
              </w:rPr>
              <w:t>»</w:t>
              <w:tab/>
            </w:r>
            <w:r>
              <w:rPr>
                <w:rStyle w:val="IndexLink"/>
              </w:rPr>
              <w:t>97</w:t>
            </w:r>
          </w:hyperlink>
        </w:p>
        <w:p>
          <w:pPr>
            <w:pStyle w:val="Contents2"/>
            <w:tabs>
              <w:tab w:val="clear" w:pos="8743"/>
              <w:tab w:val="right" w:pos="9026" w:leader="dot"/>
            </w:tabs>
            <w:rPr/>
          </w:pPr>
          <w:hyperlink w:anchor="__RefHeading___Toc2150801_1051229030">
            <w:r>
              <w:rPr>
                <w:webHidden/>
                <w:rStyle w:val="IndexLink"/>
                <w:rtl w:val="true"/>
              </w:rPr>
              <w:t xml:space="preserve">بخش سوم </w:t>
            </w:r>
            <w:r>
              <w:rPr>
                <w:rStyle w:val="IndexLink"/>
                <w:rtl w:val="true"/>
              </w:rPr>
              <w:t xml:space="preserve">- </w:t>
            </w:r>
            <w:r>
              <w:rPr>
                <w:rStyle w:val="IndexLink"/>
                <w:rtl w:val="true"/>
              </w:rPr>
              <w:t>پایه‌های استنباط</w:t>
            </w:r>
            <w:r>
              <w:rPr>
                <w:rStyle w:val="IndexLink"/>
                <w:rtl w:val="true"/>
              </w:rPr>
              <w:tab/>
            </w:r>
            <w:r>
              <w:rPr>
                <w:rStyle w:val="IndexLink"/>
              </w:rPr>
              <w:t>100</w:t>
            </w:r>
          </w:hyperlink>
        </w:p>
        <w:p>
          <w:pPr>
            <w:pStyle w:val="Contents3"/>
            <w:tabs>
              <w:tab w:val="clear" w:pos="8459"/>
              <w:tab w:val="right" w:pos="9026" w:leader="dot"/>
            </w:tabs>
            <w:rPr/>
          </w:pPr>
          <w:hyperlink w:anchor="__RefHeading___Toc2150803_105122903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150805_1051229030">
            <w:r>
              <w:rPr>
                <w:webHidden/>
                <w:rStyle w:val="IndexLink"/>
                <w:rtl w:val="true"/>
              </w:rPr>
              <w:t>مقدمه</w:t>
            </w:r>
            <w:r>
              <w:rPr>
                <w:rStyle w:val="IndexLink"/>
                <w:rtl w:val="true"/>
              </w:rPr>
              <w:t>:</w:t>
              <w:tab/>
            </w:r>
            <w:r>
              <w:rPr>
                <w:rStyle w:val="IndexLink"/>
              </w:rPr>
              <w:t>102</w:t>
            </w:r>
          </w:hyperlink>
        </w:p>
        <w:p>
          <w:pPr>
            <w:pStyle w:val="Contents3"/>
            <w:tabs>
              <w:tab w:val="clear" w:pos="8459"/>
              <w:tab w:val="right" w:pos="9026" w:leader="dot"/>
            </w:tabs>
            <w:rPr/>
          </w:pPr>
          <w:hyperlink w:anchor="__RefHeading___Toc2150807_1051229030">
            <w:r>
              <w:rPr>
                <w:webHidden/>
                <w:rStyle w:val="IndexLink"/>
                <w:rtl w:val="true"/>
              </w:rPr>
              <w:t xml:space="preserve">گفتار اول </w:t>
            </w:r>
            <w:r>
              <w:rPr>
                <w:rStyle w:val="IndexLink"/>
                <w:rtl w:val="true"/>
              </w:rPr>
              <w:t>:</w:t>
            </w:r>
            <w:r>
              <w:rPr>
                <w:rStyle w:val="IndexLink"/>
                <w:rtl w:val="true"/>
              </w:rPr>
              <w:t>کتاب</w:t>
            </w:r>
            <w:r>
              <w:rPr>
                <w:rStyle w:val="IndexLink"/>
                <w:rtl w:val="true"/>
              </w:rPr>
              <w:tab/>
            </w:r>
            <w:r>
              <w:rPr>
                <w:rStyle w:val="IndexLink"/>
              </w:rPr>
              <w:t>103</w:t>
            </w:r>
          </w:hyperlink>
        </w:p>
        <w:p>
          <w:pPr>
            <w:pStyle w:val="Contents4"/>
            <w:tabs>
              <w:tab w:val="clear" w:pos="8176"/>
              <w:tab w:val="right" w:pos="9026" w:leader="dot"/>
            </w:tabs>
            <w:rPr/>
          </w:pPr>
          <w:hyperlink w:anchor="__RefHeading___Toc2150809_105122903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150811_1051229030">
            <w:r>
              <w:rPr>
                <w:webHidden/>
                <w:rStyle w:val="IndexLink"/>
                <w:rtl w:val="true"/>
              </w:rPr>
              <w:t>محکم و متشابه</w:t>
            </w:r>
            <w:r>
              <w:rPr>
                <w:rStyle w:val="IndexLink"/>
                <w:rtl w:val="true"/>
              </w:rPr>
              <w:tab/>
            </w:r>
            <w:r>
              <w:rPr>
                <w:rStyle w:val="IndexLink"/>
              </w:rPr>
              <w:t>103</w:t>
            </w:r>
          </w:hyperlink>
        </w:p>
        <w:p>
          <w:pPr>
            <w:pStyle w:val="Contents4"/>
            <w:tabs>
              <w:tab w:val="clear" w:pos="8176"/>
              <w:tab w:val="right" w:pos="9026" w:leader="dot"/>
            </w:tabs>
            <w:rPr/>
          </w:pPr>
          <w:hyperlink w:anchor="__RefHeading___Toc2150813_1051229030">
            <w:r>
              <w:rPr>
                <w:webHidden/>
                <w:rStyle w:val="IndexLink"/>
                <w:rtl w:val="true"/>
              </w:rPr>
              <w:t>اعتبار آیه‌های محکم و متشابه</w:t>
            </w:r>
            <w:r>
              <w:rPr>
                <w:rStyle w:val="IndexLink"/>
                <w:rtl w:val="true"/>
              </w:rPr>
              <w:tab/>
            </w:r>
            <w:r>
              <w:rPr>
                <w:rStyle w:val="IndexLink"/>
              </w:rPr>
              <w:t>104</w:t>
            </w:r>
          </w:hyperlink>
        </w:p>
        <w:p>
          <w:pPr>
            <w:pStyle w:val="Contents4"/>
            <w:tabs>
              <w:tab w:val="clear" w:pos="8176"/>
              <w:tab w:val="right" w:pos="9026" w:leader="dot"/>
            </w:tabs>
            <w:rPr/>
          </w:pPr>
          <w:hyperlink w:anchor="__RefHeading___Toc2150815_1051229030">
            <w:r>
              <w:rPr>
                <w:webHidden/>
                <w:rStyle w:val="IndexLink"/>
                <w:rtl w:val="true"/>
              </w:rPr>
              <w:t>دلایل اخباریان</w:t>
            </w:r>
            <w:r>
              <w:rPr>
                <w:rStyle w:val="IndexLink"/>
                <w:rtl w:val="true"/>
              </w:rPr>
              <w:tab/>
            </w:r>
            <w:r>
              <w:rPr>
                <w:rStyle w:val="IndexLink"/>
              </w:rPr>
              <w:t>104</w:t>
            </w:r>
          </w:hyperlink>
        </w:p>
        <w:p>
          <w:pPr>
            <w:pStyle w:val="Contents4"/>
            <w:tabs>
              <w:tab w:val="clear" w:pos="8176"/>
              <w:tab w:val="right" w:pos="9026" w:leader="dot"/>
            </w:tabs>
            <w:rPr/>
          </w:pPr>
          <w:hyperlink w:anchor="__RefHeading___Toc2150817_1051229030">
            <w:r>
              <w:rPr>
                <w:webHidden/>
                <w:rStyle w:val="IndexLink"/>
                <w:rtl w:val="true"/>
              </w:rPr>
              <w:t>دلائل اصولیان</w:t>
            </w:r>
            <w:r>
              <w:rPr>
                <w:rStyle w:val="IndexLink"/>
                <w:rtl w:val="true"/>
              </w:rPr>
              <w:tab/>
            </w:r>
            <w:r>
              <w:rPr>
                <w:rStyle w:val="IndexLink"/>
              </w:rPr>
              <w:t>105</w:t>
            </w:r>
          </w:hyperlink>
        </w:p>
        <w:p>
          <w:pPr>
            <w:pStyle w:val="Contents4"/>
            <w:tabs>
              <w:tab w:val="clear" w:pos="8176"/>
              <w:tab w:val="right" w:pos="9026" w:leader="dot"/>
            </w:tabs>
            <w:rPr/>
          </w:pPr>
          <w:hyperlink w:anchor="__RefHeading___Toc2150819_1051229030">
            <w:r>
              <w:rPr>
                <w:webHidden/>
                <w:rStyle w:val="IndexLink"/>
                <w:rtl w:val="true"/>
              </w:rPr>
              <w:t>اقسام آیه‌های متشابه</w:t>
            </w:r>
            <w:r>
              <w:rPr>
                <w:rStyle w:val="IndexLink"/>
                <w:rtl w:val="true"/>
              </w:rPr>
              <w:tab/>
            </w:r>
            <w:r>
              <w:rPr>
                <w:rStyle w:val="IndexLink"/>
              </w:rPr>
              <w:t>107</w:t>
            </w:r>
          </w:hyperlink>
        </w:p>
        <w:p>
          <w:pPr>
            <w:pStyle w:val="Contents4"/>
            <w:tabs>
              <w:tab w:val="clear" w:pos="8176"/>
              <w:tab w:val="right" w:pos="9026" w:leader="dot"/>
            </w:tabs>
            <w:rPr/>
          </w:pPr>
          <w:hyperlink w:anchor="__RefHeading___Toc2150821_1051229030">
            <w:r>
              <w:rPr>
                <w:webHidden/>
                <w:rStyle w:val="IndexLink"/>
                <w:rtl w:val="true"/>
              </w:rPr>
              <w:t>مکتب تعدی از نص</w:t>
            </w:r>
            <w:r>
              <w:rPr>
                <w:rStyle w:val="IndexLink"/>
                <w:rtl w:val="true"/>
              </w:rPr>
              <w:tab/>
            </w:r>
            <w:r>
              <w:rPr>
                <w:rStyle w:val="IndexLink"/>
              </w:rPr>
              <w:t>108</w:t>
            </w:r>
          </w:hyperlink>
        </w:p>
        <w:p>
          <w:pPr>
            <w:pStyle w:val="Contents3"/>
            <w:tabs>
              <w:tab w:val="clear" w:pos="8459"/>
              <w:tab w:val="right" w:pos="9026" w:leader="dot"/>
            </w:tabs>
            <w:rPr/>
          </w:pPr>
          <w:hyperlink w:anchor="__RefHeading___Toc2150823_1051229030">
            <w:r>
              <w:rPr>
                <w:webHidden/>
                <w:rStyle w:val="IndexLink"/>
                <w:rtl w:val="true"/>
              </w:rPr>
              <w:t xml:space="preserve">گفتار دوم </w:t>
            </w:r>
            <w:r>
              <w:rPr>
                <w:rStyle w:val="IndexLink"/>
                <w:rtl w:val="true"/>
              </w:rPr>
              <w:t>:</w:t>
            </w:r>
            <w:r>
              <w:rPr>
                <w:rStyle w:val="IndexLink"/>
                <w:rtl w:val="true"/>
              </w:rPr>
              <w:t>سنّت</w:t>
            </w:r>
            <w:r>
              <w:rPr>
                <w:rStyle w:val="IndexLink"/>
                <w:rtl w:val="true"/>
              </w:rPr>
              <w:tab/>
            </w:r>
            <w:r>
              <w:rPr>
                <w:rStyle w:val="IndexLink"/>
              </w:rPr>
              <w:t>111</w:t>
            </w:r>
          </w:hyperlink>
        </w:p>
        <w:p>
          <w:pPr>
            <w:pStyle w:val="Contents4"/>
            <w:tabs>
              <w:tab w:val="clear" w:pos="8176"/>
              <w:tab w:val="right" w:pos="9026" w:leader="dot"/>
            </w:tabs>
            <w:rPr/>
          </w:pPr>
          <w:hyperlink w:anchor="__RefHeading___Toc2150825_1051229030">
            <w:r>
              <w:rPr>
                <w:webHidden/>
                <w:rStyle w:val="IndexLink"/>
                <w:rtl w:val="true"/>
              </w:rPr>
              <w:t>سنت در لغت و جامعه‌شناسی</w:t>
            </w:r>
            <w:r>
              <w:rPr>
                <w:rStyle w:val="IndexLink"/>
                <w:rtl w:val="true"/>
              </w:rPr>
              <w:tab/>
            </w:r>
            <w:r>
              <w:rPr>
                <w:rStyle w:val="IndexLink"/>
              </w:rPr>
              <w:t>111</w:t>
            </w:r>
          </w:hyperlink>
        </w:p>
        <w:p>
          <w:pPr>
            <w:pStyle w:val="Contents4"/>
            <w:tabs>
              <w:tab w:val="clear" w:pos="8176"/>
              <w:tab w:val="right" w:pos="9026" w:leader="dot"/>
            </w:tabs>
            <w:rPr/>
          </w:pPr>
          <w:hyperlink w:anchor="__RefHeading___Toc2150827_1051229030">
            <w:r>
              <w:rPr>
                <w:webHidden/>
                <w:rStyle w:val="IndexLink"/>
                <w:rtl w:val="true"/>
              </w:rPr>
              <w:t>ویژگیهای سنت از نظر جامعه‌شناسی</w:t>
            </w:r>
            <w:r>
              <w:rPr>
                <w:rStyle w:val="IndexLink"/>
                <w:rtl w:val="true"/>
              </w:rPr>
              <w:t>:</w:t>
              <w:tab/>
            </w:r>
            <w:r>
              <w:rPr>
                <w:rStyle w:val="IndexLink"/>
              </w:rPr>
              <w:t>112</w:t>
            </w:r>
          </w:hyperlink>
        </w:p>
        <w:p>
          <w:pPr>
            <w:pStyle w:val="Contents4"/>
            <w:tabs>
              <w:tab w:val="clear" w:pos="8176"/>
              <w:tab w:val="right" w:pos="9026" w:leader="dot"/>
            </w:tabs>
            <w:rPr/>
          </w:pPr>
          <w:hyperlink w:anchor="__RefHeading___Toc2150829_1051229030">
            <w:r>
              <w:rPr>
                <w:webHidden/>
                <w:rStyle w:val="IndexLink"/>
                <w:rtl w:val="true"/>
              </w:rPr>
              <w:t>عقیده</w:t>
            </w:r>
            <w:r>
              <w:rPr>
                <w:rStyle w:val="IndexLink"/>
                <w:rtl w:val="true"/>
              </w:rPr>
              <w:tab/>
            </w:r>
            <w:r>
              <w:rPr>
                <w:rStyle w:val="IndexLink"/>
              </w:rPr>
              <w:t>113</w:t>
            </w:r>
          </w:hyperlink>
        </w:p>
        <w:p>
          <w:pPr>
            <w:pStyle w:val="Contents4"/>
            <w:tabs>
              <w:tab w:val="clear" w:pos="8176"/>
              <w:tab w:val="right" w:pos="9026" w:leader="dot"/>
            </w:tabs>
            <w:rPr/>
          </w:pPr>
          <w:hyperlink w:anchor="__RefHeading___Toc2150831_1051229030">
            <w:r>
              <w:rPr>
                <w:webHidden/>
                <w:rStyle w:val="IndexLink"/>
                <w:rtl w:val="true"/>
              </w:rPr>
              <w:t>ویژگیهای عقیده عمومی</w:t>
            </w:r>
            <w:r>
              <w:rPr>
                <w:rStyle w:val="IndexLink"/>
                <w:rtl w:val="true"/>
              </w:rPr>
              <w:t>:</w:t>
              <w:tab/>
            </w:r>
            <w:r>
              <w:rPr>
                <w:rStyle w:val="IndexLink"/>
              </w:rPr>
              <w:t>113</w:t>
            </w:r>
          </w:hyperlink>
        </w:p>
        <w:p>
          <w:pPr>
            <w:pStyle w:val="Contents4"/>
            <w:tabs>
              <w:tab w:val="clear" w:pos="8176"/>
              <w:tab w:val="right" w:pos="9026" w:leader="dot"/>
            </w:tabs>
            <w:rPr/>
          </w:pPr>
          <w:hyperlink w:anchor="__RefHeading___Toc2150833_1051229030">
            <w:r>
              <w:rPr>
                <w:webHidden/>
                <w:rStyle w:val="IndexLink"/>
                <w:rtl w:val="true"/>
              </w:rPr>
              <w:t>نقش سنت‌گرایی و نوگرایی</w:t>
            </w:r>
            <w:r>
              <w:rPr>
                <w:rStyle w:val="IndexLink"/>
                <w:rtl w:val="true"/>
              </w:rPr>
              <w:tab/>
            </w:r>
            <w:r>
              <w:rPr>
                <w:rStyle w:val="IndexLink"/>
              </w:rPr>
              <w:t>114</w:t>
            </w:r>
          </w:hyperlink>
        </w:p>
        <w:p>
          <w:pPr>
            <w:pStyle w:val="Contents4"/>
            <w:tabs>
              <w:tab w:val="clear" w:pos="8176"/>
              <w:tab w:val="right" w:pos="9026" w:leader="dot"/>
            </w:tabs>
            <w:rPr/>
          </w:pPr>
          <w:hyperlink w:anchor="__RefHeading___Toc2150835_1051229030">
            <w:r>
              <w:rPr>
                <w:webHidden/>
                <w:rStyle w:val="IndexLink"/>
                <w:rtl w:val="true"/>
              </w:rPr>
              <w:t>جنبه‌های مثبت و منفی</w:t>
            </w:r>
            <w:r>
              <w:rPr>
                <w:rStyle w:val="IndexLink"/>
                <w:rtl w:val="true"/>
              </w:rPr>
              <w:tab/>
            </w:r>
            <w:r>
              <w:rPr>
                <w:rStyle w:val="IndexLink"/>
              </w:rPr>
              <w:t>115</w:t>
            </w:r>
          </w:hyperlink>
        </w:p>
        <w:p>
          <w:pPr>
            <w:pStyle w:val="Contents4"/>
            <w:tabs>
              <w:tab w:val="clear" w:pos="8176"/>
              <w:tab w:val="right" w:pos="9026" w:leader="dot"/>
            </w:tabs>
            <w:rPr/>
          </w:pPr>
          <w:hyperlink w:anchor="__RefHeading___Toc2150837_1051229030">
            <w:r>
              <w:rPr>
                <w:webHidden/>
                <w:rStyle w:val="IndexLink"/>
                <w:rtl w:val="true"/>
              </w:rPr>
              <w:t>سنت در فقه اسلامی</w:t>
            </w:r>
            <w:r>
              <w:rPr>
                <w:rStyle w:val="IndexLink"/>
                <w:rtl w:val="true"/>
              </w:rPr>
              <w:tab/>
            </w:r>
            <w:r>
              <w:rPr>
                <w:rStyle w:val="IndexLink"/>
              </w:rPr>
              <w:t>115</w:t>
            </w:r>
          </w:hyperlink>
        </w:p>
        <w:p>
          <w:pPr>
            <w:pStyle w:val="Contents4"/>
            <w:tabs>
              <w:tab w:val="clear" w:pos="8176"/>
              <w:tab w:val="right" w:pos="9026" w:leader="dot"/>
            </w:tabs>
            <w:rPr/>
          </w:pPr>
          <w:hyperlink w:anchor="__RefHeading___Toc2150839_1051229030">
            <w:r>
              <w:rPr>
                <w:webHidden/>
                <w:rStyle w:val="IndexLink"/>
                <w:rtl w:val="true"/>
              </w:rPr>
              <w:t>علت وجودی سنت</w:t>
            </w:r>
            <w:r>
              <w:rPr>
                <w:rStyle w:val="IndexLink"/>
                <w:rtl w:val="true"/>
              </w:rPr>
              <w:tab/>
            </w:r>
            <w:r>
              <w:rPr>
                <w:rStyle w:val="IndexLink"/>
              </w:rPr>
              <w:t>116</w:t>
            </w:r>
          </w:hyperlink>
        </w:p>
        <w:p>
          <w:pPr>
            <w:pStyle w:val="Contents4"/>
            <w:tabs>
              <w:tab w:val="clear" w:pos="8176"/>
              <w:tab w:val="right" w:pos="9026" w:leader="dot"/>
            </w:tabs>
            <w:rPr/>
          </w:pPr>
          <w:hyperlink w:anchor="__RefHeading___Toc2150841_1051229030">
            <w:r>
              <w:rPr>
                <w:webHidden/>
                <w:rStyle w:val="IndexLink"/>
                <w:rtl w:val="true"/>
              </w:rPr>
              <w:t>مجموعه‌های اهل سنت و جماعت</w:t>
            </w:r>
            <w:r>
              <w:rPr>
                <w:rStyle w:val="IndexLink"/>
                <w:rtl w:val="true"/>
              </w:rPr>
              <w:t>:</w:t>
              <w:tab/>
            </w:r>
            <w:r>
              <w:rPr>
                <w:rStyle w:val="IndexLink"/>
              </w:rPr>
              <w:t>116</w:t>
            </w:r>
          </w:hyperlink>
        </w:p>
        <w:p>
          <w:pPr>
            <w:pStyle w:val="Contents4"/>
            <w:tabs>
              <w:tab w:val="clear" w:pos="8176"/>
              <w:tab w:val="right" w:pos="9026" w:leader="dot"/>
            </w:tabs>
            <w:rPr/>
          </w:pPr>
          <w:hyperlink w:anchor="__RefHeading___Toc2150843_1051229030">
            <w:r>
              <w:rPr>
                <w:webHidden/>
                <w:rStyle w:val="IndexLink"/>
                <w:rtl w:val="true"/>
              </w:rPr>
              <w:t>مجموعه‌های امامیه</w:t>
            </w:r>
            <w:r>
              <w:rPr>
                <w:rStyle w:val="IndexLink"/>
                <w:rtl w:val="true"/>
              </w:rPr>
              <w:tab/>
            </w:r>
            <w:r>
              <w:rPr>
                <w:rStyle w:val="IndexLink"/>
              </w:rPr>
              <w:t>117</w:t>
            </w:r>
          </w:hyperlink>
        </w:p>
        <w:p>
          <w:pPr>
            <w:pStyle w:val="Contents4"/>
            <w:tabs>
              <w:tab w:val="clear" w:pos="8176"/>
              <w:tab w:val="right" w:pos="9026" w:leader="dot"/>
            </w:tabs>
            <w:rPr/>
          </w:pPr>
          <w:hyperlink w:anchor="__RefHeading___Toc2150845_1051229030">
            <w:r>
              <w:rPr>
                <w:webHidden/>
                <w:rStyle w:val="IndexLink"/>
                <w:rtl w:val="true"/>
              </w:rPr>
              <w:t>فرقه‌های اهل تسنن</w:t>
            </w:r>
            <w:r>
              <w:rPr>
                <w:rStyle w:val="IndexLink"/>
                <w:rtl w:val="true"/>
              </w:rPr>
              <w:tab/>
            </w:r>
            <w:r>
              <w:rPr>
                <w:rStyle w:val="IndexLink"/>
              </w:rPr>
              <w:t>118</w:t>
            </w:r>
          </w:hyperlink>
        </w:p>
        <w:p>
          <w:pPr>
            <w:pStyle w:val="Contents4"/>
            <w:tabs>
              <w:tab w:val="clear" w:pos="8176"/>
              <w:tab w:val="right" w:pos="9026" w:leader="dot"/>
            </w:tabs>
            <w:rPr/>
          </w:pPr>
          <w:hyperlink w:anchor="__RefHeading___Toc2150847_1051229030">
            <w:r>
              <w:rPr>
                <w:webHidden/>
                <w:rStyle w:val="IndexLink"/>
                <w:rtl w:val="true"/>
              </w:rPr>
              <w:t>ارزیابی سنت</w:t>
            </w:r>
            <w:r>
              <w:rPr>
                <w:rStyle w:val="IndexLink"/>
                <w:rtl w:val="true"/>
              </w:rPr>
              <w:tab/>
            </w:r>
            <w:r>
              <w:rPr>
                <w:rStyle w:val="IndexLink"/>
              </w:rPr>
              <w:t>118</w:t>
            </w:r>
          </w:hyperlink>
        </w:p>
        <w:p>
          <w:pPr>
            <w:pStyle w:val="Contents4"/>
            <w:tabs>
              <w:tab w:val="clear" w:pos="8176"/>
              <w:tab w:val="right" w:pos="9026" w:leader="dot"/>
            </w:tabs>
            <w:rPr/>
          </w:pPr>
          <w:hyperlink w:anchor="__RefHeading___Toc2150849_1051229030">
            <w:r>
              <w:rPr>
                <w:webHidden/>
                <w:rStyle w:val="IndexLink"/>
                <w:rtl w:val="true"/>
              </w:rPr>
              <w:t>انواع سنت</w:t>
            </w:r>
            <w:r>
              <w:rPr>
                <w:rStyle w:val="IndexLink"/>
                <w:rtl w:val="true"/>
              </w:rPr>
              <w:tab/>
            </w:r>
            <w:r>
              <w:rPr>
                <w:rStyle w:val="IndexLink"/>
              </w:rPr>
              <w:t>120</w:t>
            </w:r>
          </w:hyperlink>
        </w:p>
        <w:p>
          <w:pPr>
            <w:pStyle w:val="Contents4"/>
            <w:tabs>
              <w:tab w:val="clear" w:pos="8176"/>
              <w:tab w:val="right" w:pos="9026" w:leader="dot"/>
            </w:tabs>
            <w:rPr/>
          </w:pPr>
          <w:hyperlink w:anchor="__RefHeading___Toc2150851_1051229030">
            <w:r>
              <w:rPr>
                <w:webHidden/>
                <w:rStyle w:val="IndexLink"/>
                <w:rtl w:val="true"/>
              </w:rPr>
              <w:t>شرایط اعتبار خبر متواتر</w:t>
            </w:r>
            <w:r>
              <w:rPr>
                <w:rStyle w:val="IndexLink"/>
                <w:rtl w:val="true"/>
              </w:rPr>
              <w:t>:</w:t>
              <w:tab/>
            </w:r>
            <w:r>
              <w:rPr>
                <w:rStyle w:val="IndexLink"/>
              </w:rPr>
              <w:t>121</w:t>
            </w:r>
          </w:hyperlink>
        </w:p>
        <w:p>
          <w:pPr>
            <w:pStyle w:val="Contents4"/>
            <w:tabs>
              <w:tab w:val="clear" w:pos="8176"/>
              <w:tab w:val="right" w:pos="9026" w:leader="dot"/>
            </w:tabs>
            <w:rPr/>
          </w:pPr>
          <w:hyperlink w:anchor="__RefHeading___Toc2150853_1051229030">
            <w:r>
              <w:rPr>
                <w:webHidden/>
                <w:rStyle w:val="IndexLink"/>
                <w:rtl w:val="true"/>
              </w:rPr>
              <w:t>مرسل و مسند</w:t>
            </w:r>
            <w:r>
              <w:rPr>
                <w:rStyle w:val="IndexLink"/>
                <w:rtl w:val="true"/>
              </w:rPr>
              <w:tab/>
            </w:r>
            <w:r>
              <w:rPr>
                <w:rStyle w:val="IndexLink"/>
              </w:rPr>
              <w:t>122</w:t>
            </w:r>
          </w:hyperlink>
        </w:p>
        <w:p>
          <w:pPr>
            <w:pStyle w:val="Contents4"/>
            <w:tabs>
              <w:tab w:val="clear" w:pos="8176"/>
              <w:tab w:val="right" w:pos="9026" w:leader="dot"/>
            </w:tabs>
            <w:rPr/>
          </w:pPr>
          <w:hyperlink w:anchor="__RefHeading___Toc2150855_1051229030">
            <w:r>
              <w:rPr>
                <w:webHidden/>
                <w:rStyle w:val="IndexLink"/>
                <w:rtl w:val="true"/>
              </w:rPr>
              <w:t>انواع خبر واحد</w:t>
            </w:r>
            <w:r>
              <w:rPr>
                <w:rStyle w:val="IndexLink"/>
                <w:rtl w:val="true"/>
              </w:rPr>
              <w:tab/>
            </w:r>
            <w:r>
              <w:rPr>
                <w:rStyle w:val="IndexLink"/>
              </w:rPr>
              <w:t>122</w:t>
            </w:r>
          </w:hyperlink>
        </w:p>
        <w:p>
          <w:pPr>
            <w:pStyle w:val="Contents4"/>
            <w:tabs>
              <w:tab w:val="clear" w:pos="8176"/>
              <w:tab w:val="right" w:pos="9026" w:leader="dot"/>
            </w:tabs>
            <w:rPr/>
          </w:pPr>
          <w:hyperlink w:anchor="__RefHeading___Toc2150857_1051229030">
            <w:r>
              <w:rPr>
                <w:webHidden/>
                <w:rStyle w:val="IndexLink"/>
                <w:rtl w:val="true"/>
              </w:rPr>
              <w:t>تقسیمی دیگر از سنت</w:t>
            </w:r>
            <w:r>
              <w:rPr>
                <w:rStyle w:val="IndexLink"/>
                <w:rtl w:val="true"/>
              </w:rPr>
              <w:tab/>
            </w:r>
            <w:r>
              <w:rPr>
                <w:rStyle w:val="IndexLink"/>
              </w:rPr>
              <w:t>123</w:t>
            </w:r>
          </w:hyperlink>
        </w:p>
        <w:p>
          <w:pPr>
            <w:pStyle w:val="Contents4"/>
            <w:tabs>
              <w:tab w:val="clear" w:pos="8176"/>
              <w:tab w:val="right" w:pos="9026" w:leader="dot"/>
            </w:tabs>
            <w:rPr/>
          </w:pPr>
          <w:hyperlink w:anchor="__RefHeading___Toc2150859_1051229030">
            <w:r>
              <w:rPr>
                <w:webHidden/>
                <w:rStyle w:val="IndexLink"/>
                <w:rtl w:val="true"/>
              </w:rPr>
              <w:t>تخصیص قرآن به حدیث</w:t>
            </w:r>
            <w:r>
              <w:rPr>
                <w:rStyle w:val="IndexLink"/>
                <w:rtl w:val="true"/>
              </w:rPr>
              <w:tab/>
            </w:r>
            <w:r>
              <w:rPr>
                <w:rStyle w:val="IndexLink"/>
              </w:rPr>
              <w:t>123</w:t>
            </w:r>
          </w:hyperlink>
        </w:p>
        <w:p>
          <w:pPr>
            <w:pStyle w:val="Contents3"/>
            <w:tabs>
              <w:tab w:val="clear" w:pos="8459"/>
              <w:tab w:val="right" w:pos="9026" w:leader="dot"/>
            </w:tabs>
            <w:rPr/>
          </w:pPr>
          <w:hyperlink w:anchor="__RefHeading___Toc2150861_1051229030">
            <w:r>
              <w:rPr>
                <w:webHidden/>
                <w:rStyle w:val="IndexLink"/>
                <w:rtl w:val="true"/>
              </w:rPr>
              <w:t>گفتار سوم</w:t>
            </w:r>
            <w:r>
              <w:rPr>
                <w:rStyle w:val="IndexLink"/>
                <w:rtl w:val="true"/>
              </w:rPr>
              <w:t>:</w:t>
            </w:r>
            <w:r>
              <w:rPr>
                <w:rStyle w:val="IndexLink"/>
                <w:rtl w:val="true"/>
              </w:rPr>
              <w:t>اجماع</w:t>
            </w:r>
            <w:r>
              <w:rPr>
                <w:rStyle w:val="IndexLink"/>
                <w:rtl w:val="true"/>
              </w:rPr>
              <w:tab/>
            </w:r>
            <w:r>
              <w:rPr>
                <w:rStyle w:val="IndexLink"/>
              </w:rPr>
              <w:t>124</w:t>
            </w:r>
          </w:hyperlink>
        </w:p>
        <w:p>
          <w:pPr>
            <w:pStyle w:val="Contents4"/>
            <w:tabs>
              <w:tab w:val="clear" w:pos="8176"/>
              <w:tab w:val="right" w:pos="9026" w:leader="dot"/>
            </w:tabs>
            <w:rPr/>
          </w:pPr>
          <w:hyperlink w:anchor="__RefHeading___Toc2150863_1051229030">
            <w:r>
              <w:rPr>
                <w:webHidden/>
                <w:rStyle w:val="IndexLink"/>
                <w:rtl w:val="true"/>
              </w:rPr>
              <w:t>الف</w:t>
            </w:r>
            <w:r>
              <w:rPr>
                <w:rStyle w:val="IndexLink"/>
                <w:rtl w:val="true"/>
              </w:rPr>
              <w:t xml:space="preserve">: </w:t>
            </w:r>
            <w:r>
              <w:rPr>
                <w:rStyle w:val="IndexLink"/>
                <w:rtl w:val="true"/>
              </w:rPr>
              <w:t>اصل شورا یا اجماع در حوزه حقوق عمومی</w:t>
            </w:r>
            <w:r>
              <w:rPr>
                <w:rStyle w:val="IndexLink"/>
                <w:rtl w:val="true"/>
              </w:rPr>
              <w:tab/>
            </w:r>
            <w:r>
              <w:rPr>
                <w:rStyle w:val="IndexLink"/>
              </w:rPr>
              <w:t>124</w:t>
            </w:r>
          </w:hyperlink>
        </w:p>
        <w:p>
          <w:pPr>
            <w:pStyle w:val="Contents4"/>
            <w:tabs>
              <w:tab w:val="clear" w:pos="8176"/>
              <w:tab w:val="right" w:pos="9026" w:leader="dot"/>
            </w:tabs>
            <w:rPr/>
          </w:pPr>
          <w:hyperlink w:anchor="__RefHeading___Toc2150865_1051229030">
            <w:r>
              <w:rPr>
                <w:webHidden/>
                <w:rStyle w:val="IndexLink"/>
                <w:rtl w:val="true"/>
              </w:rPr>
              <w:t>ب</w:t>
            </w:r>
            <w:r>
              <w:rPr>
                <w:rStyle w:val="IndexLink"/>
                <w:rtl w:val="true"/>
              </w:rPr>
              <w:t xml:space="preserve">: </w:t>
            </w:r>
            <w:r>
              <w:rPr>
                <w:rStyle w:val="IndexLink"/>
                <w:rtl w:val="true"/>
              </w:rPr>
              <w:t>اجماع در حوزه حقوق خصوصی</w:t>
            </w:r>
            <w:r>
              <w:rPr>
                <w:rStyle w:val="IndexLink"/>
                <w:rtl w:val="true"/>
              </w:rPr>
              <w:tab/>
            </w:r>
            <w:r>
              <w:rPr>
                <w:rStyle w:val="IndexLink"/>
              </w:rPr>
              <w:t>127</w:t>
            </w:r>
          </w:hyperlink>
        </w:p>
        <w:p>
          <w:pPr>
            <w:pStyle w:val="Contents5"/>
            <w:tabs>
              <w:tab w:val="clear" w:pos="7892"/>
              <w:tab w:val="right" w:pos="9026" w:leader="dot"/>
            </w:tabs>
            <w:rPr/>
          </w:pPr>
          <w:hyperlink w:anchor="__RefHeading___Toc2150867_1051229030">
            <w:r>
              <w:rPr>
                <w:webHidden/>
                <w:rStyle w:val="IndexLink"/>
              </w:rPr>
              <w:t>1</w:t>
            </w:r>
            <w:r>
              <w:rPr>
                <w:rStyle w:val="IndexLink"/>
                <w:rtl w:val="true"/>
              </w:rPr>
              <w:t xml:space="preserve"> - </w:t>
            </w:r>
            <w:r>
              <w:rPr>
                <w:rStyle w:val="IndexLink"/>
                <w:rtl w:val="true"/>
              </w:rPr>
              <w:t>نظر اهل سنت</w:t>
            </w:r>
            <w:r>
              <w:rPr>
                <w:rStyle w:val="IndexLink"/>
                <w:rtl w:val="true"/>
              </w:rPr>
              <w:tab/>
            </w:r>
            <w:r>
              <w:rPr>
                <w:rStyle w:val="IndexLink"/>
              </w:rPr>
              <w:t>127</w:t>
            </w:r>
          </w:hyperlink>
        </w:p>
        <w:p>
          <w:pPr>
            <w:pStyle w:val="Contents5"/>
            <w:tabs>
              <w:tab w:val="clear" w:pos="7892"/>
              <w:tab w:val="right" w:pos="9026" w:leader="dot"/>
            </w:tabs>
            <w:rPr/>
          </w:pPr>
          <w:hyperlink w:anchor="__RefHeading___Toc2150869_1051229030">
            <w:r>
              <w:rPr>
                <w:webHidden/>
                <w:rStyle w:val="IndexLink"/>
              </w:rPr>
              <w:t>2</w:t>
            </w:r>
            <w:r>
              <w:rPr>
                <w:rStyle w:val="IndexLink"/>
                <w:rtl w:val="true"/>
              </w:rPr>
              <w:t xml:space="preserve"> - </w:t>
            </w:r>
            <w:r>
              <w:rPr>
                <w:rStyle w:val="IndexLink"/>
                <w:rtl w:val="true"/>
              </w:rPr>
              <w:t>نظر امامیه</w:t>
            </w:r>
            <w:r>
              <w:rPr>
                <w:rStyle w:val="IndexLink"/>
                <w:rtl w:val="true"/>
              </w:rPr>
              <w:tab/>
            </w:r>
            <w:r>
              <w:rPr>
                <w:rStyle w:val="IndexLink"/>
              </w:rPr>
              <w:t>128</w:t>
            </w:r>
          </w:hyperlink>
        </w:p>
        <w:p>
          <w:pPr>
            <w:pStyle w:val="Contents6"/>
            <w:tabs>
              <w:tab w:val="clear" w:pos="7609"/>
              <w:tab w:val="right" w:pos="9026" w:leader="dot"/>
            </w:tabs>
            <w:rPr/>
          </w:pPr>
          <w:hyperlink w:anchor="__RefHeading___Toc2150871_1051229030">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2150873_1051229030">
            <w:r>
              <w:rPr>
                <w:webHidden/>
                <w:rStyle w:val="IndexLink"/>
                <w:rtl w:val="true"/>
              </w:rPr>
              <w:t>معصوم کیست ؟</w:t>
            </w:r>
            <w:r>
              <w:rPr>
                <w:rStyle w:val="IndexLink"/>
                <w:rtl w:val="true"/>
              </w:rPr>
              <w:tab/>
            </w:r>
            <w:r>
              <w:rPr>
                <w:rStyle w:val="IndexLink"/>
              </w:rPr>
              <w:t>128</w:t>
            </w:r>
          </w:hyperlink>
        </w:p>
        <w:p>
          <w:pPr>
            <w:pStyle w:val="Contents6"/>
            <w:tabs>
              <w:tab w:val="clear" w:pos="7609"/>
              <w:tab w:val="right" w:pos="9026" w:leader="dot"/>
            </w:tabs>
            <w:rPr/>
          </w:pPr>
          <w:hyperlink w:anchor="__RefHeading___Toc2150875_1051229030">
            <w:r>
              <w:rPr>
                <w:webHidden/>
                <w:rStyle w:val="IndexLink"/>
                <w:rtl w:val="true"/>
              </w:rPr>
              <w:t>حجیت اجماع نزد امامیه</w:t>
            </w:r>
            <w:r>
              <w:rPr>
                <w:rStyle w:val="IndexLink"/>
                <w:rtl w:val="true"/>
              </w:rPr>
              <w:t>:</w:t>
              <w:tab/>
            </w:r>
            <w:r>
              <w:rPr>
                <w:rStyle w:val="IndexLink"/>
              </w:rPr>
              <w:t>129</w:t>
            </w:r>
          </w:hyperlink>
        </w:p>
        <w:p>
          <w:pPr>
            <w:pStyle w:val="Contents4"/>
            <w:tabs>
              <w:tab w:val="clear" w:pos="8176"/>
              <w:tab w:val="right" w:pos="9026" w:leader="dot"/>
            </w:tabs>
            <w:rPr/>
          </w:pPr>
          <w:hyperlink w:anchor="__RefHeading___Toc2150877_1051229030">
            <w:r>
              <w:rPr>
                <w:webHidden/>
                <w:rStyle w:val="IndexLink"/>
                <w:rtl w:val="true"/>
              </w:rPr>
              <w:t>عقاید گوناگون درباره اجماع</w:t>
            </w:r>
            <w:r>
              <w:rPr>
                <w:rStyle w:val="IndexLink"/>
                <w:rtl w:val="true"/>
              </w:rPr>
              <w:tab/>
            </w:r>
            <w:r>
              <w:rPr>
                <w:rStyle w:val="IndexLink"/>
              </w:rPr>
              <w:t>131</w:t>
            </w:r>
          </w:hyperlink>
        </w:p>
        <w:p>
          <w:pPr>
            <w:pStyle w:val="Contents4"/>
            <w:tabs>
              <w:tab w:val="clear" w:pos="8176"/>
              <w:tab w:val="right" w:pos="9026" w:leader="dot"/>
            </w:tabs>
            <w:rPr/>
          </w:pPr>
          <w:hyperlink w:anchor="__RefHeading___Toc2150879_1051229030">
            <w:r>
              <w:rPr>
                <w:webHidden/>
                <w:rStyle w:val="IndexLink"/>
                <w:rtl w:val="true"/>
              </w:rPr>
              <w:t>چگونه اجماع از رأی معصوم کاشف است؟</w:t>
            </w:r>
            <w:r>
              <w:rPr>
                <w:rStyle w:val="IndexLink"/>
                <w:rtl w:val="true"/>
              </w:rPr>
              <w:tab/>
            </w:r>
            <w:r>
              <w:rPr>
                <w:rStyle w:val="IndexLink"/>
              </w:rPr>
              <w:t>132</w:t>
            </w:r>
          </w:hyperlink>
        </w:p>
        <w:p>
          <w:pPr>
            <w:pStyle w:val="Contents4"/>
            <w:tabs>
              <w:tab w:val="clear" w:pos="8176"/>
              <w:tab w:val="right" w:pos="9026" w:leader="dot"/>
            </w:tabs>
            <w:rPr/>
          </w:pPr>
          <w:hyperlink w:anchor="__RefHeading___Toc2150881_1051229030">
            <w:r>
              <w:rPr>
                <w:webHidden/>
                <w:rStyle w:val="IndexLink"/>
                <w:rtl w:val="true"/>
              </w:rPr>
              <w:t>منقول و محصل</w:t>
            </w:r>
            <w:r>
              <w:rPr>
                <w:rStyle w:val="IndexLink"/>
                <w:rtl w:val="true"/>
              </w:rPr>
              <w:tab/>
            </w:r>
            <w:r>
              <w:rPr>
                <w:rStyle w:val="IndexLink"/>
              </w:rPr>
              <w:t>133</w:t>
            </w:r>
          </w:hyperlink>
        </w:p>
        <w:p>
          <w:pPr>
            <w:pStyle w:val="Contents3"/>
            <w:tabs>
              <w:tab w:val="clear" w:pos="8459"/>
              <w:tab w:val="right" w:pos="9026" w:leader="dot"/>
            </w:tabs>
            <w:rPr/>
          </w:pPr>
          <w:hyperlink w:anchor="__RefHeading___Toc2150883_1051229030">
            <w:r>
              <w:rPr>
                <w:webHidden/>
                <w:rStyle w:val="IndexLink"/>
                <w:rtl w:val="true"/>
              </w:rPr>
              <w:t>گفتار چهارم</w:t>
            </w:r>
            <w:r>
              <w:rPr>
                <w:rStyle w:val="IndexLink"/>
                <w:rtl w:val="true"/>
              </w:rPr>
              <w:t>:</w:t>
            </w:r>
            <w:r>
              <w:rPr>
                <w:rStyle w:val="IndexLink"/>
                <w:rtl w:val="true"/>
              </w:rPr>
              <w:t>عقل</w:t>
            </w:r>
            <w:r>
              <w:rPr>
                <w:rStyle w:val="IndexLink"/>
                <w:rtl w:val="true"/>
              </w:rPr>
              <w:tab/>
            </w:r>
            <w:r>
              <w:rPr>
                <w:rStyle w:val="IndexLink"/>
              </w:rPr>
              <w:t>134</w:t>
            </w:r>
          </w:hyperlink>
        </w:p>
        <w:p>
          <w:pPr>
            <w:pStyle w:val="Contents4"/>
            <w:tabs>
              <w:tab w:val="clear" w:pos="8176"/>
              <w:tab w:val="right" w:pos="9026" w:leader="dot"/>
            </w:tabs>
            <w:rPr/>
          </w:pPr>
          <w:hyperlink w:anchor="__RefHeading___Toc2150885_105122903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150887_1051229030">
            <w:r>
              <w:rPr>
                <w:webHidden/>
                <w:rStyle w:val="IndexLink"/>
                <w:rtl w:val="true"/>
              </w:rPr>
              <w:t>عقل ازنظر امامیه</w:t>
            </w:r>
            <w:r>
              <w:rPr>
                <w:rStyle w:val="IndexLink"/>
                <w:rtl w:val="true"/>
              </w:rPr>
              <w:tab/>
            </w:r>
            <w:r>
              <w:rPr>
                <w:rStyle w:val="IndexLink"/>
              </w:rPr>
              <w:t>138</w:t>
            </w:r>
          </w:hyperlink>
        </w:p>
        <w:p>
          <w:pPr>
            <w:pStyle w:val="Contents4"/>
            <w:tabs>
              <w:tab w:val="clear" w:pos="8176"/>
              <w:tab w:val="right" w:pos="9026" w:leader="dot"/>
            </w:tabs>
            <w:rPr/>
          </w:pPr>
          <w:hyperlink w:anchor="__RefHeading___Toc2150889_1051229030">
            <w:r>
              <w:rPr>
                <w:webHidden/>
                <w:rStyle w:val="IndexLink"/>
                <w:rtl w:val="true"/>
              </w:rPr>
              <w:t>حسن و قبح عقلی</w:t>
            </w:r>
            <w:r>
              <w:rPr>
                <w:rStyle w:val="IndexLink"/>
                <w:rtl w:val="true"/>
              </w:rPr>
              <w:tab/>
            </w:r>
            <w:r>
              <w:rPr>
                <w:rStyle w:val="IndexLink"/>
              </w:rPr>
              <w:t>140</w:t>
            </w:r>
          </w:hyperlink>
        </w:p>
        <w:p>
          <w:pPr>
            <w:pStyle w:val="Contents4"/>
            <w:tabs>
              <w:tab w:val="clear" w:pos="8176"/>
              <w:tab w:val="right" w:pos="9026" w:leader="dot"/>
            </w:tabs>
            <w:rPr/>
          </w:pPr>
          <w:hyperlink w:anchor="__RefHeading___Toc2150891_1051229030">
            <w:r>
              <w:rPr>
                <w:webHidden/>
                <w:rStyle w:val="IndexLink"/>
                <w:rtl w:val="true"/>
              </w:rPr>
              <w:t xml:space="preserve">آیا </w:t>
            </w:r>
            <w:r>
              <w:rPr>
                <w:rStyle w:val="IndexLink"/>
                <w:rtl w:val="true"/>
              </w:rPr>
              <w:t>«</w:t>
            </w:r>
            <w:r>
              <w:rPr>
                <w:rStyle w:val="IndexLink"/>
                <w:rtl w:val="true"/>
              </w:rPr>
              <w:t>عقل</w:t>
            </w:r>
            <w:r>
              <w:rPr>
                <w:rStyle w:val="IndexLink"/>
                <w:rtl w:val="true"/>
              </w:rPr>
              <w:t xml:space="preserve">» </w:t>
            </w:r>
            <w:r>
              <w:rPr>
                <w:rStyle w:val="IndexLink"/>
                <w:rtl w:val="true"/>
              </w:rPr>
              <w:t>می‌تواند مخصص قرآن باشد؟</w:t>
            </w:r>
            <w:r>
              <w:rPr>
                <w:rStyle w:val="IndexLink"/>
                <w:rtl w:val="true"/>
              </w:rPr>
              <w:tab/>
            </w:r>
            <w:r>
              <w:rPr>
                <w:rStyle w:val="IndexLink"/>
              </w:rPr>
              <w:t>143</w:t>
            </w:r>
          </w:hyperlink>
        </w:p>
        <w:p>
          <w:pPr>
            <w:pStyle w:val="Contents4"/>
            <w:tabs>
              <w:tab w:val="clear" w:pos="8176"/>
              <w:tab w:val="right" w:pos="9026" w:leader="dot"/>
            </w:tabs>
            <w:rPr/>
          </w:pPr>
          <w:hyperlink w:anchor="__RefHeading___Toc2150893_1051229030">
            <w:r>
              <w:rPr>
                <w:webHidden/>
                <w:rStyle w:val="IndexLink"/>
                <w:rtl w:val="true"/>
              </w:rPr>
              <w:t>ثمره بحث</w:t>
            </w:r>
            <w:r>
              <w:rPr>
                <w:rStyle w:val="IndexLink"/>
                <w:rtl w:val="true"/>
              </w:rPr>
              <w:tab/>
            </w:r>
            <w:r>
              <w:rPr>
                <w:rStyle w:val="IndexLink"/>
              </w:rPr>
              <w:t>143</w:t>
            </w:r>
          </w:hyperlink>
        </w:p>
        <w:p>
          <w:pPr>
            <w:pStyle w:val="Contents5"/>
            <w:tabs>
              <w:tab w:val="clear" w:pos="7892"/>
              <w:tab w:val="right" w:pos="9026" w:leader="dot"/>
            </w:tabs>
            <w:rPr/>
          </w:pPr>
          <w:hyperlink w:anchor="__RefHeading___Toc2150895_105122903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2150897_1051229030">
            <w:r>
              <w:rPr>
                <w:webHidden/>
                <w:rStyle w:val="IndexLink"/>
              </w:rPr>
              <w:t>1</w:t>
            </w:r>
            <w:r>
              <w:rPr>
                <w:rStyle w:val="IndexLink"/>
                <w:rtl w:val="true"/>
              </w:rPr>
              <w:t xml:space="preserve">- </w:t>
            </w:r>
            <w:r>
              <w:rPr>
                <w:rStyle w:val="IndexLink"/>
                <w:rtl w:val="true"/>
              </w:rPr>
              <w:t>قاعده اضطرار</w:t>
            </w:r>
            <w:r>
              <w:rPr>
                <w:rStyle w:val="IndexLink"/>
                <w:rtl w:val="true"/>
              </w:rPr>
              <w:tab/>
            </w:r>
            <w:r>
              <w:rPr>
                <w:rStyle w:val="IndexLink"/>
              </w:rPr>
              <w:t>143</w:t>
            </w:r>
          </w:hyperlink>
        </w:p>
        <w:p>
          <w:pPr>
            <w:pStyle w:val="Contents5"/>
            <w:tabs>
              <w:tab w:val="clear" w:pos="7892"/>
              <w:tab w:val="right" w:pos="9026" w:leader="dot"/>
            </w:tabs>
            <w:rPr/>
          </w:pPr>
          <w:hyperlink w:anchor="__RefHeading___Toc2150899_1051229030">
            <w:r>
              <w:rPr>
                <w:webHidden/>
                <w:rStyle w:val="IndexLink"/>
              </w:rPr>
              <w:t>2</w:t>
            </w:r>
            <w:r>
              <w:rPr>
                <w:rStyle w:val="IndexLink"/>
                <w:rtl w:val="true"/>
              </w:rPr>
              <w:t xml:space="preserve">- </w:t>
            </w:r>
            <w:r>
              <w:rPr>
                <w:rStyle w:val="IndexLink"/>
                <w:rtl w:val="true"/>
              </w:rPr>
              <w:t>حدیث لاضرر</w:t>
            </w:r>
            <w:r>
              <w:rPr>
                <w:rStyle w:val="IndexLink"/>
                <w:rtl w:val="true"/>
              </w:rPr>
              <w:tab/>
            </w:r>
            <w:r>
              <w:rPr>
                <w:rStyle w:val="IndexLink"/>
              </w:rPr>
              <w:t>146</w:t>
            </w:r>
          </w:hyperlink>
        </w:p>
        <w:p>
          <w:pPr>
            <w:pStyle w:val="Contents5"/>
            <w:tabs>
              <w:tab w:val="clear" w:pos="7892"/>
              <w:tab w:val="right" w:pos="9026" w:leader="dot"/>
            </w:tabs>
            <w:rPr/>
          </w:pPr>
          <w:hyperlink w:anchor="__RefHeading___Toc2150901_1051229030">
            <w:r>
              <w:rPr>
                <w:webHidden/>
                <w:rStyle w:val="IndexLink"/>
              </w:rPr>
              <w:t>3</w:t>
            </w:r>
            <w:r>
              <w:rPr>
                <w:rStyle w:val="IndexLink"/>
                <w:rtl w:val="true"/>
              </w:rPr>
              <w:t xml:space="preserve">- </w:t>
            </w:r>
            <w:r>
              <w:rPr>
                <w:rStyle w:val="IndexLink"/>
                <w:rtl w:val="true"/>
              </w:rPr>
              <w:t>اباحه عقلی</w:t>
            </w:r>
            <w:r>
              <w:rPr>
                <w:rStyle w:val="IndexLink"/>
                <w:rtl w:val="true"/>
              </w:rPr>
              <w:tab/>
            </w:r>
            <w:r>
              <w:rPr>
                <w:rStyle w:val="IndexLink"/>
              </w:rPr>
              <w:t>148</w:t>
            </w:r>
          </w:hyperlink>
        </w:p>
        <w:p>
          <w:pPr>
            <w:pStyle w:val="Contents3"/>
            <w:tabs>
              <w:tab w:val="clear" w:pos="8459"/>
              <w:tab w:val="right" w:pos="9026" w:leader="dot"/>
            </w:tabs>
            <w:rPr/>
          </w:pPr>
          <w:hyperlink w:anchor="__RefHeading___Toc2150903_1051229030">
            <w:r>
              <w:rPr>
                <w:webHidden/>
                <w:rStyle w:val="IndexLink"/>
                <w:rtl w:val="true"/>
              </w:rPr>
              <w:t xml:space="preserve">گفتار پنجم </w:t>
            </w:r>
            <w:r>
              <w:rPr>
                <w:rStyle w:val="IndexLink"/>
                <w:rtl w:val="true"/>
              </w:rPr>
              <w:t>:</w:t>
            </w:r>
            <w:r>
              <w:rPr>
                <w:rStyle w:val="IndexLink"/>
                <w:rtl w:val="true"/>
              </w:rPr>
              <w:t xml:space="preserve">اصلهای عملی </w:t>
            </w:r>
            <w:r>
              <w:rPr>
                <w:rStyle w:val="IndexLink"/>
                <w:rtl w:val="true"/>
              </w:rPr>
              <w:t>(</w:t>
            </w:r>
            <w:r>
              <w:rPr>
                <w:rStyle w:val="IndexLink"/>
                <w:rtl w:val="true"/>
              </w:rPr>
              <w:t>فرضهای قانونی</w:t>
            </w:r>
            <w:r>
              <w:rPr>
                <w:rStyle w:val="IndexLink"/>
                <w:rtl w:val="true"/>
              </w:rPr>
              <w:t>)</w:t>
              <w:tab/>
            </w:r>
            <w:r>
              <w:rPr>
                <w:rStyle w:val="IndexLink"/>
              </w:rPr>
              <w:t>149</w:t>
            </w:r>
          </w:hyperlink>
        </w:p>
        <w:p>
          <w:pPr>
            <w:pStyle w:val="Contents4"/>
            <w:tabs>
              <w:tab w:val="clear" w:pos="8176"/>
              <w:tab w:val="right" w:pos="9026" w:leader="dot"/>
            </w:tabs>
            <w:rPr/>
          </w:pPr>
          <w:hyperlink w:anchor="__RefHeading___Toc2150905_105122903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150907_1051229030">
            <w:r>
              <w:rPr>
                <w:webHidden/>
                <w:rStyle w:val="IndexLink"/>
                <w:rtl w:val="true"/>
              </w:rPr>
              <w:t>اقسام اصول عملی</w:t>
            </w:r>
            <w:r>
              <w:rPr>
                <w:rStyle w:val="IndexLink"/>
                <w:rtl w:val="true"/>
              </w:rPr>
              <w:tab/>
            </w:r>
            <w:r>
              <w:rPr>
                <w:rStyle w:val="IndexLink"/>
              </w:rPr>
              <w:t>151</w:t>
            </w:r>
          </w:hyperlink>
        </w:p>
        <w:p>
          <w:pPr>
            <w:pStyle w:val="Contents5"/>
            <w:tabs>
              <w:tab w:val="clear" w:pos="7892"/>
              <w:tab w:val="right" w:pos="9026" w:leader="dot"/>
            </w:tabs>
            <w:rPr/>
          </w:pPr>
          <w:hyperlink w:anchor="__RefHeading___Toc2150909_1051229030">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150911_1051229030">
            <w:r>
              <w:rPr>
                <w:webHidden/>
                <w:rStyle w:val="IndexLink"/>
              </w:rPr>
              <w:t>1</w:t>
            </w:r>
            <w:r>
              <w:rPr>
                <w:rStyle w:val="IndexLink"/>
                <w:rtl w:val="true"/>
              </w:rPr>
              <w:t xml:space="preserve">- </w:t>
            </w:r>
            <w:r>
              <w:rPr>
                <w:rStyle w:val="IndexLink"/>
                <w:rtl w:val="true"/>
              </w:rPr>
              <w:t>اصل برائت</w:t>
            </w:r>
            <w:r>
              <w:rPr>
                <w:rStyle w:val="IndexLink"/>
                <w:rtl w:val="true"/>
              </w:rPr>
              <w:tab/>
            </w:r>
            <w:r>
              <w:rPr>
                <w:rStyle w:val="IndexLink"/>
              </w:rPr>
              <w:t>152</w:t>
            </w:r>
          </w:hyperlink>
        </w:p>
        <w:p>
          <w:pPr>
            <w:pStyle w:val="Contents6"/>
            <w:tabs>
              <w:tab w:val="clear" w:pos="7609"/>
              <w:tab w:val="right" w:pos="9026" w:leader="dot"/>
            </w:tabs>
            <w:rPr/>
          </w:pPr>
          <w:hyperlink w:anchor="__RefHeading___Toc2150913_1051229030">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2150915_1051229030">
            <w:r>
              <w:rPr>
                <w:webHidden/>
                <w:rStyle w:val="IndexLink"/>
                <w:rtl w:val="true"/>
              </w:rPr>
              <w:t>دلایل اصل برائت</w:t>
            </w:r>
            <w:r>
              <w:rPr>
                <w:rStyle w:val="IndexLink"/>
                <w:rtl w:val="true"/>
              </w:rPr>
              <w:t>:</w:t>
              <w:tab/>
            </w:r>
            <w:r>
              <w:rPr>
                <w:rStyle w:val="IndexLink"/>
              </w:rPr>
              <w:t>152</w:t>
            </w:r>
          </w:hyperlink>
        </w:p>
        <w:p>
          <w:pPr>
            <w:pStyle w:val="Contents6"/>
            <w:tabs>
              <w:tab w:val="clear" w:pos="7609"/>
              <w:tab w:val="right" w:pos="9026" w:leader="dot"/>
            </w:tabs>
            <w:rPr/>
          </w:pPr>
          <w:hyperlink w:anchor="__RefHeading___Toc2150917_1051229030">
            <w:r>
              <w:rPr>
                <w:webHidden/>
                <w:rStyle w:val="IndexLink"/>
                <w:rtl w:val="true"/>
              </w:rPr>
              <w:t>دلایل اخباری‌ها در بطلان اصل برائت</w:t>
            </w:r>
            <w:r>
              <w:rPr>
                <w:rStyle w:val="IndexLink"/>
                <w:rtl w:val="true"/>
              </w:rPr>
              <w:t>:</w:t>
              <w:tab/>
            </w:r>
            <w:r>
              <w:rPr>
                <w:rStyle w:val="IndexLink"/>
              </w:rPr>
              <w:t>153</w:t>
            </w:r>
          </w:hyperlink>
        </w:p>
        <w:p>
          <w:pPr>
            <w:pStyle w:val="Contents5"/>
            <w:tabs>
              <w:tab w:val="clear" w:pos="7892"/>
              <w:tab w:val="right" w:pos="9026" w:leader="dot"/>
            </w:tabs>
            <w:rPr/>
          </w:pPr>
          <w:hyperlink w:anchor="__RefHeading___Toc2150919_1051229030">
            <w:r>
              <w:rPr>
                <w:webHidden/>
                <w:rStyle w:val="IndexLink"/>
              </w:rPr>
              <w:t>2</w:t>
            </w:r>
            <w:r>
              <w:rPr>
                <w:rStyle w:val="IndexLink"/>
                <w:rtl w:val="true"/>
              </w:rPr>
              <w:t xml:space="preserve">- </w:t>
            </w:r>
            <w:r>
              <w:rPr>
                <w:rStyle w:val="IndexLink"/>
                <w:rtl w:val="true"/>
              </w:rPr>
              <w:t xml:space="preserve">اصل استصحاب </w:t>
            </w:r>
            <w:r>
              <w:rPr>
                <w:rStyle w:val="IndexLink"/>
                <w:rtl w:val="true"/>
              </w:rPr>
              <w:t>(</w:t>
            </w:r>
            <w:r>
              <w:rPr>
                <w:rStyle w:val="IndexLink"/>
                <w:rtl w:val="true"/>
              </w:rPr>
              <w:t>اعتبار حالت سابق</w:t>
            </w:r>
            <w:r>
              <w:rPr>
                <w:rStyle w:val="IndexLink"/>
                <w:rtl w:val="true"/>
              </w:rPr>
              <w:t>)</w:t>
              <w:tab/>
            </w:r>
            <w:r>
              <w:rPr>
                <w:rStyle w:val="IndexLink"/>
              </w:rPr>
              <w:t>154</w:t>
            </w:r>
          </w:hyperlink>
        </w:p>
        <w:p>
          <w:pPr>
            <w:pStyle w:val="Contents3"/>
            <w:tabs>
              <w:tab w:val="clear" w:pos="8459"/>
              <w:tab w:val="right" w:pos="9026" w:leader="dot"/>
            </w:tabs>
            <w:rPr/>
          </w:pPr>
          <w:hyperlink w:anchor="__RefHeading___Toc2150921_1051229030">
            <w:r>
              <w:rPr>
                <w:webHidden/>
                <w:rStyle w:val="IndexLink"/>
                <w:rtl w:val="true"/>
              </w:rPr>
              <w:t xml:space="preserve">گفتار ششم </w:t>
            </w:r>
            <w:r>
              <w:rPr>
                <w:rStyle w:val="IndexLink"/>
                <w:rtl w:val="true"/>
              </w:rPr>
              <w:t>:</w:t>
            </w:r>
            <w:r>
              <w:rPr>
                <w:rStyle w:val="IndexLink"/>
                <w:rtl w:val="true"/>
              </w:rPr>
              <w:t>قیاس</w:t>
            </w:r>
            <w:r>
              <w:rPr>
                <w:rStyle w:val="IndexLink"/>
                <w:rtl w:val="true"/>
              </w:rPr>
              <w:tab/>
            </w:r>
            <w:r>
              <w:rPr>
                <w:rStyle w:val="IndexLink"/>
              </w:rPr>
              <w:t>157</w:t>
            </w:r>
          </w:hyperlink>
        </w:p>
        <w:p>
          <w:pPr>
            <w:pStyle w:val="Contents4"/>
            <w:tabs>
              <w:tab w:val="clear" w:pos="8176"/>
              <w:tab w:val="right" w:pos="9026" w:leader="dot"/>
            </w:tabs>
            <w:rPr/>
          </w:pPr>
          <w:hyperlink w:anchor="__RefHeading___Toc2150923_1051229030">
            <w:r>
              <w:rPr>
                <w:webHidden/>
                <w:rStyle w:val="IndexLink"/>
                <w:rtl w:val="true"/>
              </w:rPr>
              <w:t>مقدمه</w:t>
            </w:r>
            <w:r>
              <w:rPr>
                <w:rStyle w:val="IndexLink"/>
                <w:rtl w:val="true"/>
              </w:rPr>
              <w:t>:</w:t>
              <w:tab/>
            </w:r>
            <w:r>
              <w:rPr>
                <w:rStyle w:val="IndexLink"/>
              </w:rPr>
              <w:t>157</w:t>
            </w:r>
          </w:hyperlink>
        </w:p>
        <w:p>
          <w:pPr>
            <w:pStyle w:val="Contents4"/>
            <w:tabs>
              <w:tab w:val="clear" w:pos="8176"/>
              <w:tab w:val="right" w:pos="9026" w:leader="dot"/>
            </w:tabs>
            <w:rPr/>
          </w:pPr>
          <w:hyperlink w:anchor="__RefHeading___Toc2150925_1051229030">
            <w:r>
              <w:rPr>
                <w:webHidden/>
                <w:rStyle w:val="IndexLink"/>
                <w:rtl w:val="true"/>
              </w:rPr>
              <w:t>قیاس منطقی</w:t>
            </w:r>
            <w:r>
              <w:rPr>
                <w:rStyle w:val="IndexLink"/>
                <w:rtl w:val="true"/>
              </w:rPr>
              <w:tab/>
            </w:r>
            <w:r>
              <w:rPr>
                <w:rStyle w:val="IndexLink"/>
              </w:rPr>
              <w:t>157</w:t>
            </w:r>
          </w:hyperlink>
        </w:p>
        <w:p>
          <w:pPr>
            <w:pStyle w:val="Contents4"/>
            <w:tabs>
              <w:tab w:val="clear" w:pos="8176"/>
              <w:tab w:val="right" w:pos="9026" w:leader="dot"/>
            </w:tabs>
            <w:rPr/>
          </w:pPr>
          <w:hyperlink w:anchor="__RefHeading___Toc2150927_1051229030">
            <w:r>
              <w:rPr>
                <w:webHidden/>
                <w:rStyle w:val="IndexLink"/>
                <w:rtl w:val="true"/>
              </w:rPr>
              <w:t>در لزوم قیاس حقوقی</w:t>
            </w:r>
            <w:r>
              <w:rPr>
                <w:rStyle w:val="IndexLink"/>
                <w:rtl w:val="true"/>
              </w:rPr>
              <w:tab/>
            </w:r>
            <w:r>
              <w:rPr>
                <w:rStyle w:val="IndexLink"/>
              </w:rPr>
              <w:t>158</w:t>
            </w:r>
          </w:hyperlink>
        </w:p>
        <w:p>
          <w:pPr>
            <w:pStyle w:val="Contents4"/>
            <w:tabs>
              <w:tab w:val="clear" w:pos="8176"/>
              <w:tab w:val="right" w:pos="9026" w:leader="dot"/>
            </w:tabs>
            <w:rPr/>
          </w:pPr>
          <w:hyperlink w:anchor="__RefHeading___Toc2150929_1051229030">
            <w:r>
              <w:rPr>
                <w:webHidden/>
                <w:rStyle w:val="IndexLink"/>
                <w:rtl w:val="true"/>
              </w:rPr>
              <w:t>مکتبهای قیاس</w:t>
            </w:r>
            <w:r>
              <w:rPr>
                <w:rStyle w:val="IndexLink"/>
                <w:rtl w:val="true"/>
              </w:rPr>
              <w:tab/>
            </w:r>
            <w:r>
              <w:rPr>
                <w:rStyle w:val="IndexLink"/>
              </w:rPr>
              <w:t>159</w:t>
            </w:r>
          </w:hyperlink>
        </w:p>
        <w:p>
          <w:pPr>
            <w:pStyle w:val="Contents5"/>
            <w:tabs>
              <w:tab w:val="clear" w:pos="7892"/>
              <w:tab w:val="right" w:pos="9026" w:leader="dot"/>
            </w:tabs>
            <w:rPr/>
          </w:pPr>
          <w:hyperlink w:anchor="__RefHeading___Toc2150931_1051229030">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2150933_1051229030">
            <w:r>
              <w:rPr>
                <w:webHidden/>
                <w:rStyle w:val="IndexLink"/>
              </w:rPr>
              <w:t>1</w:t>
            </w:r>
            <w:r>
              <w:rPr>
                <w:rStyle w:val="IndexLink"/>
                <w:rtl w:val="true"/>
              </w:rPr>
              <w:t xml:space="preserve">- </w:t>
            </w:r>
            <w:r>
              <w:rPr>
                <w:rStyle w:val="IndexLink"/>
                <w:rtl w:val="true"/>
              </w:rPr>
              <w:t>مکتب نفی قیاس</w:t>
            </w:r>
            <w:r>
              <w:rPr>
                <w:rStyle w:val="IndexLink"/>
                <w:rtl w:val="true"/>
              </w:rPr>
              <w:tab/>
            </w:r>
            <w:r>
              <w:rPr>
                <w:rStyle w:val="IndexLink"/>
              </w:rPr>
              <w:t>159</w:t>
            </w:r>
          </w:hyperlink>
        </w:p>
        <w:p>
          <w:pPr>
            <w:pStyle w:val="Contents5"/>
            <w:tabs>
              <w:tab w:val="clear" w:pos="7892"/>
              <w:tab w:val="right" w:pos="9026" w:leader="dot"/>
            </w:tabs>
            <w:rPr/>
          </w:pPr>
          <w:hyperlink w:anchor="__RefHeading___Toc2150935_1051229030">
            <w:r>
              <w:rPr>
                <w:webHidden/>
                <w:rStyle w:val="IndexLink"/>
              </w:rPr>
              <w:t>2</w:t>
            </w:r>
            <w:r>
              <w:rPr>
                <w:rStyle w:val="IndexLink"/>
                <w:rtl w:val="true"/>
              </w:rPr>
              <w:t xml:space="preserve">- </w:t>
            </w:r>
            <w:r>
              <w:rPr>
                <w:rStyle w:val="IndexLink"/>
                <w:rtl w:val="true"/>
              </w:rPr>
              <w:t xml:space="preserve">مکتب تعدی از نص </w:t>
            </w:r>
            <w:r>
              <w:rPr>
                <w:rStyle w:val="IndexLink"/>
                <w:rtl w:val="true"/>
              </w:rPr>
              <w:t>(</w:t>
            </w:r>
            <w:r>
              <w:rPr>
                <w:rStyle w:val="IndexLink"/>
                <w:rtl w:val="true"/>
              </w:rPr>
              <w:t>قیاس منصوص العله</w:t>
            </w:r>
            <w:r>
              <w:rPr>
                <w:rStyle w:val="IndexLink"/>
                <w:rtl w:val="true"/>
              </w:rPr>
              <w:t>)</w:t>
              <w:tab/>
            </w:r>
            <w:r>
              <w:rPr>
                <w:rStyle w:val="IndexLink"/>
              </w:rPr>
              <w:t>160</w:t>
            </w:r>
          </w:hyperlink>
        </w:p>
        <w:p>
          <w:pPr>
            <w:pStyle w:val="Contents5"/>
            <w:tabs>
              <w:tab w:val="clear" w:pos="7892"/>
              <w:tab w:val="right" w:pos="9026" w:leader="dot"/>
            </w:tabs>
            <w:rPr/>
          </w:pPr>
          <w:hyperlink w:anchor="__RefHeading___Toc2150937_1051229030">
            <w:r>
              <w:rPr>
                <w:webHidden/>
                <w:rStyle w:val="IndexLink"/>
              </w:rPr>
              <w:t>3</w:t>
            </w:r>
            <w:r>
              <w:rPr>
                <w:rStyle w:val="IndexLink"/>
                <w:rtl w:val="true"/>
              </w:rPr>
              <w:t xml:space="preserve">- </w:t>
            </w:r>
            <w:r>
              <w:rPr>
                <w:rStyle w:val="IndexLink"/>
                <w:rtl w:val="true"/>
              </w:rPr>
              <w:t>مکتب قیاس مستنبط العله</w:t>
            </w:r>
            <w:r>
              <w:rPr>
                <w:rStyle w:val="IndexLink"/>
                <w:rtl w:val="true"/>
              </w:rPr>
              <w:tab/>
            </w:r>
            <w:r>
              <w:rPr>
                <w:rStyle w:val="IndexLink"/>
              </w:rPr>
              <w:t>161</w:t>
            </w:r>
          </w:hyperlink>
        </w:p>
        <w:p>
          <w:pPr>
            <w:pStyle w:val="Contents5"/>
            <w:tabs>
              <w:tab w:val="clear" w:pos="7892"/>
              <w:tab w:val="right" w:pos="9026" w:leader="dot"/>
            </w:tabs>
            <w:rPr/>
          </w:pPr>
          <w:hyperlink w:anchor="__RefHeading___Toc2150939_1051229030">
            <w:r>
              <w:rPr>
                <w:webHidden/>
                <w:rStyle w:val="IndexLink"/>
              </w:rPr>
              <w:t>4</w:t>
            </w:r>
            <w:r>
              <w:rPr>
                <w:rStyle w:val="IndexLink"/>
                <w:rtl w:val="true"/>
              </w:rPr>
              <w:t xml:space="preserve">- </w:t>
            </w:r>
            <w:r>
              <w:rPr>
                <w:rStyle w:val="IndexLink"/>
                <w:rtl w:val="true"/>
              </w:rPr>
              <w:t xml:space="preserve">مکتب قیاس آزاد </w:t>
            </w:r>
            <w:r>
              <w:rPr>
                <w:rStyle w:val="IndexLink"/>
                <w:rtl w:val="true"/>
              </w:rPr>
              <w:t>(</w:t>
            </w:r>
            <w:r>
              <w:rPr>
                <w:rStyle w:val="IndexLink"/>
                <w:rtl w:val="true"/>
              </w:rPr>
              <w:t>اصحاب رأی</w:t>
            </w:r>
            <w:r>
              <w:rPr>
                <w:rStyle w:val="IndexLink"/>
                <w:rtl w:val="true"/>
              </w:rPr>
              <w:t>)</w:t>
              <w:tab/>
            </w:r>
            <w:r>
              <w:rPr>
                <w:rStyle w:val="IndexLink"/>
              </w:rPr>
              <w:t>161</w:t>
            </w:r>
          </w:hyperlink>
        </w:p>
        <w:p>
          <w:pPr>
            <w:pStyle w:val="Contents6"/>
            <w:tabs>
              <w:tab w:val="clear" w:pos="7609"/>
              <w:tab w:val="right" w:pos="9026" w:leader="dot"/>
            </w:tabs>
            <w:rPr/>
          </w:pPr>
          <w:hyperlink w:anchor="__RefHeading___Toc2150941_1051229030">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2150943_1051229030">
            <w:r>
              <w:rPr>
                <w:webHidden/>
                <w:rStyle w:val="IndexLink"/>
                <w:rtl w:val="true"/>
              </w:rPr>
              <w:t>آیا قیاس یک منبع حقوقی است ؟</w:t>
            </w:r>
            <w:r>
              <w:rPr>
                <w:rStyle w:val="IndexLink"/>
                <w:rtl w:val="true"/>
              </w:rPr>
              <w:tab/>
            </w:r>
            <w:r>
              <w:rPr>
                <w:rStyle w:val="IndexLink"/>
              </w:rPr>
              <w:t>163</w:t>
            </w:r>
          </w:hyperlink>
        </w:p>
        <w:p>
          <w:pPr>
            <w:pStyle w:val="Contents6"/>
            <w:tabs>
              <w:tab w:val="clear" w:pos="7609"/>
              <w:tab w:val="right" w:pos="9026" w:leader="dot"/>
            </w:tabs>
            <w:rPr/>
          </w:pPr>
          <w:hyperlink w:anchor="__RefHeading___Toc2150945_1051229030">
            <w:r>
              <w:rPr>
                <w:webHidden/>
                <w:rStyle w:val="IndexLink"/>
                <w:rtl w:val="true"/>
              </w:rPr>
              <w:t>آیا قیاس می‌تواند مخصص قرآن باشد؟</w:t>
            </w:r>
            <w:r>
              <w:rPr>
                <w:rStyle w:val="IndexLink"/>
                <w:rtl w:val="true"/>
              </w:rPr>
              <w:tab/>
            </w:r>
            <w:r>
              <w:rPr>
                <w:rStyle w:val="IndexLink"/>
              </w:rPr>
              <w:t>163</w:t>
            </w:r>
          </w:hyperlink>
        </w:p>
        <w:p>
          <w:pPr>
            <w:pStyle w:val="Contents6"/>
            <w:tabs>
              <w:tab w:val="clear" w:pos="7609"/>
              <w:tab w:val="right" w:pos="9026" w:leader="dot"/>
            </w:tabs>
            <w:rPr/>
          </w:pPr>
          <w:hyperlink w:anchor="__RefHeading___Toc2150947_1051229030">
            <w:r>
              <w:rPr>
                <w:webHidden/>
                <w:rStyle w:val="IndexLink"/>
                <w:rtl w:val="true"/>
              </w:rPr>
              <w:t>قیاس در قوانین کیفری</w:t>
            </w:r>
            <w:r>
              <w:rPr>
                <w:rStyle w:val="IndexLink"/>
                <w:rtl w:val="true"/>
              </w:rPr>
              <w:tab/>
            </w:r>
            <w:r>
              <w:rPr>
                <w:rStyle w:val="IndexLink"/>
              </w:rPr>
              <w:t>164</w:t>
            </w:r>
          </w:hyperlink>
        </w:p>
        <w:p>
          <w:pPr>
            <w:pStyle w:val="Contents6"/>
            <w:tabs>
              <w:tab w:val="clear" w:pos="7609"/>
              <w:tab w:val="right" w:pos="9026" w:leader="dot"/>
            </w:tabs>
            <w:rPr/>
          </w:pPr>
          <w:hyperlink w:anchor="__RefHeading___Toc2150949_1051229030">
            <w:r>
              <w:rPr>
                <w:webHidden/>
                <w:rStyle w:val="IndexLink"/>
                <w:rtl w:val="true"/>
              </w:rPr>
              <w:t>دلیلهای اعتبار قیاس</w:t>
            </w:r>
            <w:r>
              <w:rPr>
                <w:rStyle w:val="IndexLink"/>
                <w:rtl w:val="true"/>
              </w:rPr>
              <w:tab/>
            </w:r>
            <w:r>
              <w:rPr>
                <w:rStyle w:val="IndexLink"/>
              </w:rPr>
              <w:t>166</w:t>
            </w:r>
          </w:hyperlink>
        </w:p>
        <w:p>
          <w:pPr>
            <w:pStyle w:val="Contents6"/>
            <w:tabs>
              <w:tab w:val="clear" w:pos="7609"/>
              <w:tab w:val="right" w:pos="9026" w:leader="dot"/>
            </w:tabs>
            <w:rPr/>
          </w:pPr>
          <w:hyperlink w:anchor="__RefHeading___Toc2150951_1051229030">
            <w:r>
              <w:rPr>
                <w:webHidden/>
                <w:rStyle w:val="IndexLink"/>
                <w:rtl w:val="true"/>
              </w:rPr>
              <w:t xml:space="preserve">الف </w:t>
            </w:r>
            <w:r>
              <w:rPr>
                <w:rStyle w:val="IndexLink"/>
                <w:rtl w:val="true"/>
              </w:rPr>
              <w:t xml:space="preserve">- </w:t>
            </w:r>
            <w:r>
              <w:rPr>
                <w:rStyle w:val="IndexLink"/>
                <w:rtl w:val="true"/>
              </w:rPr>
              <w:t>قرآن</w:t>
            </w:r>
            <w:r>
              <w:rPr>
                <w:rStyle w:val="IndexLink"/>
                <w:rtl w:val="true"/>
              </w:rPr>
              <w:tab/>
            </w:r>
            <w:r>
              <w:rPr>
                <w:rStyle w:val="IndexLink"/>
              </w:rPr>
              <w:t>166</w:t>
            </w:r>
          </w:hyperlink>
        </w:p>
        <w:p>
          <w:pPr>
            <w:pStyle w:val="Contents6"/>
            <w:tabs>
              <w:tab w:val="clear" w:pos="7609"/>
              <w:tab w:val="right" w:pos="9026" w:leader="dot"/>
            </w:tabs>
            <w:rPr/>
          </w:pPr>
          <w:hyperlink w:anchor="__RefHeading___Toc2150953_1051229030">
            <w:r>
              <w:rPr>
                <w:webHidden/>
                <w:rStyle w:val="IndexLink"/>
                <w:rtl w:val="true"/>
              </w:rPr>
              <w:t xml:space="preserve">ب </w:t>
            </w:r>
            <w:r>
              <w:rPr>
                <w:rStyle w:val="IndexLink"/>
                <w:rtl w:val="true"/>
              </w:rPr>
              <w:t xml:space="preserve">- </w:t>
            </w:r>
            <w:r>
              <w:rPr>
                <w:rStyle w:val="IndexLink"/>
                <w:rtl w:val="true"/>
              </w:rPr>
              <w:t>سنت</w:t>
            </w:r>
            <w:r>
              <w:rPr>
                <w:rStyle w:val="IndexLink"/>
                <w:rtl w:val="true"/>
              </w:rPr>
              <w:tab/>
            </w:r>
            <w:r>
              <w:rPr>
                <w:rStyle w:val="IndexLink"/>
              </w:rPr>
              <w:t>167</w:t>
            </w:r>
          </w:hyperlink>
        </w:p>
        <w:p>
          <w:pPr>
            <w:pStyle w:val="Contents6"/>
            <w:tabs>
              <w:tab w:val="clear" w:pos="7609"/>
              <w:tab w:val="right" w:pos="9026" w:leader="dot"/>
            </w:tabs>
            <w:rPr/>
          </w:pPr>
          <w:hyperlink w:anchor="__RefHeading___Toc2150955_1051229030">
            <w:r>
              <w:rPr>
                <w:webHidden/>
                <w:rStyle w:val="IndexLink"/>
                <w:rtl w:val="true"/>
              </w:rPr>
              <w:t xml:space="preserve">ج </w:t>
            </w:r>
            <w:r>
              <w:rPr>
                <w:rStyle w:val="IndexLink"/>
                <w:rtl w:val="true"/>
              </w:rPr>
              <w:t xml:space="preserve">- </w:t>
            </w:r>
            <w:r>
              <w:rPr>
                <w:rStyle w:val="IndexLink"/>
                <w:rtl w:val="true"/>
              </w:rPr>
              <w:t>اجماع</w:t>
            </w:r>
            <w:r>
              <w:rPr>
                <w:rStyle w:val="IndexLink"/>
                <w:rtl w:val="true"/>
              </w:rPr>
              <w:tab/>
            </w:r>
            <w:r>
              <w:rPr>
                <w:rStyle w:val="IndexLink"/>
              </w:rPr>
              <w:t>168</w:t>
            </w:r>
          </w:hyperlink>
        </w:p>
        <w:p>
          <w:pPr>
            <w:pStyle w:val="Contents6"/>
            <w:tabs>
              <w:tab w:val="clear" w:pos="7609"/>
              <w:tab w:val="right" w:pos="9026" w:leader="dot"/>
            </w:tabs>
            <w:rPr/>
          </w:pPr>
          <w:hyperlink w:anchor="__RefHeading___Toc2150957_1051229030">
            <w:r>
              <w:rPr>
                <w:webHidden/>
                <w:rStyle w:val="IndexLink"/>
                <w:rtl w:val="true"/>
              </w:rPr>
              <w:t xml:space="preserve">د </w:t>
            </w:r>
            <w:r>
              <w:rPr>
                <w:rStyle w:val="IndexLink"/>
                <w:rtl w:val="true"/>
              </w:rPr>
              <w:t xml:space="preserve">- </w:t>
            </w:r>
            <w:r>
              <w:rPr>
                <w:rStyle w:val="IndexLink"/>
                <w:rtl w:val="true"/>
              </w:rPr>
              <w:t>عقل</w:t>
            </w:r>
            <w:r>
              <w:rPr>
                <w:rStyle w:val="IndexLink"/>
                <w:rtl w:val="true"/>
              </w:rPr>
              <w:tab/>
            </w:r>
            <w:r>
              <w:rPr>
                <w:rStyle w:val="IndexLink"/>
              </w:rPr>
              <w:t>168</w:t>
            </w:r>
          </w:hyperlink>
        </w:p>
        <w:p>
          <w:pPr>
            <w:pStyle w:val="Contents4"/>
            <w:tabs>
              <w:tab w:val="clear" w:pos="8176"/>
              <w:tab w:val="right" w:pos="9026" w:leader="dot"/>
            </w:tabs>
            <w:rPr/>
          </w:pPr>
          <w:hyperlink w:anchor="__RefHeading___Toc2150959_1051229030">
            <w:r>
              <w:rPr>
                <w:webHidden/>
                <w:rStyle w:val="IndexLink"/>
                <w:rtl w:val="true"/>
              </w:rPr>
              <w:t>تعریف و عناصر قیاس</w:t>
            </w:r>
            <w:r>
              <w:rPr>
                <w:rStyle w:val="IndexLink"/>
                <w:rtl w:val="true"/>
              </w:rPr>
              <w:tab/>
            </w:r>
            <w:r>
              <w:rPr>
                <w:rStyle w:val="IndexLink"/>
              </w:rPr>
              <w:t>168</w:t>
            </w:r>
          </w:hyperlink>
        </w:p>
        <w:p>
          <w:pPr>
            <w:pStyle w:val="Contents5"/>
            <w:tabs>
              <w:tab w:val="clear" w:pos="7892"/>
              <w:tab w:val="right" w:pos="9026" w:leader="dot"/>
            </w:tabs>
            <w:rPr/>
          </w:pPr>
          <w:hyperlink w:anchor="__RefHeading___Toc2150961_1051229030">
            <w:r>
              <w:rPr>
                <w:webHidden/>
                <w:rStyle w:val="IndexLink"/>
                <w:rtl w:val="true"/>
              </w:rPr>
              <w:t>تعریف قیاس</w:t>
            </w:r>
            <w:r>
              <w:rPr>
                <w:rStyle w:val="IndexLink"/>
                <w:rtl w:val="true"/>
              </w:rPr>
              <w:tab/>
            </w:r>
            <w:r>
              <w:rPr>
                <w:rStyle w:val="IndexLink"/>
              </w:rPr>
              <w:t>168</w:t>
            </w:r>
          </w:hyperlink>
        </w:p>
        <w:p>
          <w:pPr>
            <w:pStyle w:val="Contents5"/>
            <w:tabs>
              <w:tab w:val="clear" w:pos="7892"/>
              <w:tab w:val="right" w:pos="9026" w:leader="dot"/>
            </w:tabs>
            <w:rPr/>
          </w:pPr>
          <w:hyperlink w:anchor="__RefHeading___Toc2150963_1051229030">
            <w:r>
              <w:rPr>
                <w:webHidden/>
                <w:rStyle w:val="IndexLink"/>
                <w:rtl w:val="true"/>
              </w:rPr>
              <w:t>عناصر قیاس</w:t>
            </w:r>
            <w:r>
              <w:rPr>
                <w:rStyle w:val="IndexLink"/>
                <w:rtl w:val="true"/>
              </w:rPr>
              <w:tab/>
            </w:r>
            <w:r>
              <w:rPr>
                <w:rStyle w:val="IndexLink"/>
              </w:rPr>
              <w:t>169</w:t>
            </w:r>
          </w:hyperlink>
        </w:p>
        <w:p>
          <w:pPr>
            <w:pStyle w:val="Contents5"/>
            <w:tabs>
              <w:tab w:val="clear" w:pos="7892"/>
              <w:tab w:val="right" w:pos="9026" w:leader="dot"/>
            </w:tabs>
            <w:rPr/>
          </w:pPr>
          <w:hyperlink w:anchor="__RefHeading___Toc2150965_1051229030">
            <w:r>
              <w:rPr>
                <w:webHidden/>
                <w:rStyle w:val="IndexLink"/>
              </w:rPr>
              <w:t>1</w:t>
            </w:r>
            <w:r>
              <w:rPr>
                <w:rStyle w:val="IndexLink"/>
                <w:rtl w:val="true"/>
              </w:rPr>
              <w:t xml:space="preserve">- </w:t>
            </w:r>
            <w:r>
              <w:rPr>
                <w:rStyle w:val="IndexLink"/>
                <w:rtl w:val="true"/>
              </w:rPr>
              <w:t>دلالت تنبیه و ایما</w:t>
            </w:r>
            <w:r>
              <w:rPr>
                <w:rStyle w:val="IndexLink"/>
                <w:rtl w:val="true"/>
              </w:rPr>
              <w:tab/>
            </w:r>
            <w:r>
              <w:rPr>
                <w:rStyle w:val="IndexLink"/>
              </w:rPr>
              <w:t>170</w:t>
            </w:r>
          </w:hyperlink>
        </w:p>
        <w:p>
          <w:pPr>
            <w:pStyle w:val="Contents5"/>
            <w:tabs>
              <w:tab w:val="clear" w:pos="7892"/>
              <w:tab w:val="right" w:pos="9026" w:leader="dot"/>
            </w:tabs>
            <w:rPr/>
          </w:pPr>
          <w:hyperlink w:anchor="__RefHeading___Toc2150967_1051229030">
            <w:r>
              <w:rPr>
                <w:webHidden/>
                <w:rStyle w:val="IndexLink"/>
              </w:rPr>
              <w:t>2</w:t>
            </w:r>
            <w:r>
              <w:rPr>
                <w:rStyle w:val="IndexLink"/>
                <w:rtl w:val="true"/>
              </w:rPr>
              <w:t xml:space="preserve">- </w:t>
            </w:r>
            <w:r>
              <w:rPr>
                <w:rStyle w:val="IndexLink"/>
                <w:rtl w:val="true"/>
              </w:rPr>
              <w:t xml:space="preserve">دلالت مفهوم موافق </w:t>
            </w:r>
            <w:r>
              <w:rPr>
                <w:rStyle w:val="IndexLink"/>
                <w:rtl w:val="true"/>
              </w:rPr>
              <w:t>(</w:t>
            </w:r>
            <w:r>
              <w:rPr>
                <w:rStyle w:val="IndexLink"/>
                <w:rtl w:val="true"/>
              </w:rPr>
              <w:t>اولویت</w:t>
            </w:r>
            <w:r>
              <w:rPr>
                <w:rStyle w:val="IndexLink"/>
                <w:rtl w:val="true"/>
              </w:rPr>
              <w:t>)</w:t>
              <w:tab/>
            </w:r>
            <w:r>
              <w:rPr>
                <w:rStyle w:val="IndexLink"/>
              </w:rPr>
              <w:t>171</w:t>
            </w:r>
          </w:hyperlink>
        </w:p>
        <w:p>
          <w:pPr>
            <w:pStyle w:val="Contents5"/>
            <w:tabs>
              <w:tab w:val="clear" w:pos="7892"/>
              <w:tab w:val="right" w:pos="9026" w:leader="dot"/>
            </w:tabs>
            <w:rPr/>
          </w:pPr>
          <w:hyperlink w:anchor="__RefHeading___Toc2150969_1051229030">
            <w:r>
              <w:rPr>
                <w:webHidden/>
                <w:rStyle w:val="IndexLink"/>
              </w:rPr>
              <w:t>3</w:t>
            </w:r>
            <w:r>
              <w:rPr>
                <w:rStyle w:val="IndexLink"/>
                <w:rtl w:val="true"/>
              </w:rPr>
              <w:t xml:space="preserve">- </w:t>
            </w:r>
            <w:r>
              <w:rPr>
                <w:rStyle w:val="IndexLink"/>
                <w:rtl w:val="true"/>
              </w:rPr>
              <w:t>علت مستنبط از نص</w:t>
            </w:r>
            <w:r>
              <w:rPr>
                <w:rStyle w:val="IndexLink"/>
                <w:rtl w:val="true"/>
              </w:rPr>
              <w:tab/>
            </w:r>
            <w:r>
              <w:rPr>
                <w:rStyle w:val="IndexLink"/>
              </w:rPr>
              <w:t>171</w:t>
            </w:r>
          </w:hyperlink>
        </w:p>
        <w:p>
          <w:pPr>
            <w:pStyle w:val="Contents6"/>
            <w:tabs>
              <w:tab w:val="clear" w:pos="7609"/>
              <w:tab w:val="right" w:pos="9026" w:leader="dot"/>
            </w:tabs>
            <w:rPr/>
          </w:pPr>
          <w:hyperlink w:anchor="__RefHeading___Toc2150971_1051229030">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2150973_1051229030">
            <w:r>
              <w:rPr>
                <w:webHidden/>
                <w:rStyle w:val="IndexLink"/>
                <w:rtl w:val="true"/>
              </w:rPr>
              <w:t>عنصر دوم،</w:t>
            </w:r>
            <w:r>
              <w:rPr>
                <w:rStyle w:val="IndexLink"/>
                <w:rtl w:val="true"/>
              </w:rPr>
              <w:tab/>
            </w:r>
            <w:r>
              <w:rPr>
                <w:rStyle w:val="IndexLink"/>
              </w:rPr>
              <w:t>171</w:t>
            </w:r>
          </w:hyperlink>
        </w:p>
        <w:p>
          <w:pPr>
            <w:pStyle w:val="Contents6"/>
            <w:tabs>
              <w:tab w:val="clear" w:pos="7609"/>
              <w:tab w:val="right" w:pos="9026" w:leader="dot"/>
            </w:tabs>
            <w:rPr/>
          </w:pPr>
          <w:hyperlink w:anchor="__RefHeading___Toc2150975_1051229030">
            <w:r>
              <w:rPr>
                <w:webHidden/>
                <w:rStyle w:val="IndexLink"/>
                <w:rtl w:val="true"/>
              </w:rPr>
              <w:t>عنصر سوم،</w:t>
            </w:r>
            <w:r>
              <w:rPr>
                <w:rStyle w:val="IndexLink"/>
                <w:rtl w:val="true"/>
              </w:rPr>
              <w:tab/>
            </w:r>
            <w:r>
              <w:rPr>
                <w:rStyle w:val="IndexLink"/>
              </w:rPr>
              <w:t>172</w:t>
            </w:r>
          </w:hyperlink>
        </w:p>
        <w:p>
          <w:pPr>
            <w:pStyle w:val="Contents6"/>
            <w:tabs>
              <w:tab w:val="clear" w:pos="7609"/>
              <w:tab w:val="right" w:pos="9026" w:leader="dot"/>
            </w:tabs>
            <w:rPr/>
          </w:pPr>
          <w:hyperlink w:anchor="__RefHeading___Toc2150977_1051229030">
            <w:r>
              <w:rPr>
                <w:webHidden/>
                <w:rStyle w:val="IndexLink"/>
                <w:rtl w:val="true"/>
              </w:rPr>
              <w:t>عنصر چهارم،</w:t>
            </w:r>
            <w:r>
              <w:rPr>
                <w:rStyle w:val="IndexLink"/>
                <w:rtl w:val="true"/>
              </w:rPr>
              <w:tab/>
            </w:r>
            <w:r>
              <w:rPr>
                <w:rStyle w:val="IndexLink"/>
              </w:rPr>
              <w:t>172</w:t>
            </w:r>
          </w:hyperlink>
        </w:p>
        <w:p>
          <w:pPr>
            <w:pStyle w:val="Contents5"/>
            <w:tabs>
              <w:tab w:val="clear" w:pos="7892"/>
              <w:tab w:val="right" w:pos="9026" w:leader="dot"/>
            </w:tabs>
            <w:rPr/>
          </w:pPr>
          <w:hyperlink w:anchor="__RefHeading___Toc2150979_1051229030">
            <w:r>
              <w:rPr>
                <w:webHidden/>
                <w:rStyle w:val="IndexLink"/>
              </w:rPr>
              <w:t>1</w:t>
            </w:r>
            <w:r>
              <w:rPr>
                <w:rStyle w:val="IndexLink"/>
                <w:rtl w:val="true"/>
              </w:rPr>
              <w:t xml:space="preserve">- </w:t>
            </w:r>
            <w:r>
              <w:rPr>
                <w:rStyle w:val="IndexLink"/>
                <w:rtl w:val="true"/>
              </w:rPr>
              <w:t>سبر و تقسیم</w:t>
            </w:r>
            <w:r>
              <w:rPr>
                <w:rStyle w:val="IndexLink"/>
                <w:rtl w:val="true"/>
              </w:rPr>
              <w:tab/>
            </w:r>
            <w:r>
              <w:rPr>
                <w:rStyle w:val="IndexLink"/>
              </w:rPr>
              <w:t>172</w:t>
            </w:r>
          </w:hyperlink>
        </w:p>
        <w:p>
          <w:pPr>
            <w:pStyle w:val="Contents5"/>
            <w:tabs>
              <w:tab w:val="clear" w:pos="7892"/>
              <w:tab w:val="right" w:pos="9026" w:leader="dot"/>
            </w:tabs>
            <w:rPr/>
          </w:pPr>
          <w:hyperlink w:anchor="__RefHeading___Toc2150981_1051229030">
            <w:r>
              <w:rPr>
                <w:webHidden/>
                <w:rStyle w:val="IndexLink"/>
              </w:rPr>
              <w:t>2</w:t>
            </w:r>
            <w:r>
              <w:rPr>
                <w:rStyle w:val="IndexLink"/>
                <w:rtl w:val="true"/>
              </w:rPr>
              <w:t xml:space="preserve">- </w:t>
            </w:r>
            <w:r>
              <w:rPr>
                <w:rStyle w:val="IndexLink"/>
                <w:rtl w:val="true"/>
              </w:rPr>
              <w:t>طریق مناسبت</w:t>
            </w:r>
            <w:r>
              <w:rPr>
                <w:rStyle w:val="IndexLink"/>
                <w:rtl w:val="true"/>
              </w:rPr>
              <w:tab/>
            </w:r>
            <w:r>
              <w:rPr>
                <w:rStyle w:val="IndexLink"/>
              </w:rPr>
              <w:t>173</w:t>
            </w:r>
          </w:hyperlink>
        </w:p>
        <w:p>
          <w:pPr>
            <w:pStyle w:val="Contents5"/>
            <w:tabs>
              <w:tab w:val="clear" w:pos="7892"/>
              <w:tab w:val="right" w:pos="9026" w:leader="dot"/>
            </w:tabs>
            <w:rPr/>
          </w:pPr>
          <w:hyperlink w:anchor="__RefHeading___Toc2150983_1051229030">
            <w:r>
              <w:rPr>
                <w:webHidden/>
                <w:rStyle w:val="IndexLink"/>
              </w:rPr>
              <w:t>3</w:t>
            </w:r>
            <w:r>
              <w:rPr>
                <w:rStyle w:val="IndexLink"/>
                <w:rtl w:val="true"/>
              </w:rPr>
              <w:t xml:space="preserve">- </w:t>
            </w:r>
            <w:r>
              <w:rPr>
                <w:rStyle w:val="IndexLink"/>
                <w:rtl w:val="true"/>
              </w:rPr>
              <w:t>قیاس شبه</w:t>
            </w:r>
            <w:r>
              <w:rPr>
                <w:rStyle w:val="IndexLink"/>
                <w:rtl w:val="true"/>
              </w:rPr>
              <w:tab/>
            </w:r>
            <w:r>
              <w:rPr>
                <w:rStyle w:val="IndexLink"/>
              </w:rPr>
              <w:t>173</w:t>
            </w:r>
          </w:hyperlink>
        </w:p>
        <w:p>
          <w:pPr>
            <w:pStyle w:val="Contents5"/>
            <w:tabs>
              <w:tab w:val="clear" w:pos="7892"/>
              <w:tab w:val="right" w:pos="9026" w:leader="dot"/>
            </w:tabs>
            <w:rPr/>
          </w:pPr>
          <w:hyperlink w:anchor="__RefHeading___Toc2150985_1051229030">
            <w:r>
              <w:rPr>
                <w:webHidden/>
                <w:rStyle w:val="IndexLink"/>
                <w:rtl w:val="true"/>
              </w:rPr>
              <w:t>ویژگیهای امامیه در باب قیاس</w:t>
            </w:r>
            <w:r>
              <w:rPr>
                <w:rStyle w:val="IndexLink"/>
                <w:rtl w:val="true"/>
              </w:rPr>
              <w:tab/>
            </w:r>
            <w:r>
              <w:rPr>
                <w:rStyle w:val="IndexLink"/>
              </w:rPr>
              <w:t>173</w:t>
            </w:r>
          </w:hyperlink>
        </w:p>
        <w:p>
          <w:pPr>
            <w:pStyle w:val="Contents3"/>
            <w:tabs>
              <w:tab w:val="clear" w:pos="8459"/>
              <w:tab w:val="right" w:pos="9026" w:leader="dot"/>
            </w:tabs>
            <w:rPr/>
          </w:pPr>
          <w:hyperlink w:anchor="__RefHeading___Toc2150987_1051229030">
            <w:r>
              <w:rPr>
                <w:webHidden/>
                <w:rStyle w:val="IndexLink"/>
                <w:rtl w:val="true"/>
              </w:rPr>
              <w:t xml:space="preserve">گفتار هفتم </w:t>
            </w:r>
            <w:r>
              <w:rPr>
                <w:rStyle w:val="IndexLink"/>
                <w:rtl w:val="true"/>
              </w:rPr>
              <w:t>:</w:t>
            </w:r>
            <w:r>
              <w:rPr>
                <w:rStyle w:val="IndexLink"/>
                <w:rtl w:val="true"/>
              </w:rPr>
              <w:t>استحسان و استصلاح</w:t>
            </w:r>
            <w:r>
              <w:rPr>
                <w:rStyle w:val="IndexLink"/>
                <w:rtl w:val="true"/>
              </w:rPr>
              <w:tab/>
            </w:r>
            <w:r>
              <w:rPr>
                <w:rStyle w:val="IndexLink"/>
              </w:rPr>
              <w:t>175</w:t>
            </w:r>
          </w:hyperlink>
        </w:p>
        <w:p>
          <w:pPr>
            <w:pStyle w:val="Contents4"/>
            <w:tabs>
              <w:tab w:val="clear" w:pos="8176"/>
              <w:tab w:val="right" w:pos="9026" w:leader="dot"/>
            </w:tabs>
            <w:rPr/>
          </w:pPr>
          <w:hyperlink w:anchor="__RefHeading___Toc2150989_1051229030">
            <w:r>
              <w:rPr>
                <w:webHidden/>
                <w:rStyle w:val="IndexLink"/>
              </w:rPr>
              <w:t>1</w:t>
            </w:r>
            <w:r>
              <w:rPr>
                <w:rStyle w:val="IndexLink"/>
                <w:rtl w:val="true"/>
              </w:rPr>
              <w:t xml:space="preserve">- </w:t>
            </w:r>
            <w:r>
              <w:rPr>
                <w:rStyle w:val="IndexLink"/>
                <w:rtl w:val="true"/>
              </w:rPr>
              <w:t>استحسان</w:t>
            </w:r>
            <w:r>
              <w:rPr>
                <w:rStyle w:val="IndexLink"/>
                <w:rtl w:val="true"/>
              </w:rPr>
              <w:tab/>
            </w:r>
            <w:r>
              <w:rPr>
                <w:rStyle w:val="IndexLink"/>
              </w:rPr>
              <w:t>175</w:t>
            </w:r>
          </w:hyperlink>
        </w:p>
        <w:p>
          <w:pPr>
            <w:pStyle w:val="Contents5"/>
            <w:tabs>
              <w:tab w:val="clear" w:pos="7892"/>
              <w:tab w:val="right" w:pos="9026" w:leader="dot"/>
            </w:tabs>
            <w:rPr/>
          </w:pPr>
          <w:hyperlink w:anchor="__RefHeading___Toc2150991_105122903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2150993_1051229030">
            <w:r>
              <w:rPr>
                <w:webHidden/>
                <w:rStyle w:val="IndexLink"/>
                <w:rtl w:val="true"/>
              </w:rPr>
              <w:t>دلیلهای اعتبار و حجیت استحسان</w:t>
            </w:r>
            <w:r>
              <w:rPr>
                <w:rStyle w:val="IndexLink"/>
                <w:rtl w:val="true"/>
              </w:rPr>
              <w:tab/>
            </w:r>
            <w:r>
              <w:rPr>
                <w:rStyle w:val="IndexLink"/>
              </w:rPr>
              <w:t>178</w:t>
            </w:r>
          </w:hyperlink>
        </w:p>
        <w:p>
          <w:pPr>
            <w:pStyle w:val="Contents6"/>
            <w:tabs>
              <w:tab w:val="clear" w:pos="7609"/>
              <w:tab w:val="right" w:pos="9026" w:leader="dot"/>
            </w:tabs>
            <w:rPr/>
          </w:pPr>
          <w:hyperlink w:anchor="__RefHeading___Toc2150995_1051229030">
            <w:r>
              <w:rPr>
                <w:webHidden/>
                <w:rStyle w:val="IndexLink"/>
                <w:rtl w:val="true"/>
              </w:rPr>
              <w:t xml:space="preserve">الف </w:t>
            </w:r>
            <w:r>
              <w:rPr>
                <w:rStyle w:val="IndexLink"/>
                <w:rtl w:val="true"/>
              </w:rPr>
              <w:t xml:space="preserve">- </w:t>
            </w:r>
            <w:r>
              <w:rPr>
                <w:rStyle w:val="IndexLink"/>
                <w:rtl w:val="true"/>
              </w:rPr>
              <w:t xml:space="preserve">قرآن </w:t>
            </w:r>
            <w:r>
              <w:rPr>
                <w:rStyle w:val="IndexLink"/>
                <w:rtl w:val="true"/>
              </w:rPr>
              <w:t>(</w:t>
            </w:r>
            <w:r>
              <w:rPr>
                <w:rStyle w:val="IndexLink"/>
                <w:rtl w:val="true"/>
              </w:rPr>
              <w:t>کتاب</w:t>
            </w:r>
            <w:r>
              <w:rPr>
                <w:rStyle w:val="IndexLink"/>
                <w:rtl w:val="true"/>
              </w:rPr>
              <w:t>):</w:t>
              <w:tab/>
            </w:r>
            <w:r>
              <w:rPr>
                <w:rStyle w:val="IndexLink"/>
              </w:rPr>
              <w:t>178</w:t>
            </w:r>
          </w:hyperlink>
        </w:p>
        <w:p>
          <w:pPr>
            <w:pStyle w:val="Contents6"/>
            <w:tabs>
              <w:tab w:val="clear" w:pos="7609"/>
              <w:tab w:val="right" w:pos="9026" w:leader="dot"/>
            </w:tabs>
            <w:rPr/>
          </w:pPr>
          <w:hyperlink w:anchor="__RefHeading___Toc2150997_1051229030">
            <w:r>
              <w:rPr>
                <w:webHidden/>
                <w:rStyle w:val="IndexLink"/>
                <w:rtl w:val="true"/>
              </w:rPr>
              <w:t xml:space="preserve">ب </w:t>
            </w:r>
            <w:r>
              <w:rPr>
                <w:rStyle w:val="IndexLink"/>
                <w:rtl w:val="true"/>
              </w:rPr>
              <w:t xml:space="preserve">- </w:t>
            </w:r>
            <w:r>
              <w:rPr>
                <w:rStyle w:val="IndexLink"/>
                <w:rtl w:val="true"/>
              </w:rPr>
              <w:t>سنت</w:t>
            </w:r>
            <w:r>
              <w:rPr>
                <w:rStyle w:val="IndexLink"/>
                <w:rtl w:val="true"/>
              </w:rPr>
              <w:t>:</w:t>
              <w:tab/>
            </w:r>
            <w:r>
              <w:rPr>
                <w:rStyle w:val="IndexLink"/>
              </w:rPr>
              <w:t>179</w:t>
            </w:r>
          </w:hyperlink>
        </w:p>
        <w:p>
          <w:pPr>
            <w:pStyle w:val="Contents6"/>
            <w:tabs>
              <w:tab w:val="clear" w:pos="7609"/>
              <w:tab w:val="right" w:pos="9026" w:leader="dot"/>
            </w:tabs>
            <w:rPr/>
          </w:pPr>
          <w:hyperlink w:anchor="__RefHeading___Toc2150999_1051229030">
            <w:r>
              <w:rPr>
                <w:webHidden/>
                <w:rStyle w:val="IndexLink"/>
                <w:rtl w:val="true"/>
              </w:rPr>
              <w:t xml:space="preserve">ج </w:t>
            </w:r>
            <w:r>
              <w:rPr>
                <w:rStyle w:val="IndexLink"/>
                <w:rtl w:val="true"/>
              </w:rPr>
              <w:t xml:space="preserve">- </w:t>
            </w:r>
            <w:r>
              <w:rPr>
                <w:rStyle w:val="IndexLink"/>
                <w:rtl w:val="true"/>
              </w:rPr>
              <w:t>عقل</w:t>
            </w:r>
            <w:r>
              <w:rPr>
                <w:rStyle w:val="IndexLink"/>
                <w:rtl w:val="true"/>
              </w:rPr>
              <w:t>:</w:t>
              <w:tab/>
            </w:r>
            <w:r>
              <w:rPr>
                <w:rStyle w:val="IndexLink"/>
              </w:rPr>
              <w:t>179</w:t>
            </w:r>
          </w:hyperlink>
        </w:p>
        <w:p>
          <w:pPr>
            <w:pStyle w:val="Contents5"/>
            <w:tabs>
              <w:tab w:val="clear" w:pos="7892"/>
              <w:tab w:val="right" w:pos="9026" w:leader="dot"/>
            </w:tabs>
            <w:rPr/>
          </w:pPr>
          <w:hyperlink w:anchor="__RefHeading___Toc2151001_1051229030">
            <w:r>
              <w:rPr>
                <w:webHidden/>
                <w:rStyle w:val="IndexLink"/>
                <w:rtl w:val="true"/>
              </w:rPr>
              <w:t>اقسام استحسان</w:t>
            </w:r>
            <w:r>
              <w:rPr>
                <w:rStyle w:val="IndexLink"/>
                <w:rtl w:val="true"/>
              </w:rPr>
              <w:tab/>
            </w:r>
            <w:r>
              <w:rPr>
                <w:rStyle w:val="IndexLink"/>
              </w:rPr>
              <w:t>179</w:t>
            </w:r>
          </w:hyperlink>
        </w:p>
        <w:p>
          <w:pPr>
            <w:pStyle w:val="Contents5"/>
            <w:tabs>
              <w:tab w:val="clear" w:pos="7892"/>
              <w:tab w:val="right" w:pos="9026" w:leader="dot"/>
            </w:tabs>
            <w:rPr/>
          </w:pPr>
          <w:hyperlink w:anchor="__RefHeading___Toc2151003_1051229030">
            <w:r>
              <w:rPr>
                <w:webHidden/>
                <w:rStyle w:val="IndexLink"/>
                <w:rtl w:val="true"/>
              </w:rPr>
              <w:t>عقیده امامیه</w:t>
            </w:r>
            <w:r>
              <w:rPr>
                <w:rStyle w:val="IndexLink"/>
                <w:rtl w:val="true"/>
              </w:rPr>
              <w:tab/>
            </w:r>
            <w:r>
              <w:rPr>
                <w:rStyle w:val="IndexLink"/>
              </w:rPr>
              <w:t>180</w:t>
            </w:r>
          </w:hyperlink>
        </w:p>
        <w:p>
          <w:pPr>
            <w:pStyle w:val="Contents4"/>
            <w:tabs>
              <w:tab w:val="clear" w:pos="8176"/>
              <w:tab w:val="right" w:pos="9026" w:leader="dot"/>
            </w:tabs>
            <w:rPr/>
          </w:pPr>
          <w:hyperlink w:anchor="__RefHeading___Toc2151005_1051229030">
            <w:r>
              <w:rPr>
                <w:webHidden/>
                <w:rStyle w:val="IndexLink"/>
              </w:rPr>
              <w:t>2</w:t>
            </w:r>
            <w:r>
              <w:rPr>
                <w:rStyle w:val="IndexLink"/>
                <w:rtl w:val="true"/>
              </w:rPr>
              <w:t xml:space="preserve">- </w:t>
            </w:r>
            <w:r>
              <w:rPr>
                <w:rStyle w:val="IndexLink"/>
                <w:rtl w:val="true"/>
              </w:rPr>
              <w:t xml:space="preserve">استصلاح </w:t>
            </w:r>
            <w:r>
              <w:rPr>
                <w:rStyle w:val="IndexLink"/>
                <w:rtl w:val="true"/>
              </w:rPr>
              <w:t>(</w:t>
            </w:r>
            <w:r>
              <w:rPr>
                <w:rStyle w:val="IndexLink"/>
                <w:rtl w:val="true"/>
              </w:rPr>
              <w:t>مصالح مرسله</w:t>
            </w:r>
            <w:r>
              <w:rPr>
                <w:rStyle w:val="IndexLink"/>
                <w:rtl w:val="true"/>
              </w:rPr>
              <w:t>)</w:t>
              <w:tab/>
            </w:r>
            <w:r>
              <w:rPr>
                <w:rStyle w:val="IndexLink"/>
              </w:rPr>
              <w:t>181</w:t>
            </w:r>
          </w:hyperlink>
        </w:p>
        <w:p>
          <w:pPr>
            <w:pStyle w:val="Contents4"/>
            <w:tabs>
              <w:tab w:val="clear" w:pos="8176"/>
              <w:tab w:val="right" w:pos="9026" w:leader="dot"/>
            </w:tabs>
            <w:rPr/>
          </w:pPr>
          <w:hyperlink w:anchor="__RefHeading___Toc2151007_1051229030">
            <w:r>
              <w:rPr>
                <w:webHidden/>
                <w:rStyle w:val="IndexLink"/>
                <w:rtl w:val="true"/>
              </w:rPr>
              <w:t>چند مثال برای استصلاح</w:t>
            </w:r>
            <w:r>
              <w:rPr>
                <w:rStyle w:val="IndexLink"/>
                <w:rtl w:val="true"/>
              </w:rPr>
              <w:t>:</w:t>
              <w:tab/>
            </w:r>
            <w:r>
              <w:rPr>
                <w:rStyle w:val="IndexLink"/>
              </w:rPr>
              <w:t>181</w:t>
            </w:r>
          </w:hyperlink>
        </w:p>
        <w:p>
          <w:pPr>
            <w:pStyle w:val="Contents3"/>
            <w:tabs>
              <w:tab w:val="clear" w:pos="8459"/>
              <w:tab w:val="right" w:pos="9026" w:leader="dot"/>
            </w:tabs>
            <w:rPr/>
          </w:pPr>
          <w:hyperlink w:anchor="__RefHeading___Toc2151009_1051229030">
            <w:r>
              <w:rPr>
                <w:webHidden/>
                <w:rStyle w:val="IndexLink"/>
                <w:rtl w:val="true"/>
              </w:rPr>
              <w:t xml:space="preserve">گفتار هشتم </w:t>
            </w:r>
            <w:r>
              <w:rPr>
                <w:rStyle w:val="IndexLink"/>
                <w:rtl w:val="true"/>
              </w:rPr>
              <w:t>:</w:t>
            </w:r>
            <w:r>
              <w:rPr>
                <w:rStyle w:val="IndexLink"/>
                <w:rtl w:val="true"/>
              </w:rPr>
              <w:t>سد ذرایع</w:t>
            </w:r>
            <w:r>
              <w:rPr>
                <w:rStyle w:val="IndexLink"/>
                <w:rtl w:val="true"/>
              </w:rPr>
              <w:tab/>
            </w:r>
            <w:r>
              <w:rPr>
                <w:rStyle w:val="IndexLink"/>
              </w:rPr>
              <w:t>184</w:t>
            </w:r>
          </w:hyperlink>
        </w:p>
        <w:p>
          <w:pPr>
            <w:pStyle w:val="Contents4"/>
            <w:tabs>
              <w:tab w:val="clear" w:pos="8176"/>
              <w:tab w:val="right" w:pos="9026" w:leader="dot"/>
            </w:tabs>
            <w:rPr/>
          </w:pPr>
          <w:hyperlink w:anchor="__RefHeading___Toc2151011_105122903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151013_1051229030">
            <w:r>
              <w:rPr>
                <w:webHidden/>
                <w:rStyle w:val="IndexLink"/>
                <w:rtl w:val="true"/>
              </w:rPr>
              <w:t>عناصر سد ذرایع</w:t>
            </w:r>
            <w:r>
              <w:rPr>
                <w:rStyle w:val="IndexLink"/>
                <w:rtl w:val="true"/>
              </w:rPr>
              <w:tab/>
            </w:r>
            <w:r>
              <w:rPr>
                <w:rStyle w:val="IndexLink"/>
              </w:rPr>
              <w:t>186</w:t>
            </w:r>
          </w:hyperlink>
        </w:p>
        <w:p>
          <w:pPr>
            <w:pStyle w:val="Contents4"/>
            <w:tabs>
              <w:tab w:val="clear" w:pos="8176"/>
              <w:tab w:val="right" w:pos="9026" w:leader="dot"/>
            </w:tabs>
            <w:rPr/>
          </w:pPr>
          <w:hyperlink w:anchor="__RefHeading___Toc2151015_1051229030">
            <w:r>
              <w:rPr>
                <w:webHidden/>
                <w:rStyle w:val="IndexLink"/>
                <w:rtl w:val="true"/>
              </w:rPr>
              <w:t>عقاید موافق و مخالف</w:t>
            </w:r>
            <w:r>
              <w:rPr>
                <w:rStyle w:val="IndexLink"/>
                <w:rtl w:val="true"/>
              </w:rPr>
              <w:tab/>
            </w:r>
            <w:r>
              <w:rPr>
                <w:rStyle w:val="IndexLink"/>
              </w:rPr>
              <w:t>186</w:t>
            </w:r>
          </w:hyperlink>
        </w:p>
        <w:p>
          <w:pPr>
            <w:pStyle w:val="Contents3"/>
            <w:tabs>
              <w:tab w:val="clear" w:pos="8459"/>
              <w:tab w:val="right" w:pos="9026" w:leader="dot"/>
            </w:tabs>
            <w:rPr/>
          </w:pPr>
          <w:hyperlink w:anchor="__RefHeading___Toc2151017_1051229030">
            <w:r>
              <w:rPr>
                <w:webHidden/>
                <w:rStyle w:val="IndexLink"/>
                <w:rtl w:val="true"/>
              </w:rPr>
              <w:t>گفتار نهم</w:t>
            </w:r>
            <w:r>
              <w:rPr>
                <w:rStyle w:val="IndexLink"/>
                <w:rtl w:val="true"/>
              </w:rPr>
              <w:t>:</w:t>
            </w:r>
            <w:r>
              <w:rPr>
                <w:rStyle w:val="IndexLink"/>
                <w:rtl w:val="true"/>
              </w:rPr>
              <w:t>عرف وعادت</w:t>
            </w:r>
            <w:r>
              <w:rPr>
                <w:rStyle w:val="IndexLink"/>
                <w:rtl w:val="true"/>
              </w:rPr>
              <w:tab/>
            </w:r>
            <w:r>
              <w:rPr>
                <w:rStyle w:val="IndexLink"/>
              </w:rPr>
              <w:t>187</w:t>
            </w:r>
          </w:hyperlink>
        </w:p>
        <w:p>
          <w:pPr>
            <w:pStyle w:val="Contents4"/>
            <w:tabs>
              <w:tab w:val="clear" w:pos="8176"/>
              <w:tab w:val="right" w:pos="9026" w:leader="dot"/>
            </w:tabs>
            <w:rPr/>
          </w:pPr>
          <w:hyperlink w:anchor="__RefHeading___Toc2151019_105122903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151021_1051229030">
            <w:r>
              <w:rPr>
                <w:webHidden/>
                <w:rStyle w:val="IndexLink"/>
              </w:rPr>
              <w:t>1</w:t>
            </w:r>
            <w:r>
              <w:rPr>
                <w:rStyle w:val="IndexLink"/>
                <w:rtl w:val="true"/>
              </w:rPr>
              <w:t xml:space="preserve">- </w:t>
            </w:r>
            <w:r>
              <w:rPr>
                <w:rStyle w:val="IndexLink"/>
                <w:rtl w:val="true"/>
              </w:rPr>
              <w:t>عرف و عادت در روانشناسی</w:t>
            </w:r>
            <w:r>
              <w:rPr>
                <w:rStyle w:val="IndexLink"/>
                <w:rtl w:val="true"/>
              </w:rPr>
              <w:tab/>
            </w:r>
            <w:r>
              <w:rPr>
                <w:rStyle w:val="IndexLink"/>
              </w:rPr>
              <w:t>187</w:t>
            </w:r>
          </w:hyperlink>
        </w:p>
        <w:p>
          <w:pPr>
            <w:pStyle w:val="Contents5"/>
            <w:tabs>
              <w:tab w:val="clear" w:pos="7892"/>
              <w:tab w:val="right" w:pos="9026" w:leader="dot"/>
            </w:tabs>
            <w:rPr/>
          </w:pPr>
          <w:hyperlink w:anchor="__RefHeading___Toc2151023_105122903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2151025_1051229030">
            <w:r>
              <w:rPr>
                <w:webHidden/>
                <w:rStyle w:val="IndexLink"/>
                <w:rtl w:val="true"/>
              </w:rPr>
              <w:t xml:space="preserve">الف </w:t>
            </w:r>
            <w:r>
              <w:rPr>
                <w:rStyle w:val="IndexLink"/>
                <w:rtl w:val="true"/>
              </w:rPr>
              <w:t xml:space="preserve">- </w:t>
            </w:r>
            <w:r>
              <w:rPr>
                <w:rStyle w:val="IndexLink"/>
                <w:rtl w:val="true"/>
              </w:rPr>
              <w:t>حرکت انعکاسی</w:t>
            </w:r>
            <w:r>
              <w:rPr>
                <w:rStyle w:val="IndexLink"/>
                <w:rtl w:val="true"/>
              </w:rPr>
              <w:t>:</w:t>
              <w:tab/>
            </w:r>
            <w:r>
              <w:rPr>
                <w:rStyle w:val="IndexLink"/>
              </w:rPr>
              <w:t>187</w:t>
            </w:r>
          </w:hyperlink>
        </w:p>
        <w:p>
          <w:pPr>
            <w:pStyle w:val="Contents5"/>
            <w:tabs>
              <w:tab w:val="clear" w:pos="7892"/>
              <w:tab w:val="right" w:pos="9026" w:leader="dot"/>
            </w:tabs>
            <w:rPr/>
          </w:pPr>
          <w:hyperlink w:anchor="__RefHeading___Toc2151027_1051229030">
            <w:r>
              <w:rPr>
                <w:webHidden/>
                <w:rStyle w:val="IndexLink"/>
                <w:rtl w:val="true"/>
              </w:rPr>
              <w:t xml:space="preserve">ب </w:t>
            </w:r>
            <w:r>
              <w:rPr>
                <w:rStyle w:val="IndexLink"/>
                <w:rtl w:val="true"/>
              </w:rPr>
              <w:t xml:space="preserve">- </w:t>
            </w:r>
            <w:r>
              <w:rPr>
                <w:rStyle w:val="IndexLink"/>
                <w:rtl w:val="true"/>
              </w:rPr>
              <w:t>حرکت غریزی</w:t>
            </w:r>
            <w:r>
              <w:rPr>
                <w:rStyle w:val="IndexLink"/>
                <w:rtl w:val="true"/>
              </w:rPr>
              <w:t>:</w:t>
              <w:tab/>
            </w:r>
            <w:r>
              <w:rPr>
                <w:rStyle w:val="IndexLink"/>
              </w:rPr>
              <w:t>187</w:t>
            </w:r>
          </w:hyperlink>
        </w:p>
        <w:p>
          <w:pPr>
            <w:pStyle w:val="Contents5"/>
            <w:tabs>
              <w:tab w:val="clear" w:pos="7892"/>
              <w:tab w:val="right" w:pos="9026" w:leader="dot"/>
            </w:tabs>
            <w:rPr/>
          </w:pPr>
          <w:hyperlink w:anchor="__RefHeading___Toc2151029_1051229030">
            <w:r>
              <w:rPr>
                <w:webHidden/>
                <w:rStyle w:val="IndexLink"/>
                <w:rtl w:val="true"/>
              </w:rPr>
              <w:t xml:space="preserve">ج </w:t>
            </w:r>
            <w:r>
              <w:rPr>
                <w:rStyle w:val="IndexLink"/>
                <w:rtl w:val="true"/>
              </w:rPr>
              <w:t xml:space="preserve">- </w:t>
            </w:r>
            <w:r>
              <w:rPr>
                <w:rStyle w:val="IndexLink"/>
                <w:rtl w:val="true"/>
              </w:rPr>
              <w:t>حرکت عادی</w:t>
            </w:r>
            <w:r>
              <w:rPr>
                <w:rStyle w:val="IndexLink"/>
                <w:rtl w:val="true"/>
              </w:rPr>
              <w:t>:</w:t>
              <w:tab/>
            </w:r>
            <w:r>
              <w:rPr>
                <w:rStyle w:val="IndexLink"/>
              </w:rPr>
              <w:t>188</w:t>
            </w:r>
          </w:hyperlink>
        </w:p>
        <w:p>
          <w:pPr>
            <w:pStyle w:val="Contents4"/>
            <w:tabs>
              <w:tab w:val="clear" w:pos="8176"/>
              <w:tab w:val="right" w:pos="9026" w:leader="dot"/>
            </w:tabs>
            <w:rPr/>
          </w:pPr>
          <w:hyperlink w:anchor="__RefHeading___Toc2151031_1051229030">
            <w:r>
              <w:rPr>
                <w:webHidden/>
                <w:rStyle w:val="IndexLink"/>
                <w:rtl w:val="true"/>
              </w:rPr>
              <w:t xml:space="preserve">د </w:t>
            </w:r>
            <w:r>
              <w:rPr>
                <w:rStyle w:val="IndexLink"/>
                <w:rtl w:val="true"/>
              </w:rPr>
              <w:t xml:space="preserve">- </w:t>
            </w:r>
            <w:r>
              <w:rPr>
                <w:rStyle w:val="IndexLink"/>
                <w:rtl w:val="true"/>
              </w:rPr>
              <w:t>حرکتِ ارادی</w:t>
            </w:r>
            <w:r>
              <w:rPr>
                <w:rStyle w:val="IndexLink"/>
                <w:rtl w:val="true"/>
              </w:rPr>
              <w:t>:</w:t>
              <w:tab/>
            </w:r>
            <w:r>
              <w:rPr>
                <w:rStyle w:val="IndexLink"/>
              </w:rPr>
              <w:t>190</w:t>
            </w:r>
          </w:hyperlink>
        </w:p>
        <w:p>
          <w:pPr>
            <w:pStyle w:val="Contents4"/>
            <w:tabs>
              <w:tab w:val="clear" w:pos="8176"/>
              <w:tab w:val="right" w:pos="9026" w:leader="dot"/>
            </w:tabs>
            <w:rPr/>
          </w:pPr>
          <w:hyperlink w:anchor="__RefHeading___Toc2151033_1051229030">
            <w:r>
              <w:rPr>
                <w:webHidden/>
                <w:rStyle w:val="IndexLink"/>
                <w:rtl w:val="true"/>
              </w:rPr>
              <w:t>تعریف عرف</w:t>
            </w:r>
            <w:r>
              <w:rPr>
                <w:rStyle w:val="IndexLink"/>
                <w:rtl w:val="true"/>
              </w:rPr>
              <w:tab/>
            </w:r>
            <w:r>
              <w:rPr>
                <w:rStyle w:val="IndexLink"/>
              </w:rPr>
              <w:t>190</w:t>
            </w:r>
          </w:hyperlink>
        </w:p>
        <w:p>
          <w:pPr>
            <w:pStyle w:val="Contents4"/>
            <w:tabs>
              <w:tab w:val="clear" w:pos="8176"/>
              <w:tab w:val="right" w:pos="9026" w:leader="dot"/>
            </w:tabs>
            <w:rPr/>
          </w:pPr>
          <w:hyperlink w:anchor="__RefHeading___Toc2151035_1051229030">
            <w:r>
              <w:rPr>
                <w:webHidden/>
                <w:rStyle w:val="IndexLink"/>
                <w:rtl w:val="true"/>
              </w:rPr>
              <w:t>«</w:t>
            </w:r>
            <w:r>
              <w:rPr>
                <w:rStyle w:val="IndexLink"/>
                <w:rtl w:val="true"/>
              </w:rPr>
              <w:t>مد</w:t>
            </w:r>
            <w:r>
              <w:rPr>
                <w:rStyle w:val="IndexLink"/>
                <w:rtl w:val="true"/>
              </w:rPr>
              <w:t xml:space="preserve">» </w:t>
            </w:r>
            <w:r>
              <w:rPr>
                <w:rStyle w:val="IndexLink"/>
                <w:rtl w:val="true"/>
              </w:rPr>
              <w:t>یا رفتار اجتماعی</w:t>
            </w:r>
            <w:r>
              <w:rPr>
                <w:rStyle w:val="IndexLink"/>
                <w:rtl w:val="true"/>
              </w:rPr>
              <w:tab/>
            </w:r>
            <w:r>
              <w:rPr>
                <w:rStyle w:val="IndexLink"/>
              </w:rPr>
              <w:t>191</w:t>
            </w:r>
          </w:hyperlink>
        </w:p>
        <w:p>
          <w:pPr>
            <w:pStyle w:val="Contents4"/>
            <w:tabs>
              <w:tab w:val="clear" w:pos="8176"/>
              <w:tab w:val="right" w:pos="9026" w:leader="dot"/>
            </w:tabs>
            <w:rPr/>
          </w:pPr>
          <w:hyperlink w:anchor="__RefHeading___Toc2151037_1051229030">
            <w:r>
              <w:rPr>
                <w:webHidden/>
                <w:rStyle w:val="IndexLink"/>
              </w:rPr>
              <w:t>2</w:t>
            </w:r>
            <w:r>
              <w:rPr>
                <w:rStyle w:val="IndexLink"/>
                <w:rtl w:val="true"/>
              </w:rPr>
              <w:t xml:space="preserve">- </w:t>
            </w:r>
            <w:r>
              <w:rPr>
                <w:rStyle w:val="IndexLink"/>
                <w:rtl w:val="true"/>
              </w:rPr>
              <w:t>عرف و عادت در حقوق امروز</w:t>
            </w:r>
            <w:r>
              <w:rPr>
                <w:rStyle w:val="IndexLink"/>
                <w:rtl w:val="true"/>
              </w:rPr>
              <w:tab/>
            </w:r>
            <w:r>
              <w:rPr>
                <w:rStyle w:val="IndexLink"/>
              </w:rPr>
              <w:t>192</w:t>
            </w:r>
          </w:hyperlink>
        </w:p>
        <w:p>
          <w:pPr>
            <w:pStyle w:val="Contents4"/>
            <w:tabs>
              <w:tab w:val="clear" w:pos="8176"/>
              <w:tab w:val="right" w:pos="9026" w:leader="dot"/>
            </w:tabs>
            <w:rPr/>
          </w:pPr>
          <w:hyperlink w:anchor="__RefHeading___Toc2151039_1051229030">
            <w:r>
              <w:rPr>
                <w:webHidden/>
                <w:rStyle w:val="IndexLink"/>
                <w:rtl w:val="true"/>
              </w:rPr>
              <w:t>عقاید موافق و مخالف پیرامون عُرف</w:t>
            </w:r>
            <w:r>
              <w:rPr>
                <w:rStyle w:val="IndexLink"/>
                <w:rtl w:val="true"/>
              </w:rPr>
              <w:tab/>
            </w:r>
            <w:r>
              <w:rPr>
                <w:rStyle w:val="IndexLink"/>
              </w:rPr>
              <w:t>193</w:t>
            </w:r>
          </w:hyperlink>
        </w:p>
        <w:p>
          <w:pPr>
            <w:pStyle w:val="Contents5"/>
            <w:tabs>
              <w:tab w:val="clear" w:pos="7892"/>
              <w:tab w:val="right" w:pos="9026" w:leader="dot"/>
            </w:tabs>
            <w:rPr/>
          </w:pPr>
          <w:hyperlink w:anchor="__RefHeading___Toc2151041_105122903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2151043_1051229030">
            <w:r>
              <w:rPr>
                <w:webHidden/>
                <w:rStyle w:val="IndexLink"/>
                <w:rtl w:val="true"/>
              </w:rPr>
              <w:t xml:space="preserve">اوّل </w:t>
            </w:r>
            <w:r>
              <w:rPr>
                <w:rStyle w:val="IndexLink"/>
                <w:rtl w:val="true"/>
              </w:rPr>
              <w:t xml:space="preserve">- </w:t>
            </w:r>
            <w:r>
              <w:rPr>
                <w:rStyle w:val="IndexLink"/>
                <w:rtl w:val="true"/>
              </w:rPr>
              <w:t>موافقان</w:t>
            </w:r>
            <w:r>
              <w:rPr>
                <w:rStyle w:val="IndexLink"/>
                <w:rtl w:val="true"/>
              </w:rPr>
              <w:t>:</w:t>
              <w:tab/>
            </w:r>
            <w:r>
              <w:rPr>
                <w:rStyle w:val="IndexLink"/>
              </w:rPr>
              <w:t>193</w:t>
            </w:r>
          </w:hyperlink>
        </w:p>
        <w:p>
          <w:pPr>
            <w:pStyle w:val="Contents5"/>
            <w:tabs>
              <w:tab w:val="clear" w:pos="7892"/>
              <w:tab w:val="right" w:pos="9026" w:leader="dot"/>
            </w:tabs>
            <w:rPr/>
          </w:pPr>
          <w:hyperlink w:anchor="__RefHeading___Toc2151045_1051229030">
            <w:r>
              <w:rPr>
                <w:webHidden/>
                <w:rStyle w:val="IndexLink"/>
                <w:rtl w:val="true"/>
              </w:rPr>
              <w:t xml:space="preserve">دوم </w:t>
            </w:r>
            <w:r>
              <w:rPr>
                <w:rStyle w:val="IndexLink"/>
                <w:rtl w:val="true"/>
              </w:rPr>
              <w:t xml:space="preserve">- </w:t>
            </w:r>
            <w:r>
              <w:rPr>
                <w:rStyle w:val="IndexLink"/>
                <w:rtl w:val="true"/>
              </w:rPr>
              <w:t>مخالفان</w:t>
            </w:r>
            <w:r>
              <w:rPr>
                <w:rStyle w:val="IndexLink"/>
                <w:rtl w:val="true"/>
              </w:rPr>
              <w:t>:</w:t>
              <w:tab/>
            </w:r>
            <w:r>
              <w:rPr>
                <w:rStyle w:val="IndexLink"/>
              </w:rPr>
              <w:t>194</w:t>
            </w:r>
          </w:hyperlink>
        </w:p>
        <w:p>
          <w:pPr>
            <w:pStyle w:val="Contents4"/>
            <w:tabs>
              <w:tab w:val="clear" w:pos="8176"/>
              <w:tab w:val="right" w:pos="9026" w:leader="dot"/>
            </w:tabs>
            <w:rPr/>
          </w:pPr>
          <w:hyperlink w:anchor="__RefHeading___Toc2151047_1051229030">
            <w:r>
              <w:rPr>
                <w:webHidden/>
                <w:rStyle w:val="IndexLink"/>
                <w:rtl w:val="true"/>
              </w:rPr>
              <w:t>ارتباط عُرف و قانون</w:t>
            </w:r>
            <w:r>
              <w:rPr>
                <w:rStyle w:val="IndexLink"/>
                <w:rtl w:val="true"/>
              </w:rPr>
              <w:tab/>
            </w:r>
            <w:r>
              <w:rPr>
                <w:rStyle w:val="IndexLink"/>
              </w:rPr>
              <w:t>198</w:t>
            </w:r>
          </w:hyperlink>
        </w:p>
        <w:p>
          <w:pPr>
            <w:pStyle w:val="Contents4"/>
            <w:tabs>
              <w:tab w:val="clear" w:pos="8176"/>
              <w:tab w:val="right" w:pos="9026" w:leader="dot"/>
            </w:tabs>
            <w:rPr/>
          </w:pPr>
          <w:hyperlink w:anchor="__RefHeading___Toc2151049_1051229030">
            <w:r>
              <w:rPr>
                <w:webHidden/>
                <w:rStyle w:val="IndexLink"/>
              </w:rPr>
              <w:t>3</w:t>
            </w:r>
            <w:r>
              <w:rPr>
                <w:rStyle w:val="IndexLink"/>
                <w:rtl w:val="true"/>
              </w:rPr>
              <w:t xml:space="preserve">- </w:t>
            </w:r>
            <w:r>
              <w:rPr>
                <w:rStyle w:val="IndexLink"/>
                <w:rtl w:val="true"/>
              </w:rPr>
              <w:t>عرف و عادت در فقه اسلامی</w:t>
            </w:r>
            <w:r>
              <w:rPr>
                <w:rStyle w:val="IndexLink"/>
                <w:rtl w:val="true"/>
              </w:rPr>
              <w:tab/>
            </w:r>
            <w:r>
              <w:rPr>
                <w:rStyle w:val="IndexLink"/>
              </w:rPr>
              <w:t>200</w:t>
            </w:r>
          </w:hyperlink>
        </w:p>
        <w:p>
          <w:pPr>
            <w:pStyle w:val="Contents5"/>
            <w:tabs>
              <w:tab w:val="clear" w:pos="7892"/>
              <w:tab w:val="right" w:pos="9026" w:leader="dot"/>
            </w:tabs>
            <w:rPr/>
          </w:pPr>
          <w:hyperlink w:anchor="__RefHeading___Toc2151051_1051229030">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2151053_1051229030">
            <w:r>
              <w:rPr>
                <w:webHidden/>
                <w:rStyle w:val="IndexLink"/>
                <w:rtl w:val="true"/>
              </w:rPr>
              <w:t>عناصر عرف</w:t>
            </w:r>
            <w:r>
              <w:rPr>
                <w:rStyle w:val="IndexLink"/>
                <w:rtl w:val="true"/>
              </w:rPr>
              <w:t>:</w:t>
              <w:tab/>
            </w:r>
            <w:r>
              <w:rPr>
                <w:rStyle w:val="IndexLink"/>
              </w:rPr>
              <w:t>201</w:t>
            </w:r>
          </w:hyperlink>
        </w:p>
        <w:p>
          <w:pPr>
            <w:pStyle w:val="Contents5"/>
            <w:tabs>
              <w:tab w:val="clear" w:pos="7892"/>
              <w:tab w:val="right" w:pos="9026" w:leader="dot"/>
            </w:tabs>
            <w:rPr/>
          </w:pPr>
          <w:hyperlink w:anchor="__RefHeading___Toc2151055_1051229030">
            <w:r>
              <w:rPr>
                <w:webHidden/>
                <w:rStyle w:val="IndexLink"/>
                <w:rtl w:val="true"/>
              </w:rPr>
              <w:t>مصادیق عرف</w:t>
            </w:r>
            <w:r>
              <w:rPr>
                <w:rStyle w:val="IndexLink"/>
                <w:rtl w:val="true"/>
              </w:rPr>
              <w:t>:</w:t>
              <w:tab/>
            </w:r>
            <w:r>
              <w:rPr>
                <w:rStyle w:val="IndexLink"/>
              </w:rPr>
              <w:t>201</w:t>
            </w:r>
          </w:hyperlink>
        </w:p>
        <w:p>
          <w:pPr>
            <w:pStyle w:val="Contents5"/>
            <w:tabs>
              <w:tab w:val="clear" w:pos="7892"/>
              <w:tab w:val="right" w:pos="9026" w:leader="dot"/>
            </w:tabs>
            <w:rPr/>
          </w:pPr>
          <w:hyperlink w:anchor="__RefHeading___Toc2151057_1051229030">
            <w:r>
              <w:rPr>
                <w:webHidden/>
                <w:rStyle w:val="IndexLink"/>
                <w:rtl w:val="true"/>
              </w:rPr>
              <w:t>اقسام عرف</w:t>
            </w:r>
            <w:r>
              <w:rPr>
                <w:rStyle w:val="IndexLink"/>
                <w:rtl w:val="true"/>
              </w:rPr>
              <w:t>: (</w:t>
            </w:r>
            <w:r>
              <w:rPr>
                <w:rStyle w:val="IndexLink"/>
              </w:rPr>
              <w:t>1</w:t>
            </w:r>
            <w:r>
              <w:rPr>
                <w:rStyle w:val="IndexLink"/>
                <w:rtl w:val="true"/>
              </w:rPr>
              <w:t>-</w:t>
            </w:r>
            <w:r>
              <w:rPr>
                <w:rStyle w:val="IndexLink"/>
                <w:rtl w:val="true"/>
              </w:rPr>
              <w:t>عرف حکمی و عرف محلّی</w:t>
            </w:r>
            <w:r>
              <w:rPr>
                <w:rStyle w:val="IndexLink"/>
              </w:rPr>
              <w:t>2</w:t>
            </w:r>
            <w:r>
              <w:rPr>
                <w:rStyle w:val="IndexLink"/>
                <w:rtl w:val="true"/>
              </w:rPr>
              <w:t>-</w:t>
            </w:r>
            <w:r>
              <w:rPr>
                <w:rStyle w:val="IndexLink"/>
                <w:rtl w:val="true"/>
              </w:rPr>
              <w:t>عرف لفظی و عملی</w:t>
            </w:r>
            <w:r>
              <w:rPr>
                <w:rStyle w:val="IndexLink"/>
                <w:rtl w:val="true"/>
              </w:rPr>
              <w:t>)</w:t>
              <w:tab/>
            </w:r>
            <w:r>
              <w:rPr>
                <w:rStyle w:val="IndexLink"/>
              </w:rPr>
              <w:t>202</w:t>
            </w:r>
          </w:hyperlink>
        </w:p>
        <w:p>
          <w:pPr>
            <w:pStyle w:val="Contents5"/>
            <w:tabs>
              <w:tab w:val="clear" w:pos="7892"/>
              <w:tab w:val="right" w:pos="9026" w:leader="dot"/>
            </w:tabs>
            <w:rPr/>
          </w:pPr>
          <w:hyperlink w:anchor="__RefHeading___Toc2151059_1051229030">
            <w:r>
              <w:rPr>
                <w:webHidden/>
                <w:rStyle w:val="IndexLink"/>
                <w:rtl w:val="true"/>
              </w:rPr>
              <w:t>آیا عرف، مخصِّص نصّ می‌شود ؟</w:t>
            </w:r>
            <w:r>
              <w:rPr>
                <w:rStyle w:val="IndexLink"/>
                <w:rtl w:val="true"/>
              </w:rPr>
              <w:tab/>
            </w:r>
            <w:r>
              <w:rPr>
                <w:rStyle w:val="IndexLink"/>
              </w:rPr>
              <w:t>205</w:t>
            </w:r>
          </w:hyperlink>
        </w:p>
        <w:p>
          <w:pPr>
            <w:pStyle w:val="Contents5"/>
            <w:tabs>
              <w:tab w:val="clear" w:pos="7892"/>
              <w:tab w:val="right" w:pos="9026" w:leader="dot"/>
            </w:tabs>
            <w:rPr/>
          </w:pPr>
          <w:hyperlink w:anchor="__RefHeading___Toc2151061_1051229030">
            <w:r>
              <w:rPr>
                <w:webHidden/>
                <w:rStyle w:val="IndexLink"/>
                <w:rtl w:val="true"/>
              </w:rPr>
              <w:t>ارزیابی عرف</w:t>
            </w:r>
            <w:r>
              <w:rPr>
                <w:rStyle w:val="IndexLink"/>
                <w:rtl w:val="true"/>
              </w:rPr>
              <w:t>:</w:t>
              <w:tab/>
            </w:r>
            <w:r>
              <w:rPr>
                <w:rStyle w:val="IndexLink"/>
              </w:rPr>
              <w:t>205</w:t>
            </w:r>
          </w:hyperlink>
        </w:p>
        <w:p>
          <w:pPr>
            <w:pStyle w:val="Contents3"/>
            <w:tabs>
              <w:tab w:val="clear" w:pos="8459"/>
              <w:tab w:val="right" w:pos="9026" w:leader="dot"/>
            </w:tabs>
            <w:rPr/>
          </w:pPr>
          <w:hyperlink w:anchor="__RefHeading___Toc2151063_1051229030">
            <w:r>
              <w:rPr>
                <w:webHidden/>
                <w:rStyle w:val="IndexLink"/>
                <w:rtl w:val="true"/>
              </w:rPr>
              <w:t xml:space="preserve">گفتار دهم </w:t>
            </w:r>
            <w:r>
              <w:rPr>
                <w:rStyle w:val="IndexLink"/>
                <w:rtl w:val="true"/>
              </w:rPr>
              <w:t>:</w:t>
            </w:r>
            <w:r>
              <w:rPr>
                <w:rStyle w:val="IndexLink"/>
                <w:rtl w:val="true"/>
              </w:rPr>
              <w:t>عدل و انصاف</w:t>
            </w:r>
            <w:r>
              <w:rPr>
                <w:rStyle w:val="IndexLink"/>
                <w:rtl w:val="true"/>
              </w:rPr>
              <w:tab/>
            </w:r>
            <w:r>
              <w:rPr>
                <w:rStyle w:val="IndexLink"/>
              </w:rPr>
              <w:t>209</w:t>
            </w:r>
          </w:hyperlink>
        </w:p>
        <w:p>
          <w:pPr>
            <w:pStyle w:val="Contents4"/>
            <w:tabs>
              <w:tab w:val="clear" w:pos="8176"/>
              <w:tab w:val="right" w:pos="9026" w:leader="dot"/>
            </w:tabs>
            <w:rPr/>
          </w:pPr>
          <w:hyperlink w:anchor="__RefHeading___Toc2151065_105122903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151067_1051229030">
            <w:r>
              <w:rPr>
                <w:webHidden/>
                <w:rStyle w:val="IndexLink"/>
              </w:rPr>
              <w:t>1</w:t>
            </w:r>
            <w:r>
              <w:rPr>
                <w:rStyle w:val="IndexLink"/>
                <w:rtl w:val="true"/>
              </w:rPr>
              <w:t xml:space="preserve">- </w:t>
            </w:r>
            <w:r>
              <w:rPr>
                <w:rStyle w:val="IndexLink"/>
                <w:rtl w:val="true"/>
              </w:rPr>
              <w:t>عدالت در فلسفه</w:t>
            </w:r>
            <w:r>
              <w:rPr>
                <w:rStyle w:val="IndexLink"/>
                <w:rtl w:val="true"/>
              </w:rPr>
              <w:tab/>
            </w:r>
            <w:r>
              <w:rPr>
                <w:rStyle w:val="IndexLink"/>
              </w:rPr>
              <w:t>209</w:t>
            </w:r>
          </w:hyperlink>
        </w:p>
        <w:p>
          <w:pPr>
            <w:pStyle w:val="Contents4"/>
            <w:tabs>
              <w:tab w:val="clear" w:pos="8176"/>
              <w:tab w:val="right" w:pos="9026" w:leader="dot"/>
            </w:tabs>
            <w:rPr/>
          </w:pPr>
          <w:hyperlink w:anchor="__RefHeading___Toc2151069_1051229030">
            <w:r>
              <w:rPr>
                <w:webHidden/>
                <w:rStyle w:val="IndexLink"/>
              </w:rPr>
              <w:t>2</w:t>
            </w:r>
            <w:r>
              <w:rPr>
                <w:rStyle w:val="IndexLink"/>
                <w:rtl w:val="true"/>
              </w:rPr>
              <w:t xml:space="preserve">- </w:t>
            </w:r>
            <w:r>
              <w:rPr>
                <w:rStyle w:val="IndexLink"/>
                <w:rtl w:val="true"/>
              </w:rPr>
              <w:t>عدالت در نصوص دینی</w:t>
            </w:r>
            <w:r>
              <w:rPr>
                <w:rStyle w:val="IndexLink"/>
                <w:rtl w:val="true"/>
              </w:rPr>
              <w:tab/>
            </w:r>
            <w:r>
              <w:rPr>
                <w:rStyle w:val="IndexLink"/>
              </w:rPr>
              <w:t>214</w:t>
            </w:r>
          </w:hyperlink>
        </w:p>
        <w:p>
          <w:pPr>
            <w:pStyle w:val="Contents3"/>
            <w:tabs>
              <w:tab w:val="clear" w:pos="8459"/>
              <w:tab w:val="right" w:pos="9026" w:leader="dot"/>
            </w:tabs>
            <w:rPr/>
          </w:pPr>
          <w:hyperlink w:anchor="__RefHeading___Toc2151071_1051229030">
            <w:r>
              <w:rPr>
                <w:webHidden/>
                <w:rStyle w:val="IndexLink"/>
                <w:rtl w:val="true"/>
              </w:rPr>
              <w:t>گفتار یازدهم</w:t>
            </w:r>
            <w:r>
              <w:rPr>
                <w:rStyle w:val="IndexLink"/>
                <w:rtl w:val="true"/>
              </w:rPr>
              <w:t>:</w:t>
            </w:r>
            <w:r>
              <w:rPr>
                <w:rStyle w:val="IndexLink"/>
                <w:rtl w:val="true"/>
              </w:rPr>
              <w:t>تأسیس و امضاء</w:t>
            </w:r>
            <w:r>
              <w:rPr>
                <w:rStyle w:val="IndexLink"/>
                <w:rtl w:val="true"/>
              </w:rPr>
              <w:tab/>
            </w:r>
            <w:r>
              <w:rPr>
                <w:rStyle w:val="IndexLink"/>
              </w:rPr>
              <w:t>218</w:t>
            </w:r>
          </w:hyperlink>
        </w:p>
        <w:p>
          <w:pPr>
            <w:pStyle w:val="Contents3"/>
            <w:tabs>
              <w:tab w:val="clear" w:pos="8459"/>
              <w:tab w:val="right" w:pos="9026" w:leader="dot"/>
            </w:tabs>
            <w:rPr/>
          </w:pPr>
          <w:hyperlink w:anchor="__RefHeading___Toc2151073_1051229030">
            <w:r>
              <w:rPr>
                <w:webHidden/>
                <w:rStyle w:val="IndexLink"/>
                <w:rtl w:val="true"/>
              </w:rPr>
              <w:t xml:space="preserve">گفتار دوازدهم </w:t>
            </w:r>
            <w:r>
              <w:rPr>
                <w:rStyle w:val="IndexLink"/>
                <w:rtl w:val="true"/>
              </w:rPr>
              <w:t>:</w:t>
            </w:r>
            <w:r>
              <w:rPr>
                <w:rStyle w:val="IndexLink"/>
                <w:rtl w:val="true"/>
              </w:rPr>
              <w:t>اخلاق</w:t>
            </w:r>
            <w:r>
              <w:rPr>
                <w:rStyle w:val="IndexLink"/>
                <w:rtl w:val="true"/>
              </w:rPr>
              <w:tab/>
            </w:r>
            <w:r>
              <w:rPr>
                <w:rStyle w:val="IndexLink"/>
              </w:rPr>
              <w:t>221</w:t>
            </w:r>
          </w:hyperlink>
        </w:p>
        <w:p>
          <w:pPr>
            <w:pStyle w:val="Contents2"/>
            <w:tabs>
              <w:tab w:val="clear" w:pos="8743"/>
              <w:tab w:val="right" w:pos="9026" w:leader="dot"/>
            </w:tabs>
            <w:rPr/>
          </w:pPr>
          <w:hyperlink w:anchor="__RefHeading___Toc2151075_1051229030">
            <w:r>
              <w:rPr>
                <w:webHidden/>
                <w:rStyle w:val="IndexLink"/>
                <w:rtl w:val="true"/>
              </w:rPr>
              <w:t xml:space="preserve">بخش چهارم </w:t>
            </w:r>
            <w:r>
              <w:rPr>
                <w:rStyle w:val="IndexLink"/>
                <w:rtl w:val="true"/>
              </w:rPr>
              <w:t xml:space="preserve">- </w:t>
            </w:r>
            <w:r>
              <w:rPr>
                <w:rStyle w:val="IndexLink"/>
                <w:rtl w:val="true"/>
              </w:rPr>
              <w:t>کار آیی</w:t>
            </w:r>
            <w:r>
              <w:rPr>
                <w:rStyle w:val="IndexLink"/>
                <w:rtl w:val="true"/>
              </w:rPr>
              <w:tab/>
            </w:r>
            <w:r>
              <w:rPr>
                <w:rStyle w:val="IndexLink"/>
              </w:rPr>
              <w:t>226</w:t>
            </w:r>
          </w:hyperlink>
        </w:p>
        <w:p>
          <w:pPr>
            <w:pStyle w:val="Contents3"/>
            <w:tabs>
              <w:tab w:val="clear" w:pos="8459"/>
              <w:tab w:val="right" w:pos="9026" w:leader="dot"/>
            </w:tabs>
            <w:rPr/>
          </w:pPr>
          <w:hyperlink w:anchor="__RefHeading___Toc2151077_1051229030">
            <w:r>
              <w:rPr>
                <w:webHidden/>
                <w:rStyle w:val="IndexLink"/>
                <w:rtl w:val="true"/>
              </w:rPr>
              <w:t>استنباط و استدراک</w:t>
            </w:r>
            <w:r>
              <w:rPr>
                <w:rStyle w:val="IndexLink"/>
                <w:rtl w:val="true"/>
              </w:rPr>
              <w:tab/>
            </w:r>
            <w:r>
              <w:rPr>
                <w:rStyle w:val="IndexLink"/>
              </w:rPr>
              <w:t>226</w:t>
            </w:r>
          </w:hyperlink>
        </w:p>
        <w:p>
          <w:pPr>
            <w:pStyle w:val="Contents3"/>
            <w:tabs>
              <w:tab w:val="clear" w:pos="8459"/>
              <w:tab w:val="right" w:pos="9026" w:leader="dot"/>
            </w:tabs>
            <w:rPr/>
          </w:pPr>
          <w:hyperlink w:anchor="__RefHeading___Toc2151079_1051229030">
            <w:r>
              <w:rPr>
                <w:webHidden/>
                <w:rStyle w:val="IndexLink"/>
                <w:rtl w:val="true"/>
              </w:rPr>
              <w:t>تعریف و اقسام استنباط</w:t>
            </w:r>
            <w:r>
              <w:rPr>
                <w:rStyle w:val="IndexLink"/>
                <w:rtl w:val="true"/>
              </w:rPr>
              <w:tab/>
            </w:r>
            <w:r>
              <w:rPr>
                <w:rStyle w:val="IndexLink"/>
              </w:rPr>
              <w:t>227</w:t>
            </w:r>
          </w:hyperlink>
        </w:p>
        <w:p>
          <w:pPr>
            <w:pStyle w:val="Contents3"/>
            <w:tabs>
              <w:tab w:val="clear" w:pos="8459"/>
              <w:tab w:val="right" w:pos="9026" w:leader="dot"/>
            </w:tabs>
            <w:rPr/>
          </w:pPr>
          <w:hyperlink w:anchor="__RefHeading___Toc2151081_1051229030">
            <w:r>
              <w:rPr>
                <w:webHidden/>
                <w:rStyle w:val="IndexLink"/>
                <w:rtl w:val="true"/>
              </w:rPr>
              <w:t>حکم اولی و ثانوی</w:t>
            </w:r>
            <w:r>
              <w:rPr>
                <w:rStyle w:val="IndexLink"/>
                <w:rtl w:val="true"/>
              </w:rPr>
              <w:tab/>
            </w:r>
            <w:r>
              <w:rPr>
                <w:rStyle w:val="IndexLink"/>
              </w:rPr>
              <w:t>231</w:t>
            </w:r>
          </w:hyperlink>
        </w:p>
        <w:p>
          <w:pPr>
            <w:pStyle w:val="Contents3"/>
            <w:tabs>
              <w:tab w:val="clear" w:pos="8459"/>
              <w:tab w:val="right" w:pos="9026" w:leader="dot"/>
            </w:tabs>
            <w:rPr/>
          </w:pPr>
          <w:hyperlink w:anchor="__RefHeading___Toc2151083_1051229030">
            <w:r>
              <w:rPr>
                <w:webHidden/>
                <w:rStyle w:val="IndexLink"/>
                <w:rtl w:val="true"/>
              </w:rPr>
              <w:t>مصلحت شخصی و نوعی</w:t>
            </w:r>
            <w:r>
              <w:rPr>
                <w:rStyle w:val="IndexLink"/>
                <w:rtl w:val="true"/>
              </w:rPr>
              <w:tab/>
            </w:r>
            <w:r>
              <w:rPr>
                <w:rStyle w:val="IndexLink"/>
              </w:rPr>
              <w:t>233</w:t>
            </w:r>
          </w:hyperlink>
        </w:p>
        <w:p>
          <w:pPr>
            <w:pStyle w:val="Contents2"/>
            <w:tabs>
              <w:tab w:val="clear" w:pos="8743"/>
              <w:tab w:val="right" w:pos="9026" w:leader="dot"/>
            </w:tabs>
            <w:rPr/>
          </w:pPr>
          <w:hyperlink w:anchor="__RefHeading___Toc2151085_1051229030">
            <w:r>
              <w:rPr>
                <w:webHidden/>
                <w:rStyle w:val="IndexLink"/>
                <w:rtl w:val="true"/>
              </w:rPr>
              <w:t>منابع و مراجع</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74_109209"/>
      <w:bookmarkStart w:id="1" w:name="pg7474_109209"/>
      <w:bookmarkEnd w:id="1"/>
    </w:p>
    <w:p>
      <w:pPr>
        <w:pStyle w:val="Heading2"/>
        <w:numPr>
          <w:ilvl w:val="1"/>
          <w:numId w:val="1"/>
        </w:numPr>
        <w:rPr/>
      </w:pPr>
      <w:bookmarkStart w:id="2" w:name="pg7474_109209"/>
      <w:bookmarkStart w:id="3" w:name="__RefHeading___Toc215070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نجومیان، حسین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نجومیان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9644440137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Hossein Nojoomian. Foundations of low in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اول این کتاب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قانونگذاری و 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استنباط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772462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070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مبانی حقوق در ایران</w:t>
      </w:r>
    </w:p>
    <w:p>
      <w:pPr>
        <w:pStyle w:val="BookText"/>
        <w:rPr/>
      </w:pPr>
      <w:r>
        <w:rPr>
          <w:rFonts w:ascii="IRNazanin" w:hAnsi="IRNazanin" w:eastAsia="IRNazanin"/>
          <w:color w:val="111111"/>
          <w:sz w:val="28"/>
          <w:sz w:val="28"/>
          <w:szCs w:val="28"/>
          <w:rtl w:val="true"/>
          <w:lang w:bidi="fa-IR"/>
        </w:rPr>
        <w:t>تالیف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نجومیان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74_109213"/>
      <w:bookmarkStart w:id="8" w:name="pg7474_109213"/>
      <w:bookmarkEnd w:id="8"/>
    </w:p>
    <w:p>
      <w:pPr>
        <w:pStyle w:val="Heading2"/>
        <w:numPr>
          <w:ilvl w:val="1"/>
          <w:numId w:val="1"/>
        </w:numPr>
        <w:rPr/>
      </w:pPr>
      <w:bookmarkStart w:id="9" w:name="pg7474_109213"/>
      <w:bookmarkStart w:id="10" w:name="__RefHeading___Toc2150711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بخش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تمهیدات</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حقوقی نسبی است یا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مکتب تاریخی و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دیدگاههای نسبی‌گرایی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جامعه‌شناسی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روانشناسی فردی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علوم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نتیجه و برآیند مطلب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بیگانه و روش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تاثیر علوم تجربی در حقوق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نتیجه و خلاصه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تحول مبانی استنباط</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مکتب فلسفه‌گرایان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مکتب اخباری و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مکتب تفسیر واژه بواژه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مکتب حقوق فطری و نظام فلسفی آن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غایی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 و عملی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همسنجی نظامهای حقوقی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ویژگیهای حقوق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فروپاشی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اعتبار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آرای مارکس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ارزش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عرف و سابقه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مقایسه با حقوق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رویه قضایی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اعتبار عقل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قدرت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عرف و عادت در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مدون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استنباط</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اعتبار آیه‌های محکم و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دلایل اخباریان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دلائل اصولیان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اقسام آیه‌های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مکتب تعدی از نص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سنت در لغت و جامعه‌شناسی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ویژگیهای سنت از نظر جامعه‌شناسی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ویژگیهای عقیده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نقش سنت‌گرایی و نوگرایی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جنبه‌های مثبت و منفی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در فقه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وجودی سنت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مجموعه‌های اهل سنت و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مجموعه‌های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فرقه‌های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ارزیابی سنت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انواع سنت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شرایط اعتبار خبر 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مرسل و مسند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انواع خبر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تقسیمی دیگر از سنت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تخصیص قرآن به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شورا یا اجماع در حوزه حقوق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حوزه حقوق خصوصی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معصوم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حجیت اجماع نزد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عقاید گوناگون درباره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چگونه اجماع از رأی معصوم کاشف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منقول و محصل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عقل ازنظر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مخصص قرآن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ثمره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لاضرر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چند نمونه از مصادیق لاضرر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اصلهای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فرضهای قانونی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اقسام اصول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دلایل اصل برائت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دلایل اخباری‌ها در بطلان اصل برائت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عقل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حالت سابق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دلایل اعتبار 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قیاس منطقی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در لزوم قیاس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مکتبهای قیاس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نفی قیاس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تعدی از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منصوص العله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قیاس مستنبط العله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قیاس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آیا قیاس یک منبع حقوقی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آیا قیاس می‌تواند مخصص قرآن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قیاس در قوانین کیفری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دلیلهای اعتبار قیاس</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تعریف و عناصر قیاس</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تعریف قیاس</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عناصر قیاس</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عنصر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راههای استنباط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استنباط علت از نص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تنبیه و ایما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مفهوم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مستنبط از نص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عنصر دوم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عنصر سوم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عنصر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یا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استخراج علت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سبر و تقسیم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مناسبت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قیاس شبه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ویژگیهای امامیه در باب قیاس</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و استصلاح</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دلیلهای اعتبار و حجیت 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اقسام 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عقیده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چند مثال برای استصلاح</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عناصر سد ذرایع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عقاید موافق و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عادت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و عادت در روانشناسی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انعکاسی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غریزی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تشکیل عادت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ارادی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تعریف عرف</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رفتار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و عادت در حقوق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عقاید موافق و مخالف پیرامون عُرف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ارتباط عُرف و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و عادت در فقه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عناصر عرف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مصادیق عرف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اقسام‌عرف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عرف‌حکمی و عرف‌محلّی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عرف‌لفظی و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ارزیابی عرف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نصوص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امضاء</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آیی استنباط و استدراک</w:t>
      </w:r>
    </w:p>
    <w:p>
      <w:pPr>
        <w:pStyle w:val="BookText"/>
        <w:rPr/>
      </w:pPr>
      <w:r>
        <w:rPr>
          <w:rFonts w:ascii="IRNazanin" w:hAnsi="IRNazanin" w:eastAsia="IRNazanin"/>
          <w:color w:val="111111"/>
          <w:sz w:val="28"/>
          <w:sz w:val="28"/>
          <w:szCs w:val="28"/>
          <w:rtl w:val="true"/>
          <w:lang w:bidi="fa-IR"/>
        </w:rPr>
        <w:t>تعریف و اقسام استنباط</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حکم اولی و ثانوی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مصلحت شخصی و نوعی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12" w:name="pg7474_109219"/>
    </w:p>
    <w:p>
      <w:pPr>
        <w:pStyle w:val="Heading2"/>
        <w:numPr>
          <w:ilvl w:val="1"/>
          <w:numId w:val="1"/>
        </w:numPr>
        <w:rPr/>
      </w:pPr>
      <w:bookmarkStart w:id="13" w:name="__RefHeading___Toc2150713_1051229030"/>
      <w:bookmarkStart w:id="14" w:name="_Toc4"/>
      <w:bookmarkEnd w:id="12"/>
      <w:bookmarkEnd w:id="13"/>
      <w:r>
        <w:rPr>
          <w:rtl w:val="true"/>
        </w:rPr>
        <w:t>پیش درآمد</w:t>
      </w:r>
      <w:r>
        <w:rPr>
          <w:rtl w:val="true"/>
        </w:rPr>
        <w:t>:</w:t>
      </w:r>
      <w:bookmarkEnd w:id="14"/>
    </w:p>
    <w:p>
      <w:pPr>
        <w:pStyle w:val="BookText"/>
        <w:rPr/>
      </w:pPr>
      <w:r>
        <w:rPr>
          <w:rFonts w:ascii="IRNazanin" w:hAnsi="IRNazanin" w:eastAsia="IRNazanin"/>
          <w:color w:val="111111"/>
          <w:sz w:val="28"/>
          <w:sz w:val="28"/>
          <w:szCs w:val="28"/>
          <w:rtl w:val="true"/>
          <w:lang w:bidi="fa-IR"/>
        </w:rPr>
        <w:t xml:space="preserve">این رساله دستاورد کوششی است برای بازنمایی شیوه‌ای تازه در ساخت و کارکرد هنر استنباط، چکیده و برآیند برخی اندیشه ها که در گنجینه تالیفهای پیشینیان ما در گذر قرنها پدید آمده، با دید و دریافتهایی از حقوق امروز دنیا، به سبک و به زبان روز بازگو شده و باریک بینی و موشکافیهای آنان در بسیاری موارد از جمله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یا نقص و یا اجمال و ابهام و یا تعارض قوانین، بررسی شده و نشان داده که در امر قضا رهگشای دادرسان بوده است و بنابراین نباید از این شاخه از دانش که درسهای گرانبهایی به ما داده است،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تجدید نظر خواهی در حقوق به مدد فنون استنباط، آمده است تا توان هماهنگی حقوق موضوعه را با تحولهای زمان روشن کند و این همه با نظامهای بیگانه مقایسه شده است تا ریزه‌کاریهایی که در سازمانهای گوناگون به کار رفته بیشتر و بهتر آشکار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دفتر بیشتر جنبه نظری دارد و کمتر به مسائل عملی دنیای روز پرداخته است، مع ذلک از فایده عملی آن کاسته نمی‌شود، بی‌گمان از مطالعه یک کتاب همواره نباید سودمندی آنی و عملی آن را در نظر گرفت و حل همه پرسشها و دشواریها را انتظار داشت، چه بسا هدفهایی که بیش از نفع آنی و عاجل، در سازماندهی کلیت فکر ما در آینده، مؤثر می‌افتد، مثلاً فلسفه حقوق، که موضوع آن علتها و انگیزه های قانونگذاری و دادرسی است، ازین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این همه به معنای عام، برای آنان که کم حوصله‌اند در آغاز بیهوده می‌نماید، لکن این که بدانیم ماده قانون را در یک دعوی و یا واقعه‌ای حقوقی یا جزایی چگونه به کار بریم، غیر از آنست که در واقع آن را فهمیده و به ریشه‌ها و سرچشمه‌هایش پی برده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مناقشه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اتومبیل را اگر بدانیم، هرگز نباید ادعا کنیم که اصول و مبانی علمی را که در اتومبیل به کار رفته، می‌دانیم، و بدین گونه چون در کار دادرسی به کار بستن ماده قانون را می‌دانیم، نباید مدعی شویم که به حقیقت تکوین آن نیز وقوف داریم و از دانستن اصول علمی و فلسفی آن بی‌نیازیم و بالعکس هر گاه از فلسفه حقوق آگاهی داریم، نمی‌توانیم مدعی دانش دادرسی و هنر استنباط نیز بشویم که اینها دو مقوله‌اند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بگفته یکی از حقوقدانان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حقوق تنها عبارت از مواد قانون باشد ارزش نخواهد داشت که برای مطالعه آن حتی یک دقیقه هم صرف وقت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سخن مبالغه‌آمیز باشد، لکن در آن حقیقتی نهفته است، نظریه تقدم حقوق بر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بدیهیات تاریخ حقوق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است ، زیرا جامعه قبل از پیدایش دولت و قوانین موضوعه و مدون، دارای حقوق فطری و طبیعی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این کتاب پژوهشی فلسفی گونه است و از سوی دیگر میان علم حقوق و دانشهای دیگر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فلسفه و اخلاق خویشاوندی و ارتباط وجود دارد، از این رو گهگاه به این دانشها اشاره‌هایی کرده‌ام، لکن سعی وافر داشته‌ام تا سخن آن سان کوتاه و روشن باشد، که همگان بفهمند و آشنایان به موضوع بپسندند، و بنابراین از بحثها و عبارتهای فنی تا حد امکان دوری شده و گاه شعری آمده تا سخن به نرمی گراید و زیبایی کلام از ملال خاطر بکاهد، با این همه اگر در برخی جاها جمله‌هایی معترضه و دور از خط اصلی کتاب آمده، بنظر من در تکامل فکر و فهم موضوع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خواننده در داوری شتاب نورزد و درنگ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نوشته‌ای از این گونه، هر اندازه هم جامع باشد، باز در برابر سیر تکاملی اندیشه‌ها ناقص است، تا چه رسد به این دفتر ناچیز که از هم اکنون ادعایی ندارد و مانند هر کار دیگر در این زمینه‌ها، حرف آخر نیست، بلکه تمهیدی است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آرزو دارم، این اندیشه‌ها مانند زورقی در اقیانوس پژوهشهای زمان، شناور باشد و در لنگرگاهی راکد، پای در بند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کشتی هلاک کشتی است</w:t>
      </w:r>
    </w:p>
    <w:p>
      <w:pPr>
        <w:pStyle w:val="BookText"/>
        <w:rPr/>
      </w:pPr>
      <w:r>
        <w:rPr>
          <w:rFonts w:ascii="IRNazanin" w:hAnsi="IRNazanin" w:eastAsia="IRNazanin"/>
          <w:color w:val="111111"/>
          <w:sz w:val="28"/>
          <w:sz w:val="28"/>
          <w:szCs w:val="28"/>
          <w:rtl w:val="true"/>
          <w:lang w:bidi="fa-IR"/>
        </w:rPr>
        <w:t>آب در بیرون کشتی پشتی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این نکته را هم ضروری می‌دانم یادآور شوم و آن این که حقوق امروز ایران، هر چند در بدنه نظام جمهوری اسلامی از نیرومندی و گستردگی خاصّی برخوردار است، امّا محدودیّتهایی که دریافتهای ما را در مواجهه با مسائل و دشواریهای تازه و روزمره احاطه کرده‌است، ناگزیرمان می‌کند تا هر روز به تصحیح دریافتها و معارف خود از درک این مسائل مبادرت ورزیم و این همان کاری است که نهادهای مجلس شورای اسلامی، شورای نگهبان و مجمع تشخیص مصلحت نظام، بدان اشتغال دارند و حجم بالنسبه وسیعی از قوانین و مقررات جاری کشور را مورد بررسی و تنقیح و تفسیر مستمر و مداوم قرار می‌دهند، و هر روز در کاوشهای حقوقی و اقتصادی جدید با کاربردها و راه‌حلهای تازه‌ای مواجه می‌شوند که قبلاً بدان پی نبرده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عمل و عکس‌العمل جامعه در برخورد با قوانین تازه به ابتکارهای جدید میدان می‌دهد که به توسّع و غنای مفاهیم حقوقی جدید ایران سود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نهادهای مولّد مقررات و قوانین تازه در کشور ما هماهنگ کردن این مقررات است با واقعیات جهان خارج، و امید است از این نظر در آینده پیروزیهایی چشمگیر نصیب این مرز و بوم گردد و این فرصت و موقعیّت عزیز و </w:t>
      </w:r>
    </w:p>
    <w:p>
      <w:pPr>
        <w:pStyle w:val="BookText"/>
        <w:rPr/>
      </w:pPr>
      <w:r>
        <w:rPr>
          <w:rFonts w:ascii="IRNazanin" w:hAnsi="IRNazanin" w:eastAsia="IRNazanin"/>
          <w:color w:val="111111"/>
          <w:sz w:val="28"/>
          <w:sz w:val="28"/>
          <w:szCs w:val="28"/>
          <w:rtl w:val="true"/>
          <w:lang w:bidi="fa-IR"/>
        </w:rPr>
        <w:t>مغتنمی که فعلاً به برکت انقلاب اسلامی، نصیب حقوق اسلام شده، موقعیتی است که در طی چهارده قرن هیچ‌گاه با این وضوح و عظمت و با این کمال و قاطعیت جامه عمل به خود نپوشیده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مسائلی را پیش می‌آورد که حقوقدانان، رسالت تاریخی خود را از قوه به فعل درآورند و خواب غفلت ناگزیر و سنگین سالیان را با بیداری و هوشیاری جبران کنند و در ارائه نظامی که خواهان ارزشهای والای انسانی است گامهای مؤثری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بر خود فرض می‌دانم که از دوست شفیق و ارجمندم آقای حسن عطائی برای ویرایش برخی عبارتها و پیشنهادهای سودمند سپاسگزاری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مرداد ماه </w:t>
      </w:r>
      <w:r>
        <w:rPr>
          <w:rFonts w:eastAsia="IRNazanin" w:cs="IRNazanin"/>
          <w:color w:val="111111"/>
          <w:sz w:val="28"/>
          <w:szCs w:val="28"/>
          <w:lang w:bidi="fa-IR"/>
        </w:rPr>
        <w:t>1375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نجومیان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474_109224"/>
      <w:bookmarkStart w:id="16" w:name="pg7474_109224"/>
      <w:bookmarkEnd w:id="16"/>
    </w:p>
    <w:p>
      <w:pPr>
        <w:pStyle w:val="Heading2"/>
        <w:numPr>
          <w:ilvl w:val="1"/>
          <w:numId w:val="1"/>
        </w:numPr>
        <w:rPr/>
      </w:pPr>
      <w:bookmarkStart w:id="17" w:name="pg7474_109224"/>
      <w:bookmarkStart w:id="18" w:name="__RefHeading___Toc2150715_1051229030"/>
      <w:bookmarkStart w:id="19" w:name="_Toc5"/>
      <w:bookmarkEnd w:id="17"/>
      <w:bookmarkEnd w:id="18"/>
      <w:r>
        <w:rPr>
          <w:rtl w:val="true"/>
        </w:rPr>
        <w:t xml:space="preserve">بخش نخست </w:t>
      </w:r>
      <w:r>
        <w:rPr>
          <w:rtl w:val="true"/>
        </w:rPr>
        <w:t xml:space="preserve">- </w:t>
      </w:r>
      <w:r>
        <w:rPr>
          <w:rtl w:val="true"/>
        </w:rPr>
        <w:t>تمهیدات</w:t>
      </w:r>
      <w:bookmarkEnd w:id="19"/>
    </w:p>
    <w:p>
      <w:pPr>
        <w:pStyle w:val="Heading3"/>
        <w:numPr>
          <w:ilvl w:val="2"/>
          <w:numId w:val="1"/>
        </w:numPr>
        <w:rPr/>
      </w:pPr>
      <w:bookmarkStart w:id="20" w:name="__RefHeading___Toc2150717_105122903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مشتمل بر چهار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مفاهیم حقوقی نسبی است یا مطلق</w:t>
      </w:r>
      <w:r>
        <w:rPr>
          <w:rStyle w:val="FootnoteAnchor"/>
          <w:rtl w:val="true"/>
        </w:rPr>
        <w:footnoteReference w:id="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بیگانه و روش تجربی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تحول مبانی استنباط</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 غایی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 و علمی</w:t>
      </w:r>
      <w:r>
        <w:rPr>
          <w:rFonts w:eastAsia="IRNazanin" w:cs="IRNazanin"/>
          <w:color w:val="111111"/>
          <w:sz w:val="28"/>
          <w:szCs w:val="28"/>
          <w:rtl w:val="true"/>
          <w:lang w:bidi="fa-IR"/>
        </w:rPr>
        <w:t xml:space="preserve">) </w:t>
      </w:r>
      <w:bookmarkStart w:id="22" w:name="pg7474_109225"/>
    </w:p>
    <w:p>
      <w:pPr>
        <w:pStyle w:val="Heading3"/>
        <w:numPr>
          <w:ilvl w:val="2"/>
          <w:numId w:val="1"/>
        </w:numPr>
        <w:rPr/>
      </w:pPr>
      <w:bookmarkStart w:id="23" w:name="__RefHeading___Toc2150719_1051229030"/>
      <w:bookmarkStart w:id="24" w:name="_Toc7"/>
      <w:bookmarkEnd w:id="22"/>
      <w:bookmarkEnd w:id="23"/>
      <w:r>
        <w:rPr>
          <w:rtl w:val="true"/>
        </w:rPr>
        <w:t xml:space="preserve">گفتار اول </w:t>
      </w:r>
      <w:r>
        <w:rPr>
          <w:rtl w:val="true"/>
        </w:rPr>
        <w:t>:</w:t>
      </w:r>
      <w:r>
        <w:rPr>
          <w:rtl w:val="true"/>
        </w:rPr>
        <w:t>مفاهیم حقوقی نسبی است یا مطلق؟</w:t>
      </w:r>
      <w:bookmarkEnd w:id="24"/>
    </w:p>
    <w:p>
      <w:pPr>
        <w:pStyle w:val="Heading4"/>
        <w:numPr>
          <w:ilvl w:val="3"/>
          <w:numId w:val="1"/>
        </w:numPr>
        <w:rPr/>
      </w:pPr>
      <w:bookmarkStart w:id="25" w:name="__RefHeading___Toc2150721_1051229030"/>
      <w:bookmarkStart w:id="26" w:name="_Toc8"/>
      <w:bookmarkEnd w:id="25"/>
      <w:r>
        <w:rPr>
          <w:rtl w:val="true"/>
        </w:rPr>
        <w:t>اشاره</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چیزی ثابت و برجای نیست جمله در تغییر و سیر سرمدی است مولوی پژوهشهای حقوقی و اجتماعی تا پیش از سده هیجدهم میلادی بیشتر برپایه تعیین ارزش نیکی و بدی افعال آدمی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بود، و فرد و جامعه را چنان‌که، شاید و باید، یعنی به صورت کمال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می‌کرد</w:t>
      </w:r>
      <w:r>
        <w:rPr>
          <w:rStyle w:val="FootnoteAnchor"/>
          <w:rtl w:val="true"/>
        </w:rPr>
        <w:footnoteReference w:id="3"/>
      </w:r>
      <w:r>
        <w:rPr>
          <w:rFonts w:ascii="IRNazanin" w:hAnsi="IRNazanin" w:eastAsia="IRNazanin"/>
          <w:color w:val="111111"/>
          <w:sz w:val="28"/>
          <w:sz w:val="28"/>
          <w:szCs w:val="28"/>
          <w:rtl w:val="true"/>
          <w:lang w:bidi="fa-IR"/>
        </w:rPr>
        <w:t xml:space="preserve">، اما از قرن هیجدهم به بعد کم‌کم این اندیشه پدید آمد که فرد و جامعه را چنان که هست و واقعیت دارد مطالعه کنند، و تحقیق را برپایه علم و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گذارند، ازین رو از روش استدلال قیاسی به استدلال استقرایی کشانیده شدند، زیرا روش قیاس از کلی به جزیی رسیدن است و بنابراین نتایج معین و ویژه‌ای را از مقدمات و کلیات موردقبول که بیشتر بر آثار ارسطو و کتب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بود، اخذ می‌کرد، درحالی که روش استقرا از جزیی به کلی رسیدن است و اساس کار را بر جزئیات مشهود و واقعیات و تجربیات محسوس قرار می‌داد، اما اینکه روش استنتاج استقرایی، تا چه اندازه کامل و همه جانبه است و این روش تجربه که متکی به حواس پنجگانه ناقص بشری است تا چه حد می‌تواند وسیله کشف مجهولات بشری، آن هم در مسائل اجتماعی، </w:t>
      </w:r>
      <w:bookmarkStart w:id="27" w:name="pg7474_109226"/>
    </w:p>
    <w:p>
      <w:pPr>
        <w:pStyle w:val="BookText"/>
        <w:rPr/>
      </w:pPr>
      <w:bookmarkEnd w:id="27"/>
      <w:r>
        <w:rPr>
          <w:rFonts w:ascii="IRNazanin" w:hAnsi="IRNazanin" w:eastAsia="IRNazanin"/>
          <w:color w:val="111111"/>
          <w:sz w:val="28"/>
          <w:sz w:val="28"/>
          <w:szCs w:val="28"/>
          <w:rtl w:val="true"/>
          <w:lang w:bidi="fa-IR"/>
        </w:rPr>
        <w:t xml:space="preserve">بوده باشد و نیز میزان توفیق آن در این راه تا به کجا است پاسخ آن را میزان و درجه پیشرفت آدمی در علم معلوم می‌کند و ارزش آن را تعیین می‌نماید بدین توضیح که هرچه معلوماتِ بدست آمده بیشتر مبتنی و متّکی بر آمار و جستجو در واقعیات اجتماعی باشد، درجه توفیق در کشف حقیقت به همان اندازه مطلوبتر خواهد بود، در علم حقوق نیز دو مکتب وجود دارد آنچه مربوط است به این که قواعدی موجود در جامعه را جستجو کند،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نماید به آن حقوق موضوعه گویند و آنچه مربوط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حقوق فطری یا حقوق طبیعی نام نهاده‌اند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از نخستین کسانی است که بنیاد پژوهش را در جامعه‌شناسی بر اصول مقتضیات محیط و موقع جغرافیایی، تاریخی، مذهبی، فرهنگی و اقتصادی و چگونگی حکومت و آداب و رسوم و سنن کار گذاشت و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او را دنبال کرد و آن را بر روابط علت و معلولی که منجر به کشف قانون می‌شود بنیان نهاد و در تعریف قانون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رابطه‌ای است ضروری که از طبیعت اشیا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تحقیقات مونتسکیو امروز آن‌گونه که وی ارائه می‌کرد برای تبیین امور کافی نیست، لکن به هرحال نباید ارزش کار وی را در نشان دادن روش علمی نادیده گرفت، بلکه بحق باید وی را یکی از پیشروان جامعه‌شناسی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تاسیس جامعه‌شناسی علمی از مفاخر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وی که از بنیانگذاران فلسفه تحققی در فرانسه است، نخستین کسی است که استقلال جامعه‌شناسی را از دیگر علوم اعلام کرد و آن را در طبقه‌بندی علوم جای داد و امور اجتماعی را مانند وقایع طبیعی درخور تحقیقات علمی دانست،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ویلهلم وونت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دوگال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گابریل تارد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روش وی را دنبال و تکمیل کردند</w:t>
      </w:r>
      <w:r>
        <w:rPr>
          <w:rFonts w:eastAsia="IRNazanin" w:cs="IRNazanin"/>
          <w:color w:val="111111"/>
          <w:sz w:val="28"/>
          <w:szCs w:val="28"/>
          <w:rtl w:val="true"/>
          <w:lang w:bidi="fa-IR"/>
        </w:rPr>
        <w:t>.</w:t>
      </w:r>
    </w:p>
    <w:p>
      <w:pPr>
        <w:pStyle w:val="Heading4"/>
        <w:numPr>
          <w:ilvl w:val="3"/>
          <w:numId w:val="1"/>
        </w:numPr>
        <w:rPr/>
      </w:pPr>
      <w:bookmarkStart w:id="28" w:name="__RefHeading___Toc2150723_1051229030"/>
      <w:bookmarkStart w:id="29" w:name="_Toc9"/>
      <w:bookmarkEnd w:id="28"/>
      <w:r>
        <w:rPr>
          <w:rtl w:val="true"/>
        </w:rPr>
        <w:t>مکتب تاریخی و طبیعی</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طبیعی یا فطری را معمولاً در برابر حقوق موضوعه قرار می‌دهند، حقوقِ موضوعه مجموعه قواعد و مقرراتی است که بر ملتی حکومت می‌کند و حقوق فطری قواعد ثابتی است که </w:t>
      </w:r>
    </w:p>
    <w:p>
      <w:pPr>
        <w:pStyle w:val="BookText"/>
        <w:rPr/>
      </w:pPr>
      <w:r>
        <w:rPr>
          <w:rFonts w:ascii="IRNazanin" w:hAnsi="IRNazanin" w:eastAsia="IRNazanin"/>
          <w:color w:val="111111"/>
          <w:sz w:val="28"/>
          <w:sz w:val="28"/>
          <w:szCs w:val="28"/>
          <w:rtl w:val="true"/>
          <w:lang w:bidi="fa-IR"/>
        </w:rPr>
        <w:t>برتر از اراده حکومت و بالاتر از تصمیم قانونگذار است و معمولاً باید قانونگذاران آنرا رعایت کنند و این حقوق فطری بالاتر از آداب و رسوم و عادات است شاید آنچه در حقوق امامیه مستقلات عقلی نامیده شده‌است را بتوان جزو حقوق فطری بشمار آورد که در مباحث آینده این کتاب، بحث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مونتسکیو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باید آنچنان با ملتی که برای آن وضع شده‌است مرتبط باشد، که اگر اتفاقا قانون ملتی متناسب با ملت دیگری درآید، این اتفاق از عجایب روزگار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باید متناسب با وضع ظاهر کشور، آب و هوا، خاصیت اراضی، موقع و مساحت، نوع زندگی مردم و مربوط به مذهب ساکنان، تمایلات، ثروت، جمعیت، تجارت، عادات و آداب آنها باشد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مونتسکیو به پیروی از مکتب تاریخی، حقوق را امری محلی و بومی و آن را ساخته و پرداخته تاریخ و فرهنگ و تمدن یک ملت می‌داند، و باور دارد که مانند زبان با گذشت تدریجی و خود بخود زمان تکوین می‌یابد و با تکامل و تحول اوضاع اجتماعی قهرا تغییر و تکامل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اصل نسبیت در امور اجتماعی اعتقاد دارد یعنی چگونگی و سیر هر بنیاد اجتماعی را تابع و وابسته بنیادهای دیگر و متناسب با شکل و ساختار جامعه می‌داند و بنابراین برحسب زمان و مکان آن‌را متغیر و متفاوت می‌شمارد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پیروان مکتب طبیعی است و به اصل مطلقیت در امور اجتماعی و حقوق اعتقاد دارد، آن‌را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عدالت را می‌شناخت، بی‌گمان این اصل چنان شایع نمی‌شد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باید از رسوم کشور خویش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عظمت و جلال انصاف و عدالت، همه ملل را تحت اطاعت می‌آورد و دیگر قانونگذاران، به جای توجه به عدالت ثابت و لایتغیر، سلیقه ایرانیها یا ژرمنها را برای وضع قوانین سرمشق قرار نمی‌دادند و عدالت حقیقی در تمام کشورهای زمین و در تمام ازمنه حکمفرما می‌شد، درحالی که می‌بینیم، هیچ عدالت یا ظلمی نیست که به واسطه تغییر اقلیم تغییر ماهیت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درجه عرض جغرافیایی سبب می‌شود که کلیه دستگاههای قضاوت و عدالت زیر و زبر شود؛ نصف‌النهار در چگونگی حقیقت اثر قطعی دارد؛ قوانین اساسی پس از چند سال عوض می‌شود؛ حق هم دوره‌ای دارد؛ دخول زحل در خانه اسد برای ما نشانه فلان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عدالتی که رودخانه‌ای آن </w:t>
      </w:r>
    </w:p>
    <w:p>
      <w:pPr>
        <w:pStyle w:val="BookText"/>
        <w:rPr/>
      </w:pPr>
      <w:r>
        <w:rPr>
          <w:rFonts w:ascii="IRNazanin" w:hAnsi="IRNazanin" w:eastAsia="IRNazanin"/>
          <w:color w:val="111111"/>
          <w:sz w:val="28"/>
          <w:sz w:val="28"/>
          <w:szCs w:val="28"/>
          <w:rtl w:val="true"/>
          <w:lang w:bidi="fa-IR"/>
        </w:rPr>
        <w:t>را متوقف یا محدود می‌سازد پدیده‌ای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طرف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در آن طرف خطاست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مکتب طبیعی، حقوق را مانند جان در کالبد انسان می‌داند که از ساعت تولد تا دم مرگ، به طور لایتغیر شرط ادامه حیات هر فرد است و بنابراین تغییر و تکمیل حقوق موردی ندارد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ناشی از اراده آزاد نیست، بلکه تحمیل طبیعت و سرشت آدمی است</w:t>
      </w:r>
      <w:r>
        <w:rPr>
          <w:rStyle w:val="FootnoteAnchor"/>
          <w:rtl w:val="true"/>
        </w:rPr>
        <w:footnoteReference w:id="8"/>
      </w:r>
      <w:r>
        <w:rPr>
          <w:rFonts w:ascii="IRNazanin" w:hAnsi="IRNazanin" w:eastAsia="IRNazanin"/>
          <w:color w:val="111111"/>
          <w:sz w:val="28"/>
          <w:sz w:val="28"/>
          <w:szCs w:val="28"/>
          <w:rtl w:val="true"/>
          <w:lang w:bidi="fa-IR"/>
        </w:rPr>
        <w:t>به طور خلاصه به باور علمای مکتب حقوق طبیعی، انسان دارای حقوقی است که قواعد آن، مطلق، جامع، همیشگی و همگانی است و با مصالح افراد بشر سازگار است و بنابراین تغییر قانون بی‌مورد است، درحالی که به عقیده دانشمندان مکتب تاریخی حقوق، حقوق امری نسبی متغیر و تابع مکان و زمان است و ازین رو آنان اساسا مخالف تدوین قانونند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ساوینیی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Savigny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آلمانی که ازجمله طرفداران مکتب تاریخی است، پس از وضع قانون مدنی فرانسه به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مخالفت با تدوین قانون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از تاریخ پدید آمده و در ضمیر مردم نقش بسته و مانند زبان پیوسته در تغییر و تبدیل است، تدوین قوانین برخلاف این حقیقت تاریخی است و حقوق را ثابت و بی‌حرکت نگاه می‌دارد و از رشد و توسعه بعدی آن جلوگیری می‌کند و منابع حقوق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حقوق درقالب قانون از شکل طبیعی خود خارج می‌شود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بنظر ساوینیی حقوق از وجدان اجتماع برمی‌خیزد و خود بخود راه تغییر و تحول را می‌پیماید و مردم در این تحول نقش اساسی دارند، مردمی که عادات و سنن را به شکل میراثی نسل به نسل به یکدیگر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این بیان سهم شخصیتها و قدرتهای سیاسی در حقوق نادیده گرفته شده‌است حقوق در شمار اعمال غیرارادی مردم نیست، عقل بشر در آن دخالت دارد، بنابراین پدیده‌ای خود بخودی نمی‌باشد، لذا در آلمان بخصوص این نظریه مورد انتقاد شدید ایرینگ قرار گرفت و او حقوق را ناشی از اراده اشخاص و قدرتی که متّکی بر حکومت باشد،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نیز همین نظر را دنبال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چنین می‌نماید که عقاید علمای حقوق در فاصله قطبهای مختلف مکتبهای حقوقی </w:t>
      </w:r>
    </w:p>
    <w:p>
      <w:pPr>
        <w:pStyle w:val="BookText"/>
        <w:rPr/>
      </w:pPr>
      <w:r>
        <w:rPr>
          <w:rFonts w:ascii="IRNazanin" w:hAnsi="IRNazanin" w:eastAsia="IRNazanin"/>
          <w:color w:val="111111"/>
          <w:sz w:val="28"/>
          <w:sz w:val="28"/>
          <w:szCs w:val="28"/>
          <w:rtl w:val="true"/>
          <w:lang w:bidi="fa-IR"/>
        </w:rPr>
        <w:t>پیوسته در نوسان بوده‌است و اغلب مناسبترین راه حلها، راههایی میانگین بوده و عملا عقاید هیچ یک از مکتبهای مذکور را نمی‌توان صد در صد پذیرفت، زیرا هرکدام از آنها یک جانب افراط و تفریطند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آنست که حقوقی فطری یا طبیعی وجود دارد که در هرجا و هر زمان معتبر و مانند اصول ثابت قابل احترام در هر زمانی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قراردادها و قوه الزامی آنها، عطف به ماسبق نشدن قانون، رفع خسارت از شخصی که بی‌جهت از دیگری زیان دیده‌است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قبیل؛ لکن این بدان معنی نیست که حقوق راه کمال نمی‌پیماید، و لایتغیر است زیرا از این اصول ثابت که در بالا برشمردیم در هر عصر و زمان آرایی دیده می‌شود که در همان عصر و زمان کمال مطلوب مردم محسوب می‌شوند، لکن در زمانهای بعد بی‌پایی آنها آشکار می‌شود؛ تغییر و تحوّل می‌یابند و جای خود را به اصولی تازه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حقوق فطری و طبیعی سده هیجدهم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مجلس مؤسسان فرانسه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وضع و تصویب شد در چند اصل خلاصه می‌شود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انسان منظور غایی حقوق است و بنابراین قوانین موضوعه هر کشور باید قوای جسمی و روحی و عقلی افراد را توسعه و ترقی دهد تا بدین وسیله رفاه و سعادت آنان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مختار و مسؤول انتخاب وسائل ترقی و سعادت خویش است، این اصل همان است که در حقوق موضوعه به آزادی فردی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نظامهای جامعه باید ناشی از فکر و اراده خود مردم باشد یعنی همه مردم باید بوجهی در وضع قانون شرکت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بالا که از حقوق فطری و طبیعی قرن هیجدهم محسوب می‌شود و بر مکتب اصالت فرد، استوار است، در قرن نوزدهم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 که برپایه اصالت جامعه متکی است، و به موجب آن هیچکس موفق به تکمیل قوای شخصی خود نمی‌شود مگر به کمک غیرمحسوس و ضروری جامعه‌ای که در آن زندگی می‌کند، بنابراین هرکس در برابر جامعه تعهد ضمنی دارد که در صورت لزوم از هیچ‌گونه کمک و از خودگذشتگی نسبت به آن خودداری نکند تا دولت که نماینده جامعه است بتواند همه را از فواید اجتماع برخوردار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که باعث توسعه حدود دخالت دولت در امور مردم می‌شود و به آن حق می‌دهد که محرومان را </w:t>
      </w:r>
      <w:bookmarkStart w:id="30" w:name="pg7474_109230"/>
    </w:p>
    <w:p>
      <w:pPr>
        <w:pStyle w:val="BookText"/>
        <w:rPr/>
      </w:pPr>
      <w:bookmarkEnd w:id="30"/>
      <w:r>
        <w:rPr>
          <w:rFonts w:ascii="IRNazanin" w:hAnsi="IRNazanin" w:eastAsia="IRNazanin"/>
          <w:color w:val="111111"/>
          <w:sz w:val="28"/>
          <w:sz w:val="28"/>
          <w:szCs w:val="28"/>
          <w:rtl w:val="true"/>
          <w:lang w:bidi="fa-IR"/>
        </w:rPr>
        <w:t>حمایت کند و از شدت اختلاف و عدم مساواتِ افراد تاحدی بکاهد، با حقوق فردی قرن هیجدهم تفاوت آشکار دارد، و با این همه با برداشت و احساس ما از عدالت و انصاف، کاملا موافق است، و حقوق فطری عصر محسوب می‌شود، قوانین تعاونیها، و بیمه‌های اجتماعی که امروز در قوانین موضوعه دنیا مقام بزرگی را احراز کرده‌است همه برخاسته از همین اصل تعاون یعنی حقوق فطری زمان ما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مکتب حقوق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تاریخی، در بخشهای آینده باز هم بحث خواهیم کرد</w:t>
      </w:r>
      <w:r>
        <w:rPr>
          <w:rFonts w:eastAsia="IRNazanin" w:cs="IRNazanin"/>
          <w:color w:val="111111"/>
          <w:sz w:val="28"/>
          <w:szCs w:val="28"/>
          <w:rtl w:val="true"/>
          <w:lang w:bidi="fa-IR"/>
        </w:rPr>
        <w:t>.</w:t>
      </w:r>
    </w:p>
    <w:p>
      <w:pPr>
        <w:pStyle w:val="Heading4"/>
        <w:numPr>
          <w:ilvl w:val="3"/>
          <w:numId w:val="1"/>
        </w:numPr>
        <w:rPr/>
      </w:pPr>
      <w:bookmarkStart w:id="31" w:name="__RefHeading___Toc2150725_1051229030"/>
      <w:bookmarkStart w:id="32" w:name="_Toc10"/>
      <w:bookmarkEnd w:id="31"/>
      <w:r>
        <w:rPr>
          <w:rtl w:val="true"/>
        </w:rPr>
        <w:t>دیدگاههای نسبی‌گرایی</w:t>
      </w:r>
      <w:bookmarkEnd w:id="32"/>
    </w:p>
    <w:p>
      <w:pPr>
        <w:pStyle w:val="Heading5"/>
        <w:numPr>
          <w:ilvl w:val="4"/>
          <w:numId w:val="1"/>
        </w:numPr>
        <w:rPr/>
      </w:pPr>
      <w:bookmarkStart w:id="33" w:name="__RefHeading___Toc2150727_1051229030"/>
      <w:bookmarkStart w:id="34" w:name="_Toc11"/>
      <w:bookmarkEnd w:id="33"/>
      <w:r>
        <w:rPr>
          <w:rtl w:val="true"/>
        </w:rPr>
        <w:t>اشاره</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پیرامون نسبی بودن مفاهیم حقوقی باید دلایل آن را از دیدگاههای گوناگون به طور فشرده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آغاز به مطلب باید به این نکته اشاره کنیم که منظور از نسبیت در اینجا نسبی پنداشتن حقیقت یا حقایق عالم نیست زیرا اگر مقوله‌ای حقیقت باشد دیگر فرض نسبیت در ساحتِ آن راه ندارد بلکه منظور معارف بشری و مفاهیمی انسانی است که در مسیر کمال و تکامل و در جستجوی حقیقت در تکاپو و پژوهش است، این درک و این استنباط و چنین معارفی همواره نسبی‌اند، زیرا هیچ‌گاه حرف آخر و سخن واپسین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حقیقت و واقع ثابت است و مطلق است و تغییرناپذیر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فهم آدمی و معارف معمولی بشری در جستجوی آن همواره در تغییر است، هر روز در طریقی سیر می‌کند و هر روز به استنباط و استدراک تازه‌ای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علم و معارف بشری ما را به این کشف و راز نهان آشنا می‌کند، زیرا در تاریخ علم است که ما در اعصار و قرون، آدمی را با احوالِ مختلف در معرفتِ مقوله‌ای واحد، مواجه می‌بینیم، از سوی دیگر یک سوء تفاهم هم باید رفع شود و آن این که منظور ما از نسبیت مفاهیم حقوقی آن نیست که هرگونه مفهومی را از حقوق درست بدانیم بلکه در معارف حقوقی آراء صحیح و سقیم و صدق و کذب توأما وجود دارد</w:t>
      </w:r>
      <w:r>
        <w:rPr>
          <w:rFonts w:eastAsia="IRNazanin" w:cs="IRNazanin"/>
          <w:color w:val="111111"/>
          <w:sz w:val="28"/>
          <w:szCs w:val="28"/>
          <w:rtl w:val="true"/>
          <w:lang w:bidi="fa-IR"/>
        </w:rPr>
        <w:t xml:space="preserve">. </w:t>
      </w:r>
      <w:bookmarkStart w:id="35" w:name="pg7474_109231"/>
    </w:p>
    <w:p>
      <w:pPr>
        <w:pStyle w:val="Heading5"/>
        <w:numPr>
          <w:ilvl w:val="4"/>
          <w:numId w:val="1"/>
        </w:numPr>
        <w:rPr/>
      </w:pPr>
      <w:bookmarkStart w:id="36" w:name="__RefHeading___Toc2150729_1051229030"/>
      <w:bookmarkStart w:id="37" w:name="_Toc12"/>
      <w:bookmarkEnd w:id="35"/>
      <w:bookmarkEnd w:id="36"/>
      <w:r>
        <w:rPr/>
        <w:t>1</w:t>
      </w:r>
      <w:r>
        <w:rPr>
          <w:rtl w:val="true"/>
        </w:rPr>
        <w:t xml:space="preserve">- </w:t>
      </w:r>
      <w:r>
        <w:rPr>
          <w:rtl w:val="true"/>
        </w:rPr>
        <w:t>ازنظر جامعه‌شناسی</w:t>
      </w:r>
      <w:bookmarkEnd w:id="37"/>
    </w:p>
    <w:p>
      <w:pPr>
        <w:pStyle w:val="BookText"/>
        <w:rPr/>
      </w:pPr>
      <w:r>
        <w:rPr>
          <w:rFonts w:ascii="IRNazanin" w:hAnsi="IRNazanin" w:eastAsia="IRNazanin"/>
          <w:color w:val="111111"/>
          <w:sz w:val="28"/>
          <w:sz w:val="28"/>
          <w:szCs w:val="28"/>
          <w:rtl w:val="true"/>
          <w:lang w:bidi="fa-IR"/>
        </w:rPr>
        <w:t>میدان و مجال بحث، قلمرو و حوزه عمل در علوم اجتماعی بی‌نهایت پهناور و نامحدود است تا آن‌جا که برای مبتدی و تازه‌کار بسختی برای مسائل آن مرز و سرحدی معلوم و مشخص یافت می‌شود، زیرا علوم اجتماعی و شاخه‌های آن با وجود اختلافهایی که با هم دارند، دارای مرزهای مشخصی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می‌دانیم که هستی در تغییر و تحول است و انسان که خود جزیی از هستی است، از این قانون برکنار نمی‌ماند، بنابراین هم انسان که شناسنده هستی است و هم هستی که موضوع شناسایی است هرلحظه درحال دگرگونی و تحولند، پس چگونگی معارف اجتماعی به هیچ‌وجه نمی‌تواند همواره از ثبات و قطعیت برخوردار باشد و این یکی ازجمله برهانهایی است که شناخت اجتماعی را امری نسبی و وابسته به زمان و مکان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مراتب قوانین جامعه‌شناسی به هیچ‌وجه نمی‌توانند از کلیت، عمومیت و قطعیت برخوردار باشند، بلکه اینگونه قوانین جدا جدا و معین و محدودند، جامعه‌شناسان در قانونمندی جامعه، بویژه در کلیاتِ آن هنوز به توافق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آنان رشد ناکافی جامعه‌شناسی را دلیل این امر می‌دانند و تنها در این اتفاق‌نظر دارند که قانون تا آن‌جا که با واقعیت مطابق است همواره جزیی است و شعاع عمل آن محدود به موقعیت و وضع خاص و معینی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آنچه گفته شد، کوششی گسترده به کار می‌رود تا این رشته از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شاید 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کند، ولی تاکنون توفیقی به دست نیامده‌است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دقیقه مانند ریاضیات و طبیعیات، در کلیه شاخه‌ها، سر و کارش با جزم و قطع و مشاهده و تجربه در آزمایشگاه است، درحالی که علوم اجتماعی با احساسات و طبیعت بشری سر و کار دارد و واژه‌های فنی و تعاریف در علوم اجتماعی برخلاف ریاضی دقیق و صریح و مسلم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تعاریف ریاضی زاده اندیشه آدمی و مبدأ دانشند و دارای ویژگی </w:t>
      </w:r>
      <w:r>
        <w:rPr>
          <w:rFonts w:eastAsia="Times New Roman" w:cs="Times New Roman" w:ascii="Times New Roman" w:hAnsi="Times New Roman"/>
          <w:color w:val="111111"/>
          <w:sz w:val="28"/>
          <w:szCs w:val="28"/>
          <w:lang w:val="en-US" w:bidi="en-US"/>
        </w:rPr>
        <w:t>Apriori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پیش از تجربه هستند و یا به آنها می‌گویند معارف پیشینی دربرابر معارف پَسینی که حاصل تجربه و بعد از تجربه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تعاریف در علوم اجتماعی، تجربی و حاصل آن است، از این رو حاصل و نتیجه دانش بشری هستند، و برخلاف قوانین ریاضی و فیزیکی که مبتنی بر جبر هستند، این قوانین نسبی و غیرقطعی و تغییرپذیرند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قطعیت علوم دقیقه مدیون سادگی و بسیط بودن موضوع آنها است زیرا موضوع این علوم تعیین </w:t>
      </w:r>
      <w:bookmarkStart w:id="38" w:name="pg7474_109232"/>
    </w:p>
    <w:p>
      <w:pPr>
        <w:pStyle w:val="BookText"/>
        <w:rPr/>
      </w:pPr>
      <w:bookmarkEnd w:id="38"/>
      <w:r>
        <w:rPr>
          <w:rFonts w:ascii="IRNazanin" w:hAnsi="IRNazanin" w:eastAsia="IRNazanin"/>
          <w:color w:val="111111"/>
          <w:sz w:val="28"/>
          <w:sz w:val="28"/>
          <w:szCs w:val="28"/>
          <w:rtl w:val="true"/>
          <w:lang w:bidi="fa-IR"/>
        </w:rPr>
        <w:t>روابط و بستگیها و ارتباطها میان مقادیر، اعداد، اشکال و حرکات است، درحالی که موضوع علوم اجتماعی، جامعه و مناسبات آنهاست، و می‌بینیم که در برابر نیروی شگفت‌انگیز پیش‌بینی‌های نسبتا دقیق علوم دقیقه، علوم اجتماعی فقط به دستاوردها و پیشرفتهای آن با حسرت می‌نگرد، زیرا موضوع علوم اجتماعی، تا آن اندازه به طبایع مجهول و پیچیده و گره خورده بشری پیوسته است که بسادگی نمی‌توان در زمینه آن امید به تحقق نتیجه‌ای قطعی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چگونگیها در جامعه‌های انسانی بقدری متنوع، متغیر و متحول است که براساس حساب احتمالات امکان برابری و انطباق کامل عوامل و شرایط در دو مرحله از زمان و مکان گوناگون، اکثرا در عمل محال از آب درمی‌آید، حدس و گمانهایی که خلاصه و نتیجه افکار و احساسات و آرزوهایی هستند که از رویدادهای خاصی رنگ گرفته و از طبیعتهای ویژه‌ای پدید آمده‌اند، بسیار بعید به نظر می‌رسد که بتواند قطعیت منطقی یک قضیه هندسی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جامعه‌شناس معاصر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باوجود جدایی و گسستگی عظیمی که میان علت و معلول وجود دارد، جای تردید است که بتوان در جامعه‌شناسی به تدوین قوانین به اصطلاح علی پرداخت، میان مقدمات و نتایج فاصله‌ای آن‌چنان ابهام‌آمیز وجود دارد که تعمیم هرگونه شناخت قبلی را درخصوص تکرار علتها و معلولهای معین غیرمقدور می‌سازد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برخی از کشورهای پیشرفته جهان در قرن بیستم رابطه‌ای میان آمار طلاق در خانواده‌های باسواد و تحصیل‌کرده به ثبوت رسید، از این آمار نمی‌توان نتیجه گرفت که سواد علت طلاق است درواقع این امر را جامعه‌شناسان چنین توجیه می‌کنند که سواد و طلاق هر دو معلولهای وضعیت واحدی هستند و آن ضعیف شدن علقه‌ها و پیوندهای اجتماعی و عاطفی و عدم جبران کافی این ضعف بوسیله علقه‌های دیگری است که از برکت توسعه آموزش به دست آمده‌است</w:t>
      </w:r>
      <w:r>
        <w:rPr>
          <w:rFonts w:eastAsia="IRNazanin" w:cs="IRNazanin"/>
          <w:color w:val="111111"/>
          <w:sz w:val="28"/>
          <w:szCs w:val="28"/>
          <w:rtl w:val="true"/>
          <w:lang w:bidi="fa-IR"/>
        </w:rPr>
        <w:t>.</w:t>
      </w:r>
    </w:p>
    <w:p>
      <w:pPr>
        <w:pStyle w:val="Heading5"/>
        <w:numPr>
          <w:ilvl w:val="4"/>
          <w:numId w:val="1"/>
        </w:numPr>
        <w:rPr/>
      </w:pPr>
      <w:bookmarkStart w:id="39" w:name="__RefHeading___Toc2150731_1051229030"/>
      <w:bookmarkStart w:id="40" w:name="_Toc13"/>
      <w:bookmarkEnd w:id="39"/>
      <w:r>
        <w:rPr/>
        <w:t>2</w:t>
      </w:r>
      <w:r>
        <w:rPr>
          <w:rtl w:val="true"/>
        </w:rPr>
        <w:t xml:space="preserve">- </w:t>
      </w:r>
      <w:r>
        <w:rPr>
          <w:rtl w:val="true"/>
        </w:rPr>
        <w:t>از نظر روانشناسی فردی</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هر فرد بر آنچه در درون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می‌گذرد آگاه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میان پیشامدهای درونی خویش، رابطه علت و معلولی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بخواهد این مطالعه درونی وی، نتیجه‌ای بدهد باید آن‌قدر خود را از واقعیتهای زندگی دور کند، تا احساسات و انگیزه‌های گوناگون، مجالی برای دخالت در قضاوت وی پیدا نکنند، زیرا پژوهشگر فقط وقتی </w:t>
      </w:r>
    </w:p>
    <w:p>
      <w:pPr>
        <w:pStyle w:val="BookText"/>
        <w:rPr/>
      </w:pPr>
      <w:r>
        <w:rPr>
          <w:rFonts w:ascii="IRNazanin" w:hAnsi="IRNazanin" w:eastAsia="IRNazanin"/>
          <w:color w:val="111111"/>
          <w:sz w:val="28"/>
          <w:sz w:val="28"/>
          <w:szCs w:val="28"/>
          <w:rtl w:val="true"/>
          <w:lang w:bidi="fa-IR"/>
        </w:rPr>
        <w:t>می‌تواند نسبت به موضوعی دست به تحقیق درست بزند که از خارج آن را مطالعه کند والا اگر خواهشهای درونی خویش را در کار پژوهش دخالت دهد و خود، جزئی از موضوع پژوهش خویش باشد، چنین امری محال خواهد بود، زیرا در آن صورت شخص ناظر با چیزی که بدان می‌نگرد، یکی شده‌است و می‌دانیم که هیچ چشمی قادر به دیدن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شناسایی آدمی چقدر فاعل و چقدر منفعل است و یا چه میزان تماشاگر و چه میزان بازیگر است مقوله‌ای است که در آن کانت فیلسوف آلمانی بحثی مستوفی دارد، خواننده می‌تواند به فلسفه کانت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شبستری در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مبصر با بصر نزدیک گردد</w:t>
      </w:r>
    </w:p>
    <w:p>
      <w:pPr>
        <w:pStyle w:val="BookText"/>
        <w:rPr/>
      </w:pPr>
      <w:r>
        <w:rPr>
          <w:rFonts w:ascii="IRNazanin" w:hAnsi="IRNazanin" w:eastAsia="IRNazanin"/>
          <w:color w:val="111111"/>
          <w:sz w:val="28"/>
          <w:sz w:val="28"/>
          <w:szCs w:val="28"/>
          <w:rtl w:val="true"/>
          <w:lang w:bidi="fa-IR"/>
        </w:rPr>
        <w:t>بصر ز ادراک او تاریک گردد</w:t>
      </w:r>
    </w:p>
    <w:p>
      <w:pPr>
        <w:pStyle w:val="BookText"/>
        <w:rPr/>
      </w:pPr>
      <w:r>
        <w:rPr>
          <w:rFonts w:ascii="IRNazanin" w:hAnsi="IRNazanin" w:eastAsia="IRNazanin"/>
          <w:color w:val="111111"/>
          <w:sz w:val="28"/>
          <w:sz w:val="28"/>
          <w:szCs w:val="28"/>
          <w:rtl w:val="true"/>
          <w:lang w:bidi="fa-IR"/>
        </w:rPr>
        <w:t xml:space="preserve">بنا بمراتب فرد در حوادث درونی خویش تابع قانون علیت نیست و از تبعیت آن آزاد است، لکن این احساس آزادی نه تنها به لحاظ عدم ادراک و فهم ما، بلکه علاوه‌بر آن به لحاظ ناپایداری دایمی و تغییر و تحول لحظه به لحظه است، به عبارت دیگر همان‌گونه که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بودن یعنی بشر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انتخاب آن به آن انسان تحقق می‌یابد که یکی از امتحانها و بلیه‌های بشر در این هستی همین گزینش همیشگی و مستمر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همواره در تغییر است یعنی همه چیزهایی که از روی رضای خاطر می‌گوییم هستند، در واقع درحال شدن‌اند، این در مورد موضوعات حسّ صادق است ولی در مورد معرفت حقیقی صادق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احساس مطلقی که از بودن خود داریم، غالبا تمام نیست و نقصان در آن بیشتر دیده می‌شود تا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تشخیص بعد از به وجود آمدن و رفتن آن احساس برایمان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ما می‌گذرد یک شدن دائمی و تحول بی‌پایان است که در سطوح بی‌نهایت هستی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شدن را قرار و آرامی نیست و به همین لحاظ است که انسان‌شناسی وظیفه ندارد انسان را دقیقا تعیین کند، چون نمی‌تواند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چون شناخت آدمی و پدیده‌های رابط میان وی و جهان، جز با مغز آدمی قابل بررسی نیست، فرض محدودیت دانش و اندیشه، مانع درستی استنباط وی از قواعد رفتاری و جامعه‌شناسی نیست، بلکه همین دریافتهای ذهن تک‌تک افراد، نه تنها مانع شناخت کلی نمی‌شود </w:t>
      </w:r>
      <w:bookmarkStart w:id="41" w:name="pg7474_109234"/>
    </w:p>
    <w:p>
      <w:pPr>
        <w:pStyle w:val="BookText"/>
        <w:rPr/>
      </w:pPr>
      <w:bookmarkEnd w:id="41"/>
      <w:r>
        <w:rPr>
          <w:rFonts w:ascii="IRNazanin" w:hAnsi="IRNazanin" w:eastAsia="IRNazanin"/>
          <w:color w:val="111111"/>
          <w:sz w:val="28"/>
          <w:sz w:val="28"/>
          <w:szCs w:val="28"/>
          <w:rtl w:val="true"/>
          <w:lang w:bidi="fa-IR"/>
        </w:rPr>
        <w:t>بلکه به دریافت بیشتر راز و معمای جهان کمک می‌کند و بنابراین ناگزیر علیت در روانشناسی فردی و اجتماعی امری است که نمی‌توان آن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مورد هیچ امری مگویید، که من فردا خواهم کرد، مگر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تعلیق کارها به مشیت پروردگار، قابل تامل و بررسی است، زیرا اراده آدمی برای اقدام و عزم و یا خودداری از کاری که ناگهان برایش پیش می‌آید اغلب بدون موجب و وسیله‌ای مادی است با اینکه همین خاصیت در حیوان هم هست، ولی حیوان را تنها موجبات مادی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یا ترس به سویی سوق می‌دهد، درحالی که در انسان گاه اراده‌ای پدید می‌آید بی آن که محرکی اضطراری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شوق وجود داشته باشد، و این همان سخن مشهور علی علیه‌السلام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 شکستن اراده‌ها و به هم خوردن همتها و پیمانها و تصمیمها شناختم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2150733_1051229030"/>
      <w:bookmarkStart w:id="43" w:name="_Toc14"/>
      <w:bookmarkEnd w:id="42"/>
      <w:r>
        <w:rPr/>
        <w:t>3</w:t>
      </w:r>
      <w:r>
        <w:rPr>
          <w:rtl w:val="true"/>
        </w:rPr>
        <w:t xml:space="preserve">- </w:t>
      </w:r>
      <w:r>
        <w:rPr>
          <w:rtl w:val="true"/>
        </w:rPr>
        <w:t>از نظر فلسفی</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ازنظر فلسفی، این فرض که آدمی در جهان نسبیت زندگی می‌کند، امری ثابت و مسلم است، بررسی کامل پیرامون آن، شرحی دراز دارد، لکن در اینجا اشاره‌ای کوتاه به آن می‌کنیم، می‌دانیم که وجود را نمی‌توان تعریف کرد، زیرا هرچه در نفس خود ظاهر باشد از تعریف بی‌نیاز است، و هیچ چیزی از وجود ظاهرتر نیست، امور قابل تفهیم و تفهم، اموری محدود و مشخص هستند، و چون وجود و هستی کلی نه حد واندازه‌ای دارد و نه دارای تشخص و تعین است بنابراین قابل تعریف نیست، توضیح آن‌که چون هستی و سپهر حد و اندازه‌ای ندارد و بی‌نهایت است، بنابراین نمی‌تواند به تصور آید و ذهن آدمی گنجایش نامحدود را ندارد، زیرا هرچه بیندیشیم از هستی محدود نمی‌تواند بیرون باشد، ازاین رو ما در جهان شناسایی و تعریف، چیزهای محدود را می‌توانیم تعریف کنیم، اما از تعریف هستی کلی نامحدود ناتوانیم و کمند عقل به پایه بارگاه وجود مطلق راهی ندارد، بدیهی است که آدمی آن حقیقت نامحدود و بحت و بسیط را می‌تواند احساس کند، می‌تواند به وجودش اقرار و اعتراف کند و باور داشته باشد، لکن نمی‌تواند او را تعریف کند و نمی‌تواند او را بشناسد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شبستری در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هرگز اندر حرف ناید</w:t>
      </w:r>
    </w:p>
    <w:p>
      <w:pPr>
        <w:pStyle w:val="BookText"/>
        <w:rPr/>
      </w:pPr>
      <w:r>
        <w:rPr>
          <w:rFonts w:ascii="IRNazanin" w:hAnsi="IRNazanin" w:eastAsia="IRNazanin"/>
          <w:color w:val="111111"/>
          <w:sz w:val="28"/>
          <w:sz w:val="28"/>
          <w:szCs w:val="28"/>
          <w:rtl w:val="true"/>
          <w:lang w:bidi="fa-IR"/>
        </w:rPr>
        <w:t>که بحر قلزم اندر ظرف ناید</w:t>
      </w:r>
    </w:p>
    <w:p>
      <w:pPr>
        <w:pStyle w:val="BookText"/>
        <w:rPr/>
      </w:pPr>
      <w:r>
        <w:rPr>
          <w:rFonts w:ascii="IRNazanin" w:hAnsi="IRNazanin" w:eastAsia="IRNazanin"/>
          <w:color w:val="111111"/>
          <w:sz w:val="28"/>
          <w:sz w:val="28"/>
          <w:szCs w:val="28"/>
          <w:rtl w:val="true"/>
          <w:lang w:bidi="fa-IR"/>
        </w:rPr>
        <w:t>جهان جمله فروغ نور حق دان</w:t>
      </w:r>
    </w:p>
    <w:p>
      <w:pPr>
        <w:pStyle w:val="BookText"/>
        <w:rPr/>
      </w:pPr>
      <w:r>
        <w:rPr>
          <w:rFonts w:ascii="IRNazanin" w:hAnsi="IRNazanin" w:eastAsia="IRNazanin"/>
          <w:color w:val="111111"/>
          <w:sz w:val="28"/>
          <w:sz w:val="28"/>
          <w:szCs w:val="28"/>
          <w:rtl w:val="true"/>
          <w:lang w:bidi="fa-IR"/>
        </w:rPr>
        <w:t>حق اندر وی ز پیداییست پنهان</w:t>
      </w:r>
    </w:p>
    <w:p>
      <w:pPr>
        <w:pStyle w:val="BookText"/>
        <w:rPr/>
      </w:pPr>
      <w:r>
        <w:rPr>
          <w:rFonts w:ascii="IRNazanin" w:hAnsi="IRNazanin" w:eastAsia="IRNazanin"/>
          <w:color w:val="111111"/>
          <w:sz w:val="28"/>
          <w:sz w:val="28"/>
          <w:szCs w:val="28"/>
          <w:rtl w:val="true"/>
          <w:lang w:bidi="fa-IR"/>
        </w:rPr>
        <w:t xml:space="preserve">همچنین نیستی محض هم قابل تصور نیست زیرا هرچه را که محکوم به نیستی می‌کنیم بواسطه ارتباط آن با یک جهت هستی است، وگرنه عدم محض و کلی قابل تصور نیست، و به عبارت دیگر بگفته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خلأ وجود ندارد و جهان پر است، زیرا اگر یک ذره را نابود یعنی نیست محض کنیم، ناچار همه ذرات عالم جاری خواهند شد و طوفان و تزلزلی عظیم بر هستی 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ذره را برگیری از جای</w:t>
      </w:r>
    </w:p>
    <w:p>
      <w:pPr>
        <w:pStyle w:val="BookText"/>
        <w:rPr/>
      </w:pPr>
      <w:r>
        <w:rPr>
          <w:rFonts w:ascii="IRNazanin" w:hAnsi="IRNazanin" w:eastAsia="IRNazanin"/>
          <w:color w:val="111111"/>
          <w:sz w:val="28"/>
          <w:sz w:val="28"/>
          <w:szCs w:val="28"/>
          <w:rtl w:val="true"/>
          <w:lang w:bidi="fa-IR"/>
        </w:rPr>
        <w:t>فرو ریزد همه عالم سراپای</w:t>
      </w:r>
    </w:p>
    <w:p>
      <w:pPr>
        <w:pStyle w:val="BookText"/>
        <w:rPr/>
      </w:pPr>
      <w:r>
        <w:rPr>
          <w:rFonts w:ascii="IRNazanin" w:hAnsi="IRNazanin" w:eastAsia="IRNazanin"/>
          <w:color w:val="111111"/>
          <w:sz w:val="28"/>
          <w:sz w:val="28"/>
          <w:szCs w:val="28"/>
          <w:rtl w:val="true"/>
          <w:lang w:bidi="fa-IR"/>
        </w:rPr>
        <w:t>و به همین دلیل، نمی‌توان چیزی را از وجود تفکیک و جدا کرد، زیرا امکان ندارد که نیست هست شود و امکان ندارد که هست نیست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شدن و نیست گشتن چیزها عبارت از آنست که مفردات مرکب می‌شوند و مرکب باز مفردات می‌شود، و به عقیده پیشینیان مفردات آبا و امهاتند یعنی افلاک و انجم و عناصر و طبایع؛ لکن مرکبات موالیدند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حیوان و انسان، که آغاز و انجام دارند، می‌آیند و می‌روند، از مفردات زاییده می‌شوند و باز به مفردات بازمی‌گردند،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اخری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هستی کلی و وجود مطلق، خیر محض است و نیستی و عدم بدی است، و هرچه را که ما بد می‌دانیم، بواسطه آنست که در آن یک جهت منفی تصوّر کرده‌ایم وگرنه بد مطلق وجود ندارد، مثلا قتل از آن جهت بد نیست که فاعل قتل قدرت ارتکاب آن‌را دارد، یا تیغ قاتل خاصیت برندگی دارد، بلکه قتل بد است زیرا که منجر به نیست شدن یک فرد و نفی حیات می‌شود، پس قدرت ارتکاب و برندگی تیغ چون از امور وجودی است، بد نیست بلکه آنچه در آن یک جنبه منفی و عدمی متصوّر است،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چیزها از آن نیست که هست، بلکه از آن است که در جای خود نیست، دروغ گفتن بد است، در آن نیستی و عدم است، اما بدی آن از آن نیست که دروغ وجود دارد، از آن است که در جای خود نیست و به قدر خود نیست، چه بسا وقتی کسی سخنی راست می‌گوید که جامعه‌ای را به نابودی می‌کشد و همان وقت کسی دروغی می‌گوید و جامعه‌ای را نجات می‌دهد</w:t>
      </w:r>
      <w:r>
        <w:rPr>
          <w:rFonts w:eastAsia="IRNazanin" w:cs="IRNazanin"/>
          <w:color w:val="111111"/>
          <w:sz w:val="28"/>
          <w:szCs w:val="28"/>
          <w:rtl w:val="true"/>
          <w:lang w:bidi="fa-IR"/>
        </w:rPr>
        <w:t>.</w:t>
      </w:r>
      <w:r>
        <w:rPr>
          <w:rStyle w:val="FootnoteAnchor"/>
          <w:rtl w:val="true"/>
        </w:rPr>
        <w:footnoteReference w:id="15"/>
      </w:r>
      <w:bookmarkStart w:id="44" w:name="pg7474_109236"/>
    </w:p>
    <w:p>
      <w:pPr>
        <w:pStyle w:val="BookText"/>
        <w:rPr/>
      </w:pPr>
      <w:bookmarkEnd w:id="44"/>
      <w:r>
        <w:rPr>
          <w:rFonts w:ascii="IRNazanin" w:hAnsi="IRNazanin" w:eastAsia="IRNazanin"/>
          <w:color w:val="111111"/>
          <w:sz w:val="28"/>
          <w:sz w:val="28"/>
          <w:szCs w:val="28"/>
          <w:rtl w:val="true"/>
          <w:lang w:bidi="fa-IR"/>
        </w:rPr>
        <w:t>بنابراین، مبدأ خیر و مبدأ شر، یزدان و اهریمن، در برخی از ادیان به دلیل این مشکل فلسفی بوده‌است که نمی‌خواسته‌اند امور شر و بد و امور خیر و خوب را به مبدأ واحدی نسبت دهند زیرا که به عقیده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لایصدر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عرفان نظری و توحید محض، خدا، عین خوبی و زیبایی و مظهر رحمت و بخشایش و مطلق نور و روشنایی محض است و شرور و بدیها، امور عدمی و عرضی و اضافی و نسبی‌اند و همین امور نسبی هم بنا به مقتضای حکمت بالغه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ما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کرده‌اند و لغو و بیهوده نیستند، نیکی امری درونی و ذاتی است اما بدی عرضی و از بیرون در ما راه پیدا می‌کند مثل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زهرمار آن مار را باشد حیات</w:t>
      </w:r>
    </w:p>
    <w:p>
      <w:pPr>
        <w:pStyle w:val="BookText"/>
        <w:rPr/>
      </w:pPr>
      <w:r>
        <w:rPr>
          <w:rFonts w:ascii="IRNazanin" w:hAnsi="IRNazanin" w:eastAsia="IRNazanin"/>
          <w:color w:val="111111"/>
          <w:sz w:val="28"/>
          <w:sz w:val="28"/>
          <w:szCs w:val="28"/>
          <w:rtl w:val="true"/>
          <w:lang w:bidi="fa-IR"/>
        </w:rPr>
        <w:t>نسبتش با آدمی آمد ممات</w:t>
      </w:r>
    </w:p>
    <w:p>
      <w:pPr>
        <w:pStyle w:val="BookText"/>
        <w:rPr/>
      </w:pPr>
      <w:r>
        <w:rPr>
          <w:rFonts w:ascii="IRNazanin" w:hAnsi="IRNazanin" w:eastAsia="IRNazanin"/>
          <w:color w:val="111111"/>
          <w:sz w:val="28"/>
          <w:sz w:val="28"/>
          <w:szCs w:val="28"/>
          <w:rtl w:val="true"/>
          <w:lang w:bidi="fa-IR"/>
        </w:rPr>
        <w:t>پس بد مطلق نباشد در جهان</w:t>
      </w:r>
    </w:p>
    <w:p>
      <w:pPr>
        <w:pStyle w:val="BookText"/>
        <w:rPr/>
      </w:pPr>
      <w:r>
        <w:rPr>
          <w:rFonts w:ascii="IRNazanin" w:hAnsi="IRNazanin" w:eastAsia="IRNazanin"/>
          <w:color w:val="111111"/>
          <w:sz w:val="28"/>
          <w:sz w:val="28"/>
          <w:szCs w:val="28"/>
          <w:rtl w:val="true"/>
          <w:lang w:bidi="fa-IR"/>
        </w:rPr>
        <w:t>بد به نسبت باشد این را هم بدان</w:t>
      </w:r>
    </w:p>
    <w:p>
      <w:pPr>
        <w:pStyle w:val="BookText"/>
        <w:rPr/>
      </w:pPr>
      <w:r>
        <w:rPr>
          <w:rFonts w:ascii="IRNazanin" w:hAnsi="IRNazanin" w:eastAsia="IRNazanin"/>
          <w:color w:val="111111"/>
          <w:sz w:val="28"/>
          <w:sz w:val="28"/>
          <w:szCs w:val="28"/>
          <w:rtl w:val="true"/>
          <w:lang w:bidi="fa-IR"/>
        </w:rPr>
        <w:t>یا به گفته شبستری در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آن‌جا که باشد محض خیر است وگر شری است در وی، آن ز غیر است و این مطلب به اندازه‌ای بدیهی است که نیازی به بررسی مفصل ندارد زیرا اگر امور در این عالم نسبی و اضافی نباشد، لازمه‌اش آنست که مطلق باشد، و ما می‌دانیم که مطلق، فقط مخصوص یک وجود واحد نامحدود نامتناهی است، و هیچ موجودی را بدان راه نیست، تا چه رسد به بشر که در این جهان با مسأله مرگ و زندگی درگیر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به یک نکته اشاره شود و آن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عرفان نظری است، وقتی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گردم عدم چون ارغنون</w:t>
      </w:r>
    </w:p>
    <w:p>
      <w:pPr>
        <w:pStyle w:val="BookText"/>
        <w:rPr/>
      </w:pPr>
      <w:r>
        <w:rPr>
          <w:rFonts w:ascii="IRNazanin" w:hAnsi="IRNazanin" w:eastAsia="IRNazanin"/>
          <w:color w:val="111111"/>
          <w:sz w:val="28"/>
          <w:sz w:val="28"/>
          <w:szCs w:val="28"/>
          <w:rtl w:val="true"/>
          <w:lang w:bidi="fa-IR"/>
        </w:rPr>
        <w:t>گویدم کانا الیه راجعون</w:t>
      </w:r>
    </w:p>
    <w:p>
      <w:pPr>
        <w:pStyle w:val="BookText"/>
        <w:rPr/>
      </w:pPr>
      <w:r>
        <w:rPr>
          <w:rFonts w:ascii="IRNazanin" w:hAnsi="IRNazanin" w:eastAsia="IRNazanin"/>
          <w:color w:val="111111"/>
          <w:sz w:val="28"/>
          <w:sz w:val="28"/>
          <w:szCs w:val="28"/>
          <w:rtl w:val="true"/>
          <w:lang w:bidi="fa-IR"/>
        </w:rPr>
        <w:t>منظور وی از عدم، نفی تشخص و تعینات اعتباری از آدمی است که وسیله سیر کمال آدمی بسوی وجود مطلق است و اینگونه عدم چون در مسیر وجود مطلق است خیر است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عدم به تعبیر مولانا همان عالم غیب است و دنیای علم حق که مولانا آن را کارگاه صنع حق می‌داند و فراسوی عالم وجود</w:t>
      </w:r>
      <w:r>
        <w:rPr>
          <w:rFonts w:eastAsia="IRNazanin" w:cs="IRNazanin"/>
          <w:color w:val="111111"/>
          <w:sz w:val="28"/>
          <w:szCs w:val="28"/>
          <w:rtl w:val="true"/>
          <w:lang w:bidi="fa-IR"/>
        </w:rPr>
        <w:t>.</w:t>
      </w:r>
    </w:p>
    <w:p>
      <w:pPr>
        <w:pStyle w:val="Heading5"/>
        <w:numPr>
          <w:ilvl w:val="4"/>
          <w:numId w:val="1"/>
        </w:numPr>
        <w:rPr/>
      </w:pPr>
      <w:bookmarkStart w:id="45" w:name="__RefHeading___Toc2150735_1051229030"/>
      <w:bookmarkStart w:id="46" w:name="_Toc15"/>
      <w:bookmarkEnd w:id="45"/>
      <w:r>
        <w:rPr/>
        <w:t>4</w:t>
      </w:r>
      <w:r>
        <w:rPr>
          <w:rtl w:val="true"/>
        </w:rPr>
        <w:t xml:space="preserve">- </w:t>
      </w:r>
      <w:r>
        <w:rPr>
          <w:rtl w:val="true"/>
        </w:rPr>
        <w:t>از نظر علوم تجربی</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دانشمندان بر این عقیده‌اند که چیزهایی که مورد ادراک آدمی هستند، آن‌چنان که بواقع هستند، در ذهن ما نقش نمی‌بندند، بلکه برحسب افراد مختلف و حواس آنان متفاوتند، </w:t>
      </w:r>
    </w:p>
    <w:p>
      <w:pPr>
        <w:pStyle w:val="BookText"/>
        <w:rPr/>
      </w:pPr>
      <w:r>
        <w:rPr>
          <w:rFonts w:ascii="IRNazanin" w:hAnsi="IRNazanin" w:eastAsia="IRNazanin"/>
          <w:color w:val="111111"/>
          <w:sz w:val="28"/>
          <w:sz w:val="28"/>
          <w:szCs w:val="28"/>
          <w:rtl w:val="true"/>
          <w:lang w:bidi="fa-IR"/>
        </w:rPr>
        <w:t>یعنی معلومات علمی، نسبی و اضافی‌اند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چیزی که بتواند مصدق و مؤید نظر و آرای اصولی ما و نظام این نظرها و آرا باشد، همین است و بس که آنها مجموع تجربیات ما هستند والا از این گذشته دلیل دیگری بر حقانیت آنها در دست نداریم</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 دیگر، علم بخودی خود هدف نیست، بلکه چراغ راه است به سوی واقع، بنابراین اگر مسائل علمی جنبه اطلاق داشته باشد موجب رکود و بن‌بست دانش بشری است و تنها درصورتی که جنبه احتمال داشته باشد یعنی نسبی باشد، همواره راه مفتوح است، حتی در بخشی از علوم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ذکرش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معتقدند که تعاریف آن نیز نسبی و اضافی و تقریبی است لکن میزان این تقریب بر ما پوشیده است، زیرا دانش بشری درباره طبیعت بر حس و تجربه متکی است و بسیار واضح است که این نقطه اتکا تا چه حد غیرقابل اعتماد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کپرنیک مدلل داشت که آنچه بی‌حرکت و ثابت می‌نماید، متحرک است و آنچه متحرک بنظر می‌آید ثابت است، برای ما روشن ساخت که چقدر استدلال‌های کودکانه ناشی از مشهودات بی‌واسطه حواس، ممکن است فریب‌دهنده باشند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ازطرفی تا پایان سده نوزدهم نظریه جبر مادی که بر قانون علیت استوار بود، بر اندیشه‌های علمی حکمفرمایی می‌کرد، لکن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پلانک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بیستم، اصل عدم حتمیت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اندترمی‌نیسم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آن‌را گرفت، توضیح آن‌که همان‌گونه که علم حضوری انسان نسبت به خود همواره حکایت از نوعی اراده و اختیار در باطن هر فرد دارد که تابع هیچ‌گونه جبر مادی و قانون علیت نمی‌تواند باشد، به همان ترتیب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کوانتوم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از عدم قطعیت و بی‌تصمیمی شبه انسانی را نشان می‌دهد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قرن بیستم دانشمندان فیزیک و طبیعی فریادشان بلند بود که ما هرچه در آزمایشگاه، ماده را شکافتیم، خدا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ندا در دادند که وجود اراده و اختیاری شبه انسانی یا بهتر بگوییم خدایی را در آن بعیان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کوانتوم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فیزیکدانان آن‌را پذیرفته‌اند،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کوانتاها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نامنظم و ناپیوسته و غیرقابل پیش‌بینی و ناگهانی و طفره‌ای است،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گفته‌است که نتیجه این نظریه آنست که فیزیک که از علوم دقیقه است، </w:t>
      </w:r>
    </w:p>
    <w:p>
      <w:pPr>
        <w:pStyle w:val="BookText"/>
        <w:rPr/>
      </w:pPr>
      <w:r>
        <w:rPr>
          <w:rFonts w:ascii="IRNazanin" w:hAnsi="IRNazanin" w:eastAsia="IRNazanin"/>
          <w:color w:val="111111"/>
          <w:sz w:val="28"/>
          <w:sz w:val="28"/>
          <w:szCs w:val="28"/>
          <w:rtl w:val="true"/>
          <w:lang w:bidi="fa-IR"/>
        </w:rPr>
        <w:t>دیگر تابع قوانین صد در صد جبری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جبر مادی انسان را به ماشینی تشبیه کرده بود که همه چیز در آن قابل پیش‌بینی است، درحالی که در قرن حاضر علم خلاف آن‌را اثبات می‌کند، کار سلولهای روده و حتی سلولهای دیگر اعضای بدن همه اختیاری و انتخابی است، هر دسته از سلولهای روده تنها بر روی یک نوع غذا تاثیر می‌کنند، خمل‌های روده مواد خاصی را که بدن لازم دارد، انتخاب می‌کنند و بقیه را واپس می‌زنند، سلولهای دیگر همین‌کار را با خون می‌کنند، و گاه نیز عکس این عمل را می‌کنند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فیزیولوژی خود عقیده دارد که قوه شعور و ادراک و انتخاب در عموم بدن تقسیم شده و مخصوص مغز نیست، بلکه می‌تواند در هر سلول بدن نیز باشد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خوزوئه دوکاسترو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اینست که در طب هم مانند علوم اجتماعی وقتی‌که از جبر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می‌گوییم باید بیش از پیش احتیاط کنیم، طرز تفکر مخصوص دیگری وجود دارد که آن‌را امکان‌پذیری </w:t>
      </w:r>
      <w:r>
        <w:rPr>
          <w:rFonts w:eastAsia="Times New Roman" w:cs="Times New Roman" w:ascii="Times New Roman" w:hAnsi="Times New Roman"/>
          <w:color w:val="111111"/>
          <w:sz w:val="28"/>
          <w:szCs w:val="28"/>
          <w:lang w:val="en-US" w:bidi="en-US"/>
        </w:rPr>
        <w:t>Possibilisme</w:t>
      </w:r>
      <w:r>
        <w:rPr>
          <w:rFonts w:ascii="IRNazanin" w:hAnsi="IRNazanin" w:eastAsia="IRNazanin"/>
          <w:color w:val="111111"/>
          <w:sz w:val="28"/>
          <w:sz w:val="28"/>
          <w:szCs w:val="28"/>
          <w:rtl w:val="true"/>
          <w:lang w:bidi="fa-IR"/>
        </w:rPr>
        <w:t xml:space="preserve">می‌گویند و آن طرز تفکر درباره اثر عواملی که ممکن است موجب ظهور بعضی نمودهای زیست‌شناسی و اجتماعی شود، بحث می‌کند، حتی موقعی‌که عده‌ای از متخصصان درباره ارتباط منطقی و واضح و انکارناپذیر عامل کمبود غذائی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مخصوصی که از آن نتیجه می‌شود، سخن می‌گویند، مشاهده می‌کنیم که عوامل بی‌شمار دیگری در ظهور این حالت مرض تاثیر دارند، مثلا باید درنظر داشته باشیم که در میان عده‌ای از گروههای انسانی که به کمبودهای شدید مبتلا هستند، علایم این کمبودها کم است، درصورتی که در گروههای دیگری که وضع غذایی نسبتا بهتری دارند، این کمبود به میزان بیشتری دیده می‌شود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قضا آید طبیب ابله شود</w:t>
      </w:r>
    </w:p>
    <w:p>
      <w:pPr>
        <w:pStyle w:val="BookText"/>
        <w:rPr/>
      </w:pPr>
      <w:r>
        <w:rPr>
          <w:rFonts w:ascii="IRNazanin" w:hAnsi="IRNazanin" w:eastAsia="IRNazanin"/>
          <w:color w:val="111111"/>
          <w:sz w:val="28"/>
          <w:sz w:val="28"/>
          <w:szCs w:val="28"/>
          <w:rtl w:val="true"/>
          <w:lang w:bidi="fa-IR"/>
        </w:rPr>
        <w:t>آن دوا در نفع خود گمره شود</w:t>
      </w:r>
    </w:p>
    <w:p>
      <w:pPr>
        <w:pStyle w:val="BookText"/>
        <w:rPr/>
      </w:pPr>
      <w:r>
        <w:rPr>
          <w:rFonts w:ascii="IRNazanin" w:hAnsi="IRNazanin" w:eastAsia="IRNazanin"/>
          <w:color w:val="111111"/>
          <w:sz w:val="28"/>
          <w:sz w:val="28"/>
          <w:szCs w:val="28"/>
          <w:rtl w:val="true"/>
          <w:lang w:bidi="fa-IR"/>
        </w:rPr>
        <w:t>از قضا سرکنگبین صفرا فزود</w:t>
      </w:r>
    </w:p>
    <w:p>
      <w:pPr>
        <w:pStyle w:val="BookText"/>
        <w:rPr/>
      </w:pPr>
      <w:r>
        <w:rPr>
          <w:rFonts w:ascii="IRNazanin" w:hAnsi="IRNazanin" w:eastAsia="IRNazanin"/>
          <w:color w:val="111111"/>
          <w:sz w:val="28"/>
          <w:sz w:val="28"/>
          <w:szCs w:val="28"/>
          <w:rtl w:val="true"/>
          <w:lang w:bidi="fa-IR"/>
        </w:rPr>
        <w:t>روغن بادام خشکی می‌نمود</w:t>
      </w:r>
    </w:p>
    <w:p>
      <w:pPr>
        <w:pStyle w:val="BookText"/>
        <w:rPr/>
      </w:pPr>
      <w:r>
        <w:rPr>
          <w:rFonts w:ascii="IRNazanin" w:hAnsi="IRNazanin" w:eastAsia="IRNazanin"/>
          <w:color w:val="111111"/>
          <w:sz w:val="28"/>
          <w:sz w:val="28"/>
          <w:szCs w:val="28"/>
          <w:rtl w:val="true"/>
          <w:lang w:bidi="fa-IR"/>
        </w:rPr>
        <w:t>از هلیله قبض شد اطلاق رفت</w:t>
      </w:r>
    </w:p>
    <w:p>
      <w:pPr>
        <w:pStyle w:val="BookText"/>
        <w:rPr/>
      </w:pPr>
      <w:r>
        <w:rPr>
          <w:rFonts w:ascii="IRNazanin" w:hAnsi="IRNazanin" w:eastAsia="IRNazanin"/>
          <w:color w:val="111111"/>
          <w:sz w:val="28"/>
          <w:sz w:val="28"/>
          <w:szCs w:val="28"/>
          <w:rtl w:val="true"/>
          <w:lang w:bidi="fa-IR"/>
        </w:rPr>
        <w:t>آب آتش را مدد شد همچو نفت</w:t>
      </w:r>
    </w:p>
    <w:p>
      <w:pPr>
        <w:pStyle w:val="BookText"/>
        <w:rPr/>
      </w:pPr>
      <w:r>
        <w:rPr>
          <w:rFonts w:ascii="IRNazanin" w:hAnsi="IRNazanin" w:eastAsia="IRNazanin"/>
          <w:color w:val="111111"/>
          <w:sz w:val="28"/>
          <w:sz w:val="28"/>
          <w:szCs w:val="28"/>
          <w:rtl w:val="true"/>
          <w:lang w:bidi="fa-IR"/>
        </w:rPr>
        <w:t>شربت و ادویه و اسباب او</w:t>
      </w:r>
    </w:p>
    <w:p>
      <w:pPr>
        <w:pStyle w:val="BookText"/>
        <w:rPr/>
      </w:pPr>
      <w:r>
        <w:rPr>
          <w:rFonts w:ascii="IRNazanin" w:hAnsi="IRNazanin" w:eastAsia="IRNazanin"/>
          <w:color w:val="111111"/>
          <w:sz w:val="28"/>
          <w:sz w:val="28"/>
          <w:szCs w:val="28"/>
          <w:rtl w:val="true"/>
          <w:lang w:bidi="fa-IR"/>
        </w:rPr>
        <w:t>از طبیبان ریخت یکسر آبرو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آنچه گفتیم، با آن‌که از آرای تازه قرن حاضر است، با این همه به نحوی دیگر در آثار </w:t>
      </w:r>
    </w:p>
    <w:p>
      <w:pPr>
        <w:pStyle w:val="BookText"/>
        <w:rPr/>
      </w:pPr>
      <w:r>
        <w:rPr>
          <w:rFonts w:ascii="IRNazanin" w:hAnsi="IRNazanin" w:eastAsia="IRNazanin"/>
          <w:color w:val="111111"/>
          <w:sz w:val="28"/>
          <w:sz w:val="28"/>
          <w:szCs w:val="28"/>
          <w:rtl w:val="true"/>
          <w:lang w:bidi="fa-IR"/>
        </w:rPr>
        <w:t xml:space="preserve">فیلسوفان قدیم نیز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برای ذرات در حرکت، نوعی از قوه و اختیار می‌شناخته و آدمی را مختار می‌دانسته و جبر و ضرورت را منکر بوده‌است،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 بوترو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حتی قوانین طبیعت را تقریبی و اجمالی می‌دانسته است، که خلاف قیاس در آن بسیار دیده می‌شود که به آنها برنخورده و یا به مسامحه از آن گذشته‌ایم، و بنابراین قاعده وجوب ترتب علت بر معلول به نظر وی احاطه و شمول کلی ندارد و به وجوب اصل علیت و قوانین طبیعی که مبتنی بر آن است نمی‌توان قطع پیدا کرد، پس قوانین طبیعت ممکن است نه واجب نسبی است، نه مطلق</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با این همه، اینجا باید بلافاصله از پدید آمدن یک سوءتفاهم جلوگیری شود،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پلانک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علیت را بطور کلی رد نمی‌کند و آن‌را باطل نمی‌داند،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علیت در نتایج جزیی قابل تطبیق نیست لکن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پلانک می‌گوید، بنابر اصل علیت آماری شرکتهای بیمه، فلان قدر هزار نفر در سال در فلان سن با داشتن فلان حرفه از فلان بیماری خواهند مرد، برپایه همین آمارهاست که نرخهای گوناگون بیمه تعیین و بیمه‌نامه‌ها تنظیم می‌شود ولی از این آمارها هیچ نتیجه‌ای در مورد مرگ فرد خاصی که بیمه شده‌است نمی‌توان گرفت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دیگر پلانک مثال دیگری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فیزیک، علاوه‌بر قوانین نیرویی یا دینامیک، یک دسته قوانین دیگر نیز شناخته شده‌اند که آنها را قوانین آماری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اخیرا با دقت شایان توجهی احتمال پیدایش حوادثی را که باید اتفاق بیفتد معین می‌کنند، و به همین جهت راه پیدا شدن استثنایی در این قوانین مسدود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این قوانین مسأله انتقال گرما از جسمی به جسمی دیگر است، هرگاه دو جسم با درجات حرارت متفاوت مجاور یکدیگر قرار گرفته باشند، بنابر دو قانون ترمودینامیک، انرژی گرمایی باید از جسم گرمتر به جسم سردتر ریزش کند، ولی امروز بنا به تجربه می‌دانیم که این قانون حالت احتمالی دارد، چه درحالی که اختلاف درجه حرارت دو جسم خیلی کم باشد، ممکن است در نقطه‌ای از نقاط تماس دو جسم و در لحظه‌ای عمل عکس اتفاق افتد و انرژی گرمایی از جسم سرد به جسم گرم انتقال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دوم ترمودینامیک، در این مورد مثل تمام موارد مربوط به قوانین آماری فقط نسبت به مقدار معدل و متوسط عده بسیار زیادی از حوادث صحیح است، و برای فرد فرد ان </w:t>
      </w:r>
    </w:p>
    <w:p>
      <w:pPr>
        <w:pStyle w:val="BookText"/>
        <w:rPr/>
      </w:pPr>
      <w:r>
        <w:rPr>
          <w:rFonts w:ascii="IRNazanin" w:hAnsi="IRNazanin" w:eastAsia="IRNazanin"/>
          <w:color w:val="111111"/>
          <w:sz w:val="28"/>
          <w:sz w:val="28"/>
          <w:szCs w:val="28"/>
          <w:rtl w:val="true"/>
          <w:lang w:bidi="fa-IR"/>
        </w:rPr>
        <w:t>حوادث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مورد یک حادثه مفرد سخن بگوییم، با مقدار معینی از احتمال حق بحث داریم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علیت اگر در مورد حوادث و پیشامدهای دسته جمعی مصداق پیدا کند باوجود این در همین مورد هم علیت آماری مانند علیت تاریخی تکرار نشدنی است، از سوی دیگر در همان مثال شرکت بیمه دیدیم که به هیچ وجه از حساب احتمالات، مرگ فرد خاصی را نمی‌توان پیش‌بینی کرد بلکه حساب مذکور نسبت به میانگین عده بسیاری از حادثه‌ها ممکن است درست از آب درآید، لکن برای فرد فرد آن حادثه‌ها چنین نیست، پس انسان نیز نباید انتظار داشته باشد که تصویرهایی که از حد متوسط صفات ممتازه افراد پیش خود می‌سازد، در یک شخص جمع شود، زیرا همان اتحاد ناظر با چیزی که بدان می‌نگرد در مورد روابط ما با دیگران، نیز مصداق دارد، و چون هستی ما وابسته به سایر افراد است، از اینرو نمی‌توانیم خود را در وضعی قرار دهیم که اعمال افراد دیگر را ازلحاظ انگیزه‌ها یعنی ازلحاظ علیت مورد مطالعه قرار دهیم، و از اینجاست که انسان موجودی تا این حد دست نیافتنی و حساب نشدنی جلوه می‌کند، به طوری که بیشتر دانشمندان با حیرت و سرگردانی به ناتوانی در توضیح و تشریح پیچیدگیهای بی‌پایان طبیعت این موجود پرابهام و ناشناخته اعتراف کرده‌اند، زیرا ویژگیها و خصلتهایی که برای ساختن شخصیت آدمی به کار رفته، آن‌قدر پیچیده، متعدد، متناقض و نامتناهی است که بسادگی می‌توان در یک فرد قطبهای متضاد و امیال و شهوات ضد و نقیض را مشاهده کرد، ازقبیل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بلندنظری و کوته‌نظری، خیال‌پرستی و خردمندی، یاس و امید، عشق و نفرت، شجاعت و جبن، تقوا و گناه، عفو و انتقام، و حتی خدا و شیطان و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گر بظاهر آن پری پنهان بود</w:t>
      </w:r>
    </w:p>
    <w:p>
      <w:pPr>
        <w:pStyle w:val="BookText"/>
        <w:rPr/>
      </w:pPr>
      <w:r>
        <w:rPr>
          <w:rFonts w:ascii="IRNazanin" w:hAnsi="IRNazanin" w:eastAsia="IRNazanin"/>
          <w:color w:val="111111"/>
          <w:sz w:val="28"/>
          <w:sz w:val="28"/>
          <w:szCs w:val="28"/>
          <w:rtl w:val="true"/>
          <w:lang w:bidi="fa-IR"/>
        </w:rPr>
        <w:t>آدمی پنهان‌تر از پریان بود</w:t>
      </w:r>
    </w:p>
    <w:p>
      <w:pPr>
        <w:pStyle w:val="BookText"/>
        <w:rPr/>
      </w:pPr>
      <w:r>
        <w:rPr>
          <w:rFonts w:ascii="IRNazanin" w:hAnsi="IRNazanin" w:eastAsia="IRNazanin"/>
          <w:color w:val="111111"/>
          <w:sz w:val="28"/>
          <w:sz w:val="28"/>
          <w:szCs w:val="28"/>
          <w:rtl w:val="true"/>
          <w:lang w:bidi="fa-IR"/>
        </w:rPr>
        <w:t>نزد عاقل ز آن پری که مضمر است</w:t>
      </w:r>
    </w:p>
    <w:p>
      <w:pPr>
        <w:pStyle w:val="BookText"/>
        <w:rPr/>
      </w:pPr>
      <w:r>
        <w:rPr>
          <w:rFonts w:ascii="IRNazanin" w:hAnsi="IRNazanin" w:eastAsia="IRNazanin"/>
          <w:color w:val="111111"/>
          <w:sz w:val="28"/>
          <w:sz w:val="28"/>
          <w:szCs w:val="28"/>
          <w:rtl w:val="true"/>
          <w:lang w:bidi="fa-IR"/>
        </w:rPr>
        <w:t>آدمی صدبار خود پنهان‌تر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نتیجه کار و آزمایش کارشناسان علوم تجربی، بالنسبه معلوم و آشکار است و می‌توان آنها را، بکرات آزمایش کرد، خلاصه آن‌که می‌توان با فراگیری تجربه‌های پیشینیان و کشفیات آنان، بر روی این مفروضات، احکام جدیدی را به دست آورد و در پهنه وسیع علوم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دائر مدار محسوسات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افقهای تازه‌تری رسید و هر روز روزنه‌ای تازه به فضای نامتناهی دانش بشری، گشود، زیرا علوم تجربی با عقاید غیرقابل تردید و انکار سر و کار</w:t>
      </w:r>
      <w:bookmarkStart w:id="47" w:name="pg7474_109241"/>
    </w:p>
    <w:p>
      <w:pPr>
        <w:pStyle w:val="BookText"/>
        <w:rPr/>
      </w:pPr>
      <w:bookmarkEnd w:id="47"/>
      <w:r>
        <w:rPr>
          <w:rFonts w:ascii="IRNazanin" w:hAnsi="IRNazanin" w:eastAsia="IRNazanin"/>
          <w:color w:val="111111"/>
          <w:sz w:val="28"/>
          <w:sz w:val="28"/>
          <w:szCs w:val="28"/>
          <w:rtl w:val="true"/>
          <w:lang w:bidi="fa-IR"/>
        </w:rPr>
        <w:t>دارد، درحالی که علوم اجتماعی چنین نیست، زیرا روابط و مناسبات مردم بر منطق صرف بنا گذاشته نشده بلکه روابط اجتماعی اکثر برپایه ضرورت اجتماعی است نه برهانهای عقلی از پیش ساخته؛ افراد آدمی بیشتر از احساسات و عادات پیچیده و نامتعادل خود پیروی می‌کنند و از اینرو برای کارشناس فن حقوق و علم‌الاجتماع، آزمایشگاهی همانند آزمایشگاههای علوم تجربی که کلیه عوامل در آن ثابت و لایتغیر باشند وجود ندارد</w:t>
      </w:r>
      <w:r>
        <w:rPr>
          <w:rFonts w:eastAsia="IRNazanin" w:cs="IRNazanin"/>
          <w:color w:val="111111"/>
          <w:sz w:val="28"/>
          <w:szCs w:val="28"/>
          <w:rtl w:val="true"/>
          <w:lang w:bidi="fa-IR"/>
        </w:rPr>
        <w:t>.</w:t>
      </w:r>
    </w:p>
    <w:p>
      <w:pPr>
        <w:pStyle w:val="Heading5"/>
        <w:numPr>
          <w:ilvl w:val="4"/>
          <w:numId w:val="1"/>
        </w:numPr>
        <w:rPr/>
      </w:pPr>
      <w:bookmarkStart w:id="48" w:name="__RefHeading___Toc2150737_1051229030"/>
      <w:bookmarkStart w:id="49" w:name="_Toc16"/>
      <w:bookmarkEnd w:id="48"/>
      <w:r>
        <w:rPr/>
        <w:t>5</w:t>
      </w:r>
      <w:r>
        <w:rPr>
          <w:rtl w:val="true"/>
        </w:rPr>
        <w:t xml:space="preserve">- </w:t>
      </w:r>
      <w:r>
        <w:rPr>
          <w:rtl w:val="true"/>
        </w:rPr>
        <w:t>ازنظر تاریخی</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آزمایشگاه در علوم اجتماعی، در اغلب و اکثر موارد بر تاریخ گذشته مبتنی و استوار است، اما چه کسانی سازندگان تاریخند؟ آیا پیامبران الهی و ادیان تاریخ را می‌سازند؟ آیا فیلسوفان و دانشمندان و مصلحان اجتماعی و اخلاقی در این راه دخالت داشته‌اند؟ آیا مخترعان و مکتشفان در این جریان سهمی دارند؟ آیا غرایز سرکوفته بشر عامل حرکت وی بوده‌است؟ آیا عوامل جغرافیایی و نژادی و فرهنگی و حوادث طبیعی دست‌اندرکار بوده‌است؟ آیا اراده مصمم و خلل‌ناپذیر قهرمانان و فرمانروایان نظامی تاریخ را می‌سازد؟ آیا وضع اقتصادی و دورانهای آن سازنده بوده‌اند؟ آیا عامل اساسی تحول تاریخ خود مردم و توده‌ها بوده‌اند؟ آیا نیروهای محرکه تاریخ بنا به عقیده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است، یا بنا به عقیده 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جنسی، و یا بنا به عقیده 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معطوف به قدرت است و مسابقه در نبرد لیاقت، و یا به عقیده عارفان و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و یا 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روانی بشر؟</w:t>
      </w:r>
      <w:r>
        <w:rPr>
          <w:rStyle w:val="FootnoteAnchor"/>
          <w:rtl w:val="true"/>
        </w:rPr>
        <w:footnoteReference w:id="25"/>
      </w:r>
      <w:r>
        <w:rPr>
          <w:rFonts w:ascii="IRNazanin" w:hAnsi="IRNazanin" w:eastAsia="IRNazanin"/>
          <w:color w:val="111111"/>
          <w:sz w:val="28"/>
          <w:sz w:val="28"/>
          <w:szCs w:val="28"/>
          <w:rtl w:val="true"/>
          <w:lang w:bidi="fa-IR"/>
        </w:rPr>
        <w:t xml:space="preserve">کدامین عامل، اساسی و اصلی بوده‌است؟ و کدامین عامل، فرعی و 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دیدگاه چنین می‌نماید که همه آنها که برشمردیم هریک به نوبه خود، کم و بیش سهمی در حرکت تاریخ داشته‌اند، لکن تکیه بر هر یک از آنها بدون توجه به عوامل دیگر ناروا و غیرمنصفانه است، آنچه فعلا موردنظر است، آنست که باید همه عوامل و علل و اسباب را درنظر گرفته و از ترکیب آنها راهی برای حل مشکلات و مسائل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حکیمانه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را باید فیلسوفان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فیلسوف در مطالعه تاریخی، در پی افکندن نظامی اجتماعی برمی‌آید، همه مواد تاریخی را که اشاره شد، فراهم می‌کند و در این جمع‌بندی به نتایج کلی می‌رسد، او در مطالعه تنها به قطع طولی و عمودی نمی‌پردازد، یعنی اکتفابه مطالعه تاریخ ادوار قبل و بعد نمی‌کند، بلکه علاوه‌بر آن، به مطالعه عرضی و افقی می‌پردازد و در یک </w:t>
      </w:r>
    </w:p>
    <w:p>
      <w:pPr>
        <w:pStyle w:val="BookText"/>
        <w:rPr/>
      </w:pPr>
      <w:r>
        <w:rPr>
          <w:rFonts w:ascii="IRNazanin" w:hAnsi="IRNazanin" w:eastAsia="IRNazanin"/>
          <w:color w:val="111111"/>
          <w:sz w:val="28"/>
          <w:sz w:val="28"/>
          <w:szCs w:val="28"/>
          <w:rtl w:val="true"/>
          <w:lang w:bidi="fa-IR"/>
        </w:rPr>
        <w:t>زمان در کشورهای مختلف یک بررسی تطبیقی را به کار می‌گیرد، یک عصر و یک نسل را درنظر می‌گیرد و سپس به تحقیق همه مظاهر زندگی آن از اقتصاد و مذهب و اخلاق و آداب و رسوم و عرف و عادت و حتی علم و فلسفه و فرهنگ می‌پردازد و تاثیرات عرضی و متقابل و نفوذ عمقی و عمودی آنها را بررسی می‌کند، زیرا حوادث نه تنها معلول علتهای پیشین که معلول اوضاع همزمان و همعرض خود نیز هستند، و همان‌گونه که در پیش گفته شد، اصل علیت منفرد، در پدیده‌های اجتماعی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همه این اشکالها، اگر آزمایشگاه علوم اجتماعی را تاریخ بشری قرار دهیم، باز به سبب فقدان پدیده‌ها و رخدادهای عصر حاضر در آن، نمی‌تواند به طور کامل و بی‌عیب و نقص ما را به راه حل تازه‌ای راهنما باشد، به عبارت دیگر برای توجیه و تفسیر زمان حال، نمی‌توانیم بدرستی از تجربیات پیشینیان، بدون عنایت به عوامل و مسائل روز، بهره بگیریم، اگر آنچه را که همچون جویی درحال گذر است، بررسی کنیم، نقایص دیگری در کار ما خودنمایی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اولاً نتیجه این آزمایشها سالها بعد بروز خواهد کرد و هم‌اکنون برای ما دردی را درمان نمی‌کند وانگهی کاملاً به کار خود نمی‌توانیم اطمینان کنیم و سالها منتظر اخذ نتیجه بمانیم، ثانیا همان‌گونه که در پیش یادآور شدیم، چون جامعه انسانی، نه مانند اجتماع چند موجود مادی است که تنها نتیجه آن افزایش کمی باشد و نه ازقبیل اجتماع عناصر شیمیایی که نتیجه آن قابل پیش‌بینی علمی باشد و به دستاوردهایی محسوس و مشخص تبدیل شود، بلکه آدمی با دارا بودن ویژگیهای دو اجتماع مذکور، دارای تبدلات کیفی است و می‌تواند همان پدیده‌های کیفی را با تصرفات انتخابی و ارادی خود، به صورت موجودی تازه عرضه کند، و چون ما در مسائل اجتماعی با کیفیتها روبرو هستیم و این کیفیتها معلول برخورد حوادث غیرقابل پیش‌بینی است، بنابراین برای کارشناس علوم اجتماعی بسیار دشوار است که دستاوردهای تحقیقی خود را در شکل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بدهد زیرا می‌دانیم که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خانه‌ای را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ساده در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روزی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می‌سازند قطعا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ساده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نخواهند توانست ساخت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توانایی کارکردی یک سازمان بمراتب از تواناییهای کارکردی اشخاصی که آن‌را تشکیل می‌دهند، بیشتر است، به عبارت دیگر، اگر توانایی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باشد توانایی </w:t>
      </w:r>
    </w:p>
    <w:p>
      <w:pPr>
        <w:pStyle w:val="BookText"/>
        <w:rPr/>
      </w:pPr>
      <w:r>
        <w:rPr>
          <w:rFonts w:ascii="IRNazanin" w:hAnsi="IRNazanin" w:eastAsia="IRNazanin"/>
          <w:color w:val="111111"/>
          <w:sz w:val="28"/>
          <w:sz w:val="28"/>
          <w:szCs w:val="28"/>
          <w:rtl w:val="true"/>
          <w:lang w:bidi="fa-IR"/>
        </w:rPr>
        <w:t xml:space="preserve">یک سازمان یکصد نفری </w:t>
      </w:r>
      <w:r>
        <w:rPr>
          <w:rFonts w:eastAsia="Times New Roman" w:cs="Times New Roman" w:ascii="Times New Roman" w:hAnsi="Times New Roman"/>
          <w:color w:val="111111"/>
          <w:sz w:val="28"/>
          <w:szCs w:val="28"/>
          <w:lang w:val="en-US" w:bidi="en-US"/>
        </w:rPr>
        <w:t>X 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نیست، بلکه ممکن است سر به صدها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بزند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ازسوی دیگر،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متحول و قابل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بدیهی مورد قبول همگان است، بنابراین، جامعه حاصل جمع عددی افراد نیست، بلکه واحدی است با کیفیتی مستقل، کلی است متمایز از اجزای خود، وجود کمی آن ناشی از وجود افراد است ولی وجود کیفی آن از افراد جداست، زیرا اجتماع تنها پیرو اصل علیت نیست، بلکه از اصل غاییت نیز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آرمان‌گر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دلیلهاست که در عمل پس از گذشت زمانی طولانی و در اثر تحولات اجتماعی، بی‌پایی و ضعف بسیاری از تئوریهای سیاسی و اقتصادی آشکار می‌شود و این امر نسبی بودن تئوریهای اجتماعی را آشکار می‌سازد، پس بدون توجه به حقایق مسلم زندگی مردم، راه‌حلهایی ثابت و لایتغیر که برپایه منطق خالص و به دور از واقعیات یا هر میزان دیگری استوار باشد، برای مردمی که خود منطقی نیستند، برای مردمی که مانند ماشین از قوانین جبری پیروی نمی‌کنند، کاری است نادرست، زیرا ما همواره در اجتماعات بشری با علتها و معلولهای چند از چند سر و کار داریم، نه یک از یک، و نه یک از چند، و نه چند از یک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آنچه تاکنون گفته شد، یادآوری یک نکته ضروری است، و آن اینکه نباید این توهم پیش آید که ما با تاکید و اصرار بر این همه مشکلات می‌خواهیم، جلو اقدام و عمل و قاطعیت را سد کنیم، و یا خدای نخواسته می‌خواهیم هر ادراکی را در مسیر علم، به شک و تردید و یا احیانا به تعطیل بکشانیم، و دامنه این شک و تردید را تا آنجا دامن بزنیم که انسان را از وصول بحقایق مأیوس کنیم، ابدا چنین نیست بلکه درست بعکس همین که بشر بر خطای معلومات خویش از راه حس یا عقل پی می‌برد خود دلیل بر آنست که یک سلسله حقایق مسلّمی هست که ما آنها را معیار و مقیاس تشخیص خطا از صواب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عقیده داریم که همین احتیاطها، و پی‌بردن به پیچ و خمها و خطاها، دلیل براین است که حقایق مسلمی در پس پرده هست که آنها را مقیاس قرار داده و از روی آنها به خطای خود پی برده‌ایم، چه بسا اگر ما به قدر کافی قوانین اجتماعی را می‌شناختیم، بخوبی از عهده پاسخ به پرسشهای زندگی جاری خود و حتی مسائل آینده برمی‌آمدیم، و اگر نمی‌توانیم، به خاطر جهل ما به قوانین اجتماعی و حقایق گذشته و حال و آینده است، به عبارت دیگر هرگاه علم ما با یک واقعیت خارجی تطبیق </w:t>
      </w:r>
      <w:bookmarkStart w:id="50" w:name="pg7474_109244"/>
    </w:p>
    <w:p>
      <w:pPr>
        <w:pStyle w:val="BookText"/>
        <w:rPr/>
      </w:pPr>
      <w:bookmarkEnd w:id="50"/>
      <w:r>
        <w:rPr>
          <w:rFonts w:ascii="IRNazanin" w:hAnsi="IRNazanin" w:eastAsia="IRNazanin"/>
          <w:color w:val="111111"/>
          <w:sz w:val="28"/>
          <w:sz w:val="28"/>
          <w:szCs w:val="28"/>
          <w:rtl w:val="true"/>
          <w:lang w:bidi="fa-IR"/>
        </w:rPr>
        <w:t xml:space="preserve">کند، در همان مورد آن علم حقیقی و معتبر و مطلق است، اما فقط در همان مورد خاص و منفرد؛ والا برای آینده باید زمان و مکان و عوامل دیگر را سهیم بدانیم، اما درحال حاضر، برای دست زدن به عمل، نباید در انتظار حقایق مطلق بمانیم و کاری نکنیم، همین‌قدر که اصولی بتوان یافت که در آن حقیقت محتملی وجود داشته باشد، باید آن را میزان و ملاک عمل قرار داد، زیرا تردید نیست که هرچه در امور اجتماعی پافشاری و اصرار در پیروی از منطق محض بیشتر شود و آدمی اسیر فرضیه‌ها و تئوریهایی شود که مربوط به زمان و مکان دیگری است، به همان مقدار خطر دور شدن از واقعیات و رویاروئی با شکست بیشتر خواهد بود، هرچند آن فرضیه و منطق بخودی خود درست باشد و با موازین علمی و فلسفی هماهنگ، لکن بدون نظر و عنایت به تاریخ و فرهنگ و سنن و مذهب یک ملت و بدون توجه به اوضاع و احوال خارج کمترین درد جامعه را درمان نخواهد کرد و مواجه با شکست خواهد شد، تا هنگامی که بسیاری از تحقیقات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راه پژوهشهای آینده به روی ما باز نخواهد شد، لکن اگر آنها را واقعیت غیرقابل تردید پنداریم همواره با خطر انحراف و گمراهی روبرو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 فیلسوفان در طبقه‌بندی علوم، جامعه‌شناسی را از مرکب‌ترین و پیچیده‌ترین علوم دانسته‌اند بگونه‌ای که مبنای آن‌را بر همه علوم دیگر استوار می‌دانند، زیرا موضوع آن، حیات و ویژگیهای مربوط به آن است و اینها کیفیاتی بی‌نهایت در هم و پیچیده‌اند</w:t>
      </w:r>
      <w:r>
        <w:rPr>
          <w:rFonts w:eastAsia="IRNazanin" w:cs="IRNazanin"/>
          <w:color w:val="111111"/>
          <w:sz w:val="28"/>
          <w:szCs w:val="28"/>
          <w:rtl w:val="true"/>
          <w:lang w:bidi="fa-IR"/>
        </w:rPr>
        <w:t>.</w:t>
      </w:r>
    </w:p>
    <w:p>
      <w:pPr>
        <w:pStyle w:val="Heading5"/>
        <w:numPr>
          <w:ilvl w:val="4"/>
          <w:numId w:val="1"/>
        </w:numPr>
        <w:rPr/>
      </w:pPr>
      <w:bookmarkStart w:id="51" w:name="__RefHeading___Toc2150739_1051229030"/>
      <w:bookmarkStart w:id="52" w:name="_Toc17"/>
      <w:bookmarkEnd w:id="51"/>
      <w:r>
        <w:rPr/>
        <w:t>6</w:t>
      </w:r>
      <w:r>
        <w:rPr>
          <w:rtl w:val="true"/>
        </w:rPr>
        <w:t xml:space="preserve">- </w:t>
      </w:r>
      <w:r>
        <w:rPr>
          <w:rtl w:val="true"/>
        </w:rPr>
        <w:t>ازنظر حقوقی</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حقوق بحث نسبیت مفاهیم، از همه دانشها بیشتر است، تا آن‌جا که برخی در تعریف علم حقوق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اصل و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زیرا در برابر یک اصل به قدری استثنا، فراوان است که گاه اصل در آن میان، محو یا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قانون را وسیله و آلت برقراری نظم و عدالت دانسته و بنابراین نسبت به آن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پرواضح است که وسیله و آلت همواره در زمانها و مکانها دستخوش تغییر و تبدیل است، وسیله امری نسبی است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معنی لغوی شرع و شریعت که به معنای طریق و راه آمده، مؤید این نظر است و این جمله میان فقه شناسان زبانزد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خذالغایات و اترک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می‌دانیم که علمای یهود، نسخ شریعت را از جانب خداوند امری محال می‌دانسته‌اند،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بعید است که نخست به کاری امر کند و یا آن‌را مباح اعلام فرماید، و بعد از همان کار نهی کند و اگر این امر به‌وقوع پیوندد، لازم می‌آید که حق، باطل و باطل، حق شود و تفاوتی میان معصیت و طاعت نباشد، علمای اسلام در پاسخ به یهود با استناد به تورات </w:t>
      </w:r>
      <w:bookmarkStart w:id="53" w:name="pg7474_109245"/>
    </w:p>
    <w:p>
      <w:pPr>
        <w:pStyle w:val="BookText"/>
        <w:rPr/>
      </w:pPr>
      <w:bookmarkEnd w:id="53"/>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یعقوب، تزویج دو خواهر در یک زمان و برای یک نفر منع نشده بود، و سپس در شریعت موسی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گاهی مصلحت اجتماع برحسب زمانها و مکانها تغییر می‌کند، لازم می‌آید که شریعتی منسوخ و شریعتی دیگر، جایگزین آن شود و برخی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 که منسوخ شده به حسب ظاهر دوام داشته، لکن در واقع از آغاز برای مدت محدود و موقت وضع شده بوده‌است</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به نظر می‌رسد که این نمونه و نمونه‌های بسیار دیگر در قرآن، در باب آیات ناسخ و منسوخ، که ذکرش به درازا خواهد کشید، شاید نشان‌دهنده این حقیقت باشد که بیشتر قوانین شرعی از دیدگاه باری تعالی نیز نسبی و اضافی بوده‌است و از اینرو در زمانها و مکانها و نسبت به مصالح و مفاسد اجتماعی با وجوه اعتبارهای گوناگون و صورتها و حکمهای اولی و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تحول و تکامل دایمی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اکثر قوانین شرعی، قالب‌هایی از مواد مبهم و متشابهی است که تاب انطباق عملی با مصداقهای گوناگون را تنها به مدد آزاداندیشی در روح و محتوای معنوی آن دارد، تفصیل این مجمل در گفتار آینده، خاستگاه وضعی و فطری قانون روشن خواهد شد</w:t>
      </w:r>
      <w:r>
        <w:rPr>
          <w:rFonts w:eastAsia="IRNazanin" w:cs="IRNazanin"/>
          <w:color w:val="111111"/>
          <w:sz w:val="28"/>
          <w:szCs w:val="28"/>
          <w:rtl w:val="true"/>
          <w:lang w:bidi="fa-IR"/>
        </w:rPr>
        <w:t>.</w:t>
      </w:r>
    </w:p>
    <w:p>
      <w:pPr>
        <w:pStyle w:val="Heading4"/>
        <w:numPr>
          <w:ilvl w:val="3"/>
          <w:numId w:val="1"/>
        </w:numPr>
        <w:rPr/>
      </w:pPr>
      <w:bookmarkStart w:id="54" w:name="__RefHeading___Toc2150741_1051229030"/>
      <w:bookmarkStart w:id="55" w:name="_Toc18"/>
      <w:bookmarkEnd w:id="54"/>
      <w:r>
        <w:rPr>
          <w:rtl w:val="true"/>
        </w:rPr>
        <w:t>نتیجه و برآیند مطلب</w:t>
      </w:r>
      <w:bookmarkEnd w:id="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پیشرفت و گسترش علوم اجتماعی و پیدایش و برآمدن طرز فکرهایی که به جنبه‌های عملی بیش از نظری اهمیت می‌دهد، و مناسبترین راه حلها را راههایی میانه می‌داند که در عمل اسیر هیچ‌یک از مکتبهای فلسفی و سیاسی و اقتصادی نبوده باشد، و به سبب وضع ویژه مسائل حقوقی و اجتماعی که از دیدگاههای گوناگون، نسبی بودن مفاهیم آن حقیقتی انکارناپذیر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جامعه‌شناسی وجود عوامل بی‌شمار و جدایی عظیم میان علتها و معلولها، پژوهش را از قطعیت و جزمیت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روانشناسی به لحاظ اینکه آدمی طبع ثابتی ندارد و در هر جامعه‌ای هماهنگ مقتضیات فرهنگ و تاریخ آن جامعه، عمل می‌کند و می‌اندیشد، طبیعت ساختمان جامعه‌های بشری نیز به همین دلیل هزاران بار از ساختمان طبیعت آدمی پیچیده‌تر و بنابراین هزاران بار حساب نشدنی‌تر است، جوامع بشری مانند علوم دقیقه وضعیتی ثابت ندارند، بلکه دایم در حال رشد و تحول و تکاملند، فطرت آدمی و صفات وی محصول و دستاورد عادات و رسوم و تربیت و فرهنگ و تاریخ یک جامعه است بنابراین نسبی بودن مفاهیم </w:t>
      </w:r>
    </w:p>
    <w:p>
      <w:pPr>
        <w:pStyle w:val="BookText"/>
        <w:rPr/>
      </w:pPr>
      <w:r>
        <w:rPr>
          <w:rFonts w:ascii="IRNazanin" w:hAnsi="IRNazanin" w:eastAsia="IRNazanin"/>
          <w:color w:val="111111"/>
          <w:sz w:val="28"/>
          <w:sz w:val="28"/>
          <w:szCs w:val="28"/>
          <w:rtl w:val="true"/>
          <w:lang w:bidi="fa-IR"/>
        </w:rPr>
        <w:t>اجتماعی را امری مسلم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ازنظر فلسفی، همه فیلسوفان درباره خوبی و بدی افعال آدمی عقیده به نسبیت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تاریخی نیز، گفته شد، که تکیه بر یک عامل از عوامل محرک تاریخ، بدون توجه به عوامل دیگر، توجیه و تفسیر حرکت تاریخی را دشوار و از انسان که دارای ابعاد مختلف فکری و روحی است،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قرارداد میان اشخاص همزمان نیست، بلکه تشکیل تدریجی و نامحسوس است و اگر قراردادی در میان باشد، میان گذشته و حال و آینده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اغلب راه درست در نهضتهای اجتماعی، اصلاحات تدریجی و تکاملی است که هم به سنتها و معنویات و فرهنگ و مذهب و تاریخ یک ملت استوار باشد و هم برپایه نیازها و نهادها و بنیادهای درحال حرکت فعلی و متغیر قرار داشته باشد و هم به برکت علم آمار، واقعیت‌های هر قدم اصلاحی، به دقّت سنجیده و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جامعه آن‌چنان از مسیر اصولی و منطقی و تاریخی خود دور شده باشد و آنچنان رابطه او را با گذشته خویش قطع کرده باشند، که برای جبران این ازهم پاشیدگی نظام اجتماعی، نهضتی انقلابی عهده‌دار بسامان رساندن آن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 که در اجتماع به سبب بیماری بیش از حد، رخ می‌دهد، در واقع مانند بیماریی است که زمان درمان آن با دارو گذشته و ناگزیر باید با عمل جراحی آن‌را درمان کرد</w:t>
      </w:r>
      <w:r>
        <w:rPr>
          <w:rFonts w:eastAsia="IRNazanin" w:cs="IRNazanin"/>
          <w:color w:val="111111"/>
          <w:sz w:val="28"/>
          <w:szCs w:val="28"/>
          <w:rtl w:val="true"/>
          <w:lang w:bidi="fa-IR"/>
        </w:rPr>
        <w:t xml:space="preserve">. </w:t>
      </w:r>
      <w:bookmarkStart w:id="56" w:name="pg7474_109247"/>
    </w:p>
    <w:p>
      <w:pPr>
        <w:pStyle w:val="Heading3"/>
        <w:numPr>
          <w:ilvl w:val="2"/>
          <w:numId w:val="1"/>
        </w:numPr>
        <w:rPr/>
      </w:pPr>
      <w:bookmarkStart w:id="57" w:name="__RefHeading___Toc2150743_1051229030"/>
      <w:bookmarkStart w:id="58" w:name="_Toc19"/>
      <w:bookmarkEnd w:id="56"/>
      <w:bookmarkEnd w:id="57"/>
      <w:r>
        <w:rPr>
          <w:rtl w:val="true"/>
        </w:rPr>
        <w:t xml:space="preserve">گفتار دوم </w:t>
      </w:r>
      <w:r>
        <w:rPr>
          <w:rtl w:val="true"/>
        </w:rPr>
        <w:t>:</w:t>
      </w:r>
      <w:r>
        <w:rPr>
          <w:rtl w:val="true"/>
        </w:rPr>
        <w:t>حقوق بیگانه و روش تجربی</w:t>
      </w:r>
      <w:bookmarkEnd w:id="58"/>
    </w:p>
    <w:p>
      <w:pPr>
        <w:pStyle w:val="Heading4"/>
        <w:numPr>
          <w:ilvl w:val="3"/>
          <w:numId w:val="1"/>
        </w:numPr>
        <w:rPr/>
      </w:pPr>
      <w:bookmarkStart w:id="59" w:name="__RefHeading___Toc2150745_1051229030"/>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درمیان مکتبهای حقوقی دو دیدگاه حایز اهمیت است،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حق را کشف می‌کند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دسته اول است و قاضی را دهانی می‌داند که گفتار قانون را کشف و بیان می‌کند و جز این برایش نقشی نمی‌شناسد، این طرز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زیرا بیشتر پیشروان آن از فرانسه‌اند، و طرز فکر دوم که می‌گوید قاضی حق را می‌آفریند و پدید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مکتب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زیرا که خاستگاه آن، این کشور بوده‌است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کشف، درواقع از مکتب تاریخی الهام گرفته‌است که تکامل حقوق را مانند زبان امری خود بخودی می‌داند، زبان را کسی وضع نمی‌کند، بلکه قواعد آن را کشف و شاخه‌بندی می‌کنند، به همین دلیل، مجسمه عدالت را در فرانسه بمانند فرشته‌ای چشم بسته و شمشیر به دست، نشان می‌دادند، یعنی که قانون بی‌طرف است و همه در برابر آن یکسانند، به هر تقدیر این مظهر و علامت چشم بسته با شمشیری در دست، زاده انقلاب کبیر فرانسه و حاصل اوضاع سیاسی قرن هیجدهم بود، و درواقع نشان رهایی از ستم حکومتهای خودکامه و بی‌قانون بود که اینگونه بازتاب و افراط بیش از اندازه را در حفظ و حراست قانون توجیه و تجویز می‌کرد، درحالی که پس از خاموش شدن آتش انقلاب، در عمل متوجه شدند که قاضی نباید چشم بسته و بی‌هدف و بی اراده در برابر قانون باشد، او باید اطراف و جوانب و کیفیت قضیه را برای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درنظر بگیرد، و جای خالی قانون را پر کند، برای قانون امکان پیش‌بینی همه موارد وجود ندارد، زندگی رویدادهایی تازه دارد که هرگز در قانون قابل پیش‌بینی نیست، و اگر </w:t>
      </w:r>
    </w:p>
    <w:p>
      <w:pPr>
        <w:pStyle w:val="BookText"/>
        <w:rPr/>
      </w:pPr>
      <w:r>
        <w:rPr>
          <w:rFonts w:ascii="IRNazanin" w:hAnsi="IRNazanin" w:eastAsia="IRNazanin"/>
          <w:color w:val="111111"/>
          <w:sz w:val="28"/>
          <w:sz w:val="28"/>
          <w:szCs w:val="28"/>
          <w:rtl w:val="true"/>
          <w:lang w:bidi="fa-IR"/>
        </w:rPr>
        <w:t>قاضی تنها بیان‌کننده چشم بسته قانون باشد، چگونه می‌تواند وظیفه اصلی خود را که تحقق عدالت است، ایفا کند؟ در این مکتب، حکم قاضی یک قیاس منطقی را نشان می‌داد که در آن قانون، کبری؛ قضیه مورد دعوی، صغری و حکم قاضی که حمل قانون بر قضیه مورد دعوی بود، نتیجه این قضیه را نشان می‌داد و بنابراین حقوق از شاخه‌های علم منطق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مکتب آلمانی حقوق جزء علوم تجربی و قاضی یک مهندس اجتماعی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قاضی باید پایبند به حدود قانون باشد، اگر میزان در دست نباشد آدمی در همه امور از افراط و تفریط ناگزیر می‌شود، لکن اگر قانون مانند زندانی برای قاضی فرض شود، باز هم قاضی باید بتواند در محدوده زندان حرکت کند، تصرف کند و صاحب‌نظر و رأی باشد، بنابراین امروز در خود فرانسه هم جنبه افراطی این مکتب تعدیل شده و در موارد ابهام و اجمال و یا نقص و یا سکوت قانون به قاضی اختیار داده شده که برای جبران آن با تفقه و به کارگیری روشهای استنباط به ایجاد رویه‌های قضایی متناسب دست زند و بدین‌گونه آزادی قاضی را در عمل پذیرفته‌اند و مکتب کشف، هواداری ندارد، زیرا با نیازمندیها و الزامهای اجتماعی تازه سازگار نبود، و ازین رو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اصول این مکتب بود، محکوم به شکست شد، توضیح این که منظور آن نیست که هر روز قانون تازه‌ای وضع کنند و جامعه را دچار سرگردانی کنند بلکه از همان قانون ثابت در پرتو تفسیرهای تازه و نو، مفاهیم جدیدی استخراج کنند با این که از زمان تصویب قانون مدنی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بیش از یکصد و هشتاد سال می‌گذرد، مع ذلک، قضات در راه تحقق هرچه بیشتر عدالت و انصاف، با دست باز از همان قانون ثابت احکامی متناسب با مقتضیات زمان استخراج کرده‌اند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امریکا، نیز می‌گویند اگر قاضی حق ارزیابی قانون را نداشته باشد، درواقع آزادی رأی ندارد، و بنابراین در قوانین اساسی ایالات، پیش‌بینی شده که اگر مجلس تحت تاثیر عوامل سیاسی، قانونی برخلاف قانون اساسی تصویب کند، قاضی حق دارد که به هنگام صدور </w:t>
      </w:r>
    </w:p>
    <w:p>
      <w:pPr>
        <w:pStyle w:val="BookText"/>
        <w:rPr/>
      </w:pPr>
      <w:r>
        <w:rPr>
          <w:rFonts w:ascii="IRNazanin" w:hAnsi="IRNazanin" w:eastAsia="IRNazanin"/>
          <w:color w:val="111111"/>
          <w:sz w:val="28"/>
          <w:sz w:val="28"/>
          <w:szCs w:val="28"/>
          <w:rtl w:val="true"/>
          <w:lang w:bidi="fa-IR"/>
        </w:rPr>
        <w:t>حکم، از اجرای آن خودداری ورزد و آن را باطل اعلام کند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زاده عوامل و حوادثی است که پیوسته در حرکت است و هیچ قانونی که خاستگاهی وضعی داشته باشد نمی‌تواند زمانی دراز بی‌دگرگونی و تحول پایدار بماند، حقوق حاصل فکر قانونگذار نیست، بلکه نتیجه دقت در تجربه‌های مکرر رویدادها و واقعیات زندگی روزمره است، و شناخت کامل احوال و آثار آن درصورتی میسر است که به علل و اسباب بروز این حادثه‌ها پی برده شود، قانون با کلیت و عمومیت و اطلاقی که دارد، امکان پیش‌بینی همه موارد در آن فراهم نیست، قانون با دستورالعمل و بخشنامه خلق‌الساعه و زودگذر و موقتی که تکلیف موارد جزئی را معین می‌کند،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انتخاب ملاکهایی که با واقع و نفس‌الامر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قانونگذار دشوار است، لکن اینگونه معیارها را باید از تحولات گذشته تا اندازه‌ای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این تحولات ناشناخته مانده و یا قابل پیش‌بینی نبوده‌اند برای قانونگذار اشکال پدید می‌آورد، زیرا ارزیابی تحولات آینده براساس دگرگونیهای گذشته، درصورتی ممکن است که عوامل آنها دارای ماهیتی یکسان و هماهنگ باشند و بدیهی است که زمان تا چه اندازه این عوامل را تغییر می‌دهد، ازین رو اگر قانون ثابت بماند، به حکم اجبار و ضرورت، معنی و مفهومش دستخوش مقتضیات و الزامهای عصر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منظور اصلی قانونگذار هماهنگ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قانون مدنی فرانسه، زاده و خونبهای انقلاب کبیر و بازتاب رهایی از استبداد و بی‌قانونی بود، به همین دلیل، عکس‌العمل این اوضاع، به این صورت نمایان شد که حقوقدانان، قوانین مصوب پس از انقلاب را چون ودیعه‌ای مقدس و مانند قوانین هندسه و ریاضی از اصول ثابت و تغییرناپذیر عالم بپندارند، اما با این همه حوادث بعدی و گذشت زمان و مسائل تازه، عناصر جدیدی را در آن قوانین وارد کرد و تفسیر و رویّه قضایی آن را انعطاف‌پذیر ساخت که از هر حیث با مبانی آغاز انقلاب و پندارهای نخستین متفاوت و گاه متضاد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اینکه، در حقوق موضوعه هیچ قانونی ثابت و برجای و ابدی نیست، بلکه همه </w:t>
      </w:r>
      <w:bookmarkStart w:id="61" w:name="pg7474_109250"/>
    </w:p>
    <w:p>
      <w:pPr>
        <w:pStyle w:val="BookText"/>
        <w:rPr/>
      </w:pPr>
      <w:bookmarkEnd w:id="61"/>
      <w:r>
        <w:rPr>
          <w:rFonts w:ascii="IRNazanin" w:hAnsi="IRNazanin" w:eastAsia="IRNazanin"/>
          <w:color w:val="111111"/>
          <w:sz w:val="28"/>
          <w:sz w:val="28"/>
          <w:szCs w:val="28"/>
          <w:rtl w:val="true"/>
          <w:lang w:bidi="fa-IR"/>
        </w:rPr>
        <w:t xml:space="preserve">چیز درحال گذر و سیر و دگرگونی است، نظامی می‌رود تا جای خود را به نظامی بهتر بسپارد،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را به نسبیت و عقیده به دگرگونی دایم سپرده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ثابت و برجای نیست</w:t>
      </w:r>
    </w:p>
    <w:p>
      <w:pPr>
        <w:pStyle w:val="BookText"/>
        <w:rPr/>
      </w:pPr>
      <w:r>
        <w:rPr>
          <w:rFonts w:ascii="IRNazanin" w:hAnsi="IRNazanin" w:eastAsia="IRNazanin"/>
          <w:color w:val="111111"/>
          <w:sz w:val="28"/>
          <w:sz w:val="28"/>
          <w:szCs w:val="28"/>
          <w:rtl w:val="true"/>
          <w:lang w:bidi="fa-IR"/>
        </w:rPr>
        <w:t>جمله در تغییر و سیر سرمدی است</w:t>
      </w:r>
    </w:p>
    <w:p>
      <w:pPr>
        <w:pStyle w:val="BookText"/>
        <w:rPr/>
      </w:pPr>
      <w:r>
        <w:rPr>
          <w:rFonts w:ascii="IRNazanin" w:hAnsi="IRNazanin" w:eastAsia="IRNazanin"/>
          <w:color w:val="111111"/>
          <w:sz w:val="28"/>
          <w:sz w:val="28"/>
          <w:szCs w:val="28"/>
          <w:rtl w:val="true"/>
          <w:lang w:bidi="fa-IR"/>
        </w:rPr>
        <w:t>باری، در فرانسه برای رفع نقص قانون و یا سکوت و اجمال و ابهام و یا تعارض آن، روشها و مکتبهای گوناگونی پدید آمد که عهده‌دار تفسیر و گاه توسعه شمول قانون در رویدادهای تازه شد، ازجمله تفسیری که برمبنای آن مراد قانونگذار، از وضع و تصویب قانون، ملاک عمل قرار می‌گیرد امروز طرفداری ندارد، مکتب دیگر، مصلحتهای عامه را مقیاس و راهنمای تفسیر قرار داد که هنوز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اول، تفسیر پیرامون مراد و منظور قانونگذار می‌گشت، عنوان حقوق در واقع با قانون یکسان بود، تا آن‌جا که یکی از حقوقدانان فرانسه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حقوق مدنی فرانسه را نمی‌شناسم و تنها مجموعه قانون مدنی ناپلئون را می‌شناسم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 که در مکتب دوم، حقوق از تنگنای مراد و منظور قانونگذار خارج شد و در فضای باز مصلحتهای عمومی مجال تنفس یافت</w:t>
      </w:r>
      <w:r>
        <w:rPr>
          <w:rFonts w:eastAsia="IRNazanin" w:cs="IRNazanin"/>
          <w:color w:val="111111"/>
          <w:sz w:val="28"/>
          <w:szCs w:val="28"/>
          <w:rtl w:val="true"/>
          <w:lang w:bidi="fa-IR"/>
        </w:rPr>
        <w:t>.</w:t>
      </w:r>
    </w:p>
    <w:p>
      <w:pPr>
        <w:pStyle w:val="Heading4"/>
        <w:numPr>
          <w:ilvl w:val="3"/>
          <w:numId w:val="1"/>
        </w:numPr>
        <w:rPr/>
      </w:pPr>
      <w:bookmarkStart w:id="62" w:name="__RefHeading___Toc2150747_1051229030"/>
      <w:bookmarkStart w:id="63" w:name="_Toc21"/>
      <w:bookmarkEnd w:id="62"/>
      <w:r>
        <w:rPr>
          <w:rtl w:val="true"/>
        </w:rPr>
        <w:t>تاثیر علوم تجربی در حقوق</w:t>
      </w:r>
      <w:bookmarkEnd w:id="63"/>
    </w:p>
    <w:p>
      <w:pPr>
        <w:pStyle w:val="BookText"/>
        <w:rPr/>
      </w:pPr>
      <w:r>
        <w:rPr>
          <w:rFonts w:ascii="IRNazanin" w:hAnsi="IRNazanin" w:eastAsia="IRNazanin"/>
          <w:color w:val="111111"/>
          <w:sz w:val="28"/>
          <w:sz w:val="28"/>
          <w:szCs w:val="28"/>
          <w:rtl w:val="true"/>
          <w:lang w:bidi="fa-IR"/>
        </w:rPr>
        <w:t xml:space="preserve">با گسترش علوم تجربی، پس از تجدید حیات علمی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نیز از تاثیر این پیشرفت برکنار نماند و در مسیر روش علمی قرار گرفت، فلسفه حقوق نیز به موازات آن حرکت کرد، لکن فلسفه حقوق امروز، بیشتر سازشی میان مکتبهای گوناگونی است که به طور مطلق و مجرد متعارض به نظر می‌رسند، امروز به جای تقویت جنبه‌های نظری بیشتر تکیه بر جنبه‌های عملی است، زیرا کلیات نمی‌توانند مدت زیادی در برابر منطق قوی واقعیات مقاومت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مکتبهایی که در وضعیتهای خاص و معینی پدید آمده‌اند، در برابر واقعیات و مقتضیات زمان نقش بر آب می‌شوند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حقوق غربی به جای هواداری از مکتبی خاص، نظر حقوقدانان بر آنست که از </w:t>
      </w:r>
    </w:p>
    <w:p>
      <w:pPr>
        <w:pStyle w:val="BookText"/>
        <w:rPr/>
      </w:pPr>
      <w:r>
        <w:rPr>
          <w:rFonts w:ascii="IRNazanin" w:hAnsi="IRNazanin" w:eastAsia="IRNazanin"/>
          <w:color w:val="111111"/>
          <w:sz w:val="28"/>
          <w:sz w:val="28"/>
          <w:szCs w:val="28"/>
          <w:rtl w:val="true"/>
          <w:lang w:bidi="fa-IR"/>
        </w:rPr>
        <w:t>دستاوردهای مکتبها با توجه به علم آمار و نتیجه‌گیریهای آن بهره‌گیری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این کیفیتها و کمیتها به دستیاری کارشناسان مربوطه، برای اطمینان به درستی و قابلیت هماهنگی عملی آنها، روش تحقیق را یکسره دگرگون کرده است، زیرا نزدیکترین راه برای درک حقیقت روبرو شدن با واقعیتهای زندگی است، و همین‌هاست که موجب یافتن راه‌حلهای عینی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بخش بزرگی از حقوق هنوز جنبه کیفی دارد و از قلمرو علم آمار بیرون است، لکن روز بروز با توجه به روشهای آمار تحلیلی به آنها جنبه کمی داده می‌شود و پایه مکتبهای حقوقی را اغلب اندازه‌گیریهای کمی و دستاوردهای اقتصادی تشکیل می‌دهد، و دیگر امروز این عقیده که اینگونه علوم را به مجرد تعقل و صرف استدلال می‌توان شناخت، طرفداری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وامدار و خریدار علوم تجربی و عقلی است، هر کشف تازه و نظریّه جدید در این دانشها، به تحول حقوق کمک می‌کند و به دگرگونی آنها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اثبات ادعا، نگاهی به برخی از دوره‌های تکامل طرق اثبات جرم کافی است، یکی از این دوره‌ها، دوره دلایل قانونی بود، در این دوره، مأموران کشف جرم، به هر وسیله سعی می‌کردند از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زیرا اقرار دلیلی قانونی و عمده بود، در بازجویی گاه به حیله و نیرنگ و گاه به شکنجه و زور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غیر علنی، غیر تدافعی و شفاهی بود</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علنی، تدافعی و کتبی بودن دادرسی از وثایق امنیت قضایی و از اصول غیر قابل تردید حقوق بشری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پژوهشهای روانشناسی نشان داد که بسیاری از اقرارها و شهادتها، بسهو یا بعمد، دروغ و بی اساس بوده و با تقواترین افراد ممکن است حتی از روی حسن نیت به دروغ شهادت دهند، و بنابراین حکمی هم که بر مبنای آن صادر شده بر خلاف حق و عدالت بوده است، زیرا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تطمیع، فریب، ارعاب، نیرنگ یا قرابت و دوستی شدید با متهم اصلی، یا امراض دماغی از قبیل جنون شهرت طلبی و یا رهایی از شکنجه‌های غیر قابل تحمل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بسهولت متهم را وادار به اقرار و یا شاهد را ناگزیر از شهادت دروغ می‌کرده است، از این رو اقرار و گواهی، قاطعیت و موضوعیت خود را از دست داد و در راه رسیدن به حقیقت قضایی، در حد یک وسیله نسبی تنزل کرد و جنبه طریقیت به خود گرفت، و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فرانسوی در قرن هیجدهم، از جمله کسانی است که شیوه قاطع بودن اقرار و گواهی را مورد انتقاد سخت قرار داد و </w:t>
      </w:r>
    </w:p>
    <w:p>
      <w:pPr>
        <w:pStyle w:val="BookText"/>
        <w:rPr/>
      </w:pPr>
      <w:r>
        <w:rPr>
          <w:rFonts w:ascii="IRNazanin" w:hAnsi="IRNazanin" w:eastAsia="IRNazanin"/>
          <w:color w:val="111111"/>
          <w:sz w:val="28"/>
          <w:sz w:val="28"/>
          <w:szCs w:val="28"/>
          <w:rtl w:val="true"/>
          <w:lang w:bidi="fa-IR"/>
        </w:rPr>
        <w:t>آن را مخالف عدل و انصاف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قوانین شرعی اصولاً دلایل جنبه طریقیّت دارد نه موضوعیت، و قاضی دستش در ارزیابی و سبک و سنگین کردن آنها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با انتقادهایی که از روش دلائل قانونی شد، دوره دلایل معنوی یا اقناع وجدان قاضی جای آن را گرفت، به این دلیل که افراد مردم اغلب در نشان دادن حالات روانی خویش صدیق نیستند و همه یک نوع علامت را به کار نمی‌برند، از این رو بخصوص قاضی جزایی در حقوق امروز دستش در ارزیابی دلایل باز است، هر چند قاضی حقوقی نیز می‌تواند دلایل را ارزیابی کند و ارزش و اعتبار شهادت بسته به نظر اوست، لکن بیشتر از قاضی جزایی پایبند دلایل است، در حقوق امروز قاضی جزایی حتی می‌تواند متهمی را که به جرم خود اقرار کرده براساس دلایل دیگر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وجدانی در امور کیفری باید همواره به نفع متهم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 قرن اخیر، اکتشافاتی در علوم پدید آمده که موجب شده برخی دوره دیگری را در دلایل حقوقی و کیفری پیش‌بینی کنند که در آن دلایل علمی جایگزین دلایل قانونی و یا معنوی شود، و طبیب و روانشناس و جرمشناس دستیار قاضی شوند، مبنای این فرضیه، تجربه‌های علمی اواخر قرن گذشته درباره وقوع جرم هم ازلحاظ دلایل و هم از جهت عوامل فردی و اجتماعی است، روانشناسی با همه شاخه‌های آن، پزشکی قانونی و روانپزشکی، استفاده از ضبط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نوشتن پرسشها و پاسخها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فیلم و وسائل مخابراتی، انگشت‌نگاری، داروسازی و شیمی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تجزیه دلایل جرم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خون، تعیین گروه خونی و نوع سم و میزان مصرف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کالبدشکافی جسدی که فوتش مشکوک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پدید آمدن دوره دلایل علمی مؤثر خواهند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با این همه هنوز در قوانین دنیا، قاضی مکلف به تبعیت از نظر کارشناس نیست، نظر کارشناس جنبه طریقیت دارد نه موضوعیت، و درصورتی که عقیده کارشناس با اوضاع و احوال </w:t>
      </w:r>
    </w:p>
    <w:p>
      <w:pPr>
        <w:pStyle w:val="BookText"/>
        <w:rPr/>
      </w:pPr>
      <w:r>
        <w:rPr>
          <w:rFonts w:ascii="IRNazanin" w:hAnsi="IRNazanin" w:eastAsia="IRNazanin"/>
          <w:color w:val="111111"/>
          <w:sz w:val="28"/>
          <w:sz w:val="28"/>
          <w:szCs w:val="28"/>
          <w:rtl w:val="true"/>
          <w:lang w:bidi="fa-IR"/>
        </w:rPr>
        <w:t>محقق و معلوم مسأله موافقت نداشته باشد، دادگاه متابعت آن عقیده را نمی‌کند، زیرا کارشناس چه بسا در ارائه نظریه دچار اشتباه علمی و یا تهدید و تطمیع شده باشد، با این همه کارشناسی امروز در عمل جای خود را باز کرده و پایه بسیاری از احکام دادگاهها را تشکیل می‌دهد، زیرا دلایل کتبی مثل اسناد و مراسلات و علایم مادی واقعه، ضعف شهادت یا اقرار انسانی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اینها شهود صامت قضیه‌اند و درعین حال صادقانه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ازلحاظ ماهیت حقوقی، کارشناسی عبارتست از شهادت به معنی اخص، شاهدی که اطلاعات فنی و تخصصی را که قاضی قادر به تشخیص آن نیست، و یا تشخیص آن وی را از کار اصلی باز می‌دارد و بنابراین نمی‌تواند دخالت کند، دراختیار وی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کارشناسی چنان‌که معلوم است همه علوم را تقریبا دربر می‌گیرد، علومی که با اجتماع و انسان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 دارد ازقبیل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و شاخه‌های آن، داروسازی، عکاسی، مهندسی، حسابداری، خط شناسی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که اشاره‌ای به یکی از کاربردهای کارشناسی در علم حقوق بشود، در بیشتر کشورها، امروز مسؤولیت متهمی را که مبتلا به جنون است، به طور کامل منتفی نمی‌دانند، زیرا دانش پزشکی به ثبوت رسانده که جنونی که موجب زوال کامل عقل است، یکنوع بیش نیست، و در دیگر موارد، چند درصد موجب زوال عقل می‌شود، پیشرفتهای جدید پزشکی، میزان جنون متهم را تعیین می‌کند و قاضی به نسبتی که جنون کمتر باشد کیفر سنگینتری برای متهم تعیین می‌کند و به نسبتی که بیشتر باشد کیفر سبکتری درنظر می‌گیرد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بیشتر کشورها پذیرفته شده است، آیا در شریعت اسلام، دلائلی وجود دارد که قبول این نظریه را با اشکال مواجه نکند؟ مگر نه اینست که صغیر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طفلی که میان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مرتکب جرمی شود کیفرش با شخص بالغ متفاوتست،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جاری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تادیب می‌شود، و مگر نه این است که زنای جوان با افراد سالمند حکمی متفاوت دارد، بنابراین به نظر می‌رسد شاید بتوان برای آنان که مجنون نیستند، لکن به درجاتی دچار کم‌عقلی، سفاهت و بلاهتند و یا اعصابی بسیار متشنج و تحریک‌پذیر دارند، کیفری سبکتر از آنان که سالم و عاقل و مختارند، </w:t>
      </w:r>
      <w:bookmarkStart w:id="64" w:name="pg7474_109254"/>
    </w:p>
    <w:p>
      <w:pPr>
        <w:pStyle w:val="BookText"/>
        <w:rPr/>
      </w:pPr>
      <w:bookmarkEnd w:id="64"/>
      <w:r>
        <w:rPr>
          <w:rFonts w:ascii="IRNazanin" w:hAnsi="IRNazanin" w:eastAsia="IRNazanin"/>
          <w:color w:val="111111"/>
          <w:sz w:val="28"/>
          <w:sz w:val="28"/>
          <w:szCs w:val="28"/>
          <w:rtl w:val="true"/>
          <w:lang w:bidi="fa-IR"/>
        </w:rPr>
        <w:t xml:space="preserve">وضع کرد و قاضی را در تعیین کیفر به نسبت میزان عقل و شعور و اختیار افراد راهنمایی کرد، زیرا در تعیین کیفر دور از انصاف و عدالت است که افراد کم هوش و کم عقل را در ردیف افراد باهوش و عاقل قرار داد، زیرا ازنظر هوشی آنان واجد خصوصیات کودکانند، به هر تقدیر به نظر می‌رسد که این نظریه نوعی اجتهاد درمقابل نص و یا گونه‌ای استحسان و یا قیاس مستنبط العله باشد و آن‌جا که موضوعات احکام شرعی که ازسوی شارع تحدید و تفسیر نشده باشد تعیین آنها موکول به نظر عرف است بنابراین در تشخیص جنون و اغما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عرف مقبول و متبع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2150749_1051229030"/>
      <w:bookmarkStart w:id="66" w:name="_Toc22"/>
      <w:bookmarkEnd w:id="65"/>
      <w:r>
        <w:rPr>
          <w:rtl w:val="true"/>
        </w:rPr>
        <w:t>نتیجه و خلاصه</w:t>
      </w:r>
      <w:bookmarkEnd w:id="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قاضی بیانگر چشم‌بسته و آلت بی اراده قانون نیست؛ از آن‌جا که جمود بر الفاظ قانون و مراد و منظور قانونگذار در حل مشکلهای روزانه، ناتوانست و مؤید این ادعا سه نقیصه بارز قانون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نارسایی، عمومیت، ثبات، از آن‌جا که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جایش را به عصر آزادی اندیشه‌های علمی سپرده و دوره جمود منطق ارسطویی با تجدید حیات علمی، سپری شده و روشهای تجربی و عینی جای آن‌را گرفته و در عمل راه‌حلهای عینی و تجربی با واقعیتهای زمان هماهنگتر است و از ضرورتهای عصر ماست و حقوق و عدالت پیشرفتهای علمی را به خدمت گرفته‌است، و از آن‌جا که دوره دلایل قانونی بویژه در حقوق کیفری، جایش را به تحولات اجتماعی و علمی عصر سپرده‌است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نوید ظهور دوره‌ای را می‌دهد که حقوق در مسیر علوم تجربی قرار گیرد و یا از دستاوردهای آن بیش از پیش و به نحو احسن استفاده شود، بنابراین فلسفه نسبیت و تجدید نظرخواهی در حقوق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مطالبی است که در گفتار یکم آمده‌است</w:t>
      </w:r>
      <w:r>
        <w:rPr>
          <w:rFonts w:eastAsia="IRNazanin" w:cs="IRNazanin"/>
          <w:color w:val="111111"/>
          <w:sz w:val="28"/>
          <w:szCs w:val="28"/>
          <w:rtl w:val="true"/>
          <w:lang w:bidi="fa-IR"/>
        </w:rPr>
        <w:t xml:space="preserve">. </w:t>
      </w:r>
      <w:bookmarkStart w:id="67" w:name="pg7474_109255"/>
    </w:p>
    <w:p>
      <w:pPr>
        <w:pStyle w:val="Heading3"/>
        <w:numPr>
          <w:ilvl w:val="2"/>
          <w:numId w:val="1"/>
        </w:numPr>
        <w:rPr/>
      </w:pPr>
      <w:bookmarkStart w:id="68" w:name="__RefHeading___Toc2150751_1051229030"/>
      <w:bookmarkStart w:id="69" w:name="_Toc23"/>
      <w:bookmarkEnd w:id="67"/>
      <w:bookmarkEnd w:id="68"/>
      <w:r>
        <w:rPr>
          <w:rtl w:val="true"/>
        </w:rPr>
        <w:t xml:space="preserve">گفتار سوم </w:t>
      </w:r>
      <w:r>
        <w:rPr>
          <w:rtl w:val="true"/>
        </w:rPr>
        <w:t>:</w:t>
      </w:r>
      <w:r>
        <w:rPr>
          <w:rtl w:val="true"/>
        </w:rPr>
        <w:t>سیر تحول مبانی استنباط</w:t>
      </w:r>
      <w:bookmarkEnd w:id="69"/>
    </w:p>
    <w:p>
      <w:pPr>
        <w:pStyle w:val="Heading4"/>
        <w:numPr>
          <w:ilvl w:val="3"/>
          <w:numId w:val="1"/>
        </w:numPr>
        <w:rPr/>
      </w:pPr>
      <w:bookmarkStart w:id="70" w:name="__RefHeading___Toc2150753_1051229030"/>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روش پژوهش در مبانی 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مقدمه فقه شناسی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تاکنون، دستخوش دگرگونیهایی شده، که تفصیلی دراز دارد، در اینجا اشاره‌ای کوتاه به آن می‌شود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واژه‌هایی که در شریعت به کار می‌رفت، در آغاز روشن بود و شنونده به مقصود و منظور و کاربرد آن پی می‌برد، وجوب و حرمت، استحباب و کراهت و اباحه دستورها آشکار بود، اگر گهگاه به مشکلی برخورد می‌شد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اصحاب مراجعه و رفع اشکال می‌شد، درحالی که بعدها به دلیل دگرگونیهایی که در زبان و مناسبات اجتماعی پدید آمد و دامنه حکومت مسلمانان در دنیا گسترش یافت و کشورهایی به قلمرو آنان افزوده شد، و نیز به دلیل دوری از مراجع نخستین که قولشان حجت و قابل استناد بود، تاریکیها و ابهامهایی در عمل پیش آمد که بویژه در امر قضا و دادرسی مسائلی را پدید آورد، بنابراین برای آشکارساختن مقصود و منظور اصلی شارع و راه‌حل قضایا ناگزیر بحث و بررسی در واژه‌ها و معانی و اشتقاق لغات به میان آمد، تا مثلا در عقدها از به کار بردن واژه‌های مشترک یا غیر صریح و مبهم و مجمل خودداری شود و شکل و قالب هر عقد معلوم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استنباط احکام، روشهای گوناگون و پراکنده پدید آمد برای رفع این تشتت و پراکندگی دانشهای دینی تدوین شد، مجموعه این دانشها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لکن به دانشهای اعتقادی که علم کلام بیشتر بررسی استدلالی آنها را عهده‌دار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p>
    <w:p>
      <w:pPr>
        <w:pStyle w:val="BookText"/>
        <w:rPr/>
      </w:pP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با این حال بعدها هریک از این شاخه‌ها نامی خاص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اصولا عرف و عادت موجود مورد تایید واقع شد و اتکای شارع مقدس در باب معاملات بر عرف و عادت، موجب شد که نیازی به ذکر جزئیات ازطریق نصوص نباشد، از اینرو و به دلیل قلت نصوص، میدانی وسیع در قرون متمادی برای کشف فنون و ابزارهای استنباط باز شد و تسلط کامل بر فنون مزبور به فراوانی راههای اجرای عدالت کمک می‌کرد، تا آن‌جا که احکام معاملات، بیشتر از عرف مایه گرفتند برخلاف عبادات که چون حالت تاسیسی دارند عرف و عادت در آنها تاثیری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علم کلام، در دوره عباسیان ترجمه کتب طب و فلسفه و علوم دیگر از سریانی به عربی به وسیله نسطوریان و ترجمه فلسفه‌ای که در اسکندریه تدریس می‌شد و ترکیبی از فلسفه اشراق و مشاء بود، در برخورد با افکار شرقی که نوافلاطونی بود، روش استدلال تازه‌ای پدید آورد؛ بخصوص معتزله که در هر چیز به بررسی و استدلال می‌پرداختند،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صفات خدا، که اراده خدا عین ذات اوست یا مغایر با آن؟ آیا طلب واقعی عین اراده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استدلالها، رفته رفته از علم کلام وارد اصول فقه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رضا در عقود، بحث‌انگیز شد، چنانکه گروهی به هواداری از معتزله معتقد به عینیت و اتحاد طلب و اراده شدند و عده‌ای به طرفداری از اشاعره به غیریت آن دو اعتقاد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علمای اصول فقه بتدریج برای تشخیص ظهور الفاظ در بعضی از معانی ازقبیل ظهور صیغه امر در وجوب و یا صیغه نهی، در حرمت به چگونگی شکلهای آن پرداختند و در نتیجه بحث الفاظ تقریبا نیمی از کتابهای اصول استنباط را دربر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برخورد معارف دینی با فرهنگ و فلسفه یونان بخصوص در عهد مأمون و منصور عباسی، موجب بیداری مسلمانان شد تا از مبانی دین در برابر فرهنگ جهان آن روز دفاع کنند، و پیامد این تلاشها، پایه‌گذاری اصول استنباط، علم کلام و بویژه عرفان است، در این میان دانشمندانی که اکثریت قریب به اتفاق آنها ایرانی بودند مکتبهای فقهی و روشهای استنباط گوناگون را پدید آوردند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هرچند مبانی استنباط بر درک مفاهیم عادلانه و هماهنگی با آن استوار بود، لکن دیری نپایید که به دلیل تعصب و یکسونگری تند و شدید گروهی از فقه‌شناسان، هر نوع تحقیق در مبانی </w:t>
      </w:r>
      <w:bookmarkStart w:id="72" w:name="pg7474_109257"/>
    </w:p>
    <w:p>
      <w:pPr>
        <w:pStyle w:val="BookText"/>
        <w:rPr/>
      </w:pPr>
      <w:bookmarkEnd w:id="72"/>
      <w:r>
        <w:rPr>
          <w:rFonts w:ascii="IRNazanin" w:hAnsi="IRNazanin" w:eastAsia="IRNazanin"/>
          <w:color w:val="111111"/>
          <w:sz w:val="28"/>
          <w:sz w:val="28"/>
          <w:szCs w:val="28"/>
          <w:rtl w:val="true"/>
          <w:lang w:bidi="fa-IR"/>
        </w:rPr>
        <w:t xml:space="preserve">دیگر و یا دخالت عقل ممنوع شد، شاید جذبه معنوی مذهب و یا ترس از عوام اینگونه تعبد و تندروی را در میان این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گرفته‌اند موجب شده‌است، تا آن‌جا که بیرون از سنت، منبع دیگری به رسمیت شناخته نشود، لکن مقتضیات زندگی و اوضاع و احوال متغیر زمان، قواعدی متناسب را طلب می‌کرد، ازین‌رو برخی از فقه‌شناسان را وادار به ابتکار روشی کرد که هم با توسعه و دگرگونی جامعه‌ها، هماهنگ باشد و هم مبانی فقهی صیانت شود و آن کشف و تدوین اصول استنباط بود، اما در این میان مکتبهایی پدید آمد که جنبه افراط و یا انحراف به خود گرفت، که به آنها اشاره می‌کنیم</w:t>
      </w:r>
      <w:r>
        <w:rPr>
          <w:rFonts w:eastAsia="IRNazanin" w:cs="IRNazanin"/>
          <w:color w:val="111111"/>
          <w:sz w:val="28"/>
          <w:szCs w:val="28"/>
          <w:rtl w:val="true"/>
          <w:lang w:bidi="fa-IR"/>
        </w:rPr>
        <w:t>.</w:t>
      </w:r>
    </w:p>
    <w:p>
      <w:pPr>
        <w:pStyle w:val="Heading4"/>
        <w:numPr>
          <w:ilvl w:val="3"/>
          <w:numId w:val="1"/>
        </w:numPr>
        <w:rPr/>
      </w:pPr>
      <w:bookmarkStart w:id="73" w:name="__RefHeading___Toc2150755_1051229030"/>
      <w:bookmarkStart w:id="74" w:name="_Toc25"/>
      <w:bookmarkEnd w:id="73"/>
      <w:r>
        <w:rPr>
          <w:rtl w:val="true"/>
        </w:rPr>
        <w:t>مکتب فلسفه‌گرایان</w:t>
      </w:r>
      <w:bookmarkEnd w:id="74"/>
    </w:p>
    <w:p>
      <w:pPr>
        <w:pStyle w:val="BookText"/>
        <w:rPr/>
      </w:pPr>
      <w:r>
        <w:rPr>
          <w:rFonts w:ascii="IRNazanin" w:hAnsi="IRNazanin" w:eastAsia="IRNazanin"/>
          <w:color w:val="111111"/>
          <w:sz w:val="28"/>
          <w:sz w:val="28"/>
          <w:szCs w:val="28"/>
          <w:rtl w:val="true"/>
          <w:lang w:bidi="fa-IR"/>
        </w:rPr>
        <w:t>تاثیر منطق و فلسفه در روشهای استنباط و مکتبهای فقهی، بی‌گمان محاسنی داشت، زیرا فلسفه در آدمی سعه صدر و بلنداندیشی و باریک‌بینی و موشکافی پدید می‌آورد، و از سوی دیگر در افکار و اصول پراکنده و ناسازگار، نظام و کلیت و سازگاری ایجاد می‌کند، لکن از آن‌جا که هرگاه چیزی از مرز و حد خود تجاوز کند و یا به کمال خود رسد، آغاز نابودی و پایان آن فرا رسیده‌است</w:t>
      </w:r>
      <w:r>
        <w:rPr>
          <w:rStyle w:val="FootnoteAnchor"/>
          <w:rtl w:val="true"/>
        </w:rPr>
        <w:footnoteReference w:id="38"/>
      </w:r>
      <w:r>
        <w:rPr>
          <w:rFonts w:ascii="IRNazanin" w:hAnsi="IRNazanin" w:eastAsia="IRNazanin"/>
          <w:color w:val="111111"/>
          <w:sz w:val="28"/>
          <w:sz w:val="28"/>
          <w:szCs w:val="28"/>
          <w:rtl w:val="true"/>
          <w:lang w:bidi="fa-IR"/>
        </w:rPr>
        <w:t>و از آن‌جا که حقوق بیشتر با تجربه و عمل سروکار دارد تا منطق و فلسفه، پس، این روش استنباط مسائل را از واقعیتهای زندگی دور و فراگرفتن آن را نیز دشوار می‌کرد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افلاطون کلیات را موجود واقعی و اصل می‌دانست و جزئیات را موهوم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جدایی کلیات را از جزئیات در ذهن می‌پذیرفت نه در عالم خارج، لکن به هر صورت در میان شکلهای استدلال آنچه بدیهی الاستنتاج بود، قیاس بود که از کلی به جزیی می‌رسید، بنابراین پژوهش در حقوق، برخلاف سرشت اصلی خود، جنبه درون‌گرایی پیدا </w:t>
      </w:r>
      <w:bookmarkStart w:id="75" w:name="pg7474_109258"/>
    </w:p>
    <w:p>
      <w:pPr>
        <w:pStyle w:val="BookText"/>
        <w:rPr/>
      </w:pPr>
      <w:bookmarkEnd w:id="75"/>
      <w:r>
        <w:rPr>
          <w:rFonts w:ascii="IRNazanin" w:hAnsi="IRNazanin" w:eastAsia="IRNazanin"/>
          <w:color w:val="111111"/>
          <w:sz w:val="28"/>
          <w:sz w:val="28"/>
          <w:szCs w:val="28"/>
          <w:rtl w:val="true"/>
          <w:lang w:bidi="fa-IR"/>
        </w:rPr>
        <w:t>کرد</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منابع معرفت در حقوق ازجمله بر تاریخ و طبیعت و تجربه استوار است و حاصل اینکه این انحراف، پیامد غور بیش از اندازه لازم در فلسفه بود که تکلیفهای لازمتر را به باد فراموشی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پیش از انتقاد فیلسوفان غربی از منطق ارسطویی، عارفان ما به نقاط ضعف آن پی برده بودند، ابوسعید ابوالخیر به ابن‌سینا گفته‌است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فلسفه اعتماد مکن، زیرا در منطق، شکل اول قیاس، از همه بدیهی‌تر است و حال آن‌که در آن دور باطل نهفته است، زیرا فهمیدن نتیجه موقوف بر ثبوت کبری است و ثبوت کبری بدون فهم نتیجه میسر نشود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این که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انسان است، همه انسانها فانی‌اند، پس پرویز فانی است، کبرای این قیاس چون محمول را به همه افراد موضوع خود نسبت می‌دهد، مصادره به مطلوب می‌کند و حقیقت نتیجه خود را مسلم می‌انگارد</w:t>
      </w:r>
      <w:r>
        <w:rPr>
          <w:rFonts w:eastAsia="IRNazanin" w:cs="IRNazanin"/>
          <w:color w:val="111111"/>
          <w:sz w:val="28"/>
          <w:szCs w:val="28"/>
          <w:rtl w:val="true"/>
          <w:lang w:bidi="fa-IR"/>
        </w:rPr>
        <w:t>.</w:t>
      </w:r>
    </w:p>
    <w:p>
      <w:pPr>
        <w:pStyle w:val="Heading4"/>
        <w:numPr>
          <w:ilvl w:val="3"/>
          <w:numId w:val="1"/>
        </w:numPr>
        <w:rPr/>
      </w:pPr>
      <w:bookmarkStart w:id="76" w:name="__RefHeading___Toc2150757_1051229030"/>
      <w:bookmarkStart w:id="77" w:name="_Toc26"/>
      <w:bookmarkEnd w:id="76"/>
      <w:r>
        <w:rPr>
          <w:rtl w:val="true"/>
        </w:rPr>
        <w:t xml:space="preserve">مکتب اخباری و ظاهری </w:t>
      </w:r>
      <w:r>
        <w:rPr>
          <w:rtl w:val="true"/>
        </w:rPr>
        <w:t>(</w:t>
      </w:r>
      <w:r>
        <w:rPr>
          <w:rtl w:val="true"/>
        </w:rPr>
        <w:t>مکتب الفاظ</w:t>
      </w:r>
      <w:r>
        <w:rPr>
          <w:rtl w:val="true"/>
        </w:rPr>
        <w:t xml:space="preserve">) </w:t>
      </w:r>
      <w:r>
        <w:rPr>
          <w:rtl w:val="true"/>
        </w:rPr>
        <w:t>و مکتب اجتهاد</w:t>
      </w:r>
      <w:bookmarkEnd w:id="77"/>
    </w:p>
    <w:p>
      <w:pPr>
        <w:pStyle w:val="BookText"/>
        <w:rPr/>
      </w:pPr>
      <w:r>
        <w:rPr>
          <w:rFonts w:ascii="IRNazanin" w:hAnsi="IRNazanin" w:eastAsia="IRNazanin"/>
          <w:color w:val="111111"/>
          <w:sz w:val="28"/>
          <w:sz w:val="28"/>
          <w:szCs w:val="28"/>
          <w:rtl w:val="true"/>
          <w:lang w:bidi="fa-IR"/>
        </w:rPr>
        <w:t xml:space="preserve">نخستین کسی که منابع فقه را منحصر در کتاب و سنت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داودبن علی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است و چون تنها ظاهر کتاب و سنت را حجت می‌دانست ازین رو به ظاهری معروف شد، وی در اوائل سده سوم هجری می‌زیسته‌است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تطور فقه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صحابه و صدر اسلام کسانی اهل فتوا شمرده می‌شدند که حامل قرآن و عارف به ناسخ و منسوخ و محکم و متشابه بودند و بدین مناسبت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چه آن‌که امت عرب بی‌سواد و امی بود و قراءت قرآن به نظر ایشان کاری‌شگفت می‌نمود، لکن چون اسلام توسعه یافت و کتابها فراوان و فقه کامل شد، نام حافظان و قاریان قرآن به فقیهان و عالمان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طریق در میان فقیهان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اهل رأی و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حجاز</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عراق به دلیل دوری آن از مرکز دین، حدیث کم بود، ازین رو اهل عراق بیشتر به قیاس روی آوردند و به واسطه مهارتی که در آن پیدا کردند،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 پیشوای عراق، ابوحنیفه و پیشوای مکتب حجاز، مالک‌بن انس و پس از وی شافعی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دیری نگذشت که دسته‌ای از عالمان به مخالفت با قیاس برخاستند و عمل به آن را باطل و مدارک و دلائل استنباط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ساختند، پیشوای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آن دو بودند و این طایفه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مذهبی که یاد کردیم، مذهب مشهور جماعت کثیری در میان امت بود لکن مذهب ظاهری کم‌کم از میان رفت و پیروانی برای آن باقی نماند و عقایدشان تنها در کتابها باقی مانده‌است،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 شامخ که در حفظ حدیث داشت، چون به مذهب ظاهری گروید، مورد خشم مردم واقع شد به طوری که کتابهای او متروک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بجز مذهب اهل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دیگری به جای نمانده‌است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پیشوای عراق ابوحنیفه نعمان‌بن ثابت است که مذهب حنفی را پایه‌گذاری کرد، و پیشوای حجاز مالک‌بن انس است که امام اهل حدیث است، او علاوه‌بر مدارک و دلایلی که درنظر دیگران برای استنباط احکام مورد اعتبار واقع شده دلیل دیگری را معتبر دانسته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در کارها تابع پیشینیان خود می‌شدند تا برسد به نسلی که با پیامبر معاصر و معاشر بوده و از وی دستورها را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گمان بردند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مالک آن‌را انکار می‌کرد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اختصاص به مردم مدینه ندارد، بلکه شامل همه امت می‌شود، و باید دانست که اجماع عبارت از اتفاق و همرأیی بر امری دینی از روی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رفتار مردم مدینه را نه از این جهت بلکه از این حیث معتبر شمرده است که نسلی با مشاهده رفتار نسل پیشین رفتار آنان را بعینه پیروی کند تا به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شود و آوردن این مسأله در باب اجماع نیکوست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ادریس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به عراق رفت و با اصحاب امام ابوحنیفه ملاقات کرد و از آنان بسیاری از اصول را فراگرفت و طریقه حجازیان را با عراقیان درآمیخت و مذهب خاصی پدید آورد و با بسیاری از شیوه‌ها و عقاید مالک به مخالفت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محمدبن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بزرگان اهل حدیث است قیام کرد، اصحاب او با سرمایه فراوانی که از حدیث داشتند از اصحاب ابوحنیفه استفاده کردند و مذهب حنبلی که چهارمین مذهب اهل سنت است پدید آمد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منحصر به این چهار تن شد و باب اجتهاد و اختلاف و طرق آن مسدود گردید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بخشی از نظرهای او را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اهل سنت است و شاید به منابع امامیه دسترسی نداشته‌است، زیرا روشن است که تشیع نه یکی از چهار مذهب مذکور است و نه اجتهاد را منع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امامیه سیر تحول فقه و علم استنباط چگونه بوده‌است؟ گفته شد، تا زمان دسترسی مردم به امام، کمتر پای اجتهاد و استنباط به میان می‌آمد، لکن چون دوره غیبت کبری فرا رسید، گروهی با استناد به قرآن و روایات، در مسائل مطروحه به استنباط شخصی دست می‌زدند و در این میان دسته‌ای از امامیه با قواعد استنباط به مخالفت برخاستند و تنها قرآن و اخباری را که از اهل بیت رسیده بود، شایسته پیروی دانستند و پاره‌ای از ایشان به اندازه‌ای به جانب افراط گراییدند که حتی عمل به ظاهر قرآن را نیز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اخبار را مناط دریافت حکم شرعی قرار دادند، درنتیجه این وضع در میان امامیه دو مکتب پدید 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این دو مکتب به تفصیل آمده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ازنظر مجتهد واجب عینی و یا کفایی است، درصورتی که از نظر اخباری حرام است و فقط باید از روایات مسائل عملی را فرا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به دلائل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می‌جوید درحالی که اخباریان تنها به دلیل دوم و برخی به دلیل اول و دوم اکتفا می‌کنند، لکن دسته اخیر دلیل اول را به کمک سنت معتبر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به صدور اخبار با قاطعیت نظر می‌دهد و عمل می‌کند، درصورتی که مجتهد در صدور اخبار با تردید می‌نگرد و درستی و نادرستی آنها را بررسی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رسیدن به مرحله اجتهاد را منوط به دانستن زبان عربی، اصول، منطق، رجال و غیره می‌داند، لکن اخباری فقط دانستن زبان عربی را کافی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علیناالقاء الاصول و علیکم بالتفریع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تطبیق قاعده بر مصداق می‌داند، درحالی که اصولی، اجازه استنباط و برداشت را از آن استخراج می‌کند و ازدیاد مسائل نوظهور را مؤید نظر خود می‌داند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سکوت قانون 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 بنابراین با استنباط خود این خلأ را پر می‌کند، درصورتی که اخباری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شریعت درباره خسارت خراش </w:t>
      </w:r>
    </w:p>
    <w:p>
      <w:pPr>
        <w:pStyle w:val="BookText"/>
        <w:rPr/>
      </w:pPr>
      <w:r>
        <w:rPr>
          <w:rFonts w:ascii="IRNazanin" w:hAnsi="IRNazanin" w:eastAsia="IRNazanin"/>
          <w:color w:val="111111"/>
          <w:sz w:val="28"/>
          <w:sz w:val="28"/>
          <w:szCs w:val="28"/>
          <w:rtl w:val="true"/>
          <w:lang w:bidi="fa-IR"/>
        </w:rPr>
        <w:t>پوست بدن، نص دارد، بنابراین سکوت قانون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جایز می‌داند، اخباری آن را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رد می‌کند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می‌توان گفت، اخباری در میان امامیه و ظاهری در میان اهل تسنن، به دلیل تعبد و جمود بر پوسته واژگان، مکتبی لفظی پدید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اخباریان،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پیروانی بسیار، بخصوص در کربلا و نجف داشت، لکن در برابر مبارزه‌های مجتهدان، رفته رفته شکست خورد و میدان را برای رقیب باز گذاشت، درواقع اخباریان، جناحی بسته و واپس‌گرای یا بگفته درست‌تر محقق 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حاملان شعبه استبداد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43"/>
      </w:r>
      <w:r>
        <w:rPr>
          <w:rFonts w:ascii="IRNazanin" w:hAnsi="IRNazanin" w:eastAsia="IRNazanin"/>
          <w:color w:val="111111"/>
          <w:sz w:val="28"/>
          <w:sz w:val="28"/>
          <w:szCs w:val="28"/>
          <w:rtl w:val="true"/>
          <w:lang w:bidi="fa-IR"/>
        </w:rPr>
        <w:t>، که جبر و ضرورت زمان و پویایی جامعه و درنتیجه نهاد متغیر حقوق و اخلاق را نمی‌شناختند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ویژگیهای نظری مکتب اجتهاد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بدلیل عقل گاه تا سرحد تشریع و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 خارج از علم عادی</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استناد به قاعده اضطرار و حاجت عمومی، عمل برطبق قواعد عدل و انصاف و تنفیذ عرف در موارد سکوت نص و استفاده از فرضهای قانونی یا اصلهای عملی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در این دفتر اشاره خواهد شد</w:t>
      </w:r>
      <w:r>
        <w:rPr>
          <w:rFonts w:eastAsia="IRNazanin" w:cs="IRNazanin"/>
          <w:color w:val="111111"/>
          <w:sz w:val="28"/>
          <w:szCs w:val="28"/>
          <w:rtl w:val="true"/>
          <w:lang w:bidi="fa-IR"/>
        </w:rPr>
        <w:t>.</w:t>
      </w:r>
      <w:bookmarkStart w:id="78" w:name="pg7474_109262"/>
    </w:p>
    <w:p>
      <w:pPr>
        <w:pStyle w:val="Heading4"/>
        <w:numPr>
          <w:ilvl w:val="3"/>
          <w:numId w:val="1"/>
        </w:numPr>
        <w:rPr/>
      </w:pPr>
      <w:bookmarkStart w:id="79" w:name="__RefHeading___Toc2150759_1051229030"/>
      <w:bookmarkStart w:id="80" w:name="_Toc27"/>
      <w:bookmarkEnd w:id="78"/>
      <w:bookmarkEnd w:id="79"/>
      <w:r>
        <w:rPr>
          <w:rtl w:val="true"/>
        </w:rPr>
        <w:t>مکتب تفسیر واژه به واژه</w:t>
      </w:r>
      <w:bookmarkEnd w:id="80"/>
    </w:p>
    <w:p>
      <w:pPr>
        <w:pStyle w:val="BookText"/>
        <w:rPr/>
      </w:pPr>
      <w:r>
        <w:rPr>
          <w:rFonts w:ascii="IRNazanin" w:hAnsi="IRNazanin" w:eastAsia="IRNazanin"/>
          <w:color w:val="111111"/>
          <w:sz w:val="28"/>
          <w:sz w:val="28"/>
          <w:szCs w:val="28"/>
          <w:rtl w:val="true"/>
          <w:lang w:bidi="fa-IR"/>
        </w:rPr>
        <w:t>معنی آن باشد که بستاند ترا</w:t>
      </w:r>
    </w:p>
    <w:p>
      <w:pPr>
        <w:pStyle w:val="BookText"/>
        <w:rPr/>
      </w:pPr>
      <w:r>
        <w:rPr>
          <w:rFonts w:ascii="IRNazanin" w:hAnsi="IRNazanin" w:eastAsia="IRNazanin"/>
          <w:color w:val="111111"/>
          <w:sz w:val="28"/>
          <w:sz w:val="28"/>
          <w:szCs w:val="28"/>
          <w:rtl w:val="true"/>
          <w:lang w:bidi="fa-IR"/>
        </w:rPr>
        <w:t>بی‌نیاز از نقش گرداند ترا</w:t>
      </w:r>
    </w:p>
    <w:p>
      <w:pPr>
        <w:pStyle w:val="BookText"/>
        <w:rPr/>
      </w:pPr>
      <w:r>
        <w:rPr>
          <w:rFonts w:ascii="IRNazanin" w:hAnsi="IRNazanin" w:eastAsia="IRNazanin"/>
          <w:color w:val="111111"/>
          <w:sz w:val="28"/>
          <w:sz w:val="28"/>
          <w:szCs w:val="28"/>
          <w:rtl w:val="true"/>
          <w:lang w:bidi="fa-IR"/>
        </w:rPr>
        <w:t>معنی آن نبود که کور و کر کند</w:t>
      </w:r>
    </w:p>
    <w:p>
      <w:pPr>
        <w:pStyle w:val="BookText"/>
        <w:rPr/>
      </w:pPr>
      <w:r>
        <w:rPr>
          <w:rFonts w:ascii="IRNazanin" w:hAnsi="IRNazanin" w:eastAsia="IRNazanin"/>
          <w:color w:val="111111"/>
          <w:sz w:val="28"/>
          <w:sz w:val="28"/>
          <w:szCs w:val="28"/>
          <w:rtl w:val="true"/>
          <w:lang w:bidi="fa-IR"/>
        </w:rPr>
        <w:t>مر ترا بر نقش عاشقتر کند</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دفتر دوم</w:t>
      </w:r>
    </w:p>
    <w:p>
      <w:pPr>
        <w:pStyle w:val="BookText"/>
        <w:rPr/>
      </w:pPr>
      <w:r>
        <w:rPr>
          <w:rFonts w:ascii="IRNazanin" w:hAnsi="IRNazanin" w:eastAsia="IRNazanin"/>
          <w:color w:val="111111"/>
          <w:sz w:val="28"/>
          <w:sz w:val="28"/>
          <w:szCs w:val="28"/>
          <w:rtl w:val="true"/>
          <w:lang w:bidi="fa-IR"/>
        </w:rPr>
        <w:t>صورت الفاظ را چون پشه دان</w:t>
      </w:r>
    </w:p>
    <w:p>
      <w:pPr>
        <w:pStyle w:val="BookText"/>
        <w:rPr/>
      </w:pPr>
      <w:r>
        <w:rPr>
          <w:rFonts w:ascii="IRNazanin" w:hAnsi="IRNazanin" w:eastAsia="IRNazanin"/>
          <w:color w:val="111111"/>
          <w:sz w:val="28"/>
          <w:sz w:val="28"/>
          <w:szCs w:val="28"/>
          <w:rtl w:val="true"/>
          <w:lang w:bidi="fa-IR"/>
        </w:rPr>
        <w:t>معنی آن عنقای لاهوت آشیان</w:t>
      </w:r>
    </w:p>
    <w:p>
      <w:pPr>
        <w:pStyle w:val="BookText"/>
        <w:rPr/>
      </w:pPr>
      <w:r>
        <w:rPr>
          <w:rFonts w:ascii="IRNazanin" w:hAnsi="IRNazanin" w:eastAsia="IRNazanin"/>
          <w:color w:val="111111"/>
          <w:sz w:val="28"/>
          <w:sz w:val="28"/>
          <w:szCs w:val="28"/>
          <w:rtl w:val="true"/>
          <w:lang w:bidi="fa-IR"/>
        </w:rPr>
        <w:t>صورت ار معنی پذیرد کامل است</w:t>
      </w:r>
    </w:p>
    <w:p>
      <w:pPr>
        <w:pStyle w:val="BookText"/>
        <w:rPr/>
      </w:pPr>
      <w:r>
        <w:rPr>
          <w:rFonts w:ascii="IRNazanin" w:hAnsi="IRNazanin" w:eastAsia="IRNazanin"/>
          <w:color w:val="111111"/>
          <w:sz w:val="28"/>
          <w:sz w:val="28"/>
          <w:szCs w:val="28"/>
          <w:rtl w:val="true"/>
          <w:lang w:bidi="fa-IR"/>
        </w:rPr>
        <w:t>ور ندارد معنی او بی‌حاصل است</w:t>
      </w:r>
    </w:p>
    <w:p>
      <w:pPr>
        <w:pStyle w:val="BookText"/>
        <w:rPr/>
      </w:pPr>
      <w:r>
        <w:rPr>
          <w:rFonts w:ascii="IRNazanin" w:hAnsi="IRNazanin" w:eastAsia="IRNazanin"/>
          <w:color w:val="111111"/>
          <w:sz w:val="28"/>
          <w:sz w:val="28"/>
          <w:szCs w:val="28"/>
          <w:rtl w:val="true"/>
          <w:lang w:bidi="fa-IR"/>
        </w:rPr>
        <w:t xml:space="preserve">صفی 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زبده‌الاسرار</w:t>
      </w:r>
    </w:p>
    <w:p>
      <w:pPr>
        <w:pStyle w:val="BookText"/>
        <w:rPr/>
      </w:pPr>
      <w:r>
        <w:rPr>
          <w:rFonts w:ascii="IRNazanin" w:hAnsi="IRNazanin" w:eastAsia="IRNazanin"/>
          <w:color w:val="111111"/>
          <w:sz w:val="28"/>
          <w:sz w:val="28"/>
          <w:szCs w:val="28"/>
          <w:rtl w:val="true"/>
          <w:lang w:bidi="fa-IR"/>
        </w:rPr>
        <w:t>چنانکه گذشت، مکتب تفسیر لفظی و استنباط فنی قانون در اروپای سده هیجدهم به دلیل ناهماهنگی با نیازهای جامعه، رفته رفته از نفوذ و قدرتش کاسته شد، در این مکتب ملاحظه‌های ادبی پیرامون مواد قانون و سنجش مواد سابق و لاحق با یکدیگر و جز آن، وسیله استنباط بود، لکن بر اثر شکست این مکتب، مکتب ملاحظه‌های علمی جایگزین و یا مکمل آن شد، افراط برخی از فقیهان در باب اعتبار الفاظ، یادآور مکتب تفسیر لفظی در اروپاست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و لزوم بهره‌گیری از قواعد لفظی بخصوص در امر قضا و اصالت آن قابل انکار نیست، لکن جایی که باید مشکلها و مجهولهای قضایی را به کمک علم و عقل و تجربه حل و فصل کرد و در قالب قانون ریخت، یاری جستن از قواعد لفظی آن هم بیش از اندازه لازم، انحراف از خط اصلی هنر استنباط و عدالتخواهی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آنان‌که بی‌توجه به منابع دیگر حقوق، بر تفسیر واژه به‌واژه قانون تکیه می‌کنند، بی‌شباهت به اخباریان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جعفری لنگرودی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فقهای جمهور که عقد ضمان را تضامنی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ذمه به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به یکی از دو دلیل لفظی، متوسل شده‌اند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بموجب عقد ضمان، ذمه مدیون اصلی در ضمن ذمه ضامن، قرار می‌گیرد باوجود اینکه ذمه خود مدیون اصلی هم کماکان،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ذمه ضامن، ضمیمه ذمه مدیون اصلی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فکر نمی‌کنند که غیر از ملت عرب، سایر مردم جهان هم عقد ضمان تضامنی دارند و لغت آنان، با این اشتقاق وفق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فقهای جمهور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ضمان، عقد وثیقه است و بدون تضامن، وثیقه حاصل نمی‌شود، این استدلال عقلی است که بر سنجش مصالح، متکی است و کار درستی است و سخنان </w:t>
      </w:r>
      <w:bookmarkStart w:id="81" w:name="pg7474_109263"/>
    </w:p>
    <w:p>
      <w:pPr>
        <w:pStyle w:val="BookText"/>
        <w:rPr/>
      </w:pPr>
      <w:bookmarkEnd w:id="81"/>
      <w:r>
        <w:rPr>
          <w:rFonts w:ascii="IRNazanin" w:hAnsi="IRNazanin" w:eastAsia="IRNazanin"/>
          <w:color w:val="111111"/>
          <w:sz w:val="28"/>
          <w:sz w:val="28"/>
          <w:szCs w:val="28"/>
          <w:rtl w:val="true"/>
          <w:lang w:bidi="fa-IR"/>
        </w:rPr>
        <w:t>مکتب الفاظ، در عقد ضمان باد و هواست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باری فقه‌شناسان بیشتر مذهبها دریافتند که صیغه‌های امر و نهی در قرآن واژه به‌واژه تفسیر نمی‌شود، برخی از آنها مفهوم بهتریابی دارد و لزوم قطعی را نمی‌رساند، و بنابراین چنان احکامی نیستند که اجرای آنها واجب باشد، مثلا بسیاری از صیغه‌های امر در قرآن دلالت بر استحباب و در بسیاری جاها، نهی دلالت بر کراهت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سوره جمعه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نساء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است و دلالت بر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عارف قرن هفتم عزیزالدین نسفی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خواست از لفظ به معنی رود، لفظ سبب گمراهی و دوری وی گشت و هرکه از معنی به لفظ آمد، لفظ سبب هدایت و نزدیکی وی شد، یعنی هرکه به ریاضات و مجاهدات در صحبت دانایان از راه کشف و عیان، معانی و حقیقت چیزها را دریابد، الفاظ به هر اصطلاحی که باشد حجاب وی نشود بلکه سبب زیادتی علم او گردد و هرکه از لفظ به معنی رود، می‌آید که یک حقیقت را ده چیز داند و در کثرت و سرگردانی افتد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عبارت برای معانی مادی به کار می‌رود و قادر به بازشناسی عالم معنی و روح نیست ازین روست که ما از راه مجاز و استعاره و به کمک شعر و کلام موزون و آهنگین کوشش می‌کنیم که نقص کلام را جبران کنیم</w:t>
      </w:r>
      <w:r>
        <w:rPr>
          <w:rFonts w:eastAsia="IRNazanin" w:cs="IRNazanin"/>
          <w:color w:val="111111"/>
          <w:sz w:val="28"/>
          <w:szCs w:val="28"/>
          <w:rtl w:val="true"/>
          <w:lang w:bidi="fa-IR"/>
        </w:rPr>
        <w:t>.</w:t>
      </w:r>
    </w:p>
    <w:p>
      <w:pPr>
        <w:pStyle w:val="Heading4"/>
        <w:numPr>
          <w:ilvl w:val="3"/>
          <w:numId w:val="1"/>
        </w:numPr>
        <w:rPr/>
      </w:pPr>
      <w:bookmarkStart w:id="82" w:name="__RefHeading___Toc2150761_1051229030"/>
      <w:bookmarkStart w:id="83" w:name="_Toc28"/>
      <w:bookmarkEnd w:id="82"/>
      <w:r>
        <w:rPr>
          <w:rtl w:val="true"/>
        </w:rPr>
        <w:t>مکتب حقوق فطری و نظام فلسفی آن</w:t>
      </w:r>
      <w:bookmarkEnd w:id="8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درباره حقوق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اشاره‌هایی شده، اکنون دوباره آن را بررسی می‌کنیم، خواجه نصیرالدین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مبادی افعال بشر که مقتضی نظام امور ایشان بود، دراصل یا طبع باشد یا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مبدأ آن طبع بود به اختلاف ادوار و آثار متبدل نشود و آنچه مبدأ آن وضع بود، اگر سبب وضع رأی جماعتی بود، بر آن آداب و رسوم گویند و اگر سبب آن اقتضای رأی بزرگی بود مؤید به تایید الهی، مانند پیامبر یا امام، آن را نوامیس الهی خوانند و این نیز بر سه گونه باشد، اول آنچه راجع بود با هر نفسی به انفراد مانند عبادات، دوم آنچه راجع بود به اهل منازل به مشارکت مثل مناکحات و معاملات، سوم آنچه راجع بود به اهل شهرها و </w:t>
      </w:r>
    </w:p>
    <w:p>
      <w:pPr>
        <w:pStyle w:val="BookText"/>
        <w:rPr/>
      </w:pPr>
      <w:r>
        <w:rPr>
          <w:rFonts w:ascii="IRNazanin" w:hAnsi="IRNazanin" w:eastAsia="IRNazanin"/>
          <w:color w:val="111111"/>
          <w:sz w:val="28"/>
          <w:sz w:val="28"/>
          <w:szCs w:val="28"/>
          <w:rtl w:val="true"/>
          <w:lang w:bidi="fa-IR"/>
        </w:rPr>
        <w:t>اقلیمها مانند حدود و سیاسات و این نوع علم را فقه خوانند و چون مبدأ این جنس اعمال وضع است به تقلب احوال و تطاول روزگار و تفاوت ادوار در تبدل افتد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بنا 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خاستگاه کارهای آدمی یا طبع است یا وضع، یعنی یا حقوق فطری و طبیعی است و یا حقوق وضعی و قراردادی، آنچه سبب آن وضع است، مثل معاملات و مناکحات و حدود و سیاسات، همگی به دگرگونی زمانها و مکانها و دولتها و ملتها تغییر می‌یابند، و آنچه براساس فطرت و طبیعت است ثابت و تغییرناپذیر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تقسیم‌بندی خواجه در قرن ششم هجری با تقسیم‌بندی امروز حقوقدانان دنیا بدرستی منطبق است، تقسیم‌بندی خواجه از آن‌جا سرچشمه می‌گیرد که میان فطرت و عادت فرق گذاشته شود، فطریات و صفات، قابل تغییر و تبدیل نیستند، فطیر چیزی است که بی‌مایه و بسیط باشد، پس فطرت یا سرشت چیزی است که خود مبدأ و سرچشمه است، آنچه خود مبدأ است چگونه دگرگونی می‌یابد؟ درحالی که حقوق وضعی و تشریعی و یا عادی از محسوسات سرچشمه می‌گیرد و محسوسات قابل دگرگونی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لرفع العادات لالرفع الصفات و بعثت لبیان الاحکام لا لبیان الحقیقة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برداشتن و تغییر عادتها آمده‌ام نه صفات و برای بیان احکام آمده‌ام نه بیان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از صحت و اصالت برخوردار باشد بنابر مفاد آن فطرت و صفات ذاتی آدمی تغییرپذیر نیست بلکه عادات قابل تغییر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و نهادی که خدا مردمان را برآن نهاد؛ خلقت خدا دیگر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الفطره ولکن ابواه یهودانه و ینصرانه و یمجسانه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جعفری لنگرودی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 حاضر در کشور ما حقوق فطری یا حقوق طبیعی، موضوعی است که در محافل علمی شناخته شده‌است اما از راه ترجمه حقوق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حقوق اسلام، حقوقدانان آن را می‌شناختند؟ سه مسأله ذیل نشان می‌دهد که آنان با فکر حقوق فطری آشنا بوده‌اند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اباحه یا آزادی اراده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از مؤلفان قدیم این مسأله را با این عبارت 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قبل از نشر قوانین شرع، در جهان، آزادی اراده افراد انسان در کارها و بهره‌وری‌ها از اشیای موجود در طبیعت، شناخته شده بود؟ </w:t>
      </w:r>
    </w:p>
    <w:p>
      <w:pPr>
        <w:pStyle w:val="BookText"/>
        <w:rPr/>
      </w:pPr>
      <w:r>
        <w:rPr>
          <w:rFonts w:ascii="IRNazanin" w:hAnsi="IRNazanin" w:eastAsia="IRNazanin"/>
          <w:color w:val="111111"/>
          <w:sz w:val="28"/>
          <w:sz w:val="28"/>
          <w:szCs w:val="28"/>
          <w:rtl w:val="true"/>
          <w:lang w:bidi="fa-IR"/>
        </w:rPr>
        <w:t>این صورت مسأله نشان می‌دهد که آنان قبل از ورود شرایع و ادیان، حقوقی برای افراد انسان می‌شناختند که جز حقوق فطری چیزی 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حقوق فطری و طبیعی در اینجا حقوق خارج از قلمرو ادیان و شرایع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حق ولایت پدر و جد بر فرزند و نوه صغیر، ولایت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ولایت ذاتی و یا ولایت قهری که دو اصطلاح مسلم حقوق اسلامی است چیزی جز حقوق فطری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حقوقدانان اسلامی تصریح به نمونه‌های حقوق فطری کرده و استصحاب را ازجمله حقوق فطری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العقلاء علی الحالة السابقة لیس لاجل الرجاء و لا لحصول الاطمینان بل لکون فطرتهم جرت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برپایه حالت سابقه رفتار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اصل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روست که قلب انسان در گرو حالت سابقه باشد یا اطمینان به وجود وضع سابق داشته باشد بلکه این موضوعی فطری و ارتکازی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که یک فرض قانونی است در فطرت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 برائت هم‌چنین باشد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شاید آنچه از غریزه صیانت ذات برمی‌خیزد، مثل دفاع از نفس، ناموس و مال جزء حقوق فطری باشد، هرچند تاکنون حقوق فطری احصاء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طبیعت، قوانین ثابتند لکن در موجودات زنده تکامل می‌یابند و در تغییرند، حال اگر قوانین اجتماعی برخاسته از فطرت و سرشت آدمی باشد، ثابت و تغییرناپذیر است و اگر از فطرت و طبیعت آدمی برنخاسته باشد، ناگزیر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فطره‌اللّه التی فطر الناس علیها لاتبدیل لخلق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بر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قانونهای سرشتی و عقلی با هم یکی هستند و هرکه از قانونهای سرشت تبعیت کند از خرد پیروی کرده‌است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حیوان تابع و محکوم غریزه است ازین‌رو در زندگی او ثبات و سکون و یکنواختی فرمانرواست، درحالی که آدمی صاحب اراده و اختیار است و زندگیش دستخوش </w:t>
      </w:r>
    </w:p>
    <w:p>
      <w:pPr>
        <w:pStyle w:val="BookText"/>
        <w:rPr/>
      </w:pPr>
      <w:r>
        <w:rPr>
          <w:rFonts w:ascii="IRNazanin" w:hAnsi="IRNazanin" w:eastAsia="IRNazanin"/>
          <w:color w:val="111111"/>
          <w:sz w:val="28"/>
          <w:sz w:val="28"/>
          <w:szCs w:val="28"/>
          <w:rtl w:val="true"/>
          <w:lang w:bidi="fa-IR"/>
        </w:rPr>
        <w:t>تنوع و اختلاف و تغییر و تکامل است و هر روز با مسائل تازه و رویدادهایی جدید روبروست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سیر تکاملی حیات آدمی تعطیل‌بردار نیست، لکن آن دسته از افعال آدمی که غریزه و فطرت در آنها دخالت بیشتری از اراده دارد، به همان نسبت از ثبات و دوام بیشتری برخوردار است، بنا به مراتب برای مسائل و رویدادهای تازه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شمار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وساطت عقل و علم و توجه به مصلحت اجتماعی زمان راه حلی مناسب و عادلانه پیدا کرد، و با عنایت به اصول ثابت که برمبنای فطرت استوار است به مدد قوه استنباط و ملکه اجتهاد، قواعد تطبیق و هماهنگی آنها را با زندگی روزمره هر عصر و احراز خیر و مصلحت اجتماعی به دست آورد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84" w:name="pg7474_109267"/>
    </w:p>
    <w:p>
      <w:pPr>
        <w:pStyle w:val="Heading3"/>
        <w:numPr>
          <w:ilvl w:val="2"/>
          <w:numId w:val="1"/>
        </w:numPr>
        <w:rPr/>
      </w:pPr>
      <w:bookmarkStart w:id="85" w:name="__RefHeading___Toc2150763_1051229030"/>
      <w:bookmarkStart w:id="86" w:name="_Toc29"/>
      <w:bookmarkEnd w:id="84"/>
      <w:bookmarkEnd w:id="85"/>
      <w:r>
        <w:rPr>
          <w:rtl w:val="true"/>
        </w:rPr>
        <w:t xml:space="preserve">گفتار چهارم </w:t>
      </w:r>
      <w:r>
        <w:rPr>
          <w:rtl w:val="true"/>
        </w:rPr>
        <w:t>:</w:t>
      </w:r>
      <w:r>
        <w:rPr>
          <w:rtl w:val="true"/>
        </w:rPr>
        <w:t xml:space="preserve">قوانین غایی </w:t>
      </w:r>
      <w:r>
        <w:rPr>
          <w:rtl w:val="true"/>
        </w:rPr>
        <w:t>(</w:t>
      </w:r>
      <w:r>
        <w:rPr>
          <w:rtl w:val="true"/>
        </w:rPr>
        <w:t>آرمانی</w:t>
      </w:r>
      <w:r>
        <w:rPr>
          <w:rtl w:val="true"/>
        </w:rPr>
        <w:t xml:space="preserve">) </w:t>
      </w:r>
      <w:r>
        <w:rPr>
          <w:rtl w:val="true"/>
        </w:rPr>
        <w:t>و قوانین علّی</w:t>
      </w:r>
      <w:r>
        <w:rPr>
          <w:rtl w:val="true"/>
        </w:rPr>
        <w:t>(</w:t>
      </w:r>
      <w:r>
        <w:rPr>
          <w:rtl w:val="true"/>
        </w:rPr>
        <w:t>تجربی و عملی</w:t>
      </w:r>
      <w:r>
        <w:rPr>
          <w:rtl w:val="true"/>
        </w:rPr>
        <w:t>)</w:t>
      </w:r>
      <w:bookmarkEnd w:id="86"/>
    </w:p>
    <w:p>
      <w:pPr>
        <w:pStyle w:val="BookText"/>
        <w:rPr/>
      </w:pPr>
      <w:r>
        <w:rPr>
          <w:rFonts w:ascii="IRNazanin" w:hAnsi="IRNazanin" w:eastAsia="IRNazanin"/>
          <w:color w:val="111111"/>
          <w:sz w:val="28"/>
          <w:sz w:val="28"/>
          <w:szCs w:val="28"/>
          <w:rtl w:val="true"/>
          <w:lang w:bidi="fa-IR"/>
        </w:rPr>
        <w:t>قانونی که ریشه فطری دارد، مانند قانون مادی و طبیعی تابع اصل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به آن قانون علّی هم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اراده بر نخاسته است، بنابراین مقصدی در خود دارد نه در بیرون، مقصد زناشویی خود آن است، هر چند نتیجه‌اش بقای نوع باشد و دفاع از نفس مقصدی در خود دارد هر چند نتیجه‌اش حفظ نظم باشد، لکن اعمالی که بر اساس وضع و قرارداد انجام می‌شوند، هدفی در بیرون از خود دارند، زیرا از اراده آزاد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اصل تقدم علت بر معلول فرمانرواست، لکن در اعمال وضعی و قراردادی، اصل غاییت و تقدم معلول بر علت جاری است، بگفته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لوکنت دونویی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وکار دارد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پی آن نیست که جهان را دگرگون کند بلکه به حالت انفعال جهان را می‌پذیرد، در حالی که خواست و اراده آدمی کوشش در دگرگونی جهان دارد تا آن را با خود 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فلسفه با علم، در همین جا است، فلسفه می‌کوشد تا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در حالی که علم در پی آن است که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کند و بروشنی محسوس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مقوله‌اند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در جهان پیچیده در پی افکندن نظامی از معانی مجرد است و علم در صدد کشف قوانین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هر کس به قدر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فکر اگر خودبخود، سازنده بود، نیازی به همت نداشت، فکر روابط موجود را می‌بیند و بیان می‌کند، بخودی خود خلاّق </w:t>
      </w:r>
    </w:p>
    <w:p>
      <w:pPr>
        <w:pStyle w:val="BookText"/>
        <w:rPr/>
      </w:pPr>
      <w:r>
        <w:rPr>
          <w:rFonts w:ascii="IRNazanin" w:hAnsi="IRNazanin" w:eastAsia="IRNazanin"/>
          <w:color w:val="111111"/>
          <w:sz w:val="28"/>
          <w:sz w:val="28"/>
          <w:szCs w:val="28"/>
          <w:rtl w:val="true"/>
          <w:lang w:bidi="fa-IR"/>
        </w:rPr>
        <w:t>نیست، و دگرگونیی را سبب نمی‌شود، بر عکس آنچه آفریننده است، همت، عشق، ایمان و احساس ارزش است که اراده را در اختیار دارد و آن را به عمل وا می‌دارد، عشق از آنچه هست خبر نمی‌دهد بلکه از آنچه باید باشد و از نو باید پدید آید، 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اندیشه، تابع قانون 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علت بر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فلسفه ارزش، چون هدف خارج از خود است لذا معلول بر علت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کار عشق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خردمند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 عرفان در این مقوله شگفت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عشق را درگه بسی بالاتر از عقل است</w:t>
      </w:r>
    </w:p>
    <w:p>
      <w:pPr>
        <w:pStyle w:val="BookText"/>
        <w:rPr/>
      </w:pPr>
      <w:r>
        <w:rPr>
          <w:rFonts w:ascii="IRNazanin" w:hAnsi="IRNazanin" w:eastAsia="IRNazanin"/>
          <w:color w:val="111111"/>
          <w:sz w:val="28"/>
          <w:sz w:val="28"/>
          <w:szCs w:val="28"/>
          <w:rtl w:val="true"/>
          <w:lang w:bidi="fa-IR"/>
        </w:rPr>
        <w:t>کسی این آستان بوسد که جان در آستین دارد</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کردم و تدبیر عقل در ره عشق</w:t>
      </w:r>
    </w:p>
    <w:p>
      <w:pPr>
        <w:pStyle w:val="BookText"/>
        <w:rPr/>
      </w:pPr>
      <w:r>
        <w:rPr>
          <w:rFonts w:ascii="IRNazanin" w:hAnsi="IRNazanin" w:eastAsia="IRNazanin"/>
          <w:color w:val="111111"/>
          <w:sz w:val="28"/>
          <w:sz w:val="28"/>
          <w:szCs w:val="28"/>
          <w:rtl w:val="true"/>
          <w:lang w:bidi="fa-IR"/>
        </w:rPr>
        <w:t>چو شبنمی است که در بحر می‌کشد رقمی</w:t>
      </w:r>
    </w:p>
    <w:p>
      <w:pPr>
        <w:pStyle w:val="BookText"/>
        <w:rPr/>
      </w:pPr>
      <w:r>
        <w:rPr>
          <w:rFonts w:ascii="IRNazanin" w:hAnsi="IRNazanin" w:eastAsia="IRNazanin"/>
          <w:color w:val="111111"/>
          <w:sz w:val="28"/>
          <w:sz w:val="28"/>
          <w:szCs w:val="28"/>
          <w:rtl w:val="true"/>
          <w:lang w:bidi="fa-IR"/>
        </w:rPr>
        <w:t xml:space="preserve">مولوی آشکارتر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خرد، جاهل همی باید شدن</w:t>
      </w:r>
    </w:p>
    <w:p>
      <w:pPr>
        <w:pStyle w:val="BookText"/>
        <w:rPr/>
      </w:pPr>
      <w:r>
        <w:rPr>
          <w:rFonts w:ascii="IRNazanin" w:hAnsi="IRNazanin" w:eastAsia="IRNazanin"/>
          <w:color w:val="111111"/>
          <w:sz w:val="28"/>
          <w:sz w:val="28"/>
          <w:szCs w:val="28"/>
          <w:rtl w:val="true"/>
          <w:lang w:bidi="fa-IR"/>
        </w:rPr>
        <w:t>دست در دیوانگی باید زدن</w:t>
      </w:r>
    </w:p>
    <w:p>
      <w:pPr>
        <w:pStyle w:val="BookText"/>
        <w:rPr/>
      </w:pPr>
      <w:r>
        <w:rPr>
          <w:rFonts w:ascii="IRNazanin" w:hAnsi="IRNazanin" w:eastAsia="IRNazanin"/>
          <w:color w:val="111111"/>
          <w:sz w:val="28"/>
          <w:sz w:val="28"/>
          <w:szCs w:val="28"/>
          <w:rtl w:val="true"/>
          <w:lang w:bidi="fa-IR"/>
        </w:rPr>
        <w:t>آزمودم عقل دور اندیش را</w:t>
      </w:r>
    </w:p>
    <w:p>
      <w:pPr>
        <w:pStyle w:val="BookText"/>
        <w:rPr/>
      </w:pPr>
      <w:r>
        <w:rPr>
          <w:rFonts w:ascii="IRNazanin" w:hAnsi="IRNazanin" w:eastAsia="IRNazanin"/>
          <w:color w:val="111111"/>
          <w:sz w:val="28"/>
          <w:sz w:val="28"/>
          <w:szCs w:val="28"/>
          <w:rtl w:val="true"/>
          <w:lang w:bidi="fa-IR"/>
        </w:rPr>
        <w:t>بعد از این دیوانه خواهم خویش را</w:t>
      </w:r>
    </w:p>
    <w:p>
      <w:pPr>
        <w:pStyle w:val="BookText"/>
        <w:rPr/>
      </w:pPr>
      <w:r>
        <w:rPr>
          <w:rFonts w:ascii="IRNazanin" w:hAnsi="IRNazanin" w:eastAsia="IRNazanin"/>
          <w:color w:val="111111"/>
          <w:sz w:val="28"/>
          <w:sz w:val="28"/>
          <w:szCs w:val="28"/>
          <w:rtl w:val="true"/>
          <w:lang w:bidi="fa-IR"/>
        </w:rPr>
        <w:t>هست دیوانه که دیوانه نشد</w:t>
      </w:r>
    </w:p>
    <w:p>
      <w:pPr>
        <w:pStyle w:val="BookText"/>
        <w:rPr/>
      </w:pPr>
      <w:r>
        <w:rPr>
          <w:rFonts w:ascii="IRNazanin" w:hAnsi="IRNazanin" w:eastAsia="IRNazanin"/>
          <w:color w:val="111111"/>
          <w:sz w:val="28"/>
          <w:sz w:val="28"/>
          <w:szCs w:val="28"/>
          <w:rtl w:val="true"/>
          <w:lang w:bidi="fa-IR"/>
        </w:rPr>
        <w:t>این عسس را دید و در خانه نشد</w:t>
      </w:r>
    </w:p>
    <w:p>
      <w:pPr>
        <w:pStyle w:val="BookText"/>
        <w:rPr/>
      </w:pPr>
      <w:r>
        <w:rPr>
          <w:rFonts w:ascii="IRNazanin" w:hAnsi="IRNazanin" w:eastAsia="IRNazanin"/>
          <w:color w:val="111111"/>
          <w:sz w:val="28"/>
          <w:sz w:val="28"/>
          <w:szCs w:val="28"/>
          <w:rtl w:val="true"/>
          <w:lang w:bidi="fa-IR"/>
        </w:rPr>
        <w:t>پای استدلالیان چوبین بود</w:t>
      </w:r>
    </w:p>
    <w:p>
      <w:pPr>
        <w:pStyle w:val="BookText"/>
        <w:rPr/>
      </w:pPr>
      <w:r>
        <w:rPr>
          <w:rFonts w:ascii="IRNazanin" w:hAnsi="IRNazanin" w:eastAsia="IRNazanin"/>
          <w:color w:val="111111"/>
          <w:sz w:val="28"/>
          <w:sz w:val="28"/>
          <w:szCs w:val="28"/>
          <w:rtl w:val="true"/>
          <w:lang w:bidi="fa-IR"/>
        </w:rPr>
        <w:t>پای چوبین سخت بی تمکین بود</w:t>
      </w:r>
    </w:p>
    <w:p>
      <w:pPr>
        <w:pStyle w:val="BookText"/>
        <w:rPr/>
      </w:pPr>
      <w:r>
        <w:rPr>
          <w:rFonts w:ascii="IRNazanin" w:hAnsi="IRNazanin" w:eastAsia="IRNazanin"/>
          <w:color w:val="111111"/>
          <w:sz w:val="28"/>
          <w:sz w:val="28"/>
          <w:szCs w:val="28"/>
          <w:rtl w:val="true"/>
          <w:lang w:bidi="fa-IR"/>
        </w:rPr>
        <w:t xml:space="preserve">در طبیعت، هدف، نهفته و نامعلوم است، نوعی بی خبری از نتیجه حکمفرماست، حیوان بر طبق غریزه اعمالی را در مواقع معین انجام می‌دهد، بی آن که نتیجه آنها را بداند، زندگی حیوان از این جهت بی معنی است که هدف ندارد، زلزله و سیل، هدف ندارند، خود معلولند و هر گاه علت تحقق پیدا کند، وقوعشان غیر قابل اجتناب است، اما در زندگی ارادی بشر،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علت است، نخست هدف را در نظر می‌گیرد، به آن ایمان می‌آورد، عشق می‌ورزد، برایش ارزش می‌نهد و بعد در پی رسیدن به آن به کار می‌پردازد، در واقع علت، معلول شده و معلول علت، البته علت در اینجا علت غایی است نه مادی یا صوری و یا 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تصور علت غایی همواره علت مقدم است لکن در عالم تحقق و وجود، همیشه مؤخر است، نشستن بر روی صندلی علت غایی ساختن آن است، که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الفکر آخرالعمل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در فکر اول هر علتی در آید لکن در خارج مؤخر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مولوی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فکر آخر آمد در عمل</w:t>
      </w:r>
    </w:p>
    <w:p>
      <w:pPr>
        <w:pStyle w:val="BookText"/>
        <w:rPr/>
      </w:pPr>
      <w:r>
        <w:rPr>
          <w:rFonts w:ascii="IRNazanin" w:hAnsi="IRNazanin" w:eastAsia="IRNazanin"/>
          <w:color w:val="111111"/>
          <w:sz w:val="28"/>
          <w:sz w:val="28"/>
          <w:szCs w:val="28"/>
          <w:rtl w:val="true"/>
          <w:lang w:bidi="fa-IR"/>
        </w:rPr>
        <w:t>بنیت عالم چنان دان در ازل</w:t>
      </w:r>
    </w:p>
    <w:p>
      <w:pPr>
        <w:pStyle w:val="BookText"/>
        <w:rPr/>
      </w:pPr>
      <w:r>
        <w:rPr>
          <w:rFonts w:ascii="IRNazanin" w:hAnsi="IRNazanin" w:eastAsia="IRNazanin"/>
          <w:color w:val="111111"/>
          <w:sz w:val="28"/>
          <w:sz w:val="28"/>
          <w:szCs w:val="28"/>
          <w:rtl w:val="true"/>
          <w:lang w:bidi="fa-IR"/>
        </w:rPr>
        <w:t>گر نبودی میل و امید ثمر</w:t>
      </w:r>
    </w:p>
    <w:p>
      <w:pPr>
        <w:pStyle w:val="BookText"/>
        <w:rPr/>
      </w:pPr>
      <w:r>
        <w:rPr>
          <w:rFonts w:ascii="IRNazanin" w:hAnsi="IRNazanin" w:eastAsia="IRNazanin"/>
          <w:color w:val="111111"/>
          <w:sz w:val="28"/>
          <w:sz w:val="28"/>
          <w:szCs w:val="28"/>
          <w:rtl w:val="true"/>
          <w:lang w:bidi="fa-IR"/>
        </w:rPr>
        <w:t>کی نشاندی باغبان هر سو شجر</w:t>
      </w:r>
    </w:p>
    <w:p>
      <w:pPr>
        <w:pStyle w:val="BookText"/>
        <w:rPr/>
      </w:pPr>
      <w:r>
        <w:rPr>
          <w:rFonts w:ascii="IRNazanin" w:hAnsi="IRNazanin" w:eastAsia="IRNazanin"/>
          <w:color w:val="111111"/>
          <w:sz w:val="28"/>
          <w:sz w:val="28"/>
          <w:szCs w:val="28"/>
          <w:rtl w:val="true"/>
          <w:lang w:bidi="fa-IR"/>
        </w:rPr>
        <w:t>میوه‌ها در فکر دل اول بود</w:t>
      </w:r>
    </w:p>
    <w:p>
      <w:pPr>
        <w:pStyle w:val="BookText"/>
        <w:rPr/>
      </w:pPr>
      <w:r>
        <w:rPr>
          <w:rFonts w:ascii="IRNazanin" w:hAnsi="IRNazanin" w:eastAsia="IRNazanin"/>
          <w:color w:val="111111"/>
          <w:sz w:val="28"/>
          <w:sz w:val="28"/>
          <w:szCs w:val="28"/>
          <w:rtl w:val="true"/>
          <w:lang w:bidi="fa-IR"/>
        </w:rPr>
        <w:t>درعمل ظاهر به آخر می‌شود</w:t>
      </w:r>
    </w:p>
    <w:p>
      <w:pPr>
        <w:pStyle w:val="BookText"/>
        <w:rPr/>
      </w:pPr>
      <w:r>
        <w:rPr>
          <w:rFonts w:ascii="IRNazanin" w:hAnsi="IRNazanin" w:eastAsia="IRNazanin"/>
          <w:color w:val="111111"/>
          <w:sz w:val="28"/>
          <w:sz w:val="28"/>
          <w:szCs w:val="28"/>
          <w:rtl w:val="true"/>
          <w:lang w:bidi="fa-IR"/>
        </w:rPr>
        <w:t xml:space="preserve">چون عمل کردی شجر بنشاندی اندر آخر حرف اول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پنهاور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در این معنی غرق شده بود که به طور مبالغه آمیز، حقیقت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 و تنها اراده را اصیل می‌دانست و دیگر امور را عارضی و فرعی تلقی می‌کرد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معنی اشاره می‌کند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نخست چیزها را ارزش نهاد تا خویشتن را حراست کند، او معنای چیزها را آفرید، معنایی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خود را انسان خواند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طبیعت به دنبال علت و در آدمی به دنبال هدف باید رفت، عشق به کودک، به هنگام بیماری، مادر را به جستجوی درمان بر می‌انگیزد، درحالی که علم، شناخت وسائل رسیدن به بهبودی و شفاست، عشق به کودک علت است، و اقدام به درمان معلول؛ لکن در ذوب شدن برف و جاری شدن سیل، علت بر معلول مقدم است، و این سخن حضرت عیسی درست است که برای سعادت و نجات آدمی، اول ایمان لازمست و سپس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مسیح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اندیشه‌ها و تشخیصهای ما چیزی نیست جز غروری متعفن که ریشه آن در مرداب خودخواهی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این مرداب، عشق و ایمان قرار دارد، و در همین سرزمین عشق و ایمان است که می‌توان به عنایت الهی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نمی‌تواند پناهگاه هستی انسان باشد، چون جایی که پای ایمان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را بر قرار ترجیح می‌دهد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سومین آیه از سوره بقره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لازم رستگاری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وسائل مادی را آماده می‌کند و ایمان نیکبختی معنوی را فراهم می‌سازد، حیوان مسؤلیت ندارد زیرا پیرو غریزه است، آدمی مسؤول است زیرا بیشتر افعالش ارادی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طبیعت مانند قوانین ریاضی جنبه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Apriori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پیش از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بنابراین </w:t>
      </w:r>
    </w:p>
    <w:p>
      <w:pPr>
        <w:pStyle w:val="BookText"/>
        <w:rPr/>
      </w:pPr>
      <w:r>
        <w:rPr>
          <w:rFonts w:ascii="IRNazanin" w:hAnsi="IRNazanin" w:eastAsia="IRNazanin"/>
          <w:color w:val="111111"/>
          <w:sz w:val="28"/>
          <w:sz w:val="28"/>
          <w:szCs w:val="28"/>
          <w:rtl w:val="true"/>
          <w:lang w:bidi="fa-IR"/>
        </w:rPr>
        <w:t>بی‌هدفند</w:t>
      </w:r>
      <w:r>
        <w:rPr>
          <w:rStyle w:val="FootnoteAnchor"/>
          <w:rtl w:val="true"/>
        </w:rPr>
        <w:footnoteReference w:id="55"/>
      </w:r>
      <w:r>
        <w:rPr>
          <w:rFonts w:ascii="IRNazanin" w:hAnsi="IRNazanin" w:eastAsia="IRNazanin"/>
          <w:color w:val="111111"/>
          <w:sz w:val="28"/>
          <w:sz w:val="28"/>
          <w:szCs w:val="28"/>
          <w:rtl w:val="true"/>
          <w:lang w:bidi="fa-IR"/>
        </w:rPr>
        <w:t>درحالی که قوانین وضعی که ناظر بر اعمال ارادی است چون هدف دارد، محصول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فطری و طبیعی در زمره قوانین علّی و تجربی، و قوانین حقوقی و وضعی ازجمله قوانین غایی و آرمانی‌اند، قاعده‌ای که هدف و غایتی را طرح می‌کند، طبعا باید مقدم بر عمل باشد، زیرا حقوق می‌کوشد تا بهترین طرز سلوک را در روابط و مناسبات مردم، تا آن‌جا که ممکن باشد، تدوین و جامعه را وادار به پیروی از آن سازد، درحالی که قوانین فطری و طبیعی بی‌هدفند و ازین‌رو یکسانی و همه زمانی و همه مکانی از ویژگیهای آنهاست، تغییرناپذیرند و گویی از خارج ماده بر ماده تحمیل شده‌اند، درحالی که قوانین حقوقی تا آن‌جا که برخاسته از وضع است، تغییرپذیر است زیرا که از اراده آزاد ناشی شده و بنابراین دارای هدف مشخص و ریشه‌های فراوان در جامعه است، و چون برخاسته از وضع است، چشم‌بسته عمل نمی‌کند تا بد و خوب را با هم نابود کند، اما آن‌جا که ناشی از طبع و فطرت است، مانند قوانین مادی است که تنها از دیدگاه عینیت به موضوعها می‌نگرد درحالی که قوانین حقوقی هم از دیدگاه عینیت و هم از دیدگاه ذهنیت موضوعها را بررسی می‌کند، درواقع بر قوانین حقوقی، وقوف و شعور بشری سایه انداخته‌است، درصورتی که قوانین طبیعی، خود از خارج از شعور و وقوف بشری کشف شده و از بیرون از اراده بشر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حقوق مثل قوانین جامعه‌شناسی نیست که فقط و صرفا به کشف واقع ناظر باشد، حقوق هدفی را دنبال می‌کند، که استقرار عدالت است، حقوقدان مثل یک فرمانده عمل می‌کند نه مانند یک محقّق آزمایشگاه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نیروهای اخلاقی و سنن جامعه در کار خود نظر دارد و از همین‌جاست که قاعده‌ای حقوقی محسوب است که مفهوم دولت نیز در آن سهمی داشته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بهتر حقوق نیاز دارد که قدرت حاکمه پشتیبان آن باشد والاّ قوه الزام‌آور و ضمانت اجرای خود را از دست می‌دهد و تبدیل به قاعده‌ای اخلاقی می‌شود، هرچند که قانونگذار در تدوین قانون ناگزیر است که به قواعد اخلاقی حاکم بر جامعه نیز نظر داشته باشد والاّ یک قانون ضدّ اخلاق مواجه با مقاومت و کارشکنی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اینکه قوانین علمی، عمومی و کلی و عینی است و قوانین حقوقی هم عینی و هم ذهنی است، حقوق از این حیث به هنر نزدیک می‌شود و همچون دانشی هنری جلوه می‌کند زیرا ذوق شخصی که در ادراک دخالت مستقیم می‌کند در آن اثر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 میان علم و هنر را مولوی در داستانی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پسرش را به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 فرستاد، پس از مدتی روزی انگشتری در مشت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بینداز و بگو تا چه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هست و معدنی است و سوراخی درمیان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 راست دادی، حکم کن که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 از اندیشه بسیار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آسیایی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چندین نشانه‌های دقیق که عقول در آن حیران می‌شوند، دادی، از غایت علم؛ اما این قدر ذوق و عقل نداشتی که آسیا سنگ در مشت نگنجد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مرز میان هنر که ذوق و قریحه می‌خواهد با علم که چندان در نفس خویش بدان نیاز ندارد از این حکایت بخوبی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مولانا در مثنوی بارها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گفتن به قدر فهم تست</w:t>
      </w:r>
    </w:p>
    <w:p>
      <w:pPr>
        <w:pStyle w:val="BookText"/>
        <w:rPr/>
      </w:pPr>
      <w:r>
        <w:rPr>
          <w:rFonts w:ascii="IRNazanin" w:hAnsi="IRNazanin" w:eastAsia="IRNazanin"/>
          <w:color w:val="111111"/>
          <w:sz w:val="28"/>
          <w:sz w:val="28"/>
          <w:szCs w:val="28"/>
          <w:rtl w:val="true"/>
          <w:lang w:bidi="fa-IR"/>
        </w:rPr>
        <w:t>مُردم اندر حسرت فهم درست</w:t>
      </w:r>
    </w:p>
    <w:p>
      <w:pPr>
        <w:pStyle w:val="BookText"/>
        <w:rPr/>
      </w:pPr>
      <w:r>
        <w:rPr>
          <w:rFonts w:ascii="IRNazanin" w:hAnsi="IRNazanin" w:eastAsia="IRNazanin"/>
          <w:color w:val="111111"/>
          <w:sz w:val="28"/>
          <w:sz w:val="28"/>
          <w:szCs w:val="28"/>
          <w:rtl w:val="true"/>
          <w:lang w:bidi="fa-IR"/>
        </w:rPr>
        <w:t>در واقع مراد او از فهم درست همان قوه استنباط و شم علمی است که هرکس بدان دست یابد به قولی دارای قوه قدسیّه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عبارت، مواد اولیه یک غذا، هرگز طعم مخلوط و مزه ترکیب شده آن را نمی‌دهد، و از مواد اولیه نمی‌توان به مزه ترکیب شده آن پی برد، باید آن‌را چشید، و توصیف یک منظره، هرچند دقیق و ماهرانه باشد، هرگز ما را از دیدن آن بی‌نیاز نمی‌سازد، زیرا در ترکیب رنگها و در آمیزش مواد اولیه غذا، موجود تازه‌ای پدید می‌آید که با عناصر ترکیب‌کننده خود فاصله بسیار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نقاش ممکن است هر دو تابلوی را روی اصول علمی، درست کشیده باشند، درصورتی که یکی از دو تابلو ارزش بسیار داشته باشد و دیگری را بهایی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علاوه‌بر اصول علمی، هنر و قریحه و ذوق نیز از خود نشان داده درحالی که دومی از آن بی‌بهره بوده‌است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در سرودن شعر و نوشتن داستان و اثر ادبی به وسیله دو شاعر و نویسنده که دقایق علمی قضیه را بدرستی رعایت کرده باشند، نیز دیده می‌شود و مرز میان علم و هنر را از هم جدا می‌کند، اساسا در هر شاخه از دانشها و هنرها و ادب و فلسفه و حقوق، هرکس بی‌ذوق و قریحه </w:t>
      </w:r>
    </w:p>
    <w:p>
      <w:pPr>
        <w:pStyle w:val="BookText"/>
        <w:rPr/>
      </w:pPr>
      <w:r>
        <w:rPr>
          <w:rFonts w:ascii="IRNazanin" w:hAnsi="IRNazanin" w:eastAsia="IRNazanin"/>
          <w:color w:val="111111"/>
          <w:sz w:val="28"/>
          <w:sz w:val="28"/>
          <w:szCs w:val="28"/>
          <w:rtl w:val="true"/>
          <w:lang w:bidi="fa-IR"/>
        </w:rPr>
        <w:t>وارد شود، به نتیجه مطلوب نمی‌رسد، شاعر بی‌ذوق، بد شعر می‌گوید، مهندس بی‌ذوق، ساختمان ناقص و زشت می‌سازد، قاضی بی‌ذوق بد حکم می‌کند، هزاران نفر در راه فلسفه افتاده‌اند و دانستنیهای لازم را فراگرفته‌اند، اما تنها معدودی به مقام والا رسیده‌اند و توانسته‌اند نظامی نو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ازسوی دیگر علم کاملا غیرشخصی است بنابراین عینی و پایدار است و متوجه واقع است، درحالی که هنر برعکس، ذهنی و شخصی است و نشان و امضای هنرمند برآن خورده‌است، هنر راههای شخصی دریافت حقیقت است و بنابراین با تغییر محیط فرهنگی در معرض تغییر واقع می‌شود، هنر از حالت انفعالی آدمی سرچشمه می‌گیرد، درحالی که علم عمومی و کلی است، هنر امری احساسی و علم امری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امری ذوقی و شخصی و علم امری عمومی و کلی است، ذوق از احساس برمی‌خیزد و از راه اندیشه به شناخت نزدیک می‌شود اما مرز میان ذوق و علم همواره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ذوق که اساس هنر است وسیله احساس است که به شناخت بدل می‌گردد همان‌گونه که از معرفت حسی به معرفت علمی دست می‌یابیم و این استعدادی خاص لازم دارد، به گفته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خاطر و لطف سخن خدادادست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ذوق آموختنی نیست، مراد از قبول خاطر، توانایی ضبط غیرعادی و مراد از لطف سخن، ذوق نهادی برای تشخیص معانی و واژه‌های لطیف است که استعدادی خاص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محض، هنری است که هدف و غایت مشخصی ندارد همان‌که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غائیت بدون غایت اصطلاح کرده‌است، امور سودمند معمولا غایتشان در خارج از خودشان است، درحالی که در هنر محض، غایت آن در خود آن است، بنابراین غایت آن ذهنی است نه عینی، درون‌گراست نه برون‌گرا، به همین دلیل از اینگونه هنرها تنها کسانی لذت می‌برند که ذهنی عاری از هرگونه تعلق داشته باشند، ولو در همان لحظه‌های مشغولی با آن هنر؛ علت این امر را در آزادی از قوانین منطقی خالص، در هنر محض باید جستجو کرد، بخصوص شعر بیشتر در قلمرو هنر محض است، زیرا در عالم شعر، نوعی آزادی وجود دارد که با نظم و ترتیب و مقدمه و نتیجه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اندر شعر جز با خبط نیست</w:t>
      </w:r>
    </w:p>
    <w:p>
      <w:pPr>
        <w:pStyle w:val="BookText"/>
        <w:rPr/>
      </w:pPr>
      <w:r>
        <w:rPr>
          <w:rFonts w:ascii="IRNazanin" w:hAnsi="IRNazanin" w:eastAsia="IRNazanin"/>
          <w:color w:val="111111"/>
          <w:sz w:val="28"/>
          <w:sz w:val="28"/>
          <w:szCs w:val="28"/>
          <w:rtl w:val="true"/>
          <w:lang w:bidi="fa-IR"/>
        </w:rPr>
        <w:t>چون فلاسنگ است آن را ضبط نیست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 شعر مانند پرتاب سنگ فلاخن است که به هیچ‌وجه نمی‌توان برایش هدف و راه </w:t>
      </w:r>
    </w:p>
    <w:p>
      <w:pPr>
        <w:pStyle w:val="BookText"/>
        <w:rPr/>
      </w:pPr>
      <w:r>
        <w:rPr>
          <w:rFonts w:ascii="IRNazanin" w:hAnsi="IRNazanin" w:eastAsia="IRNazanin"/>
          <w:color w:val="111111"/>
          <w:sz w:val="28"/>
          <w:sz w:val="28"/>
          <w:szCs w:val="28"/>
          <w:rtl w:val="true"/>
          <w:lang w:bidi="fa-IR"/>
        </w:rPr>
        <w:t>مشخصی پیش‌بینی کرد، لکن با اینهمه مقصود این نیست که هنر بکلی از سودمندی عاری است و یا خالی از هدفهای اجتماعی و اخلاقی است، ممکن است هنری برای پیشبرد این هدفها به کار آید ولی بدان معنی نیست که علت و هدف اصلی و اساسی از پدید آمدن آن این‌گونه هدفها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هنر بر همین عقیده است، او می‌گوید نمی‌توان هنر را با هدفهای خارج از خود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اخلاقی و غیره محدود کرد، چه در این صورت به خاصیت پایان‌ناپذیری هنر زیان رسانده‌ایم، زیرا تنها آن چیزی ابدی است که در نفس خویش غایتی باشد اما آنگاه که وسیله هدف و غایت دیگری بیرون از خود شود تابع جز خود می‌شود و از جز خود تعین می‌پذیرد و به جاودانگیش لطمه وارد می‌آید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همه باید اذعان کرد که اگر هنرمند، این فداکاری را بکند که خود را و هنر خود را وسیله هدفهای خارج از خود قرار دهد، این گذشت و ایثار می‌تواند فرهنگ، فلسفه، اخلاق و مذهب را پرواز و تعالی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کامل در این کار بسیار مشکل می‌نماید لکن واقعیتهای اجتماعی نشان داده‌است که برخلاف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 و به ارزش واقعی او نیز کمتر صدمه رسیده‌است، و این به زمینه انفعالی و ایمان هنرمند بستگی دارد که هرچند هنر در دست هنرمند به گفته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بی‌ضبط، بی‌قانون و رهاست و هدف آن نامعلوم است لکن آهنگ و قصد کار، برعکس از آغاز آشکار است و از محیط اجتماعی و زمینه‌های پذیرشی هنرمند سرچشمه و مایه می‌گیرد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حقوق نیز هنر حقوقدان و قاضی ورزیده می‌تواند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زیرا حقوق علاوه‌بر اینکه شاخه‌ای از دانشهاست هنر خاصی نیز هست، و این نکته در عمل و کار دادرسی معلوم می‌شود که عوامل گوناگون و پیچیده در یک دعوای حقوقی و یا یک واقعه کیفری دخالت می‌کنند و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انطباق این حقیقت با مفاهیم عدالت، کاری است که علاوه‌بر علم، نیاز به هنر و ذوق و شم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گفته شد، هنر دادرسی و </w:t>
      </w:r>
    </w:p>
    <w:p>
      <w:pPr>
        <w:pStyle w:val="BookText"/>
        <w:rPr/>
      </w:pPr>
      <w:r>
        <w:rPr>
          <w:rFonts w:ascii="IRNazanin" w:hAnsi="IRNazanin" w:eastAsia="IRNazanin"/>
          <w:color w:val="111111"/>
          <w:sz w:val="28"/>
          <w:sz w:val="28"/>
          <w:szCs w:val="28"/>
          <w:rtl w:val="true"/>
          <w:lang w:bidi="fa-IR"/>
        </w:rPr>
        <w:t>استنباط، ذوق و قریحه می‌خواهد و کاری هنری است، این سخن، نفی علمی بودن این شاخه از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تعریفهای بسیاری از علم حقوق کرده‌اند و ما تعریفی را که جنبه‌های دوگانه علمی و هنری قضیه را از یکدیگر جدا کرده‌است، در اینجا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حقوق به معنای اخص عبارت از به دست آوردن اصول و قواعد حقوقی و ترکیب و آمیختن آنها از راه ترتیب و تنظیم عمومی است، اما فن حقوق عبارت از تطبیق این قواعد و اصول با موقعیتها و وضعیتها و رویدادهای اجتماعی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باین تعریف انتقاد شده و گفته‌اند که اگر فن تنها کارش تطبیق و انطباق موضوع با محمول و یا مفهوم با مصداق باشد، در کار دادرسی، پیشرفت و تجدد راه نخواهد داشت، بنابراین تعریف دیگری را جایگزین آن کرده‌اند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عبارت از فنی است که غرض و هدفش فعلیت دادن به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دراز است، در بخشهای آینده دوباره به آن خواهیم پرداخت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شناختی است مقرون با واقعیت که در صدد شناسایی نمودهای هستی است پاسخگوی پرسشهایی است که جهان در برابر وی می‌نهد، هرچند از جنبه‌های عاطفی دور و بر کنار نیست لکن اصولاً بر مفاهیم انتزاعی استوار است و جنبه کمی آن بر جنبه کیفی‌اش می‌چربد، درحالی که شناخت هنری کاملا عاطفی و درونی است، هنرمند تفسیر خود را به جهان می‌دهد و به آن معنی می‌بخشد، واقعیت درونی و ذهنی بر واقعیت برونی حکومت می‌کند، اما فلسفه شناختی است که هر دوی واقعیتهای درونی و بیرونی را شامل است، سرچشمه پرسشهای فلسفه هم در اندیشه و هم در جهان است، به جنبه‌های کمی و کیفی واقعیتها در علم و هنر، وحدت و هماهنگی و تعادل می‌بخشد و از آن یک نظام می‌آفریند که کلی و جامع است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جمهور افلاطون، سیاست ارسطو، لویاتان تامس هابز، آثار اسپینوزا، لاک و روسو؛ و در ایران، مدینه فاضله فارابی، رسالة فی‌السیاسة ابن سینا، اخلاق ناصری خواجه نصیر، و کیمیای سعادت 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العبر و دیوان المبتداء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جلد با عنوان مقدمه ابن‌خلدون به وسیله محمد پروین گنابادی به فارسی برگردانده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نظری،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طرز فکر حقوقی،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هگل، ص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مدنی ایران،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کلیات مقدماتی حقوق،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مسائل جامعه‌شناسی،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فلسفی،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تاریخ فلسفه، ویل دورانت،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ابن ابی‌الحدید،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فلسفه در ایران،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مجموعه مصنفات شیخ اشراق،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زرتشت و جهان غرب،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یونانیان و بربرها،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فلسفه،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هدایتی، آیین دادرسی کیفری،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این جا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 خارج از علم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 علم در لغت به معنی دانستن و دانش است و در اصطلاح فقهی به معنی اطمینان است که آن را علم عادی هم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عادی درمقابل علم به معنی فلسفی کلمه است که عبارت است از حالتی نفسانی که تحمل احتمال مخالف را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قضایی و علم حقوق رسم این است که علم عادی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ترمینولوژی حقوق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حالتی است نفسانی بین قطع 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شک بالاتر است و از یقین و قطع فروتر گاهی ظن بقدری به قطع نزدیک می‌شود که حالت جذب در آن است یعنی وجدان شخص را به اظهارنظر می‌کشاند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چنین ظنی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در بعضی از تعبیرات متنافر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متآخم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را مراجعه کنید به ترمینولوژی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کسانی است که بنیاد پژوهش را در جامعه‌شناسی بر اصول مقتضیات محیط و موقع جغرافیایی، تاریخی، مذهبی، فرهنگی و اقتصادی و چگونگی حکومت و آداب و رسوم و سنن کار گذاشت و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او را دنبال کرد و آن را بر روابط علت و معلولی که منجر به کشف قانون می‌شود بنیان نهاد و در تعریف قانون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رابطه‌ای است ضروری که از طبیعت اشیا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تحقیقات مونتسکیو امروز آن‌گونه که وی ارائه می‌کرد برای تبیین امور کافی نیست، لکن به هرحال نباید ارزش کار وی را در نشان دادن روش علمی نادیده گرفت، بلکه بحق باید وی را یکی از پیشروان جامعه‌شناسی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نسبی‌اند،زیراهیچ‌گاه ونسبی‌اندو اضافی‌اند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تجربه‌های دست‌اندرکار علوم اجتماعی، جامعه و مناسبات آنهاست، و می‌بینیم که در برابر نیروی شگفت‌انگیز کنیم، به‌وقوع بی‌اراده درحالی‌که به‌کارگیری تجربه‌های گذشته، تجربه‌های بی‌اراده بدیهی‌الاستنتاج فانی‌اند،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تفسیر واژه به واژه واژه‌به‌واژه واژه‌به‌واژه به‌کار علی‌الفطره لاتبدیللخلقاللّه علم در پی آن است که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کند و بروشنی محسوس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مقوله‌اند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در جهان پیچیده در پی افکندن نظامی از معانی مجرد است و علم در صدد کشف قوانین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و دگرگونیی را سبب نمی‌شود، بر عکس آنچه آفریننده است، همت، عشق، ایمان و احساس برمی‌انگیزد آرمانی‌اند، به‌وسیله این‌گونه کیفی‌اش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شگفت‌انگیزی آن‌را فن‌استدلال قیاسی عام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باشدآن‌را رخت بربندد بشر مبتلا به بیماریهای روانی صعب‌العلاج می‌شود، قدرت‌طلبی و نفع شخصی جزو غرائز بشر است، آن را نمی‌توان انکار کرد بلکه باید تحت نظم و انضباط درآورد، محدود کرد، قانونمند کرد، ولی ریشه کن،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تحت‌الشعاع کباب‌اللّه گذاشت بشود زیرا بنظر شگفت‌انگیز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مهلکه‌ها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اجماع نزد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می‌گوید ، همان گونه که رأی یک نفر به تنهایی اعتبار ندارد و حجت سرشت آدمی و مصلحت‌اندیشی برای حفظ نظم و مقتضیات و ضرورتهای زمان به استنتاج می‌پردازد، و اغلب در اصول استنباط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 تا آن‌جا که به صورت ضرب‌المثل درآمده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عقل به وجود داشته است، اعتقاد به این که عدالت و بی‌عدالتی همانست که قوانین تحققی آن را امر یا نهی قانونگذار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والسنة معالم‌الاصول، عنصر اول،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عبارتست از دلایل اعتبار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اعتبار استصحاب عقیده‌های گوناگون است، برخی آن‌را معتبر راههای استنباط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استنباط علت از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دوم،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همان مورد سکوت قانون است، عنصر سوم،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اصل باید از نص حاصل شود و مستقیم به دست آید نه غیر مستقیم و از امور تعبدی مانند عبادات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چهارم، جامع یا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یا علت، قدر مشترک میان اصل و فرع است، علت باید وصفی روشن و آشکار باشد نه مبهم، تا بتوان با محک آن فرع را به علت عرضه کرد، علت باید چنان باشد که حکم اصل با اثبات آن اثبات و با نفی آن نفی شود و نیز مناسبت ذاتی میان علت و حکم اصل موجود باشد و همین مناسبت ذاتی است که شرط را از علت جدا می‌کند زیرا در شرط مناسبت ذاتی با مشروط ممکنست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استخراج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علت چند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قیاسی‌که علت آن به‌هنگامی که در حالی‌که اسلام، ص</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بود، این تشخیص به نظر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مصلحتهای شرعی از راه قیاس گاه منجر به نتایج نامطلوبی می‌شود، بدین استحسان عبارت از رجحانی است که مستند به دلیل شرعی نباشد یا عبارت است از عدول از دلیل شرعی به عادتی که شرعاً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رجوع و عدول به عادتی که شرعاً معتبر است استحسانی باطل و مردود نیست زیرا چنین عادتی مانند اجماع بلکه خود اجماع است مانند تقریبا ضامنِ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نص شرعی و مصلحت اجتماعی؛ مختصر حقوق مدنی،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bookmarkStart w:id="87" w:name="pg7474_109277"/>
    </w:p>
    <w:p>
      <w:pPr>
        <w:pStyle w:val="Heading2"/>
        <w:numPr>
          <w:ilvl w:val="1"/>
          <w:numId w:val="1"/>
        </w:numPr>
        <w:rPr/>
      </w:pPr>
      <w:bookmarkStart w:id="88" w:name="__RefHeading___Toc2150765_1051229030"/>
      <w:bookmarkStart w:id="89" w:name="_Toc30"/>
      <w:bookmarkEnd w:id="87"/>
      <w:bookmarkEnd w:id="88"/>
      <w:r>
        <w:rPr>
          <w:rtl w:val="true"/>
        </w:rPr>
        <w:t xml:space="preserve">بخش دوم </w:t>
      </w:r>
      <w:r>
        <w:rPr>
          <w:rtl w:val="true"/>
        </w:rPr>
        <w:t xml:space="preserve">- </w:t>
      </w:r>
      <w:r>
        <w:rPr>
          <w:rtl w:val="true"/>
        </w:rPr>
        <w:t>همسنجی نظامهای حقوقی</w:t>
      </w:r>
      <w:bookmarkEnd w:id="89"/>
    </w:p>
    <w:p>
      <w:pPr>
        <w:pStyle w:val="Heading3"/>
        <w:numPr>
          <w:ilvl w:val="2"/>
          <w:numId w:val="1"/>
        </w:numPr>
        <w:rPr/>
      </w:pPr>
      <w:bookmarkStart w:id="90" w:name="__RefHeading___Toc2150767_1051229030"/>
      <w:bookmarkStart w:id="91" w:name="_Toc31"/>
      <w:bookmarkEnd w:id="90"/>
      <w:r>
        <w:rPr>
          <w:rtl w:val="true"/>
        </w:rPr>
        <w:t>اشاره</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کوتاه به حقوق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سه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اقتصادی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و سابقه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نوشته</w:t>
      </w:r>
    </w:p>
    <w:p>
      <w:pPr>
        <w:pStyle w:val="Heading3"/>
        <w:numPr>
          <w:ilvl w:val="2"/>
          <w:numId w:val="1"/>
        </w:numPr>
        <w:rPr/>
      </w:pPr>
      <w:bookmarkStart w:id="92" w:name="__RefHeading___Toc2150769_1051229030"/>
      <w:bookmarkStart w:id="93" w:name="_Toc32"/>
      <w:bookmarkEnd w:id="92"/>
      <w:r>
        <w:rPr>
          <w:rtl w:val="true"/>
        </w:rPr>
        <w:t xml:space="preserve">گفتار اول </w:t>
      </w:r>
      <w:r>
        <w:rPr>
          <w:rtl w:val="true"/>
        </w:rPr>
        <w:t>:</w:t>
      </w:r>
      <w:r>
        <w:rPr>
          <w:rtl w:val="true"/>
        </w:rPr>
        <w:t>سیاست اقتصادی</w:t>
      </w:r>
      <w:bookmarkEnd w:id="93"/>
    </w:p>
    <w:p>
      <w:pPr>
        <w:pStyle w:val="Heading4"/>
        <w:numPr>
          <w:ilvl w:val="3"/>
          <w:numId w:val="1"/>
        </w:numPr>
        <w:rPr/>
      </w:pPr>
      <w:bookmarkStart w:id="94" w:name="__RefHeading___Toc2150771_1051229030"/>
      <w:bookmarkStart w:id="95" w:name="_Toc33"/>
      <w:bookmarkEnd w:id="94"/>
      <w:r>
        <w:rPr>
          <w:rtl w:val="true"/>
        </w:rPr>
        <w:t>مقدمه</w:t>
      </w:r>
      <w:r>
        <w:rPr>
          <w:rtl w:val="true"/>
        </w:rPr>
        <w:t>:</w:t>
      </w:r>
      <w:bookmarkEnd w:id="95"/>
    </w:p>
    <w:p>
      <w:pPr>
        <w:pStyle w:val="BookText"/>
        <w:rPr/>
      </w:pPr>
      <w:r>
        <w:rPr>
          <w:rFonts w:ascii="IRNazanin" w:hAnsi="IRNazanin" w:eastAsia="IRNazanin"/>
          <w:color w:val="111111"/>
          <w:sz w:val="28"/>
          <w:sz w:val="28"/>
          <w:szCs w:val="28"/>
          <w:rtl w:val="true"/>
          <w:lang w:bidi="fa-IR"/>
        </w:rPr>
        <w:t>عنوان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همسنجی نظامهای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به کار برده‌ام که بر اصطلاح اخیر برتری دارد، زیرا حقوق تطبیقی در معنی مطالعه و تحقیق چند جانبه نظامهای حقوقی به کار می‌رود و بنابراین سنجش و مقایسه است نه تطبیق، لکن به هر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این معنی علم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تطبیقی کسانی را بیشتر به خود جلب می‌کند که عادت دارند، در مسائل چندجانبه فکر کنند، اگر چنین کنیم، چه بسا خواهیم دید که دو وجه متناقض حتی می‌توانند با یکدیگر بسیار نزدیک باشند تا آن‌جا که هر دو از علتی واحد سرچشمه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شناخت هر ساختمان فکری وقتی کامل است که پژوهشگر از راه سنجش با دیگر نظامها به بررسی برخیزد تا بتواند به ریزه‌کاریهایی که در سازمانهای گوناگون به کار رفته وقوف یابد، از این‌رو از میان نظامهای حقوقی، سه نظام را که اساسی‌ترند برگزیده‌ام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هر فکری در مقام مقایسه با اندیشه‌ای که رویاروی آن باشد بهتر شناخته می‌شود و بهتر روح و حیات می‌یابد والا اگر فکر، برخوردی با آرای مخالف نداشته باشد در انزوای خویش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حقیقتها از درون شعله‌های مقدس اختلاف عقیده، سر برکشیده و روشنی‌بخش محیط علم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نهانی‌ها به ضد پیدا شود</w:t>
      </w:r>
    </w:p>
    <w:p>
      <w:pPr>
        <w:pStyle w:val="BookText"/>
        <w:rPr/>
      </w:pPr>
      <w:r>
        <w:rPr>
          <w:rFonts w:ascii="IRNazanin" w:hAnsi="IRNazanin" w:eastAsia="IRNazanin"/>
          <w:color w:val="111111"/>
          <w:sz w:val="28"/>
          <w:sz w:val="28"/>
          <w:szCs w:val="28"/>
          <w:rtl w:val="true"/>
          <w:lang w:bidi="fa-IR"/>
        </w:rPr>
        <w:t>چون‌که حق را نیست ضد پنهان بود</w:t>
      </w:r>
    </w:p>
    <w:p>
      <w:pPr>
        <w:pStyle w:val="BookText"/>
        <w:rPr/>
      </w:pPr>
      <w:r>
        <w:rPr>
          <w:rFonts w:ascii="IRNazanin" w:hAnsi="IRNazanin" w:eastAsia="IRNazanin"/>
          <w:color w:val="111111"/>
          <w:sz w:val="28"/>
          <w:sz w:val="28"/>
          <w:szCs w:val="28"/>
          <w:rtl w:val="true"/>
          <w:lang w:bidi="fa-IR"/>
        </w:rPr>
        <w:t>پس به ضد نور دانستی تو نور</w:t>
      </w:r>
    </w:p>
    <w:p>
      <w:pPr>
        <w:pStyle w:val="BookText"/>
        <w:rPr/>
      </w:pPr>
      <w:r>
        <w:rPr>
          <w:rFonts w:ascii="IRNazanin" w:hAnsi="IRNazanin" w:eastAsia="IRNazanin"/>
          <w:color w:val="111111"/>
          <w:sz w:val="28"/>
          <w:sz w:val="28"/>
          <w:szCs w:val="28"/>
          <w:rtl w:val="true"/>
          <w:lang w:bidi="fa-IR"/>
        </w:rPr>
        <w:t>ضد ضد را می‌نماید در صدور</w:t>
      </w:r>
    </w:p>
    <w:p>
      <w:pPr>
        <w:pStyle w:val="BookText"/>
        <w:rPr/>
      </w:pPr>
      <w:r>
        <w:rPr>
          <w:rFonts w:ascii="IRNazanin" w:hAnsi="IRNazanin" w:eastAsia="IRNazanin"/>
          <w:color w:val="111111"/>
          <w:sz w:val="28"/>
          <w:sz w:val="28"/>
          <w:szCs w:val="28"/>
          <w:rtl w:val="true"/>
          <w:lang w:bidi="fa-IR"/>
        </w:rPr>
        <w:t>در دوره عباسیان در برخورد معارف دینی با فرهنگ یونانی، اندیشمندان مسلمان، درهای پژوهش و اندیشه درباره مسائل مذهبی را که پیش از آن بکلی بسته بود، یکباره باز کردند، و نتیجه آن گنجینه‌های گرانبهایی از فرهنگ است که از آنان به یادگار مانده و از آن زمان، هرگاه خود را از برخورد با معارف بیگانه بی‌نیاز احساس کردند، انحطاط علمی آغاز شد، و گرمی و شور و شوق رو به سردی نهاد و از آنهمه، قالبهایی سرد باقی ماند که نه می‌توانست آتشی در جان دانش‌پژوهان برافروزد و نه انگیزه‌ای ژرفای وجودشان را برآشوبد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نی‌بوایه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تطبیقی مانند نورافکنی است که از خارج بنای حقوق داخلی را روشن و ریزه‌کاریهای آن را مجسم می‌سازد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سیاست اقتصادی، یا حقوق روسیه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فروپاشی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نزدیک به هشتاد سال بیش از دویست و پنجاه میلیون انسان را اسیر و دربند و بیش از چند برابر همین عده را در دنیا مفتون و مرعوب خود کرده بود، بالاخره در برابر زبان فصیح واقعیات تاب نیاورد و از درون خود فروپاشید و از پا درآمد، اینک ما دلایل فروپاشی این نظام را، تنها از دیدگاه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دیدگاه سیاسی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موضوع این کتاب مربوط می‌شود فهرست‌وار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نکته هم بطور گذرا باید تاکید کنم که وقتی نظامی جوابگوی مسایل و معضلات اقتصادی و اجتماعی عصر خود نباشد و از پا درآید، جمیع مبانی نظری و فلسفی آن نظام بی‌گمان زیر سؤال می‌رود و محکوم به مرگ و نیستی می‌شود، و پیکره نظام در برابر واقعیات غرق در گردابها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حسن افشار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کامل حقوق سیاست اقتصادی، حقوق روسیه شوروی را می‌توان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بیش از دویست و چهل میلیون از مردم مستقیما تابع حقوق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این حقوق از مسکو تا کوبا رسیده و از کره شمالی تا ویتنام شمالی کشیده شده‌است، به نظر روسها امروز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جزء خانواده سوسیالیست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همه اعضای خانواده با این رقم موافقت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یوگسلاوی به سمت سرمایه‌داری مایل و از جرگه خانواده سوسیالیست خارج گردیده‌است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به نظر چینی‌ها روسها هم فعلا در راه سرمایه‌داری قدم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علل سیاسی و تبلیغی مانع بزرگی در راه مطالعه علمی این حقوق ایجاد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حقوق انقلابی که منظورش اجرای نظرات سیاسی و اقتصادی خاصی است، خصومت آشتی‌ناپذیری را با کلیه دسته‌های حقوقی اعلام داشته‌است و به همین علت بیشتر مطالعاتی که از طرف پیروان و یا دیگران درخصوص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آمده‌است از شائبه اغراض سیاسی مصون نمانده‌است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افشار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ارزش غیرقابل بحث اصول این حقوق، برای تکمیل یا تغییر آنها مجال زیادی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انسانی که در سایر دسته‌های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می‌باشد در این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مطالعه حقوقی که از طرف پیروان بعمل آید یا بمنظور تطبیق اصول است با موارد یا توضیحی است در خصوص اجرای حقوق مزبور و یا بیشتر از نظر توجیه و تمجید اصول موجود در آن حقوق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عالمگیر شدن را نیز از مختصات حقوق مزبور می‌توان دانست، بعلاوه این دسته از حقوق در موقع ایجاد، مخالفت شدید و عمیقی با اصول معمول سابق ابراز می‌دارند، همین مخالفت در واقع علت موجودیت آنها می‌باشد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نظام، نسل حاضر و نسلهای بعد مطیع و منقاد محض این نظام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جامعه حرکت می‌کند و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کورکورانه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در این نظام، تفننی و برای اثبات درستی اصولی است که از پیش به آن اعتقاد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اصلاح آن اصول مورد نظر نیست، درحالی که هر نظام حقوقی و یا اقتصادی باید یک فن و روش تصحیح کننده در داخل خود داشته باشد تا در پرتو آن بتواند هر روز اصول و آرمانهای خود را، اصلاح و یا تکمیل کند والاّ از درون متلاشی می‌شود مثلاً در اسلام اجتهاد را ما همان روش و شیوه‌ای می‌دانیم که توانسته است این نظام را در طی چهارده قرن زنده بدارد و آن را از کاروان علم و پیشرفت باز ندارد</w:t>
      </w:r>
      <w:r>
        <w:rPr>
          <w:rFonts w:eastAsia="IRNazanin" w:cs="IRNazanin"/>
          <w:color w:val="111111"/>
          <w:sz w:val="28"/>
          <w:szCs w:val="28"/>
          <w:rtl w:val="true"/>
          <w:lang w:bidi="fa-IR"/>
        </w:rPr>
        <w:t xml:space="preserve">. </w:t>
      </w:r>
      <w:bookmarkStart w:id="96" w:name="pg7474_109280"/>
    </w:p>
    <w:p>
      <w:pPr>
        <w:pStyle w:val="BookText"/>
        <w:rPr/>
      </w:pPr>
      <w:bookmarkEnd w:id="96"/>
      <w:r>
        <w:rPr>
          <w:rFonts w:ascii="IRNazanin" w:hAnsi="IRNazanin" w:eastAsia="IRNazanin"/>
          <w:color w:val="111111"/>
          <w:sz w:val="28"/>
          <w:sz w:val="28"/>
          <w:szCs w:val="28"/>
          <w:rtl w:val="true"/>
          <w:lang w:bidi="fa-IR"/>
        </w:rPr>
        <w:t>به عقیده یکی از حقوقدانان روسی که پس از انقلاب به فرانسه مهاجرت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روسیه، حقوق خاصی است که جنبه اقتصادی آن بر جنبه حقوقیش می‌چربد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عده‌ای نیز با استناد به گفته لنین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یعنی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باتوجه به انعطاف‌پذیری فوق‌العاده‌ای که از خصوصیات سیستم سوسیالیستی است و با تذکر به مواردی که عملا اجرای قانون منوط به وجدان انقلابی قاضی است و او طبق وجدان سوسیالیستی خود حکم می‌کند، اصولا اطلاق عنوان حقوق را بر این سیستم جایز نمی‌دانند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گینز بورک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حقوقدانان روسی در انتخاب فلسفه حقوقی آزاد نیستند و بدون استثنا از فلسفه‌ای که بنا و اساس تشکیلات حقوق روسیه پس از انقلاب بر آن نهاده شده‌است متعصبانه طرفداری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کشورهای مارکسیست نیز مجبورند که همیشه عقاید خود را با عقاید لنین کاملاً تطبیق نمایند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انگلس بر سر قبر مارکس درباره نظریه تاریخی او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پایه‌ای است که اساس تشکیلات دولتی، مفاهیم حقوقی، نظرات هنری و عقاید مذهبی هر ملت بر آن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اصول مارکسیسم لنینیسم که در خارج از روسیه از ساده‌ترین و معمولی‌ترین امور است در داخل آن کشور مقدور نیست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2150773_1051229030"/>
      <w:bookmarkStart w:id="98" w:name="_Toc34"/>
      <w:bookmarkEnd w:id="97"/>
      <w:r>
        <w:rPr>
          <w:rtl w:val="true"/>
        </w:rPr>
        <w:t xml:space="preserve">ویژگیهای حقوق روسیه </w:t>
      </w:r>
      <w:r>
        <w:rPr>
          <w:rtl w:val="true"/>
        </w:rPr>
        <w:t>(</w:t>
      </w:r>
      <w:r>
        <w:rPr>
          <w:rtl w:val="true"/>
        </w:rPr>
        <w:t>پیش از فروپاشی</w:t>
      </w:r>
      <w:r>
        <w:rPr>
          <w:rtl w:val="true"/>
        </w:rPr>
        <w:t>)</w:t>
      </w:r>
      <w:bookmarkEnd w:id="9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روسیه دادرسی تابع سیاست است، دادگاهها باید بکوشند تا سیاست دولت را اجرا کنند، خواه نصی باشد یا نباشد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در حقوق روسیه اصل تفکیک قوا را نپذیرفته‌اند، و اصل وحدت قوا در آن‌جا حکمفرما است بدین توضیح که قوه مقننه و اجرائیه و قضائیه همگی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قلمرو شورای عالی اتحاد جماهیر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روسیه تفاوتی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حالی که وضع قانون در صلاحیت مجلس و تصویب‌نامه از شؤون هیأت وزیران است و طبق اصل کلی مورد قبول همه حقوقدانان دنیا و نیز بحکم عقل و منطق تصویب‌نامه نباید ناقض و یا ناسخ قانون باشد درحالی که در روسیه چنین نیست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حقوق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خصوصی از حقوق عمومی جداست، توضیح این‌که در حقوق خصوصی که از جمله حاکم بر مناسبات افراد در امور مالی و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مناسبات روانی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حقوق خانواده، نکاح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مقامهای قضایی و دولت در آن نقش مستقیم ندارند بلکه مردم می‌توانند مورد اختلاف و منازعه را بدون مراجعه به دادگاهها به صلح و سازش خاتمه دهند، و یا راه مراجعه به مقامهای قضایی را در پیش گیرند، درحالی که حقوق عمومی، ناظر به حاکمیت دولت و سازمانهای دولتی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اساسی 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آئین دادرسی کیفری و همه شاخه‌هایی از علم حقوق که ناظر به روابط میان افراد و دولت است جزء حقوق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حقوقدانان روسیه تقسیم‌بندی حقوق را به خصوصی و عمومی مطابق واقع نمی‌دانند،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Hazard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حقوقدانان شوروی همه روشهای حقوقی را برپایه پیروی از هدفهای دولت تشخیص می‌دهند و تفاوت نظام خود را با نظامهای دیگر تنها در میزان علاقه‌ای می‌دانند که دولت روسیه نسبت به جمیع شؤون اجتماعی نشان می‌دهد و فاش و آشکار می‌گویند چنین علاقه‌ای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کلام تعریفی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کرده و حقوق را در جمیع رشته‌ها و شؤون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کلمات او پیوسته زبانزد حقوقدانان روسیه بوده‌است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مقاله سه تن از استادان دانشگاه کالیفرنیا پنج مورد از اختلافهای حقوق روسیه را با حقوق کشورهای غربی یادآور شده‌اند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کمونیست در جامعه روسیه و برخورد جایگاه حزب با وظایف محاکم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اجرای احکام حزبی فقط شامل اعضای حزب نیست، بلکه حاکم بر همه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حزب مقدم بر مقررات دیگر است، بویژه این‌که اکثر دادرسان نیز اعضای حزبند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هر فردی می‌تواند درباره تعارض قوانین موضوعه با قانون اساسی به دادگاه </w:t>
      </w:r>
      <w:bookmarkStart w:id="99" w:name="pg7474_109282"/>
    </w:p>
    <w:p>
      <w:pPr>
        <w:pStyle w:val="BookText"/>
        <w:rPr/>
      </w:pPr>
      <w:bookmarkEnd w:id="99"/>
      <w:r>
        <w:rPr>
          <w:rFonts w:ascii="IRNazanin" w:hAnsi="IRNazanin" w:eastAsia="IRNazanin"/>
          <w:color w:val="111111"/>
          <w:sz w:val="28"/>
          <w:sz w:val="28"/>
          <w:szCs w:val="28"/>
          <w:rtl w:val="true"/>
          <w:lang w:bidi="fa-IR"/>
        </w:rPr>
        <w:t>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شوروی مرجع تفسیر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رئیسه شورای اتحاد 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دیوان کشور، و افراد حق چنین اعتراضی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در فصل دهم قانون اساسی شوروی برای افراد پیش‌بینی شده هرگاه به طرفیت دولت باشد در محاکم قابل استیناف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شوروی چون برمبنای طبقه واحدی است بی‌طرف نیست، و بخلاف حقوق کشورهای غربی که همه طبقات و اصحاب دعوی در برابر قانون یکسانند، حقوق شوروی به زیان طبقه متوسط و سرمایه‌دار،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توده مردم و طبقه رنجبر و کارگر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کمونیسم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تحقق نیازی به قانون نخواهد بود و سرانجام قانون محلی از اعراب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آرزومندان شوروی این اندیشه‌ها را رها نکرده‌اند و حال آن‌که به اعتقاد حقوقدانان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برای یک کشور متشکل همیشه ضروری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همه اینها حقوقدانانی که در روسیه مأمور تنظیم و تدوین نظام نوین شده‌اند، تصمیم داشتند رشته را یکسره با قوانین ماهوی که از آثار امپراطوری بود بگسلانند، اما دیری نپایید که در اغلب موارد و از طرق گوناگون با سنتها و روشهای گذشته هماهنگی نشان دادند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2150775_1051229030"/>
      <w:bookmarkStart w:id="101" w:name="_Toc35"/>
      <w:bookmarkEnd w:id="100"/>
      <w:r>
        <w:rPr>
          <w:rtl w:val="true"/>
        </w:rPr>
        <w:t>اعتبار اقتصاد</w:t>
      </w:r>
      <w:bookmarkEnd w:id="101"/>
    </w:p>
    <w:p>
      <w:pPr>
        <w:pStyle w:val="BookText"/>
        <w:rPr/>
      </w:pPr>
      <w:r>
        <w:rPr>
          <w:rFonts w:ascii="IRNazanin" w:hAnsi="IRNazanin" w:eastAsia="IRNazanin"/>
          <w:color w:val="111111"/>
          <w:sz w:val="28"/>
          <w:sz w:val="28"/>
          <w:szCs w:val="28"/>
          <w:rtl w:val="true"/>
          <w:lang w:bidi="fa-IR"/>
        </w:rPr>
        <w:t>برتراند راسل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ظهور اسلام تا امروز امری بسرعت و شگفت‌انگیزی پیشرفت کمونیسم دیده نشده‌است</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این پیشرفت سریع را معلول نیروی عقاید مارکس و پیروان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عقاید خود مارکس این کینه نباید منطقی باشد، زیرا ستمگریهای سرمایه‌داران به خاطر حرص و مال‌اندوزی، امری جبری است، امر جبری و مقدر نمی‌تواند به شرارت و بدی افراد منسوب و مربوط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عقاید مارکس بازتاب تحقیق او در وضع کارگران بریتانیا در سالهای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سالها، کارخانه‌های بزرگ به کار افتاده بود، در میان کارگران، اطفال و زنان نیز دیده می‌شدند، روزی چهارده و گاه تا هفده ساعت کار در برابر دستمزدی بسیار 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روزگار هنوز قرارداد کار عمومی نبود، بیمه و تعاونی وجود نداشت، بنابراین در بحرانها و تعطیل کارخانه‌ها یکباره هزاران کارگر بیکار می‌شدند و همان دستمزد کم هم به آنان نمی‌رسید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طبیعی این اوضاع شوم بود، مارکس این کینه و نفرت را به صورت اصلی از اصول و نظام عالم معرفی کرد و آن را منشأ و خاستگاه و انگیزه همه پیشرفتها و جهشهای اجتماعی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سیاسی هر فرد مبین منافع طبقاتی اوست، بنابراین سعی در تغییر این عقاید فایده‌ای ندارد، در انقلاب کبیر فرانسه طبقه بورژوا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 یعنی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طبقه اشراف و فئودال را سرنگون کرد و در انقلاب کمونیستی طبقه کارگر می‌خواهد طبقه بورژوا را براندازد، در این جنگ طبقاتی، کارگر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تاریخی خلاف این نظریه را نشان داده‌است زیرا مطابق پژوهشهای تازه، اغلب رهبران انقلاب اکتبر را نجیب‌زادگان و اشراف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نوزده درصد آنها کارگر و دهقان بودند تا آن‌جا که بنیانگذار سوسیالیسم علمی خود از طبقه بورژوا بوده‌است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نهایی با کارگر است، او دیکتاتوری پرولتاریا را به وجود خواهد آورد،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کمونیسم از گذرگاهی به نام سوسیالیسم صورت می‌گیرد که بر دیکتاتوری طبقه کارگر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گفته آلبرکامو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هیچ‌یک از بدیهایی که استبداد مدعی مبارزه با آنهاست بدتر از خود استبداد نیست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وعده‌های دروغین مبلّغان مارکسیسم به طرفداران خود و نوید بهشت برین در این دنیا به آنان، دیدیم که پس از هشتاد سال تجربه در یک ششم سطح زمین در کشوری نیمه اروپایی، حکومت پرولتاریا نتوانست حتی نان اتباع خود را دربیاورد تا چه رسد به نجات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کمونیسم از آنجا شکست خورد که با فطرت و ناموس طبیعی خلقت درافتاده بود، با انگیزه نفع و سود شخصی درافتاده و زندگی بی‌انگیزه برای هیچ انسانی قابل دوام نبود، وقتی انگیزه از زندگی آدمی رخت بربندد بشر مبتلا به بیماریهای روانی صعب‌العلاج می‌شود، قدرت‌طلبی و نفع شخصی جزو غرائز بشر است، آن را نمی‌توان انکار کرد بلکه باید تحت نظم و انضباط درآورد، محدود کرد، قانونمند کرد، ولی ریشه کن، هرگز</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اصلاح آدمی باید همراه اصلاح اجتماعی باشد، و هریک بدون دیگری راه </w:t>
      </w:r>
      <w:bookmarkStart w:id="102" w:name="pg7474_109284"/>
    </w:p>
    <w:p>
      <w:pPr>
        <w:pStyle w:val="BookText"/>
        <w:rPr/>
      </w:pPr>
      <w:bookmarkEnd w:id="102"/>
      <w:r>
        <w:rPr>
          <w:rFonts w:ascii="IRNazanin" w:hAnsi="IRNazanin" w:eastAsia="IRNazanin"/>
          <w:color w:val="111111"/>
          <w:sz w:val="28"/>
          <w:sz w:val="28"/>
          <w:szCs w:val="28"/>
          <w:rtl w:val="true"/>
          <w:lang w:bidi="fa-IR"/>
        </w:rPr>
        <w:t>به جایی نبرده است و تجربه‌های بشر گویای آن بوده و خواهد بود</w:t>
      </w:r>
      <w:r>
        <w:rPr>
          <w:rFonts w:eastAsia="IRNazanin" w:cs="IRNazanin"/>
          <w:color w:val="111111"/>
          <w:sz w:val="28"/>
          <w:szCs w:val="28"/>
          <w:rtl w:val="true"/>
          <w:lang w:bidi="fa-IR"/>
        </w:rPr>
        <w:t>.</w:t>
      </w:r>
    </w:p>
    <w:p>
      <w:pPr>
        <w:pStyle w:val="Heading4"/>
        <w:numPr>
          <w:ilvl w:val="3"/>
          <w:numId w:val="1"/>
        </w:numPr>
        <w:rPr/>
      </w:pPr>
      <w:bookmarkStart w:id="103" w:name="__RefHeading___Toc2150777_1051229030"/>
      <w:bookmarkStart w:id="104" w:name="_Toc36"/>
      <w:bookmarkEnd w:id="103"/>
      <w:r>
        <w:rPr>
          <w:rtl w:val="true"/>
        </w:rPr>
        <w:t>آرای مارکس</w:t>
      </w:r>
      <w:bookmarkEnd w:id="104"/>
    </w:p>
    <w:p>
      <w:pPr>
        <w:pStyle w:val="BookText"/>
        <w:rPr/>
      </w:pPr>
      <w:r>
        <w:rPr>
          <w:rFonts w:ascii="IRNazanin" w:hAnsi="IRNazanin" w:eastAsia="IRNazanin"/>
          <w:color w:val="111111"/>
          <w:sz w:val="28"/>
          <w:sz w:val="28"/>
          <w:szCs w:val="28"/>
          <w:rtl w:val="true"/>
          <w:lang w:bidi="fa-IR"/>
        </w:rPr>
        <w:t xml:space="preserve">کارل مارکس </w:t>
      </w:r>
      <w:r>
        <w:rPr>
          <w:rFonts w:eastAsia="IRNazanin" w:cs="IRNazanin"/>
          <w:color w:val="111111"/>
          <w:sz w:val="28"/>
          <w:szCs w:val="28"/>
          <w:rtl w:val="true"/>
          <w:lang w:bidi="fa-IR"/>
        </w:rPr>
        <w:t>(</w:t>
      </w:r>
      <w:r>
        <w:rPr>
          <w:rFonts w:eastAsia="IRNazanin" w:cs="IRNazanin"/>
          <w:color w:val="111111"/>
          <w:sz w:val="28"/>
          <w:szCs w:val="28"/>
          <w:lang w:bidi="fa-IR"/>
        </w:rPr>
        <w:t>18831818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و اصلاً یهودی است ولی پدرش به مسیحیت گرویده بود، اثر معروف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سه جلد که دو جلد آن در سالهای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جلد سوم آن در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به وسیله دوست و همکارش انگلس تکمیل شد و انتشار یافت، کتاب سرمایه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این دو دوست در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مانیفست کمونیست را تنظیم و نشر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حقوق روسیه لازم است نگاهی گذرا به نظریه فلسفی و عقیده مادی تاریخی مارکس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فیلسوفان یونان به معنی بحث و جدل از راه پرسش و پاسخ به کار می‌رفت، افلاطون آن را فن عروج از معلومات محسوس به معلومات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ارسطو آن‌را فن‌استدلال قیاسی براساس مقدمات ضروری نام داد، و این نظر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معنی سیر اندیشه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تقابل دو مقدمه ایجاب و نفی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تعریف کرد، درحالی که در منطق قدیم، جمع ضدین محال بود، منطق هگل براساس جمع و تقابل ضدین بنا نهاده شد، هگل که ایده‌ئالیست بود، دیالکتیک را قانون تحرک اندیشه آدمی می‌دانست، درحالی که مارکسیستها جریان آن را در ماده می‌دانند و اندیشه را انعکاسی از آن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دیالکتیک را حاکم بر تاریخ و بر تحول اندیشه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منطق مادی و ماتریالیسم تاریخی، جهان، جهان اضداد است، هر ضدی با ضدی دیگر ترکیب می‌شود و از اجتماع آنها عنصر ثالثی پدید می‌آید، دنیا، دنیای تغییر و تحول و تکامل است و اگر نبرد و کشمکش نباشد، تکاملی هم وجود نخواهد داشت، ضمن این نبرد ممتد گاه یکباره موجود، جهش و خیز برمی‌دارد، کمّیت در او انباشته می‌شود و به کیفیت تازه‌ای مبدل می‌گردد، و باز موجود جدید با ضدی دیگر موجود جدید دیگری 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تا بی‌نهایت ادامه می‌یابد، در عالم اجتماع هم سکون وجود ندارد و این منطق بر آن هم جاریست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فیلسوفان اواخر قرن ششم پیش از میلاد نخستین کسی است که نظریه عدم ثبات موجودات جهان را بیان کرده‌است،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دفعه وارد یک رودخانه نمی‌توان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معروف اوست، سقراط که حقایق را از لابلای نفی و اثبات و تناقض استخراج می‌کرد نیز همین روش </w:t>
      </w:r>
    </w:p>
    <w:p>
      <w:pPr>
        <w:pStyle w:val="BookText"/>
        <w:rPr/>
      </w:pPr>
      <w:r>
        <w:rPr>
          <w:rFonts w:ascii="IRNazanin" w:hAnsi="IRNazanin" w:eastAsia="IRNazanin"/>
          <w:color w:val="111111"/>
          <w:sz w:val="28"/>
          <w:sz w:val="28"/>
          <w:szCs w:val="28"/>
          <w:rtl w:val="true"/>
          <w:lang w:bidi="fa-IR"/>
        </w:rPr>
        <w:t>دیالکتیک را به کار می‌برد، به نظر مارکس حقیقت مطلق وجود ندارد، همه چیز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ایرادی که از این جهت به عقیده وی وارد است، آن است که وقتی چنین است، چگونه این نظریه را مطلق و ازلی و ابدی می‌داند؟ پس عقاید مارکس هم مطابق عقیده خودش نباید مطلق و ازلی و ابدی باشد، از سوی دیگر باید پرسید که آیا تضاد میان اصل تغییر و اصل یکسان ماندن را چه اصلی می‌تواند حل کند؟ وانگهی حقیقت، اگر حقیقت است، نسبی نیست، بلکه مطلق است؛ همین‌که بشر بر خطای معلومات خویش از راه حس و عقل پی می‌برد خود دلیل بر آنست که یک سلسله حقایق مسلمی هست که ما آنها را معیار و مقیاس تشخیص خطا از صواب قرار داده‌ایم والا پی بردن به خطا چه معنایی می‌تواند داشته باشد، زیرا یک غلط، نمی‌تواند غلط دیگری را تصحیح کند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به هم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نمی‌شود و امروز این امر در قلمرو علوم طرفداری ندارد آنچه امروز به آن معتقدند آنست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نهاد و برابر نهاد به تناوب اثبات می‌شوند، اما همدیگر را نفی نمی‌کنند، و به یک همنهاد روشن نمی‌رسند یعنی به فرمولی که حقیقت هر دو اثر پیشین را یکجا جمع کند، این هر دو همدیگر را تکمیل می‌کنند، بی‌آن که بتوان گفت عقلاً چگونه این تکمیل‌کنندگی یا متمم بودن صورت پذیرفته است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به نظر می‌رسد که وجدان معاصر براثر دو افراط و تفریط از هم گسیخته است، کسانی که شایستگی فرد بشری و آزادی وی و حقوق زوال‌ناپذیر او را مافوق همه‌چیز می‌دانند، براساس همین فکر معتقد به تحلیلی هستند که به موجب آن افراد بشر بیرون از مقتضیات واقعی زندگی خود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 را دارای طبیعتی تغییرناپذیر و انتزاعی می‌دانند، این عقیده، افراد را از همبستگی جدا می‌کند و چشمشان را در این باره می‌بندد، کسانی که پی برده‌اند که بشر در جمع ریشه دارد، و می‌خواهند، اهمیت عوامل اقتصادی و فنی و تاریخی را تاکید کنند، متمایل به اندیشه ترکیب‌گری هستند که این شیوه تفکر بر فرد دیده می‌بندد و جز گروهها را نمی‌بیند، مثال این افراط و تفریط در این اعتقاد بسیار نمایان است که می‌گویند سوسیالیسم در قطب مقابل آزادیهای فردی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کسانی که به استقلال خود آدمی معتقدند در تنگنای سرمایه‌داری، که عواقب شوم آن آشکار است،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کسانی که طالب تشکیلات سوسیالیستی در اقتصاد هستند باید آن را در فلان رژیم قدرت‌طلب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 کنونی حاصل آنست که هیچکس نمی‌تواند عواقب افراطی این اصول را بپذیرد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آلبرکامو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مشخص جهانی که ما در آن زندگی می‌کنیم منطق شومی است که بیعدالتی یک جبهه را در برابر بردگی جبهه دیگر قرار می‌دهد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05" w:name="pg7474_109287"/>
    </w:p>
    <w:p>
      <w:pPr>
        <w:pStyle w:val="Heading3"/>
        <w:numPr>
          <w:ilvl w:val="2"/>
          <w:numId w:val="1"/>
        </w:numPr>
        <w:rPr/>
      </w:pPr>
      <w:bookmarkStart w:id="106" w:name="__RefHeading___Toc2150779_1051229030"/>
      <w:bookmarkStart w:id="107" w:name="_Toc37"/>
      <w:bookmarkEnd w:id="105"/>
      <w:bookmarkEnd w:id="106"/>
      <w:r>
        <w:rPr>
          <w:rtl w:val="true"/>
        </w:rPr>
        <w:t xml:space="preserve">گفتار دوم </w:t>
      </w:r>
      <w:r>
        <w:rPr>
          <w:rtl w:val="true"/>
        </w:rPr>
        <w:t>:</w:t>
      </w:r>
      <w:r>
        <w:rPr>
          <w:rtl w:val="true"/>
        </w:rPr>
        <w:t>عرف و سابقه</w:t>
      </w:r>
      <w:bookmarkEnd w:id="107"/>
    </w:p>
    <w:p>
      <w:pPr>
        <w:pStyle w:val="Heading4"/>
        <w:numPr>
          <w:ilvl w:val="3"/>
          <w:numId w:val="1"/>
        </w:numPr>
        <w:rPr/>
      </w:pPr>
      <w:bookmarkStart w:id="108" w:name="__RefHeading___Toc2150781_1051229030"/>
      <w:bookmarkStart w:id="109" w:name="_Toc38"/>
      <w:bookmarkEnd w:id="108"/>
      <w:r>
        <w:rPr>
          <w:rtl w:val="true"/>
        </w:rPr>
        <w:t>مقدمه</w:t>
      </w:r>
      <w:r>
        <w:rPr>
          <w:rtl w:val="true"/>
        </w:rPr>
        <w:t>:</w:t>
      </w:r>
      <w:bookmarkEnd w:id="109"/>
    </w:p>
    <w:p>
      <w:pPr>
        <w:pStyle w:val="BookText"/>
        <w:rPr/>
      </w:pPr>
      <w:r>
        <w:rPr>
          <w:rFonts w:ascii="IRNazanin" w:hAnsi="IRNazanin" w:eastAsia="IRNazanin"/>
          <w:color w:val="111111"/>
          <w:sz w:val="28"/>
          <w:sz w:val="28"/>
          <w:szCs w:val="28"/>
          <w:rtl w:val="true"/>
          <w:lang w:bidi="fa-IR"/>
        </w:rPr>
        <w:t>حوزه جغرافیائی این حقوق شامل کشورهای انگلوساکسون و توابع است، ازقبیل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ایرلند، استرالیا، زلاندجدید، کانادا و کشورهای متحده امریکای شمالی و همچنین هندوستان، سیلان، اسکاتلند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و رسوم، سنتها، عرفها و سوابق قضایی در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مقدس و محترمند و از ویژگیهای ذاتی حقوق انگلیس نفوذ عمیق آن در زندگانی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حقوق انگلیس شبیه به یک بنای قدیمی است که به جای آن‌که یکباره با نقشه‌ای معین و منظم و طبق اصول مهندسی جدید بنا گردد در اعصار مختلفه هنری بالا آمده و هر زمان تغییرهایی در آن داده شده و پیوسته هریک از مالکان لاحق برحسب سلیقه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راحتی خودشان آن را مرمت کرده یا چیزی بر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ساختمانی بیهوده است اگر دنبال ظرافت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تناسب اجزایی که از یک ساختمان مدرن انتظار می‌رود، بگردیم، بعلاوه یک چنین هماهنگی و قرینه‌سازی بیشتر رضایت خاطر تماشاگر را فراهم می‌سازد و کمتر راحتی ساکنان آن را تامین می‌کند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تاکید بر سنت و عرف و سابقه تاریخی قضایی عیبهایی نیز دارد، اما نباید از نظر دور داشت که استواری و ثبات جامعه انگلیسی برپایه همین سنتها گذاشته شده‌است، انگلیسیها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کشورهای دیگر متنفر و بیزارند، زیرا می‌گویند وضع و تصویب قوانین که با یک قیام و قعود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بهترین عامل استبداد و مخالف آزادی و دموکراسی است، با یک نشست و برخاست همه عرفها و عادتها و حقوق مکتسبی که مبتنی بر یک سیر و سابقه ممتد تاریخی بوده یکباره محو و نابود می‌شود، عرفی که در قرون و اعصار متمادی به آن خو گرفته و دلبستگی پیدا شده، با این وضعیت پیوسته در معرض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حقوق مدون را مخالف منافع و حقوق مردم می‌دانند و قانون را موجد حق نمی‌شناسند بلکه عرف و سابقه و رویه قضایی دادگاهها را موجد حق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جرمی 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ساخته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انگلیسیها با روش قانونگذاری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هرلحظه با خطر پایمال شدن رو به روست و جنبه ثبات و دوام خود را از دست می‌دهد، درصورتی که در نظام حقوقی مبتنی بر عرف و سابقه انگلیس مردم عملی را تکرار کرده و در خوی و منش آنان جای گرفته و به صرافت طبع و از روی اختیار و آزادی کامل آن را اجرا کرده و به مرور زمان به آن دلبستگی پیدا نموده‌اند، و این روش در طول قرنهای دراز، یادآور خلق و خوی نیاکان و فرهنگ قومی است و ازین رو قداست و معنویت ویژه‌ای پیدا کرده‌است که بسادگی از آن دست‌بردار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چرچیل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استقلال کامل قوه قضائیه در برابر قوه مجریه پایه بسیاری از امور در زندگانی جزیره‌نشینی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آزاد، کشورهای مختلف به درجات متفاوت به این اصل تاسی کرده‌اند و یکی از عمیقترین شکافهایی که میان ما و همه اشکال حکومتهای استبدادی و انحصاری موجود است شاید مربوط به همین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بریتانیا با سوابق و سننی که دارد یکی از بزرگترین سرمایه‌های نژاد ما و قوم ماست و استقلال قضایی جزیی از پیام ما به جهان مترقی است؛ جهانی که با گامهای سریع در اطراف ما مراحل ترقی را می‌پیماید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استحکام و استقلال و قدرت دستگاه قضایی در هر کشور ضامن بقا و حیثیت و اعتبار آن کشور است، ملتی که دستگاه قضایی آن منحط و دست نشانده عوامل سیاسی باشد و از درون با رشا و ارتشا فاسد و تباه شده باشد، روی نیک‌بختی و بهروزی را نخواهد دید، دستگاه قضایی انگلیس از حیث استقلال و تربیت در دنیا زبانزد است، در دیوان دایمی داوری بین‌المللی لاهه در </w:t>
      </w:r>
      <w:bookmarkStart w:id="110" w:name="pg7474_109289"/>
    </w:p>
    <w:p>
      <w:pPr>
        <w:pStyle w:val="BookText"/>
        <w:rPr/>
      </w:pPr>
      <w:bookmarkEnd w:id="110"/>
      <w:r>
        <w:rPr>
          <w:rFonts w:ascii="IRNazanin" w:hAnsi="IRNazanin" w:eastAsia="IRNazanin"/>
          <w:color w:val="111111"/>
          <w:sz w:val="28"/>
          <w:sz w:val="28"/>
          <w:szCs w:val="28"/>
          <w:rtl w:val="true"/>
          <w:lang w:bidi="fa-IR"/>
        </w:rPr>
        <w:t>قضیه ملی‌شدن صنعت‌نفت، قاضی انگلیسی به سود دولت ایران و به زیان کشور خودش رأی داد در صورتی‌که قاضی‌هندی چنین‌نکرد و قاضی‌روسی تمارض‌کرد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چمبرلن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 اعتبار این منبع حقوق بسته به موافقت آن با روح زمان یا بسته به نظر دادگاهها در مورد انطباق آن با قاعده واقعی حقوق است، و نظریه سابقه، در آخرین تحلیل، بیشتر دارای یک اعتبار معنوی و اخلاقی است تا یک نیروی محرک و خودکار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کم کردن ارزش و اعتبار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امریکا بیشتر بوده‌است، یکی از قضات امریکا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سوابق قضایی الزاما شامل عاقلانه‌ترین راه‌حلها نیستند، آنها را نباید همیشه پذیرفت، بلکه باید غالبا مردود شناخت، ارزش حقوقی و عقلی آنها درست مربوط به اوضاع و احوال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باید همیشه و در برخورد، جای خود را به مقتضیات انصاف بدهد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150783_1051229030"/>
      <w:bookmarkStart w:id="112" w:name="_Toc39"/>
      <w:bookmarkEnd w:id="111"/>
      <w:r>
        <w:rPr>
          <w:rtl w:val="true"/>
        </w:rPr>
        <w:t>ارزش قانون</w:t>
      </w:r>
      <w:bookmarkEnd w:id="112"/>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انگلیس در مرحله تازه‌ای گام نهاده مانند کشورهای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وضع قوانین زده‌است؛ مع‌ذلک این امر طرز فکر قضات انگلیسی را تغییر نداده‌است، قانون پارلمان را در نظام عرف و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بر اصل می‌دانند، و یا به صورت قانون خاصی که پس از قانون عام وضع می‌شود تلقی می‌کنند و دادگاهها قوانین مجلس را فقط بر همان مورد خاص و محدود و معین، آن‌هم به عنوان استثنا بر اصل،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عرفهای اعمال شده و تثبیت شده، در آرا و احکام قبلی دادگاهها و استثنا بر اصل، قوانین مجلس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قاضی انگلیسی بیش از هر قاضی دیگری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بداند زیرا </w:t>
      </w:r>
    </w:p>
    <w:p>
      <w:pPr>
        <w:pStyle w:val="BookText"/>
        <w:rPr/>
      </w:pPr>
      <w:r>
        <w:rPr>
          <w:rFonts w:ascii="IRNazanin" w:hAnsi="IRNazanin" w:eastAsia="IRNazanin"/>
          <w:color w:val="111111"/>
          <w:sz w:val="28"/>
          <w:sz w:val="28"/>
          <w:szCs w:val="28"/>
          <w:rtl w:val="true"/>
          <w:lang w:bidi="fa-IR"/>
        </w:rPr>
        <w:t>حقوق انگلیس از تاریخ آن جدایی ندارد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تفسیر قانونی خاص وقتی کتابی نوشته می‌شود به آرایی از دادگاهها استناد می‌گردد که پیش از وضع قانون وجود داشته است</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دادگاهها از این‌که دایره شمول قانون را مانند نظام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فرانسه، بلژیک و غیره وسعت دهند، بشدت اجتناب می‌ورزند، و بنابراین برای هر مورد تازه هر روز احتیاج به وضع قانون جدیدی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 ما انگلستان به علت اوضاع خاص سیاسی، هرچند یوغ سنت و عقیده بر گردن ما سنگینتر است، اما یوغ قانون نسبت به اغلب کشورهای اروپایی سبکتر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دخالت مستقیم قوه قانونگذاری یا قوه اجرایی در زندگی خصوصی افراد برای مردم سخت ناگوار است، علت این هم کمتر ناشی از احترام بحق مردم نسبت به آزادی فردی و بیشتر بدان علت است که هنوز این عادت در ملت ما به جا مانده است که فکر کنند نفع دولت با نفع عموم منطبق نیست، اکثریت مردم هنوز نپذیرفته‌اند که قدرت دولت را همان قدرت ملت حس کنند و عقاید دولت را همان عقاید ملت بدانند، وقتی چنین کنند آن وقت آزادی افراد به همان اندازه مورد تعرض دولت قرار خواهد گرفت که امروز مورد تعرض عقاید عمومی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درباره ارزش قانون در حقوق انگلیس گفته شد، این توهم پیش نیاید که در این نظام اساسا قانون وجود ندارد بلکه بعکس شاید هیچ کشوری مانند انگلستان دستگاه قانونگذاریش سرعت نداشته باشد، هر سال صدها ماده قانون از مجلس می‌گذرد، لکن معنا و کاربرد همه این قوانین با کشورهای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قانون در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و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 در مورد محدود و معین و الا عرف و سابقه عمومیت خود را از دست نداده است، زیرا قانون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قانون خاص که از مجلس می‌گذرد مباینتی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 عام والا وقد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قاضی انگلیسی باید راه حل موضوع مورد نظر را ابتدا در عرف کلی قدیمی جستجو کند سپس برای اطمینان از عدم تغییر عرف مزبور به مجموعه قوانین مراجعه کند</w:t>
      </w:r>
      <w:r>
        <w:rPr>
          <w:rFonts w:eastAsia="IRNazanin" w:cs="IRNazanin"/>
          <w:color w:val="111111"/>
          <w:sz w:val="28"/>
          <w:szCs w:val="28"/>
          <w:rtl w:val="true"/>
          <w:lang w:bidi="fa-IR"/>
        </w:rPr>
        <w:t xml:space="preserve">. </w:t>
      </w:r>
      <w:bookmarkStart w:id="113" w:name="pg7474_109291"/>
    </w:p>
    <w:p>
      <w:pPr>
        <w:pStyle w:val="Heading4"/>
        <w:numPr>
          <w:ilvl w:val="3"/>
          <w:numId w:val="1"/>
        </w:numPr>
        <w:rPr/>
      </w:pPr>
      <w:bookmarkStart w:id="114" w:name="__RefHeading___Toc2150785_1051229030"/>
      <w:bookmarkStart w:id="115" w:name="_Toc40"/>
      <w:bookmarkEnd w:id="113"/>
      <w:bookmarkEnd w:id="114"/>
      <w:r>
        <w:rPr>
          <w:rtl w:val="true"/>
        </w:rPr>
        <w:t>عرف و سابقه چیست ؟</w:t>
      </w:r>
      <w:bookmarkEnd w:id="115"/>
    </w:p>
    <w:p>
      <w:pPr>
        <w:pStyle w:val="BookText"/>
        <w:rPr/>
      </w:pPr>
      <w:r>
        <w:rPr>
          <w:rFonts w:ascii="IRNazanin" w:hAnsi="IRNazanin" w:eastAsia="IRNazanin"/>
          <w:color w:val="111111"/>
          <w:sz w:val="28"/>
          <w:sz w:val="28"/>
          <w:szCs w:val="28"/>
          <w:rtl w:val="true"/>
          <w:lang w:bidi="fa-IR"/>
        </w:rPr>
        <w:t xml:space="preserve">معنی عرف و سابقه در انگلیس با معنی آن در کشورهای با حقوق مدون مثل فرانسه تفاوت بسیار دارد، زیرا عرف و سابقه در حقوق انگلیس یک عرف واقعی نیست، بلکه عرف و سابقه منشورهایی است که تا سال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تاجگذاری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شیردل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دادگاههای شاهی انگلیس صادر و بدانها عمل شده است، و این است معنی آن جمله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و سابقه را قضات دادگاهها در عمل ساخته‌اند و بعد به عنوان اصولی تغییر ناپذیر باقی مانده و به همین سبب است که حقوق انگلیس از تاریخ آن جدا نیست، و اغلب ممکن است قضات در حکم خود استناد به یک ماده از منشور چند قرن قبل بکنند، به عبارت دیگر در این نظام حقوقی، قانون منبع درجه دوم حقوق است و عرف و سابقه منبع درجه اول؛ اگر قوانین همگی لغو شوند حقوق انگلیس باقی خواهد بود، بر خلاف حقوق کشورهای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قانون منبع درجه اول و رویه قضایی منبع درجه دوم است و اگر قانون لغو شود از حقوق چیزی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حقوق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درجه اول و مقتدر حقوق است، گهگاه تصفیه دسته جمعی انبوهی از قوانین مصوب مجلس ضرورت پیدا می‌کند، مثلاً در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قانون،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قانون را از اثر انداخت و در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دیگر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قانون را ملغی‌الاثر اعلام کرد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بدیهی است که حقوقدانان هوادار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لغو کلی را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انگلیسها به استدلال حقوقی و فرضیه و اصل کمتر توجه می‌کنند تا به واقعیت پدیده‌های مختلف اجتماعی، از نظر حقوقدانان انگلیسی هیچ اصل کلی نمی‌تواند راه حل موارد خاص را به نحو شایسته تعیین کند، زیرا هیچ تعمیمی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برندارد، بنابراین حقوقدانان انگلیسی قواعد عرف و سابقه را در مجموعه‌های آرای قضایی و در خلال دعاوی جستجو می‌کنند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فردریک پلک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را که جدش در موقع شروع مطالعه حقوق به او کرده است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گاه کتابی راجع به کلیات حقوق نخوانده‌ام، حقوق را با مطالعه مجموعه‌های آرای قضایی و تعقیب مباحثات حقوقی در دادگاهها و تفکر راجع به آنچه خوانده بودم و تکرار آنچه شنیده بودم آموخته‌ام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16" w:name="pg7474_109292"/>
    </w:p>
    <w:p>
      <w:pPr>
        <w:pStyle w:val="BookText"/>
        <w:rPr/>
      </w:pPr>
      <w:bookmarkEnd w:id="116"/>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دادگاههاست که به میراث مانده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عرف وعادت در حقوق انگلیس مانند نظامهای دیگر است، عرف و عادت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کردن مردم به این که پیوسته در موقع بروز قضیه معینی قاعده مخصوصی را رعایت کنند، بنابراین عرف و عادت، ساخته مردم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حقوقی است که دادگاهها آن را پدید آورده‌اند؛ پس بر خلاف آنچه شهرت پیدا کرده است، حقوق انگلیس یک حقوق عرفی نیست، شاید این اشتباه ناشی از ترجمه غیر مطمئن 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Common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کامن لو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حالی که اگر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تصمیمات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می‌کردند بهتر می‌بود</w:t>
      </w:r>
      <w:r>
        <w:rPr>
          <w:rStyle w:val="FootnoteAnchor"/>
          <w:rtl w:val="true"/>
        </w:rPr>
        <w:footnoteReference w:id="89"/>
      </w:r>
      <w:r>
        <w:rPr>
          <w:rFonts w:ascii="IRNazanin" w:hAnsi="IRNazanin" w:eastAsia="IRNazanin"/>
          <w:color w:val="111111"/>
          <w:sz w:val="28"/>
          <w:sz w:val="28"/>
          <w:szCs w:val="28"/>
          <w:rtl w:val="true"/>
          <w:lang w:bidi="fa-IR"/>
        </w:rPr>
        <w:t xml:space="preserve">اما به هر تقدیر در زبان حقوقی 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حقوق انگلیس اطلاق می‌شود و به این معنی شناخته شده است</w:t>
      </w:r>
      <w:r>
        <w:rPr>
          <w:rFonts w:eastAsia="IRNazanin" w:cs="IRNazanin"/>
          <w:color w:val="111111"/>
          <w:sz w:val="28"/>
          <w:szCs w:val="28"/>
          <w:rtl w:val="true"/>
          <w:lang w:bidi="fa-IR"/>
        </w:rPr>
        <w:t>.</w:t>
      </w:r>
    </w:p>
    <w:p>
      <w:pPr>
        <w:pStyle w:val="Heading4"/>
        <w:numPr>
          <w:ilvl w:val="3"/>
          <w:numId w:val="1"/>
        </w:numPr>
        <w:rPr/>
      </w:pPr>
      <w:bookmarkStart w:id="117" w:name="__RefHeading___Toc2150787_1051229030"/>
      <w:bookmarkStart w:id="118" w:name="_Toc41"/>
      <w:bookmarkEnd w:id="117"/>
      <w:r>
        <w:rPr>
          <w:rtl w:val="true"/>
        </w:rPr>
        <w:t>مقایسه با حقوق فرانسه</w:t>
      </w:r>
      <w:bookmarkEnd w:id="118"/>
    </w:p>
    <w:p>
      <w:pPr>
        <w:pStyle w:val="BookText"/>
        <w:rPr/>
      </w:pPr>
      <w:r>
        <w:rPr>
          <w:rFonts w:ascii="IRNazanin" w:hAnsi="IRNazanin" w:eastAsia="IRNazanin"/>
          <w:color w:val="111111"/>
          <w:sz w:val="28"/>
          <w:sz w:val="28"/>
          <w:szCs w:val="28"/>
          <w:rtl w:val="true"/>
          <w:lang w:bidi="fa-IR"/>
        </w:rPr>
        <w:t xml:space="preserve">در نظام حقوق فرانسه یا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لکن با آنچه در حقوق انگلیس تعریف می‌شود متفاوتست، تصمیم قضایی یا رویه قضایی </w:t>
      </w:r>
      <w:r>
        <w:rPr>
          <w:rFonts w:eastAsia="Times New Roman" w:cs="Times New Roman" w:ascii="Times New Roman" w:hAnsi="Times New Roman"/>
          <w:color w:val="111111"/>
          <w:sz w:val="28"/>
          <w:szCs w:val="28"/>
          <w:lang w:val="en-US" w:bidi="en-US"/>
        </w:rPr>
        <w:t>Jurisprudence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ژوریسپرودانس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فرانسه به معنی تفسیر و تفقه در حقوق آمده که دادگاهها در آرای خود به عمل می‌آورند که وسیله علمی است برای رفع کاستیهای قانون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ابهام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تفسیر را حقوقدانان در تالیفاتشان به عمل آورند به آن دکترین </w:t>
      </w:r>
      <w:r>
        <w:rPr>
          <w:rFonts w:eastAsia="Times New Roman" w:cs="Times New Roman" w:ascii="Times New Roman" w:hAnsi="Times New Roman"/>
          <w:color w:val="111111"/>
          <w:sz w:val="28"/>
          <w:szCs w:val="28"/>
          <w:lang w:val="en-US" w:bidi="en-US"/>
        </w:rPr>
        <w:t>Doctrine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نظریه و عقیده علمای حقوق گویند، اما هیچ یک از رویه‌های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جانب قضات و چه از جانب دانشمندان علم حقوق قطعیت و رسمیت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انگلیس را، ندارد</w:t>
      </w:r>
      <w:r>
        <w:rPr>
          <w:rFonts w:eastAsia="IRNazanin" w:cs="IRNazanin"/>
          <w:color w:val="111111"/>
          <w:sz w:val="28"/>
          <w:szCs w:val="28"/>
          <w:rtl w:val="true"/>
          <w:lang w:bidi="fa-IR"/>
        </w:rPr>
        <w:t>.</w:t>
      </w:r>
    </w:p>
    <w:p>
      <w:pPr>
        <w:pStyle w:val="Heading4"/>
        <w:numPr>
          <w:ilvl w:val="3"/>
          <w:numId w:val="1"/>
        </w:numPr>
        <w:rPr/>
      </w:pPr>
      <w:bookmarkStart w:id="119" w:name="__RefHeading___Toc2150789_1051229030"/>
      <w:bookmarkStart w:id="120" w:name="_Toc42"/>
      <w:bookmarkEnd w:id="119"/>
      <w:r>
        <w:rPr>
          <w:rtl w:val="true"/>
        </w:rPr>
        <w:t>رویه قضایی در اسلام</w:t>
      </w:r>
      <w:bookmarkEnd w:id="12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حقوق غربی یکی از منابع حقوق به شمار می‌رود در اسلام هم یک سرچشمه مستقل شناخته شده است؟ دکتر جعفری لنگرودی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حزم از عبداللّه بن مسعود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به قضا بپردازید به قرآن رجوع کنید، اگر مورد قضا را در آیات قرآن نیافتید به قضای پیامبر مراجعه </w:t>
      </w:r>
      <w:bookmarkStart w:id="121" w:name="pg7474_109293"/>
    </w:p>
    <w:p>
      <w:pPr>
        <w:pStyle w:val="BookText"/>
        <w:rPr/>
      </w:pPr>
      <w:bookmarkEnd w:id="121"/>
      <w:r>
        <w:rPr>
          <w:rFonts w:ascii="IRNazanin" w:hAnsi="IRNazanin" w:eastAsia="IRNazanin"/>
          <w:color w:val="111111"/>
          <w:sz w:val="28"/>
          <w:sz w:val="28"/>
          <w:szCs w:val="28"/>
          <w:rtl w:val="true"/>
          <w:lang w:bidi="fa-IR"/>
        </w:rPr>
        <w:t xml:space="preserve">کنید واگر مورد نیاز را در آن هم ندیدید به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 شایستگان مراجعه کنید و اگر در آن جا هم چیزی نبود به اجتهاد خود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احمدبن سهل سرخسی معروف به شمس الائمه از فقیهان حنفی و از مفاخر سرزمین ایران،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عمر به منصب قضا گماشت که بسیار جوان بود از او پرسید چگونه دادرسی خواهی کرد؟ پاسخ داد ، بر طبق نص قرآن؛ و اگر بر نص قرآنی دست نیافتم برابر قضای پیامبر حکم می‌دهم و اگر به آن هم دست نیافتم به قضای ابوبکر و عمر، حکم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حنبلی در اعلام الموقعین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قضات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قبلاً رأی می‌دادید رأی بدهید و خوش ندارم که بین شما اختلاف نظر و تغییر رویه‌هایی را که به وجود آمده است پدید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مدارک بالا بخوبی می‌توان استفاده کرد که رویه قضایی با مشخصات خاص آن عصر را، مسلمانان بخوبی می‌شناختند و آن را طرف توجه و استفاده قرار می‌دادند لکن بعداً به علت گسترش فراوان قلمرو اسلامی و بروز جنگها و تجزیه طلبی‌ها و نبودن سازمان اداری منظم، ضبط رویه قضائی میسر نشد و این پدیده حقوقی نوخاسته در حقوق اسلامی، مجال رشد و بقا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باید کرد که مکتب حقوقی امامیه و مکتب ظاهریه نظر موافق با رویه قضایی به شرح فوق ندارند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تفسیر قضایی علمای حقوق، به عنوان یک منبع حقوق اسلامی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مجتهدان در فروع فقهی که گونه‌ای رویه قضایی نظری است، در فقه امامیه پذیرفته شده است، در بخش بعد این مبحث بیشتر بررسی خواهد شد</w:t>
      </w:r>
      <w:r>
        <w:rPr>
          <w:rFonts w:eastAsia="IRNazanin" w:cs="IRNazanin"/>
          <w:color w:val="111111"/>
          <w:sz w:val="28"/>
          <w:szCs w:val="28"/>
          <w:rtl w:val="true"/>
          <w:lang w:bidi="fa-IR"/>
        </w:rPr>
        <w:t>.</w:t>
      </w:r>
    </w:p>
    <w:p>
      <w:pPr>
        <w:pStyle w:val="Heading4"/>
        <w:numPr>
          <w:ilvl w:val="3"/>
          <w:numId w:val="1"/>
        </w:numPr>
        <w:rPr/>
      </w:pPr>
      <w:bookmarkStart w:id="122" w:name="__RefHeading___Toc2150791_1051229030"/>
      <w:bookmarkStart w:id="123" w:name="_Toc43"/>
      <w:bookmarkEnd w:id="122"/>
      <w:r>
        <w:rPr>
          <w:rtl w:val="true"/>
        </w:rPr>
        <w:t>اعتبار عقل</w:t>
      </w:r>
      <w:bookmarkEnd w:id="12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حقوق انگلیس هم از نظر تکامل حقوق و هم توسعه آن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کلیسا یا حقوق مذهبی، نظرات حقوق رم، آرا و افکار جاری 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مجرا و بستر عقل وارد حقوق انگلیس شده است، با اعتبار عقل، حیله‌های قانونی ممنوع شد، دستورالعملهایی که محلهای </w:t>
      </w:r>
    </w:p>
    <w:p>
      <w:pPr>
        <w:pStyle w:val="BookText"/>
        <w:rPr/>
      </w:pPr>
      <w:r>
        <w:rPr>
          <w:rFonts w:ascii="IRNazanin" w:hAnsi="IRNazanin" w:eastAsia="IRNazanin"/>
          <w:color w:val="111111"/>
          <w:sz w:val="28"/>
          <w:sz w:val="28"/>
          <w:szCs w:val="28"/>
          <w:rtl w:val="true"/>
          <w:lang w:bidi="fa-IR"/>
        </w:rPr>
        <w:t xml:space="preserve">گریز و انعطاف برای فرار از ممانعتهای قانونی به دست می‌دهد تا خود را از پیچ و خم آنها برهاند و به مقصود غیر قانونی برساند، این کار را عقل ممنوع اعلام کرد، و این روش فرار از ممنوعیتهای قانونی را نخستین بار دادگاههای انصاف ممنوع کرد، زیرا بنا به یکی از قواعد ساخته این دادگاهها که هنوز هم به اعتبار خود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قبول نمی‌کند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تقلب شود</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حقوق 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استفاده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استفاده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پشتبیانی قانون بهره‌مند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نیز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جهت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و حیله به قانون بشدت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آمده است که بنی اسرائیل از صید ماهی در روزهای شنبه ممنوع شدند، چندی اطاعت کردند، لکن ماهیها گویا این مصونیت را احساس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 شنبه بیشتر از همه وقت در ساحل دیده می‌شدند، بنی اسرائیل چاره جویی کردند و گفتند که تهیه مقدمات صید که منع نشده است پس آبگیرها ساختند که با دریا ارتباط داشت و ماهیها را در روزهای شنبه به آنها هدایت می‌کردند و بعد راه برگشت ماهی را می‌بستند و روز یکشنبه براحتی همه آنها را صید می‌کردند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این که از آن جا که عقل در حقوق انگلیس از نظرات و آرای زمان الهام می‌گیرد بنابراین در تغییر و تکامل است و نوعی ویژگی انعطاف پذیری در حقوق پدید آورده است، حقوق انگلیس با تغذیه از مفاهیم عقلانی بارور شد و از آن جا که عقل همواره به همگی واقع احاطه نمی‌یابد وانگهی مقتضیات زمان در تغییر است بنابراین نظرات و آرای عقل نیز بتبع در تغییر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در حقوق انگلیس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نظریات جاری زمان و آرای مردم ، اعمال عرفهای تثبیت شده یعنی عرف و عادتی که میان مردم به مرحله ثبات و قطعیت رسیده، هماهنگی لازم </w:t>
      </w:r>
    </w:p>
    <w:p>
      <w:pPr>
        <w:pStyle w:val="BookText"/>
        <w:rPr/>
      </w:pPr>
      <w:r>
        <w:rPr>
          <w:rFonts w:ascii="IRNazanin" w:hAnsi="IRNazanin" w:eastAsia="IRNazanin"/>
          <w:color w:val="111111"/>
          <w:sz w:val="28"/>
          <w:sz w:val="28"/>
          <w:szCs w:val="28"/>
          <w:rtl w:val="true"/>
          <w:lang w:bidi="fa-IR"/>
        </w:rPr>
        <w:t>میان تصمیمات قضایی ، احترام به اصولی که قبلاً قبول و همواره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اصول را عقل به نفع جامعه و ثبات و امنیت روابط حقوقی استخراج کرد</w:t>
      </w:r>
      <w:r>
        <w:rPr>
          <w:rStyle w:val="FootnoteAnchor"/>
          <w:rtl w:val="true"/>
        </w:rPr>
        <w:footnoteReference w:id="93"/>
      </w:r>
      <w:r>
        <w:rPr>
          <w:rFonts w:ascii="IRNazanin" w:hAnsi="IRNazanin" w:eastAsia="IRNazanin"/>
          <w:color w:val="111111"/>
          <w:sz w:val="28"/>
          <w:sz w:val="28"/>
          <w:szCs w:val="28"/>
          <w:rtl w:val="true"/>
          <w:lang w:bidi="fa-IR"/>
        </w:rPr>
        <w:t>اعتبار عقل، حقوق انگلیس را به پیش برد و امروز یکی از دسته‌های حقوقی با ارزش به شمار می‌رود، در استرالیا و هندوستان و آمریکا وارد شد، هر چند در هند مانند استرالیا و آمریکا با خلأ مواجه نشد، مع ذلک حقوق هند را تحت نفوذ قرار داد و به پیشرفت آن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احکام دادگاههای انگلیس دارای چنان اعتباری است که منبع درجه اول حقوق به شمار می‌رود و قاضی به حکم صادر شده مثلاً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استناد می‌کند، اکنون این پرسش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مبانی و مقتضیات عقل امروز با چندین قرن قبل فرق دارد، تکلیف دادگاه چیست ؟ راه حل قضیه را اغلب این گونه می‌دانند که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افتراقی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دعوای مطروحه با حکم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و هنگامی که اثبات شد این دو از جهتی با هم فرق دارند دادگاه خود را از اجرای قاعده سابقه معاف می‌کند و رأساً مطابق اقتضای عقل امروز رأی می‌دهد، بدیهی است این کار موقعی جایز است که قانونی از مجلس در خصوص مورد به تصویب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و سابقه را به همان طریق که یک نفر برای سگ خود قانون وضع می‌کند برای ملت انگلیس وضع کرده‌اند</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انگلیس قاضی اختیارات وسیعی دارد که در هیچ نظام حقوقی دیگر نظیر ندارد زیرا قاضی قانونگذار هم هست و چون خطر خودکامگی و افراط و تفریط قاضی امری اجتناب ناپذیر می‌نماید، قضات را تحت مراقبت و انضباط تربیتی و علمی سخت قرار می‌دهند و آنان را از طبقات مهذب جامعه انتخاب می‌کنند تا از بی بند و باری در امر قضا جلوگیری کرده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قانون مدون مثل فرانسه قانون منبعی کلی است که بر طبق آن حکم بر مورد و مصداق جزیی قرار می‌گیرد مانند قیاس منطقی، در حالی که در نظام حقوق انگلیس اغلب از موارد جزیی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به دست می‌آید که به موارد جزیی دیگر قابل تسری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حقوق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پیرو عرف و سابقه و عقل زمان، در واقع حقوق بدنبال جامعه کشانیده می‌شود و خود را با آن میزان می‌کند و ترکیبی خاص از حقوق </w:t>
      </w:r>
    </w:p>
    <w:p>
      <w:pPr>
        <w:pStyle w:val="BookText"/>
        <w:rPr/>
      </w:pPr>
      <w:r>
        <w:rPr>
          <w:rFonts w:ascii="IRNazanin" w:hAnsi="IRNazanin" w:eastAsia="IRNazanin"/>
          <w:color w:val="111111"/>
          <w:sz w:val="28"/>
          <w:sz w:val="28"/>
          <w:szCs w:val="28"/>
          <w:rtl w:val="true"/>
          <w:lang w:bidi="fa-IR"/>
        </w:rPr>
        <w:t>مدون و غیر مدون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انگلیس تفکیک قوای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مجریه ، مقننه ، قضائیه از یکدیگر نسبی است نه مطلق، زیرا هیأت دولت کمیته‌ای از مجلس عوام است و اعضای آن از میان نمایندگان مجلس انتخاب می‌شوند و نخست وزیر خود نیز عضو مجلس عوام است بنابراین قوه مقننه بر همه قوا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هارولدلسکی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پیش می‌آید که میان تفسیر قاضی از قانون و ساختن قانون تشخیص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اداره دولتی ناچار است خود قانونگذاری کند و اغلب شغل قضا را نیز بر عهده می‌گیرد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سرچارلزپت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حقوقدانان قرن هیجدهم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صدور رأی به دلخواه قاضی باشد چنین قانونی را باید قانون ستمگران دانست زیرا در حکومت جور، قانون همیشه نامعلوم است و بسته به مزاج و خلق و خوی هر ستمگر تفاوت می‌کند، چه بسا بهترین وجه این گونه قوانین ناشی از هوا و هوس حکام جور و در بدترین احوال، معرف جمیع مظاهر فساد و دیوانگی و شهوت و غضب است که در استعداد و طبیعت بشر تواند بود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همین انتقادها بود که از قرن هفدهم به بعد آزادی و اختیار برای قانونگذاری رو به افزایش نهاد و حقوق انگلیس را به حقوق مدون بسیار نزدیک کرد، به گونه‌ای که آنچه تا کنون درباره آن گفتیم بیشتر به گذشته مربوط است تا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4" w:name="pg7474_109297"/>
    </w:p>
    <w:p>
      <w:pPr>
        <w:pStyle w:val="Heading3"/>
        <w:numPr>
          <w:ilvl w:val="2"/>
          <w:numId w:val="1"/>
        </w:numPr>
        <w:rPr/>
      </w:pPr>
      <w:bookmarkStart w:id="125" w:name="__RefHeading___Toc2150793_1051229030"/>
      <w:bookmarkStart w:id="126" w:name="_Toc44"/>
      <w:bookmarkEnd w:id="124"/>
      <w:bookmarkEnd w:id="125"/>
      <w:r>
        <w:rPr>
          <w:rtl w:val="true"/>
        </w:rPr>
        <w:t xml:space="preserve">گفتار سوم </w:t>
      </w:r>
      <w:r>
        <w:rPr>
          <w:rtl w:val="true"/>
        </w:rPr>
        <w:t>:</w:t>
      </w:r>
      <w:r>
        <w:rPr>
          <w:rtl w:val="true"/>
        </w:rPr>
        <w:t>قانون نوشته</w:t>
      </w:r>
      <w:bookmarkEnd w:id="126"/>
    </w:p>
    <w:p>
      <w:pPr>
        <w:pStyle w:val="Heading4"/>
        <w:numPr>
          <w:ilvl w:val="3"/>
          <w:numId w:val="1"/>
        </w:numPr>
        <w:rPr/>
      </w:pPr>
      <w:bookmarkStart w:id="127" w:name="__RefHeading___Toc2150795_1051229030"/>
      <w:bookmarkStart w:id="128" w:name="_Toc45"/>
      <w:bookmarkEnd w:id="127"/>
      <w:r>
        <w:rPr>
          <w:rtl w:val="true"/>
        </w:rPr>
        <w:t>مقدمه</w:t>
      </w:r>
      <w:r>
        <w:rPr>
          <w:rtl w:val="true"/>
        </w:rPr>
        <w:t>:</w:t>
      </w:r>
      <w:bookmarkEnd w:id="128"/>
    </w:p>
    <w:p>
      <w:pPr>
        <w:pStyle w:val="BookText"/>
        <w:rPr/>
      </w:pPr>
      <w:r>
        <w:rPr>
          <w:rFonts w:ascii="IRNazanin" w:hAnsi="IRNazanin" w:eastAsia="IRNazanin"/>
          <w:color w:val="111111"/>
          <w:sz w:val="28"/>
          <w:sz w:val="28"/>
          <w:szCs w:val="28"/>
          <w:rtl w:val="true"/>
          <w:lang w:bidi="fa-IR"/>
        </w:rPr>
        <w:t xml:space="preserve">تا کنون نظام حقوقی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اختصار بیان کردیم، اکنون به تشریح حقوق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حقوق کشورهای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روسیه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کشورهای آمریکای 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کشورهای آسیا و افریقاست می‌پردازیم و 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قوانین کشورهای بسیاری از آن اقتباس شده برای بیان مطلب انتخاب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حقوق فرانسه از حقوق رم اقتباس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حقوقدان آلمانی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حقوق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حقوق رم از این جهت نیست که در زمانی منبع حقوق بوده است؛ بلکه از نظر تغییر کاملی است که در تمام فکر حقوقی ما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رم مانند مسیحیت عامل تحول دنیای جدید شده است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دیگر در پاسخ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تدوین قوانین جدید علامت زوال حقوق 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اهمیت مدرسه به علت خروج شاگردانی که در آن جا تحصیلات خود را به پایان رسانیده‌اند کم نمی‌شود، تدوین قوانین نیز از اهمیت حقوق رم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اساسی و چه از حیث صورت ظاهر قوانین جدید بر مبنای حقوق رم بنا شده‌اند، اثر حقوق رم به هیچ وجه محدود به تاسیساتی که از آن گرفته شده است نمی‌باشد، فکر حقوقی، روش ادراک و کلیه </w:t>
      </w:r>
      <w:bookmarkStart w:id="129" w:name="pg7474_109298"/>
    </w:p>
    <w:p>
      <w:pPr>
        <w:pStyle w:val="BookText"/>
        <w:rPr/>
      </w:pPr>
      <w:bookmarkEnd w:id="129"/>
      <w:r>
        <w:rPr>
          <w:rFonts w:ascii="IRNazanin" w:hAnsi="IRNazanin" w:eastAsia="IRNazanin"/>
          <w:color w:val="111111"/>
          <w:sz w:val="28"/>
          <w:sz w:val="28"/>
          <w:szCs w:val="28"/>
          <w:rtl w:val="true"/>
          <w:lang w:bidi="fa-IR"/>
        </w:rPr>
        <w:t>تعلیمات ما رومی است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تاثیر حقوق رم در قوانین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مقررات حقوق رم از قبیل بیع و تجارت و طلاق و نکاح و غیره عیناً در حقوق این دسته وارد شده است چرا که این تاثیر از نظر فن استنباط و نحوه دادرسی است نه در قوانین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نظام حقوق رم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استنباط و نحوه دادرسی اختلاف دارند لکن چه بسا در ماهیت، قوانینی مشابه هم داشته باشند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2150797_1051229030"/>
      <w:bookmarkStart w:id="131" w:name="_Toc46"/>
      <w:bookmarkEnd w:id="130"/>
      <w:r>
        <w:rPr>
          <w:rtl w:val="true"/>
        </w:rPr>
        <w:t>قدرت قانون</w:t>
      </w:r>
      <w:bookmarkEnd w:id="131"/>
    </w:p>
    <w:p>
      <w:pPr>
        <w:pStyle w:val="BookText"/>
        <w:rPr/>
      </w:pPr>
      <w:r>
        <w:rPr>
          <w:rFonts w:ascii="IRNazanin" w:hAnsi="IRNazanin" w:eastAsia="IRNazanin"/>
          <w:color w:val="111111"/>
          <w:sz w:val="28"/>
          <w:sz w:val="28"/>
          <w:szCs w:val="28"/>
          <w:rtl w:val="true"/>
          <w:lang w:bidi="fa-IR"/>
        </w:rPr>
        <w:t xml:space="preserve">گفته شد، در این نظام حقوقی قدرت قانون از همه نظامهای دیگر بیشتر است، قدرت قانون را از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بالوبو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دیوان کشور فرانسه در جشن صدمین سال قانون مدنی در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استنباط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حقیقتا باور نمی‌کنم که کسی در مسائل حقوقی موفق به تصور موردی شود که قاضی برای حل دعوای مربوط به آن نتواند به کلمات مضبوط در قانون یا اصلی که در یکی از متنهای قانونی تثبیت شده است استناد نماید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عبارت قانون مبهم باشد قاضی نباید درصدد برآید تا بفهمد فرضاً نظر قانونگذار در صد سال قبل چه بوده است بلکه باید تحقیق کند که هرگاه این قانون در عصر حاضر به تصویب می‌رسید قانونگذار از آن چه منظوری بایستی داشته باشد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در سخن فوق به ضرورت آزادی قاضی اشاره شده لکن خارج از عبارتهای قانونی و بیرون از نظر قانونگذار راهی برای تحقیق پیش بینی نمی‌کند و هر گونه تفسیر و تعبیری را منوط و محدود به مواد قانون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در این رشته حقوقی همه آرا و نظرات دادگاهها، سرانجام باید به قانون منتهی گردد و در امور کیفری نیز هر جرم باید عنصر قانونی داشته باشد والا عقاب بلابیان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حقوقدان ماهر و زبردست با آن که مهارتی ندارد آنست که حقوقدان ورزیده از قریحه و شم قضایی برخوردار است و می‌تواند از روح و فحوای ماده قانونی به استناد قیاس و تفسیر </w:t>
      </w:r>
      <w:bookmarkStart w:id="132" w:name="pg7474_109299"/>
    </w:p>
    <w:p>
      <w:pPr>
        <w:pStyle w:val="BookText"/>
        <w:rPr/>
      </w:pPr>
      <w:bookmarkEnd w:id="132"/>
      <w:r>
        <w:rPr>
          <w:rFonts w:ascii="IRNazanin" w:hAnsi="IRNazanin" w:eastAsia="IRNazanin"/>
          <w:color w:val="111111"/>
          <w:sz w:val="28"/>
          <w:sz w:val="28"/>
          <w:szCs w:val="28"/>
          <w:rtl w:val="true"/>
          <w:lang w:bidi="fa-IR"/>
        </w:rPr>
        <w:t>ادبی و منطقی قانون، حکم مورد را استنباط کند و آن که فاقد قریحه و ذوق و استعداد این فن است از این کار عاجز است، زیرا حقوق علاوه از این که شاخه‌ای از علم است خود یک فن و هنر خاصی است که استعداد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در این باره به تفصیل به بحث پرداخته‌ایم و آنها را تکرار نمی‌کنیم</w:t>
      </w:r>
      <w:r>
        <w:rPr>
          <w:rFonts w:eastAsia="IRNazanin" w:cs="IRNazanin"/>
          <w:color w:val="111111"/>
          <w:sz w:val="28"/>
          <w:szCs w:val="28"/>
          <w:rtl w:val="true"/>
          <w:lang w:bidi="fa-IR"/>
        </w:rPr>
        <w:t>.</w:t>
      </w:r>
    </w:p>
    <w:p>
      <w:pPr>
        <w:pStyle w:val="Heading4"/>
        <w:numPr>
          <w:ilvl w:val="3"/>
          <w:numId w:val="1"/>
        </w:numPr>
        <w:rPr/>
      </w:pPr>
      <w:bookmarkStart w:id="133" w:name="__RefHeading___Toc2150799_1051229030"/>
      <w:bookmarkStart w:id="134" w:name="_Toc47"/>
      <w:bookmarkEnd w:id="133"/>
      <w:r>
        <w:rPr>
          <w:rtl w:val="true"/>
        </w:rPr>
        <w:t xml:space="preserve">عرف و عادت در نظام </w:t>
      </w:r>
      <w:r>
        <w:rPr>
          <w:rtl w:val="true"/>
        </w:rPr>
        <w:t>«</w:t>
      </w:r>
      <w:r>
        <w:rPr>
          <w:rtl w:val="true"/>
        </w:rPr>
        <w:t>قانون مدون</w:t>
      </w:r>
      <w:r>
        <w:rPr>
          <w:rtl w:val="true"/>
        </w:rPr>
        <w:t>»</w:t>
      </w:r>
      <w:bookmarkEnd w:id="134"/>
    </w:p>
    <w:p>
      <w:pPr>
        <w:pStyle w:val="BookText"/>
        <w:rPr/>
      </w:pPr>
      <w:r>
        <w:rPr>
          <w:rFonts w:ascii="IRNazanin" w:hAnsi="IRNazanin" w:eastAsia="IRNazanin"/>
          <w:color w:val="111111"/>
          <w:sz w:val="28"/>
          <w:sz w:val="28"/>
          <w:szCs w:val="28"/>
          <w:rtl w:val="true"/>
          <w:lang w:bidi="fa-IR"/>
        </w:rPr>
        <w:t xml:space="preserve">در نظام قانون مدون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گاه ممکن است بر مبنای عرف و عادت حکم دهد، لکن این عرف و عادت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انگلیس فرق دارد، از سوی دیگر ارجاع به عرف در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قانون است یعنی نص قانون باید آن را تجویز کند کوتاه آن که آرای دادگاهها باید به استناد قانون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امروز رفته رفته این روش هواداران خود را از دست می‌دهد زیرا در اغلب کشورها قانون پیش بینی کرده و اجازه داده تا در مواردی که متنی قانونی وجود ندارد و عرف و عادت مسلمی نیز در مسأله و دعوای مطروحه، مورد اعمال مردم نیست، قاضی خود را به جای قانونگذار بگذارد و بر مبنای عدالت و انصاف حکم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روشی را که بر طبق آن باید همه موارد را در قانون جستجو کرد،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پروکروست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پروکروست در اساطیر یونان نام راهزنی بوده که پس از ربودن اموال مردم در شوارع و راهها، آنان را روی تخت مخصوصی می‌خوابانید و اگر قد مسافر بلندتر از تخت بود، زیادی بدن او را قطع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بعکس کوتاهتر بود، باندازه‌ای آن را می‌کشید تا در نتیجه اتساع، بدن وی به اندازه تخت شود، این تشبیه اشاره به اجبار و الزامی است که دادگاههای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انطباق قانون با مصداقها و موارد دعوی دارند و نقش و اقتدار قانون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دادگاهها در عمل دو روش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انطباق مورد با قانون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انطباق قانون با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قاضی ناچار است تا از اوضاع و احوال قضیه کم و کسر کند و یا افزایش دهد تا بتواند آن‌را در قالب قواعد و دستورهای قانونی بریزد، درحالی که در روش دوم قواعد و دستورهای قانونی را با اوضاع و احوال هماهنگ می‌کند، در روش اول نظر به اجرای قانون با همه کلیت و عمومیت آن است و در روش دوم نظر به رویدادهای </w:t>
      </w:r>
    </w:p>
    <w:p>
      <w:pPr>
        <w:pStyle w:val="BookText"/>
        <w:rPr/>
      </w:pPr>
      <w:r>
        <w:rPr>
          <w:rFonts w:ascii="IRNazanin" w:hAnsi="IRNazanin" w:eastAsia="IRNazanin"/>
          <w:color w:val="111111"/>
          <w:sz w:val="28"/>
          <w:sz w:val="28"/>
          <w:szCs w:val="28"/>
          <w:rtl w:val="true"/>
          <w:lang w:bidi="fa-IR"/>
        </w:rPr>
        <w:t>برونی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قانون در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تشبیه زیر پیداست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حقوق در این رشته همانند سیمی است که قانون همچون جریان برق از آن عبور می‌کند و به محض این‌که جریان برق از آن سیم قطع شد برق هم خاموش می‌شود یعنی اگر قانون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کنید از حقوق هم اثری باقی نخواهد ماند</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قانون را حذف کنیم، به حقوق لطمه‌ای وارد نمی‌شود، در حقوق عرف و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قانون مضیق است یعنی فقط در همان مورد محدود آن هم به عنوان استثنای بر اصل اجرا می‌شود،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درحالی که در نظام حقوق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موسع است و قاضی هرگونه راه حلی را در قانون جستجو می‌کند و بقانون معنیهایی می‌دهد که ندارد، لکن قاضی انگلیسی این کار را با رویه قضائی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النهایه با دخالت عقل و اگر وجه شبه در قضیه مطروحه نبود، رأسا حکم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یادآوری لازم است که حقوق هر کشور را همواره طبق اصول همان کشور و در قالب و هیأت همان حقوق باید مطالعه کرد والا اگر به کلمات قانون در حقوق انگلیس همان معنیهایی را که در حقوق فرانسه دارد، بدهیم، به هیچ‌وجه به درک واقعیت حقوق انگلیس نخواهیم رسید، و با این روش شناخت هیچ نظامی امکان نخواهد داشت، بلکه محال خواهد بود و بسیاری از اختلافها و تضادها، ناشی از همین توجهات غلط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بسیاری می‌توان ارائه داد که در اثر عدم تفاهم اصول حقوقی ملتهای مختلف موضوع منجر به اختلاف شده‌است، چنان‌که در جریان ملی شدن صنعت نفت ایران، در زمان حکومت مرحوم دکتر مصدق، دولت انگلیس به دادگاه لاهه شکایت کرد، دادگاه مزبور عرض حال دولت انگلیس را برای دولت ایران فرستاد، ابتدا دولت ایران در پاسخ عرض حال مذکور دلایلی مطابق اصول حقوقی ایران اقامه کرده بود درصورتی که بموجب همان پاسخ، دلایلی که دولت انگلیس به آن نیازمند بود، برای آن دولت تحصیل شد و چون جواب مزبور ازنظر نظام حقوقی دادگاه لاهه کافی نبود، بنابراین قراری به ضرر دولت ایران و به نفع دولت انگلیس، صادر شد، لکن پرفسور رولن </w:t>
      </w:r>
      <w:r>
        <w:rPr>
          <w:rFonts w:eastAsia="Times New Roman" w:cs="Times New Roman" w:ascii="Times New Roman" w:hAnsi="Times New Roman"/>
          <w:color w:val="111111"/>
          <w:sz w:val="28"/>
          <w:szCs w:val="28"/>
          <w:lang w:val="en-US" w:bidi="en-US"/>
        </w:rPr>
        <w:t>Rolin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حقوقدان بلژیکی وکیل مدافع ایران با کمال سهولت از تئوری حقوقی ایران دفاع کرد و با آشنایی کامل به اصول حقوقی دادگاه بین‌المللی لاهه، سرانجام حکم نهایی دادگاه مزبور </w:t>
      </w:r>
    </w:p>
    <w:p>
      <w:pPr>
        <w:pStyle w:val="BookText"/>
        <w:rPr/>
      </w:pPr>
      <w:r>
        <w:rPr>
          <w:rFonts w:ascii="IRNazanin" w:hAnsi="IRNazanin" w:eastAsia="IRNazanin"/>
          <w:color w:val="111111"/>
          <w:sz w:val="28"/>
          <w:sz w:val="28"/>
          <w:szCs w:val="28"/>
          <w:rtl w:val="true"/>
          <w:lang w:bidi="fa-IR"/>
        </w:rPr>
        <w:t>توسط قاضی انگلیسی به نفع ایران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قدری کهنه شده‌است، مثالی تازه‌تر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عبارت از این است که افشای اخبار فروش اسلحه به عراق در خلال جنگ با ایران، در زمانی که ظاهرا سیاست تحریم فروش اسلحه غرب به هر دو کشور اعمال می‌شده جنجال زیادی به پا کرد و سبب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اسکات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قضات برجسته بریتانیا مأمور بررسی مسأله شود، وی پس از ماهها مطالعه و بازجویی از مقامات گوناگون دولتی ازجمله دو نخست‌وزیر پیشین و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تاچر و آقای میجر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 که نه تنها دولت بریتانیا مقررات وضع شده خود را زیرپا گذارده و وسایلی به عراق فروخته که می‌توانسته تبدیل به اسلحه شود و نه تنها پارلمان را دقیقا در جریان نگذاشته، بلکه میزان فروش این‌گونه وسایل به عراق تا آن حد بوده که بی‌طرفی بریتانیا در جنگ ایران و عراق را منتفی می‌کرده و این که دولت بریتانیا نه فقط همه پول وسایل فروخته شده را دریافت نکرده بلکه تاکنون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پوند بابت اعتبار این فروش‌ها دراختیار شرکتهای بریتانیایی فروشنده این وسائل گذاشته </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آشنایی به حقوق داخلی برای پیروزی در دادگاههای خارجی یا بین‌المللی کافی نیست، مثلا اگر بازرگان ایرانی از قوانین تجاری یک کشور خارجی طرف قرارداد بی‌اطلاع باشد، نمی‌تواند هیچ قراردادی را با آن کشور منعقد سازد زیرا نمی‌داند که کشور مزبور چه شرایط و چه آثاری بر آن قرارداد بار می‌کند و عدم اطلاع وی ممکنست برایش زیانهای بی‌شمار بار آورد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استورات 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فقط دلایلی برای دفاع از خود یاد گرفته است، نمی‌داند چگونه از خود دفاع کند، ممکن است دلائل او قوی باشد و کسی نتواند آنها را رد کند، اما اگر او هم نتواند دلایل مخالف خود را رد کند و حتی نداند که آن دلایل چه هستند، آن وقت موجبی ندارد که قاضی به یکی از دو عقیده مخالف معتقد باشد، در چنین وضعی راه عاقلانه‌ای که می‌تواند در پیش گیرد این است که از اتخاذ هر عقیده‌ای در آن باب خودداری کند و اگر جز آن کند معلوم است یا ندانسته عقیده‌ای را پذیرفته‌است و یا مثل اکثر مردمان جهان آن عقیده را رجحان داده‌است که با تمایلات او موافقتر بوده‌است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35" w:name="pg7474_109302"/>
    </w:p>
    <w:p>
      <w:pPr>
        <w:pStyle w:val="Heading2"/>
        <w:numPr>
          <w:ilvl w:val="1"/>
          <w:numId w:val="1"/>
        </w:numPr>
        <w:rPr/>
      </w:pPr>
      <w:bookmarkStart w:id="136" w:name="__RefHeading___Toc2150801_1051229030"/>
      <w:bookmarkStart w:id="137" w:name="_Toc48"/>
      <w:bookmarkEnd w:id="135"/>
      <w:bookmarkEnd w:id="136"/>
      <w:r>
        <w:rPr>
          <w:rtl w:val="true"/>
        </w:rPr>
        <w:t xml:space="preserve">بخش سوم </w:t>
      </w:r>
      <w:r>
        <w:rPr>
          <w:rtl w:val="true"/>
        </w:rPr>
        <w:t xml:space="preserve">- </w:t>
      </w:r>
      <w:r>
        <w:rPr>
          <w:rtl w:val="true"/>
        </w:rPr>
        <w:t>پایه‌های استنباط</w:t>
      </w:r>
      <w:bookmarkEnd w:id="13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2150803_1051229030"/>
      <w:bookmarkStart w:id="139" w:name="_Toc49"/>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Style w:val="FootnoteAnchor"/>
        </w:rPr>
        <w:footnoteReference w:id="10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اصلهای عملی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 و استصلاح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ذرایع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و عادت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انصاف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و امضاء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bookmarkStart w:id="140" w:name="pg7474_109304"/>
    </w:p>
    <w:p>
      <w:pPr>
        <w:pStyle w:val="Heading3"/>
        <w:numPr>
          <w:ilvl w:val="2"/>
          <w:numId w:val="1"/>
        </w:numPr>
        <w:rPr/>
      </w:pPr>
      <w:bookmarkStart w:id="141" w:name="__RefHeading___Toc2150805_1051229030"/>
      <w:bookmarkStart w:id="142" w:name="_Toc50"/>
      <w:bookmarkEnd w:id="140"/>
      <w:bookmarkEnd w:id="141"/>
      <w:r>
        <w:rPr>
          <w:rtl w:val="true"/>
        </w:rPr>
        <w:t>مقدمه</w:t>
      </w:r>
      <w:r>
        <w:rPr>
          <w:rtl w:val="true"/>
        </w:rPr>
        <w:t>:</w:t>
      </w:r>
      <w:bookmarkEnd w:id="142"/>
    </w:p>
    <w:p>
      <w:pPr>
        <w:pStyle w:val="BookText"/>
        <w:rPr/>
      </w:pPr>
      <w:r>
        <w:rPr>
          <w:rFonts w:ascii="IRNazanin" w:hAnsi="IRNazanin" w:eastAsia="IRNazanin"/>
          <w:color w:val="111111"/>
          <w:sz w:val="28"/>
          <w:sz w:val="28"/>
          <w:szCs w:val="28"/>
          <w:rtl w:val="true"/>
          <w:lang w:bidi="fa-IR"/>
        </w:rPr>
        <w:t xml:space="preserve">پیش از این گفته شد که قوانین، آن‌جا که برخاسته از سرشت و فطرت آدمی است، ثابت و تغییرناپذیر و برجای است و آن‌جا که ناشی از وضع است با مصلحتهای اجتماعی زمان و مکان، در تبدل و تغیر و تکامل است، دانستن روشها و پایه‌های استنباط به روشن کردن این معنی کمک می‌کند و ما این مبانی را در مکتبهای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مبانی قانونگذاری امروز دنیا، در دوازده بخش بررسی می‌کنیم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سرچشمه‌ها مثل کتاب و سنت و اجماع تقریبا مورد قبول اکثر مذهبهای فقهی است، و پاره‌ای مانند استحسان و استصلاح و سد ذرایع ویژه سنیان است و از این میان، امامیه همگام معتزله از عقل‌گرایان هستند، و دیگر مبانی همچون عرف و عادت و اخلاق و انصاف از نهادهای فرعی استنباط هستند و کارایی چندانی ندارند</w:t>
      </w:r>
      <w:r>
        <w:rPr>
          <w:rFonts w:eastAsia="IRNazanin" w:cs="IRNazanin"/>
          <w:color w:val="111111"/>
          <w:sz w:val="28"/>
          <w:szCs w:val="28"/>
          <w:rtl w:val="true"/>
          <w:lang w:bidi="fa-IR"/>
        </w:rPr>
        <w:t>.</w:t>
      </w:r>
      <w:bookmarkStart w:id="143" w:name="pg7474_109305"/>
    </w:p>
    <w:p>
      <w:pPr>
        <w:pStyle w:val="Heading3"/>
        <w:numPr>
          <w:ilvl w:val="2"/>
          <w:numId w:val="1"/>
        </w:numPr>
        <w:rPr/>
      </w:pPr>
      <w:bookmarkStart w:id="144" w:name="__RefHeading___Toc2150807_1051229030"/>
      <w:bookmarkStart w:id="145" w:name="_Toc51"/>
      <w:bookmarkEnd w:id="143"/>
      <w:bookmarkEnd w:id="144"/>
      <w:r>
        <w:rPr>
          <w:rtl w:val="true"/>
        </w:rPr>
        <w:t xml:space="preserve">گفتار اول </w:t>
      </w:r>
      <w:r>
        <w:rPr>
          <w:rtl w:val="true"/>
        </w:rPr>
        <w:t>:</w:t>
      </w:r>
      <w:r>
        <w:rPr>
          <w:rtl w:val="true"/>
        </w:rPr>
        <w:t>کتاب</w:t>
      </w:r>
      <w:bookmarkEnd w:id="145"/>
    </w:p>
    <w:p>
      <w:pPr>
        <w:pStyle w:val="Heading4"/>
        <w:numPr>
          <w:ilvl w:val="3"/>
          <w:numId w:val="1"/>
        </w:numPr>
        <w:rPr/>
      </w:pPr>
      <w:bookmarkStart w:id="146" w:name="__RefHeading___Toc2150809_1051229030"/>
      <w:bookmarkStart w:id="147" w:name="_Toc52"/>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قرآن نخستین منبع و خاستگاه حقوق است، در حدود پانصد آیه از آن، قوانین اجتماعی را در بردارد و باتوجه به تعداد کل آیه‌ها </w:t>
      </w:r>
      <w:r>
        <w:rPr>
          <w:rFonts w:eastAsia="IRNazanin" w:cs="IRNazanin"/>
          <w:color w:val="111111"/>
          <w:sz w:val="28"/>
          <w:szCs w:val="28"/>
          <w:rtl w:val="true"/>
          <w:lang w:bidi="fa-IR"/>
        </w:rPr>
        <w:t>(</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اجتماعی حدود یک دوازدهم همه قرآن است، اما این پانصد آیه هم اغلب مربوط به آداب و تشریفات مذهبی است و تنها در حدود هشتاد آیه مربوط به مسائلی است که امروز آنها را مواد قانونی تلقی می‌کنند، ازسوی دیگر متون غیرحقوقی و پندهای اخلاقی و وعده‌های الهی نیز وجود دارد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مقررات قانونی را استخراج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پایه همه قوانین شرعی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و مقتدر حقوق به شمار می‌رود و درواقع منابع دیگر برای تکمیل و توضیح اصول آن است</w:t>
      </w:r>
      <w:r>
        <w:rPr>
          <w:rFonts w:eastAsia="IRNazanin" w:cs="IRNazanin"/>
          <w:color w:val="111111"/>
          <w:sz w:val="28"/>
          <w:szCs w:val="28"/>
          <w:rtl w:val="true"/>
          <w:lang w:bidi="fa-IR"/>
        </w:rPr>
        <w:t>.</w:t>
      </w:r>
    </w:p>
    <w:p>
      <w:pPr>
        <w:pStyle w:val="Heading4"/>
        <w:numPr>
          <w:ilvl w:val="3"/>
          <w:numId w:val="1"/>
        </w:numPr>
        <w:rPr/>
      </w:pPr>
      <w:bookmarkStart w:id="148" w:name="__RefHeading___Toc2150811_1051229030"/>
      <w:bookmarkStart w:id="149" w:name="_Toc53"/>
      <w:bookmarkEnd w:id="148"/>
      <w:r>
        <w:rPr>
          <w:rtl w:val="true"/>
        </w:rPr>
        <w:t>محکم و متشابه</w:t>
      </w:r>
      <w:bookmarkEnd w:id="149"/>
    </w:p>
    <w:p>
      <w:pPr>
        <w:pStyle w:val="BookText"/>
        <w:rPr/>
      </w:pPr>
      <w:r>
        <w:rPr>
          <w:rFonts w:ascii="IRNazanin" w:hAnsi="IRNazanin" w:eastAsia="IRNazanin"/>
          <w:color w:val="111111"/>
          <w:sz w:val="28"/>
          <w:sz w:val="28"/>
          <w:szCs w:val="28"/>
          <w:rtl w:val="true"/>
          <w:lang w:bidi="fa-IR"/>
        </w:rPr>
        <w:t>پیش از بررسی محکم و متشابه، لازم است چند اصطلاح را تعریف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به معنای خاصی چنان ظهور و بروز داشته باشد که احتمال خلاف آن نرود و یا آن‌که آن قدر ضعیف باشد که عرف عقلا به آن اعتنا نکند، پس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و غیرمنقول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چون معنی روشنی دارد بدانگونه که معنی دیگر و یا دلیل مخالف آن به ذهن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لفظی دو احتمال برود که یکی قوی و دیگری ضعیف باشد، قوی را </w:t>
      </w:r>
      <w:bookmarkStart w:id="150" w:name="pg7474_109306"/>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هرگاه دو احتمال برود که یکی از آنها قویتر باشد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نص به معنی گسترده‌تری هم به کار رفته که شامل ظاهر و اظهر هم می‌شود و نیز در مقابل معنی مستفاد از استنباط و تفسیر قانون به کار می‌رود، در این معنی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در برابر نص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دو معنی یکی بر دیگری برتری نداشته باشد و برابر باشند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ظهور در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لفظی دو احتمال برود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لفظ یا جمله‌ای نوعا در تشخیص منظور و مراد گوینده آن شبهه در ذهن پدید آورد، خواه با بررسی و تامل رفع شبهه بشود و خواه نشود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متشابه مشترک میان دو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لفظ یا عبارتی در معنی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صریح و بدون احتمال خلاف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مشترک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گویند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2150813_1051229030"/>
      <w:bookmarkStart w:id="152" w:name="_Toc54"/>
      <w:bookmarkEnd w:id="151"/>
      <w:r>
        <w:rPr>
          <w:rtl w:val="true"/>
        </w:rPr>
        <w:t>اعتبار آیه‌های محکم و متشابه</w:t>
      </w:r>
      <w:bookmarkEnd w:id="152"/>
    </w:p>
    <w:p>
      <w:pPr>
        <w:pStyle w:val="BookText"/>
        <w:rPr/>
      </w:pPr>
      <w:r>
        <w:rPr>
          <w:rFonts w:ascii="IRNazanin" w:hAnsi="IRNazanin" w:eastAsia="IRNazanin"/>
          <w:color w:val="111111"/>
          <w:sz w:val="28"/>
          <w:sz w:val="28"/>
          <w:szCs w:val="28"/>
          <w:rtl w:val="true"/>
          <w:lang w:bidi="fa-IR"/>
        </w:rPr>
        <w:t>در این‌که آیه‌های محکم را هر زمان می‌توان مورد استناد قرار داد تقریبا همه متفقند، لکن علمای اخباری و ظاهری، ظواهر آیه‌های قرآن را قابل استناد نمی‌دانند، و تنها آیه‌ها را برطبق حدیثها قابل استناد می‌دانند</w:t>
      </w:r>
      <w:r>
        <w:rPr>
          <w:rFonts w:eastAsia="IRNazanin" w:cs="IRNazanin"/>
          <w:color w:val="111111"/>
          <w:sz w:val="28"/>
          <w:szCs w:val="28"/>
          <w:rtl w:val="true"/>
          <w:lang w:bidi="fa-IR"/>
        </w:rPr>
        <w:t>!</w:t>
      </w:r>
    </w:p>
    <w:p>
      <w:pPr>
        <w:pStyle w:val="Heading4"/>
        <w:numPr>
          <w:ilvl w:val="3"/>
          <w:numId w:val="1"/>
        </w:numPr>
        <w:rPr/>
      </w:pPr>
      <w:bookmarkStart w:id="153" w:name="__RefHeading___Toc2150815_1051229030"/>
      <w:bookmarkStart w:id="154" w:name="_Toc55"/>
      <w:bookmarkEnd w:id="153"/>
      <w:r>
        <w:rPr>
          <w:rtl w:val="true"/>
        </w:rPr>
        <w:t>دلایل اخباریان</w:t>
      </w:r>
      <w:bookmarkEnd w:id="15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آیه‌های گوناگونی است، برخی عام و برخی خاص، بعضی مطلق و بعضی مقید، عده‌ای ناسخ و عده‌ای منسوخ، گروهی مجمل و گروهی مبین و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کیفیت میان همه آیه‌ها محتمل است، بنابراین معنی همه آنها مبهم و متشابه است، مثلا آیه‌ای که ازنظر ما عام است ممکن است به موجب آیه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باشد یا آیه‌ای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موجب آیه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براین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هیچ‌یک از آنها نباید عمل کرد </w:t>
      </w:r>
      <w:bookmarkStart w:id="155" w:name="pg7474_109307"/>
    </w:p>
    <w:p>
      <w:pPr>
        <w:pStyle w:val="BookText"/>
        <w:rPr/>
      </w:pPr>
      <w:bookmarkEnd w:id="155"/>
      <w:r>
        <w:rPr>
          <w:rFonts w:ascii="IRNazanin" w:hAnsi="IRNazanin" w:eastAsia="IRNazanin"/>
          <w:color w:val="111111"/>
          <w:sz w:val="28"/>
          <w:sz w:val="28"/>
          <w:szCs w:val="28"/>
          <w:rtl w:val="true"/>
          <w:lang w:bidi="fa-IR"/>
        </w:rPr>
        <w:t xml:space="preserve">و از معنی تحتاللفظی آنها نیز مقصود و منظور را نمی‌توان استنباط کرد، بلکه باید همه آنها را بررسی کرد و این تفسیر هم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برمی‌آید، زیرا به موجب اخباری که نقل شده ما را از تفسیر قرآن منع کرده‌اند</w:t>
      </w:r>
      <w:r>
        <w:rPr>
          <w:rFonts w:eastAsia="IRNazanin" w:cs="IRNazanin"/>
          <w:color w:val="111111"/>
          <w:sz w:val="28"/>
          <w:szCs w:val="28"/>
          <w:rtl w:val="true"/>
          <w:lang w:bidi="fa-IR"/>
        </w:rPr>
        <w:t>.</w:t>
      </w:r>
    </w:p>
    <w:p>
      <w:pPr>
        <w:pStyle w:val="Heading4"/>
        <w:numPr>
          <w:ilvl w:val="3"/>
          <w:numId w:val="1"/>
        </w:numPr>
        <w:rPr/>
      </w:pPr>
      <w:bookmarkStart w:id="156" w:name="__RefHeading___Toc2150817_1051229030"/>
      <w:bookmarkStart w:id="157" w:name="_Toc56"/>
      <w:bookmarkEnd w:id="156"/>
      <w:r>
        <w:rPr>
          <w:rtl w:val="true"/>
        </w:rPr>
        <w:t>دلائل اصولیان</w:t>
      </w:r>
      <w:bookmarkEnd w:id="157"/>
    </w:p>
    <w:p>
      <w:pPr>
        <w:pStyle w:val="BookText"/>
        <w:rPr/>
      </w:pPr>
      <w:r>
        <w:rPr>
          <w:rFonts w:ascii="IRNazanin" w:hAnsi="IRNazanin" w:eastAsia="IRNazanin"/>
          <w:color w:val="111111"/>
          <w:sz w:val="28"/>
          <w:sz w:val="28"/>
          <w:szCs w:val="28"/>
          <w:rtl w:val="true"/>
          <w:lang w:bidi="fa-IR"/>
        </w:rPr>
        <w:t>قرآن کتاب لغز و معما نیست تا همه آن مجمل و چند روی و چند معنی و غیرقابل فهم باشد، بلکه قرآن به زبان ساده و برای راهنمایی همه مردم آمده‌است، بی‌آن‌که به تفسیر و توضیح در همه موارد از سوی معصوم نیاز باشد، لکن اگر دلیلی از سنت بر تفسیر آیه‌ای وجود داشت البته مورد استناد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آیات احکام قرآن از آن‌جا که در مظان نسخ و تقیید و تخصیص هستند، پیش از تحقیق و بررسی لازم از ناسخ و یا مخصص آنها نمی‌توان به آنها استناد کرد ولی پس از فحص و بررسی و کشف ناسخ و یا مقید آنها مانعی از استناد بدانها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حجیت آیه‌های قرآن به معنای استناد و استدلال بی‌قید و شرط نیست بلکه باید یک سلسله پژوهشهای مقدماتی انجام شود تا امکان استدلال و استناد به عموم آیات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تفسیر قرآن در برخی از حدیثها منع شده منظور آیه‌های متشابه است که اغلب واژه‌های آن بر معانی غیر عرفی و غیرحقیقی دلالت دارد، درصورتی که از معنی لفظی آیه‌های محکم می‌توان پی به مقصود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بر تو کتابی فرستاد که آیه‌هایی از آن محکم و استوارند و آنها اصل و مادر کتابند و دیگرها متشابهند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متشابه مجهول و معنای محکم بعکس روشن است، در متشابه اگر قرینه معینه باشد که آن را روشن کند، محکم است،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مالم یشتبه معناه والمتشابه ما اشتبهت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متشابه سخنی است دارای معانی متعدد و محکم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بعضی از فقیهان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خبرها دلالت دارد براین‌که محکم آیه‌های ناسخ، و متشابه آیه‌های منسوخ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عقیده درست نباشد زیرا در حدیثها و خبرهایی به آیه‌های متشابه استناد شده، و از این استناد، احکام بسیار سودمند به دست آمده‌است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وقتی با حکمی شرعی سروکار داشتیم، هرچند آیه متشابه و مجمل به‌نظر برسد، باید در فهم آن کوشش کرد و اگر با کوشش باب اختلاف و منازعه بسته نشد، آن‌گاه به خبرها و حدیثها </w:t>
      </w:r>
    </w:p>
    <w:p>
      <w:pPr>
        <w:pStyle w:val="BookText"/>
        <w:rPr/>
      </w:pPr>
      <w:r>
        <w:rPr>
          <w:rFonts w:ascii="IRNazanin" w:hAnsi="IRNazanin" w:eastAsia="IRNazanin"/>
          <w:color w:val="111111"/>
          <w:sz w:val="28"/>
          <w:sz w:val="28"/>
          <w:szCs w:val="28"/>
          <w:rtl w:val="true"/>
          <w:lang w:bidi="fa-IR"/>
        </w:rPr>
        <w:t>مراجعه شود و نباید به احتمال اجمال و ابهام از کوشش دست بداریم که وظیفه پژوهندگان همین تفحص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آیه‌های بسیار اشاره شده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فرستادیم تا آنچه را که برای مردم آمده تفسیر کنی و روشن نمایی</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فرستادیم تا اختلافهای میان مردم را حل کنی و حکم دهی</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اینها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درواقع با این بیان قرآن از آن جهت که مبین هر چیزی است باید بیانگر آیات متشابه خویش هم باشد و به همین معنی حضرت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اشاره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ینطبق بعضه ببعض و لیشهد بعضه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از این دیدگاه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احکمت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از اخباریان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در عدم استناد و اعتبار قرآن گفته‌اید در حدیث هم مصداق دارد زیرا در حدیثها هم، مجمل و مبین و مطلق و مقید و ناسخ و منسوخ هست، آیا باید از همه آنها چشم پوشید و همه آنها را غیرقابل استناد اعلام کرد؟ وانگهی همه اینها ملازمه با منع تفسیر و استنباط و اجتهاد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اخباریان که جناحی جزمی و افراطی هستند، بگوییم که به نظر ما منع حدیثها از تفسیر به رأی، به جای خود سخنی بسیار منطقی است، زیرا در جستجوی حقیقت تا آدمی ذهنش را از عقاید شخصی و پیشداوری و جانبداری پاک نگرداند، هرگز به حقیقت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حق ندارد، هر کلمه و جمله را بزور با رأی خود تطبیق دهد و به سلیقه خویش آنرا توجیه کند، پیشداوری و جانبداری یعنی تعصب، متعصب هیچ‌گاه حاضر نمی‌شود دست از عقاید قبلی خود بردارد، هرچند به دلایلی بر رد و بطلان آن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به رأی یا تفسیر به دلخواه، به معنی جزم و قطع و تحجر است، اگر آدمی دچار این بیماری بشود بزرگترین فساد و انحطاط را برای خود خریده‌است تا آن‌جا 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در آتش است؛ آتش تعصب؛ آتش جهل مرکب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به رأی، بی‌گمان، لغزش وجود دارد، آدمی در درون خویش دستخوش پایبندیها و زبونیهاست اسیر خشم و آز و شهوت است و تا اسیر این زبونیها است راه بر وی بسته است، در تفسیر به رأی چون میزانی در دست نیست، انحرافها و بدعتهای گمراه‌کننده‌ای پدید می‌آید و جامعه را دچار هرج و مرج فکری می‌کند، والا اگر تفسیر درجهت هرچه بهتر فهمیدن مقصود و منظور </w:t>
      </w:r>
      <w:bookmarkStart w:id="158" w:name="pg7474_109309"/>
    </w:p>
    <w:p>
      <w:pPr>
        <w:pStyle w:val="BookText"/>
        <w:rPr/>
      </w:pPr>
      <w:bookmarkEnd w:id="158"/>
      <w:r>
        <w:rPr>
          <w:rFonts w:ascii="IRNazanin" w:hAnsi="IRNazanin" w:eastAsia="IRNazanin"/>
          <w:color w:val="111111"/>
          <w:sz w:val="28"/>
          <w:sz w:val="28"/>
          <w:szCs w:val="28"/>
          <w:rtl w:val="true"/>
          <w:lang w:bidi="fa-IR"/>
        </w:rPr>
        <w:t xml:space="preserve">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ایرادی که ندارد بلکه واجب است، بویژه که تاویل و تفسیر در واقع نیروی فعاله و محرک حکمت باطنی آدمی است که ودیعه‌ای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به رأی شخصی ممنوع است اما تفسیر به رأیی که برخاسته از فرهنگ عمیق عصر و جامعه باشد، نفی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همواره در تحول و تکامل است بی‌آن که اصل دین تغییر پذیرد، معارف دینی همواره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پیرامون تفسیر به رأی به جستجو خواهیم پرداخت</w:t>
      </w:r>
      <w:r>
        <w:rPr>
          <w:rFonts w:eastAsia="IRNazanin" w:cs="IRNazanin"/>
          <w:color w:val="111111"/>
          <w:sz w:val="28"/>
          <w:szCs w:val="28"/>
          <w:rtl w:val="true"/>
          <w:lang w:bidi="fa-IR"/>
        </w:rPr>
        <w:t>.</w:t>
      </w:r>
    </w:p>
    <w:p>
      <w:pPr>
        <w:pStyle w:val="Heading4"/>
        <w:numPr>
          <w:ilvl w:val="3"/>
          <w:numId w:val="1"/>
        </w:numPr>
        <w:rPr/>
      </w:pPr>
      <w:bookmarkStart w:id="159" w:name="__RefHeading___Toc2150819_1051229030"/>
      <w:bookmarkStart w:id="160" w:name="_Toc57"/>
      <w:bookmarkEnd w:id="159"/>
      <w:r>
        <w:rPr>
          <w:rtl w:val="true"/>
        </w:rPr>
        <w:t>اقسام آیه‌های متشابه</w:t>
      </w:r>
      <w:bookmarkEnd w:id="160"/>
    </w:p>
    <w:p>
      <w:pPr>
        <w:pStyle w:val="BookText"/>
        <w:rPr/>
      </w:pPr>
      <w:r>
        <w:rPr>
          <w:rFonts w:ascii="IRNazanin" w:hAnsi="IRNazanin" w:eastAsia="IRNazanin"/>
          <w:color w:val="111111"/>
          <w:sz w:val="28"/>
          <w:sz w:val="28"/>
          <w:szCs w:val="28"/>
          <w:rtl w:val="true"/>
          <w:lang w:bidi="fa-IR"/>
        </w:rPr>
        <w:t xml:space="preserve">اگر اجمال و ابهام آیه‌ها در خود قرآن رفع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آیه‌ها مفسر برخی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مهم را عهده‌دار است، حتی حدیث ممکن است آیه مطلقی را مقید و یا عامی را مشروط و یا مجملی را مبین و حتی به عقیده برخی ناسخ آیه‌ای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از حدیث یا سنت هم معنی آیه روشن نشود، وظیفه دانشمندان است که این مهم را به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ابهام در آیه‌های متشابه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اجمال در مفهوم و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اجمال در مصداق 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قرآن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 بپای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مطلق دعا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اجمال آن‌را حدیث می‌کند که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آن‌گونه که من نماز می‌گزارم نماز بگزارید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اجمال و ابهام در مصداق بیشمار است، بخش اعظم آن در آیه‌های مربوط به معاملات و قوانین مدنی و اجتماعی است و کمتر به مسائل اعتقادی و عبادی مربوط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بهترین گفتار را به صورت یکنواخت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در این آیه‌ها از چیست؟ به نظر می‌رسد که دلیل آن در برگیری مصداقهای بیشمار است، این </w:t>
      </w:r>
      <w:bookmarkStart w:id="161" w:name="pg7474_109310"/>
    </w:p>
    <w:p>
      <w:pPr>
        <w:pStyle w:val="BookText"/>
        <w:rPr/>
      </w:pPr>
      <w:bookmarkEnd w:id="161"/>
      <w:r>
        <w:rPr>
          <w:rFonts w:ascii="IRNazanin" w:hAnsi="IRNazanin" w:eastAsia="IRNazanin"/>
          <w:color w:val="111111"/>
          <w:sz w:val="28"/>
          <w:sz w:val="28"/>
          <w:szCs w:val="28"/>
          <w:rtl w:val="true"/>
          <w:lang w:bidi="fa-IR"/>
        </w:rPr>
        <w:t>مصداقهای بسیار، گستره معنی را می‌افزاید و زمان و مکان آن‌را وسعت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مصداقها اغلب از عرف و عادت و نیازمندیها و مصلحتها و مقتضیات زمانه مایه می‌گیرد، و خود را با هر عصر هماهنگ می‌سازد، پیش‌بینی همه موارد در هیچ قانونی امکان ندارد، به همین دلیل، قوانین قرآن بیشتر از متشابهات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آیه‌های محکم را تنها درباره اصول عقاید می‌دانند و می‌گویند اصول اعتقادی در قرآن روشن و آشکار است و بنابراین در آنها هرگز دگرگونی راه ندارد، اما احکام مربوط به معاملات و حقوق مدنی در شمار متشابهاتند</w:t>
      </w:r>
      <w:r>
        <w:rPr>
          <w:rFonts w:eastAsia="IRNazanin" w:cs="IRNazanin"/>
          <w:color w:val="111111"/>
          <w:sz w:val="28"/>
          <w:szCs w:val="28"/>
          <w:rtl w:val="true"/>
          <w:lang w:bidi="fa-IR"/>
        </w:rPr>
        <w:t>.</w:t>
      </w:r>
    </w:p>
    <w:p>
      <w:pPr>
        <w:pStyle w:val="Heading4"/>
        <w:numPr>
          <w:ilvl w:val="3"/>
          <w:numId w:val="1"/>
        </w:numPr>
        <w:rPr/>
      </w:pPr>
      <w:bookmarkStart w:id="162" w:name="__RefHeading___Toc2150821_1051229030"/>
      <w:bookmarkStart w:id="163" w:name="_Toc58"/>
      <w:bookmarkEnd w:id="162"/>
      <w:r>
        <w:rPr>
          <w:rtl w:val="true"/>
        </w:rPr>
        <w:t>مکتب تعدی از نص</w:t>
      </w:r>
      <w:bookmarkEnd w:id="163"/>
    </w:p>
    <w:p>
      <w:pPr>
        <w:pStyle w:val="BookText"/>
        <w:rPr/>
      </w:pPr>
      <w:r>
        <w:rPr>
          <w:rFonts w:ascii="IRNazanin" w:hAnsi="IRNazanin" w:eastAsia="IRNazanin"/>
          <w:color w:val="111111"/>
          <w:sz w:val="28"/>
          <w:sz w:val="28"/>
          <w:szCs w:val="28"/>
          <w:rtl w:val="true"/>
          <w:lang w:bidi="fa-IR"/>
        </w:rPr>
        <w:t>از دیدگاهی دیگر، پژوهش را دنبال می‌کنیم، شاید مطلب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فهم قرآن، ریشه‌ای به اندازه تاریخ اسلام دارد، تنوع تفسیرها که در طول چهارده قرن بر قرآن نوشته شده شاهد گویای این ادعاست، تفسیرهای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اجتهادی، عرفانی، کلامی، فلسفی، اجتماعی، سیاسی، علمی، ادبی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دیدگاهی متفاوت به بررسی پرداخته‌اند و گاه اختلاف نظر از سرحد کفر تا اقلیم ایمان گسترده‌است، تفسیر ابوالفتوح با تفسیر صفی علیشاه، تفسیر طنطاوی با تفسیر طبری و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و مجموعه‌های حدیث، مانند بیشتر کتابهای مقدس ادیان دیگر، به اندازه‌ای پردامنه و گسترده است که فرقه‌ها و گروهها و مذهبهای گوناگونی که در طول قرنها پس از ظهور اسلام پدید آمدند هریک محتوای فکری و نیازهای معنوی خود را از آنها استخراج کردند، مقایسه تفسیرهایی که بدان اشاره شد گواه روشنی براین معنی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 متکلمان، مفسران، فقیهان، عارفان و صوفیان همه با مذهبها و مسلکها و مشربهای گوناگون برای درستی و اثبات باورهای خود به نصوص اسلامی استناد می‌کردند و آن آیه‌ها و حدیثها را که با پایه‌های عقیده خود ناسازگار می‌یافتند تاویل و توجیه می‌کردند و در این میان، تاریخ، عرصه پیکار غوررسی‌ها در مسائل دینی بود و جنگهای لفظی بیش از اندازه لازم را، در تفسیر دلیلهای نقلی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دلیلهای نقلی را یقین بخش نمی‌دانستند و پایه کار خود را بر دلیلهای عقلی استوار می‌ساختند و گروهی بعکس تاکیدشان بر دلیلهای نقلی بود و گروهی دیگر که اساس کار خود را بر کشف و شهود درونی می‌گذاشتند بیش از سایر فرقه‌ها برای بیان </w:t>
      </w:r>
    </w:p>
    <w:p>
      <w:pPr>
        <w:pStyle w:val="BookText"/>
        <w:rPr/>
      </w:pPr>
      <w:r>
        <w:rPr>
          <w:rFonts w:ascii="IRNazanin" w:hAnsi="IRNazanin" w:eastAsia="IRNazanin"/>
          <w:color w:val="111111"/>
          <w:sz w:val="28"/>
          <w:sz w:val="28"/>
          <w:szCs w:val="28"/>
          <w:rtl w:val="true"/>
          <w:lang w:bidi="fa-IR"/>
        </w:rPr>
        <w:t>درستی رازهای عرفانی و حتی شطحیات خویش به نصوص استدلال می‌کردند</w:t>
      </w:r>
      <w:r>
        <w:rPr>
          <w:rStyle w:val="FootnoteAnchor"/>
          <w:rtl w:val="true"/>
        </w:rPr>
        <w:footnoteReference w:id="110"/>
      </w:r>
      <w:r>
        <w:rPr>
          <w:rFonts w:ascii="IRNazanin" w:hAnsi="IRNazanin" w:eastAsia="IRNazanin"/>
          <w:color w:val="111111"/>
          <w:sz w:val="28"/>
          <w:sz w:val="28"/>
          <w:szCs w:val="28"/>
          <w:rtl w:val="true"/>
          <w:lang w:bidi="fa-IR"/>
        </w:rPr>
        <w:t>، و گاه در طول تاریخ، شاهد جدالهای خونین و جنگهای غم‌انگیزی هستیم که عقیده را بهانه سودای ریاست‌طلبی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چگونگی تغییر معنی کلمه‌ها در جامعه‌شناسی و زبانشناسی اجتماعی، مورد پژوهش است، زبان مانند هر موجود زنده در طول قرنها در معرض دگرگونی است، کیفیت کاربرد واژه‌ها تغییر می‌یابد، حتی برخی از واژه‌ها، کاربرد خود را از دست می‌دهند، و به جای آنها واژه‌های تازه‌ای پا به میدان می‌گذارند، معنی‌ها و تعبیرهای تازه برای واژه‌ها پدید می‌آید، دلیل همه این تحولها را در عوامل اجتماعی جستجو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منطقیان واژه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لفظ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شی‌ء مورد دلالت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واژه‌ها به غیر از معنی حقیقی و نخستین در معنی‌های مجازی دیگری در طول زمان به کار می‌روند، گاه یک کلمه در دانشهای مختلف معنی‌های گوناگون به خود می‌گیرد، شاعر برای نشانه فقر و بیدادگری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معنی کمی و کیفی کلمه عوض می‌شود، هر کلمه علاوه‌بر معنی ظاهری و معمولی دارای ارزشها و بارهای فرهنگی و اجتماعی ویژه‌ای است، درنتیجه بار بسیاری از مفاهیم را به دوش می‌کشد، 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درختی خاص، نشانه آزادگی و بلندی نیز هست، در شعر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یغماگری و غارت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پیروزی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که به معنی نشانه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به آیت از آن‌جا برخاسته که معنی درونی این نشانه‌ها از راه تاویل به دست می‌آید، و حدیثهای بسیاری است که به ظاهر و باطن قرآن و این‌که در هر بطنی بطنهاست اشاره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می‌رسد که در قرآن ازجمله ناسازگاری در درجه فهم و گسترش مصداقهاست، 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مسکین که در آیه‌های بسیار آمده، مرتبه نازل و عرفی آن، نانی است که به </w:t>
      </w:r>
    </w:p>
    <w:p>
      <w:pPr>
        <w:pStyle w:val="BookText"/>
        <w:rPr/>
      </w:pPr>
      <w:r>
        <w:rPr>
          <w:rFonts w:ascii="IRNazanin" w:hAnsi="IRNazanin" w:eastAsia="IRNazanin"/>
          <w:color w:val="111111"/>
          <w:sz w:val="28"/>
          <w:sz w:val="28"/>
          <w:szCs w:val="28"/>
          <w:rtl w:val="true"/>
          <w:lang w:bidi="fa-IR"/>
        </w:rPr>
        <w:t xml:space="preserve">گرسنه‌ای داده می‌شود، اما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توسعه 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 مثلا تاسیس نوانخانه، پرورشگاه، خیریه و ازین قبیل، که در یک معنی دقیق از مصداقهای عرفی اطعامند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از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این کتاب در بخش قیاس بررسی خواهد شد</w:t>
      </w:r>
      <w:r>
        <w:rPr>
          <w:rFonts w:eastAsia="IRNazanin" w:cs="IRNazanin"/>
          <w:color w:val="111111"/>
          <w:sz w:val="28"/>
          <w:szCs w:val="28"/>
          <w:rtl w:val="true"/>
          <w:lang w:bidi="fa-IR"/>
        </w:rPr>
        <w:t xml:space="preserve">. </w:t>
      </w:r>
      <w:bookmarkStart w:id="164" w:name="pg7474_109313"/>
    </w:p>
    <w:p>
      <w:pPr>
        <w:pStyle w:val="Heading3"/>
        <w:numPr>
          <w:ilvl w:val="2"/>
          <w:numId w:val="1"/>
        </w:numPr>
        <w:rPr/>
      </w:pPr>
      <w:bookmarkStart w:id="165" w:name="__RefHeading___Toc2150823_1051229030"/>
      <w:bookmarkStart w:id="166" w:name="_Toc59"/>
      <w:bookmarkEnd w:id="164"/>
      <w:bookmarkEnd w:id="165"/>
      <w:r>
        <w:rPr>
          <w:rtl w:val="true"/>
        </w:rPr>
        <w:t xml:space="preserve">گفتار دوم </w:t>
      </w:r>
      <w:r>
        <w:rPr>
          <w:rtl w:val="true"/>
        </w:rPr>
        <w:t>:</w:t>
      </w:r>
      <w:r>
        <w:rPr>
          <w:rtl w:val="true"/>
        </w:rPr>
        <w:t>سنّت</w:t>
      </w:r>
      <w:bookmarkEnd w:id="166"/>
    </w:p>
    <w:p>
      <w:pPr>
        <w:pStyle w:val="Heading4"/>
        <w:numPr>
          <w:ilvl w:val="3"/>
          <w:numId w:val="1"/>
        </w:numPr>
        <w:rPr/>
      </w:pPr>
      <w:bookmarkStart w:id="167" w:name="__RefHeading___Toc2150825_1051229030"/>
      <w:bookmarkStart w:id="168" w:name="_Toc60"/>
      <w:bookmarkEnd w:id="167"/>
      <w:r>
        <w:rPr>
          <w:rtl w:val="true"/>
        </w:rPr>
        <w:t>سنت در لغت و جامعه‌شناسی</w:t>
      </w:r>
      <w:bookmarkEnd w:id="168"/>
    </w:p>
    <w:p>
      <w:pPr>
        <w:pStyle w:val="BookText"/>
        <w:rPr/>
      </w:pPr>
      <w:r>
        <w:rPr>
          <w:rFonts w:ascii="IRNazanin" w:hAnsi="IRNazanin" w:eastAsia="IRNazanin"/>
          <w:color w:val="111111"/>
          <w:sz w:val="28"/>
          <w:sz w:val="28"/>
          <w:szCs w:val="28"/>
          <w:rtl w:val="true"/>
          <w:lang w:bidi="fa-IR"/>
        </w:rPr>
        <w:t>سنت در لغت به معنی روش، رفتار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رسمهای ریشه‌دار عمومی که به اقتضای قدمت خود از حرمت اجتماعی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می‌گیرند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رسمی دقیق و معتبر و عمومی که از دیرگاه 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چنان‌که بزرگداشت آب و آتش و بعضی دیگر از مظاهر طبیعت از سنن جامعه‌های کشاورزی است</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بطور کلی لذت حرص‌انگیز به حفظ طرق معتاد است، یعنی مناسک و آداب و رسومی که از نسلهای پیشین به نسلهای بعدی منتقل شده‌است و مردم در برابر آن حالت تسلیم و اطاعت بخود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انواع بسیار دارد ازجمله یکی سنت مذهبی است، که مناسک آن از نفوذ معنوی بسیار برخوردار است و از نسلی به نسل دیگر انتقال می‌یابد و یا سنتهای ملی که گاهی به صورت جشنها و اعیاد و بازیها و زمانی در قالب فرهنگ قومی در داستانها و مثلها و ترانه‌ها و وقتی در آیینهای عامیانه جلوه می‌کند و یا سنتهای حرفه‌ای و شغلی مثل سنتهای ورزش باستانی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و آداب و رسوم مخصوص به خود دارد؛ این سنتها اثر عمیقی در جامعه‌ها به جای می‌گذارند و مردم بسادگی از آنها دست‌بردار نیستند</w:t>
      </w:r>
      <w:r>
        <w:rPr>
          <w:rFonts w:eastAsia="IRNazanin" w:cs="IRNazanin"/>
          <w:color w:val="111111"/>
          <w:sz w:val="28"/>
          <w:szCs w:val="28"/>
          <w:rtl w:val="true"/>
          <w:lang w:bidi="fa-IR"/>
        </w:rPr>
        <w:t xml:space="preserve">. </w:t>
      </w:r>
      <w:bookmarkStart w:id="169" w:name="pg7474_109314"/>
    </w:p>
    <w:p>
      <w:pPr>
        <w:pStyle w:val="Heading4"/>
        <w:numPr>
          <w:ilvl w:val="3"/>
          <w:numId w:val="1"/>
        </w:numPr>
        <w:rPr/>
      </w:pPr>
      <w:bookmarkStart w:id="170" w:name="__RefHeading___Toc2150827_1051229030"/>
      <w:bookmarkStart w:id="171" w:name="_Toc61"/>
      <w:bookmarkEnd w:id="169"/>
      <w:bookmarkEnd w:id="170"/>
      <w:r>
        <w:rPr>
          <w:rtl w:val="true"/>
        </w:rPr>
        <w:t>ویژگیهای سنت از نظر جامعه‌شناسی</w:t>
      </w:r>
      <w:r>
        <w:rPr>
          <w:rtl w:val="true"/>
        </w:rPr>
        <w:t>:</w:t>
      </w:r>
      <w:bookmarkEnd w:id="171"/>
    </w:p>
    <w:p>
      <w:pPr>
        <w:pStyle w:val="BookText"/>
        <w:rPr/>
      </w:pPr>
      <w:r>
        <w:rPr>
          <w:rFonts w:ascii="IRNazanin" w:hAnsi="IRNazanin" w:eastAsia="IRNazanin"/>
          <w:color w:val="111111"/>
          <w:sz w:val="28"/>
          <w:sz w:val="28"/>
          <w:szCs w:val="28"/>
          <w:rtl w:val="true"/>
          <w:lang w:bidi="fa-IR"/>
        </w:rPr>
        <w:t xml:space="preserve">سنت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جهت ارزش بسیارش مردم به آن همچون ودیعه خداداد،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قرنها در میان ملتها ممکن است ادامه یابد، سنت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و گروهی است که به آن پایبندند و همین به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سنتها در میان پیروان یک مسلک، هرچند از ملتهای گوناگون باشند، همانندند، مثلا لبنانی همان مناسک را در حج به جای می‌آورد که ایرانی؛ همچنین سنت غالبا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 بدین معنی که گهگاه چنان نیرویی می‌یابد که از حیطه تسلط آدمی بیرون می‌شود و مستقل از اراده انسان بر او فرمانروایی می‌کند، و در این هنگام بیگانگی آدمی با خود آغاز می‌شود</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خود را در برابر مناسک و مراسم بیگانه حس می‌کند، برخی این احساس را در روابط انسان امروز با همه آدمیان می‌دانند، می‌گویند آن‌که سرمایه‌دار است انسان دیگری را در کارخانه به کار می‌گیرد، همانگونه که یک ماشین را وسیله قرار می‌دهد، کارگر نیز به کارفرما مثل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می‌کند و او را ابزاری برای هدفهای مادی خویش می‌شناسد و بدینگونه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درحین انجام مناسک مذهبی، بخصوص اگر از روی خلوص و حضور قلب باشد، این بیگانگی با خویش بیشتر احساس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احترام سنت بستگی به اعتبار اشخاصی دارد که واسطه انتقال آن از گذشته به زمان حال هستند، زیرا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امامزاده را متولی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واسطه انتقال سنتها به دیگرانند، کسی که به جایی تازه می‌رود، سنتهای محیط جدید در او، آن احترام لازم را ندارند، از این‌رو در عصر ما بر اثر سرعت ارتباطها روز بروز از نیروی معنوی سنتها کاسته می‌شود، اثر سنت در مردم کشورهای باستانی بیشتر است تا کشورهای جوان، در دیه‌ها و شهرکها به سنت بیشتر اعتنا دارند تا شهرهای بزرگ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چون ملتها کم‌کم به شناخت و تفاهم بیشتری می‌رسند، اگر پای منافع مادی درمیان </w:t>
      </w:r>
      <w:bookmarkStart w:id="172" w:name="pg7474_109315"/>
    </w:p>
    <w:p>
      <w:pPr>
        <w:pStyle w:val="BookText"/>
        <w:rPr/>
      </w:pPr>
      <w:bookmarkEnd w:id="172"/>
      <w:r>
        <w:rPr>
          <w:rFonts w:ascii="IRNazanin" w:hAnsi="IRNazanin" w:eastAsia="IRNazanin"/>
          <w:color w:val="111111"/>
          <w:sz w:val="28"/>
          <w:sz w:val="28"/>
          <w:szCs w:val="28"/>
          <w:rtl w:val="true"/>
          <w:lang w:bidi="fa-IR"/>
        </w:rPr>
        <w:t xml:space="preserve">نباشد، موازین فرهنگی خود را مانند فرهنگهای دیگر نسبی و متغیر می‌دانند، و این وضع در شهرهای بزرگ بیشتر است به این دلیل که مردم در محیط بزرگ کمتر تحت مراقبت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قرار می‌گیرند زیرا گرفتاری در شهرهای بزرگ مجال نظارت به کار دیگران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همبستگی میان افرادی محدود بیشتر است تا میان گروهی کثیر؛ و به همان نسبت کنجکاوی و تجسس در میان افراد محیطی کوچک، بیشتر است تا در شهری بزرگ</w:t>
      </w:r>
      <w:r>
        <w:rPr>
          <w:rFonts w:eastAsia="IRNazanin" w:cs="IRNazanin"/>
          <w:color w:val="111111"/>
          <w:sz w:val="28"/>
          <w:szCs w:val="28"/>
          <w:rtl w:val="true"/>
          <w:lang w:bidi="fa-IR"/>
        </w:rPr>
        <w:t>.</w:t>
      </w:r>
    </w:p>
    <w:p>
      <w:pPr>
        <w:pStyle w:val="Heading4"/>
        <w:numPr>
          <w:ilvl w:val="3"/>
          <w:numId w:val="1"/>
        </w:numPr>
        <w:rPr/>
      </w:pPr>
      <w:bookmarkStart w:id="173" w:name="__RefHeading___Toc2150829_1051229030"/>
      <w:bookmarkStart w:id="174" w:name="_Toc62"/>
      <w:bookmarkEnd w:id="173"/>
      <w:r>
        <w:rPr>
          <w:rtl w:val="true"/>
        </w:rPr>
        <w:t>عقیده</w:t>
      </w:r>
      <w:bookmarkEnd w:id="174"/>
    </w:p>
    <w:p>
      <w:pPr>
        <w:pStyle w:val="BookText"/>
        <w:rPr/>
      </w:pPr>
      <w:r>
        <w:rPr>
          <w:rFonts w:ascii="IRNazanin" w:hAnsi="IRNazanin" w:eastAsia="IRNazanin"/>
          <w:color w:val="111111"/>
          <w:sz w:val="28"/>
          <w:sz w:val="28"/>
          <w:szCs w:val="28"/>
          <w:rtl w:val="true"/>
          <w:lang w:bidi="fa-IR"/>
        </w:rPr>
        <w:t xml:space="preserve">برخی عقیده را به غلط در برابر سنت قرار می‌دهند، و می‌گویند در جامعه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 که بیشتر در کشورهای باستانی است و هنگامی که جامعه پیشرفت کرد و شخصیت افراد رو به رشد نهاد، آن‌گاه عقیده در آنان ایجاد می‌شود، زیرا عقیده ملازم با شخصیت است، لکن درواقع عقیده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شخصی و فردی است که موضوع روانشناسی است و زمانی اجتماعی و عمومی، که موضوع جامعه‌شناسی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داوری که مورد پذیرش همگان قرار گیرد عقیده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هم جنبه عاطفی دارد و هم جنبه ادراکی، بنابراین از تعصب و جانبداری برکنار نیست، عقیده عمومی اگر بشدت تعمیم یابد و ریشه‌دار شود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عمومی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اشتباه کرد، زیرا شایعه جنبه موقت دارد، درحالی که عقیده عمومی مستمر و پایدار است</w:t>
      </w:r>
      <w:r>
        <w:rPr>
          <w:rFonts w:eastAsia="IRNazanin" w:cs="IRNazanin"/>
          <w:color w:val="111111"/>
          <w:sz w:val="28"/>
          <w:szCs w:val="28"/>
          <w:rtl w:val="true"/>
          <w:lang w:bidi="fa-IR"/>
        </w:rPr>
        <w:t>.</w:t>
      </w:r>
    </w:p>
    <w:p>
      <w:pPr>
        <w:pStyle w:val="Heading4"/>
        <w:numPr>
          <w:ilvl w:val="3"/>
          <w:numId w:val="1"/>
        </w:numPr>
        <w:rPr/>
      </w:pPr>
      <w:bookmarkStart w:id="175" w:name="__RefHeading___Toc2150831_1051229030"/>
      <w:bookmarkStart w:id="176" w:name="_Toc63"/>
      <w:bookmarkEnd w:id="175"/>
      <w:r>
        <w:rPr>
          <w:rtl w:val="true"/>
        </w:rPr>
        <w:t>ویژگیهای عقیده عمومی</w:t>
      </w:r>
      <w:r>
        <w:rPr>
          <w:rtl w:val="true"/>
        </w:rPr>
        <w:t>:</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عمومی یکباره پدید نمی‌آید، بلکه بکندی پذیرفته می‌شود لکن همین‌که استقرار پیدا کرد و جزء اعتقاد مردم شد از آن بسختی دست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عقیده ایرانیان نسبت به انگلیسیها که بدبینانه و توأم با احساس خطر و استعمارگرانه از جانب آنان بوده و به طوری که ریشه هر اغتشاشی را در دستگاه جاسوسی آنان جستجو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عمومی مستلزم فشار بر هیأت حاکمه است، و دولت ناگزیر است که نسبت به آن بی‌اعتنا نماند وگرنه با شکست روبرو خواهد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عمومی جنبه شخصی افراد را تحت‌الشعاع قرار می‌دهد و چون کسی آن را پذیرا شود، </w:t>
      </w:r>
      <w:bookmarkStart w:id="177" w:name="pg7474_109316"/>
    </w:p>
    <w:p>
      <w:pPr>
        <w:pStyle w:val="BookText"/>
        <w:rPr/>
      </w:pPr>
      <w:bookmarkEnd w:id="177"/>
      <w:r>
        <w:rPr>
          <w:rFonts w:ascii="IRNazanin" w:hAnsi="IRNazanin" w:eastAsia="IRNazanin"/>
          <w:color w:val="111111"/>
          <w:sz w:val="28"/>
          <w:sz w:val="28"/>
          <w:szCs w:val="28"/>
          <w:rtl w:val="true"/>
          <w:lang w:bidi="fa-IR"/>
        </w:rPr>
        <w:t>رفته رفته جایگزین اعتقاد شخصی و فردی وی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عمومی ایجاد نهادهای اجتماعی می‌کند، نهاد اجتماعی تاسیسی است پایدار که کارکرد اجتماعی آن برای جامعه بسیار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ویژگیهایی که از عقیده و سنت برشمردیم نباید عقیده را در برابر سنت قرار داد، این دو یک پدیده اجتماعیند و دارای یک مرکز؛ لکن سنت متراکمتر است درحالی که عقیده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اشغال آذربایجان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مردمی که خود مرام اشتراکی داشتند به مقابله با حکومت پیشه‌وری برخاستند چرا که مرامی که بدان باور یافته بودند رویاروی سنتهای ملی، قومی و فرهنگی آنها قرار گرفته بود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2150833_1051229030"/>
      <w:bookmarkStart w:id="179" w:name="_Toc64"/>
      <w:bookmarkEnd w:id="178"/>
      <w:r>
        <w:rPr>
          <w:rtl w:val="true"/>
        </w:rPr>
        <w:t>نقش سنت‌گرایی و نوگرایی</w:t>
      </w:r>
      <w:bookmarkEnd w:id="179"/>
    </w:p>
    <w:p>
      <w:pPr>
        <w:pStyle w:val="BookText"/>
        <w:rPr/>
      </w:pPr>
      <w:r>
        <w:rPr>
          <w:rFonts w:ascii="IRNazanin" w:hAnsi="IRNazanin" w:eastAsia="IRNazanin"/>
          <w:color w:val="111111"/>
          <w:sz w:val="28"/>
          <w:sz w:val="28"/>
          <w:szCs w:val="28"/>
          <w:rtl w:val="true"/>
          <w:lang w:bidi="fa-IR"/>
        </w:rPr>
        <w:t>ازنظر حقوقی، که بیشتر موردنظر است، باتوجه به ارزش و نیروی معنوی و ریشه‌دار سنت در میان ملتها، قانونگذاران، بهنگام وضع قانون و دادگاهها بهنگام دادرسی نباید به آن بی‌اعتنا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کشورها سنت حقوقی می‌تواند تا آن زمان که مدتی دراز از محو و لغو حق عینی گذشته است برقرار بماند، یک مثال ساده روشنگر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مستاجر یک ساختمان برای نصب تلفن و گاز و برق در مورد اجاره به اجازه مالک احتیاج دارد، لکن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از دادن این اجازه خودداری کند، کسب اجازه یک سنت حقوقی و این‌که مالک نمی‌تواند اجازه ندهد امحای حق عینی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حقوقی می‌تواند تا آن‌جا برقرار بماند که، به گواهی تاریخ، بسیاری اقدامهای مخالف با آن، با شکست مواجه شده‌اند به همین دلیل اصلاحاتی که از بالا رهبری می‌شود و زمینه مردمی ندارد پیش نمی‌رود، خواست مردم نقش اساسی دارد و از آن نباید غافل بود، لکن این خواستها نیاز به محرکهایی دارد تا آنها را همسو و رسیدن به هدف را تسریع کند</w:t>
      </w:r>
      <w:r>
        <w:rPr>
          <w:rFonts w:eastAsia="IRNazanin" w:cs="IRNazanin"/>
          <w:color w:val="111111"/>
          <w:sz w:val="28"/>
          <w:szCs w:val="28"/>
          <w:rtl w:val="true"/>
          <w:lang w:bidi="fa-IR"/>
        </w:rPr>
        <w:t xml:space="preserve">. </w:t>
      </w:r>
      <w:bookmarkStart w:id="180" w:name="pg7474_109317"/>
    </w:p>
    <w:p>
      <w:pPr>
        <w:pStyle w:val="Heading4"/>
        <w:numPr>
          <w:ilvl w:val="3"/>
          <w:numId w:val="1"/>
        </w:numPr>
        <w:rPr/>
      </w:pPr>
      <w:bookmarkStart w:id="181" w:name="__RefHeading___Toc2150835_1051229030"/>
      <w:bookmarkStart w:id="182" w:name="_Toc65"/>
      <w:bookmarkEnd w:id="180"/>
      <w:bookmarkEnd w:id="181"/>
      <w:r>
        <w:rPr>
          <w:rtl w:val="true"/>
        </w:rPr>
        <w:t>جنبه‌های مثبت و منفی</w:t>
      </w:r>
      <w:bookmarkEnd w:id="182"/>
    </w:p>
    <w:p>
      <w:pPr>
        <w:pStyle w:val="BookText"/>
        <w:rPr/>
      </w:pPr>
      <w:r>
        <w:rPr>
          <w:rFonts w:ascii="IRNazanin" w:hAnsi="IRNazanin" w:eastAsia="IRNazanin"/>
          <w:color w:val="111111"/>
          <w:sz w:val="28"/>
          <w:sz w:val="28"/>
          <w:szCs w:val="28"/>
          <w:rtl w:val="true"/>
          <w:lang w:bidi="fa-IR"/>
        </w:rPr>
        <w:t>سنت مانند هر پدیده اجتماعی هم جنبه مثبت دارد و هم منفی، از جنبه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نمی‌تواند همه ارتباطهای خود را با گذشته قطع و مشکلها را تنها با تجربه و ابتکار شخصی حل کند ازین‌رو باید از نتیجه تجربیات پیشینیان که حاصل عمر آنان و میراثی ارزنده است و به صورت سنتها باقی مانده بهره‌برداری کند وگرنه 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خردمند جهاندیده را</w:t>
      </w:r>
    </w:p>
    <w:p>
      <w:pPr>
        <w:pStyle w:val="BookText"/>
        <w:rPr/>
      </w:pPr>
      <w:r>
        <w:rPr>
          <w:rFonts w:ascii="IRNazanin" w:hAnsi="IRNazanin" w:eastAsia="IRNazanin"/>
          <w:color w:val="111111"/>
          <w:sz w:val="28"/>
          <w:sz w:val="28"/>
          <w:szCs w:val="28"/>
          <w:rtl w:val="true"/>
          <w:lang w:bidi="fa-IR"/>
        </w:rPr>
        <w:t>عمر دو بایست در این روزگار</w:t>
      </w:r>
    </w:p>
    <w:p>
      <w:pPr>
        <w:pStyle w:val="BookText"/>
        <w:rPr/>
      </w:pPr>
      <w:r>
        <w:rPr>
          <w:rFonts w:ascii="IRNazanin" w:hAnsi="IRNazanin" w:eastAsia="IRNazanin"/>
          <w:color w:val="111111"/>
          <w:sz w:val="28"/>
          <w:sz w:val="28"/>
          <w:szCs w:val="28"/>
          <w:rtl w:val="true"/>
          <w:lang w:bidi="fa-IR"/>
        </w:rPr>
        <w:t>تا به یکی تجربه آموختن</w:t>
      </w:r>
    </w:p>
    <w:p>
      <w:pPr>
        <w:pStyle w:val="BookText"/>
        <w:rPr/>
      </w:pPr>
      <w:r>
        <w:rPr>
          <w:rFonts w:ascii="IRNazanin" w:hAnsi="IRNazanin" w:eastAsia="IRNazanin"/>
          <w:color w:val="111111"/>
          <w:sz w:val="28"/>
          <w:sz w:val="28"/>
          <w:szCs w:val="28"/>
          <w:rtl w:val="true"/>
          <w:lang w:bidi="fa-IR"/>
        </w:rPr>
        <w:t>با دگری تجربه بردن به کار</w:t>
      </w:r>
    </w:p>
    <w:p>
      <w:pPr>
        <w:pStyle w:val="BookText"/>
        <w:rPr/>
      </w:pPr>
      <w:r>
        <w:rPr>
          <w:rFonts w:ascii="IRNazanin" w:hAnsi="IRNazanin" w:eastAsia="IRNazanin"/>
          <w:color w:val="111111"/>
          <w:sz w:val="28"/>
          <w:sz w:val="28"/>
          <w:szCs w:val="28"/>
          <w:rtl w:val="true"/>
          <w:lang w:bidi="fa-IR"/>
        </w:rPr>
        <w:t xml:space="preserve">در سنتها عقل قرون نهفته است، اگر هر نسل به میراث گذشته بی‌اعتنا بماند، آن جامعه در همان پله نخست درجا خواهد زد، سنتها در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گونه الهامی اجتماعی وجود دارند، و از آن بسادگی نمی‌توان گذشت، اما با این همه افراط در حفظ سنتها موجب عقب‌ماندگی است، نسبت به هر نغمه ناآشنا و مخالف، بحکم ناشناخته بودن، نباید بدگمان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مردم چنان با محیط سازگار می‌شوند که هیچ‌گونه تحولی را نمی‌پذیرند، درحالی که افراد دارای هدف، حاضر به تسلیم به وضع موجود نیستند، در این راه گروهی به دنبال ساخته‌های وهم و خیال خود می‌روند و بسیار اندکند آنان‌که دیدی واقع‌بینانه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نتیجه و برآیند فعالیت سنت‌گرایان و نوگرایان مسیر جامعه را تعیین می‌کند، اما این نکته را نباید ازنظر دور داشت که شرط رشد شخصیت آن است که انتخاب راه با خود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خلق و ابتکار نوگرایان زندگی را از صورت مرداب راکد خارج می‌کند و تاریخ را تغییر می‌دهد و به سوی کمال مطلوب به پیش می‌برد، هرچند زندگی بشر هنوز تا کمال مطلوب فرسنگها راه دارد</w:t>
      </w:r>
      <w:r>
        <w:rPr>
          <w:rFonts w:eastAsia="IRNazanin" w:cs="IRNazanin"/>
          <w:color w:val="111111"/>
          <w:sz w:val="28"/>
          <w:szCs w:val="28"/>
          <w:rtl w:val="true"/>
          <w:lang w:bidi="fa-IR"/>
        </w:rPr>
        <w:t>.</w:t>
      </w:r>
    </w:p>
    <w:p>
      <w:pPr>
        <w:pStyle w:val="Heading4"/>
        <w:numPr>
          <w:ilvl w:val="3"/>
          <w:numId w:val="1"/>
        </w:numPr>
        <w:rPr/>
      </w:pPr>
      <w:bookmarkStart w:id="183" w:name="__RefHeading___Toc2150837_1051229030"/>
      <w:bookmarkStart w:id="184" w:name="_Toc66"/>
      <w:bookmarkEnd w:id="183"/>
      <w:r>
        <w:rPr>
          <w:rtl w:val="true"/>
        </w:rPr>
        <w:t>سنت در فقه اسلامی</w:t>
      </w:r>
      <w:bookmarkEnd w:id="184"/>
    </w:p>
    <w:p>
      <w:pPr>
        <w:pStyle w:val="BookText"/>
        <w:rPr/>
      </w:pPr>
      <w:r>
        <w:rPr>
          <w:rFonts w:ascii="IRNazanin" w:hAnsi="IRNazanin" w:eastAsia="IRNazanin"/>
          <w:color w:val="111111"/>
          <w:sz w:val="28"/>
          <w:sz w:val="28"/>
          <w:szCs w:val="28"/>
          <w:rtl w:val="true"/>
          <w:lang w:bidi="fa-IR"/>
        </w:rPr>
        <w:t>واژه سنت بمعنی روش یا طریقه پسندیده است و در اصطلاح فقه امامیه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یا کردار یا تقریر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مذهب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اصحاب و تابعان نیز جزء سنت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و حکایت یکی از سه امر یاد شده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85" w:name="pg7474_109318"/>
    </w:p>
    <w:p>
      <w:pPr>
        <w:pStyle w:val="BookText"/>
        <w:rPr/>
      </w:pPr>
      <w:bookmarkEnd w:id="185"/>
      <w:r>
        <w:rPr>
          <w:rFonts w:ascii="IRNazanin" w:hAnsi="IRNazanin" w:eastAsia="IRNazanin"/>
          <w:color w:val="111111"/>
          <w:sz w:val="28"/>
          <w:sz w:val="28"/>
          <w:szCs w:val="28"/>
          <w:rtl w:val="true"/>
          <w:lang w:bidi="fa-IR"/>
        </w:rPr>
        <w:t>سنت به سه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یا ترک فعلی که در حضور معصوم انجام شده، و یا معصوم بر آن آگاهی یافته و از آن منع نکرده باشد و به اصطلاح آن را تقریر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حدیث را به هر سخنی می‌گویند که از پیامر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 و سنت را تنها منحصر در کردار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مستفاد از تاریخ اسلام اینست که در زمان پیامبر برای عقود متعارف مثل عقد بیع یا اجاره و رهن و غیره صیغه و شکل خاصی از الفاظ به کار نمی‌رفت، و این رویه از ناحیه پیامبر نهی نشد با این‌که در میان مردم شیوع داشت لذا این را دلیل بر آن می‌دانند که عقود در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 و تشریفاتی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زنجیره سند حدیث و چگونگی آن بررسی می‌شود و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امر سخن به میان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خبری که در فن درایه نوع و گروه آن مشخص و شناسایی شده حجت است باید به مفاد آن عمل شود یا خیر؟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ظاهر الفاظ حدیث حجت است یا خیر؟ که در مورد اخیر درباره ظاهر آیه‌های قرآن هم بررسی می‌شود که در بخش محکم و متشابه در قرآن بدان اشاره کرده‌ایم</w:t>
      </w:r>
      <w:r>
        <w:rPr>
          <w:rFonts w:eastAsia="IRNazanin" w:cs="IRNazanin"/>
          <w:color w:val="111111"/>
          <w:sz w:val="28"/>
          <w:szCs w:val="28"/>
          <w:rtl w:val="true"/>
          <w:lang w:bidi="fa-IR"/>
        </w:rPr>
        <w:t>.</w:t>
      </w:r>
    </w:p>
    <w:p>
      <w:pPr>
        <w:pStyle w:val="Heading4"/>
        <w:numPr>
          <w:ilvl w:val="3"/>
          <w:numId w:val="1"/>
        </w:numPr>
        <w:rPr/>
      </w:pPr>
      <w:bookmarkStart w:id="186" w:name="__RefHeading___Toc2150839_1051229030"/>
      <w:bookmarkStart w:id="187" w:name="_Toc67"/>
      <w:bookmarkEnd w:id="186"/>
      <w:r>
        <w:rPr>
          <w:rtl w:val="true"/>
        </w:rPr>
        <w:t>علت وجودی سنت</w:t>
      </w:r>
      <w:bookmarkEnd w:id="187"/>
    </w:p>
    <w:p>
      <w:pPr>
        <w:pStyle w:val="BookText"/>
        <w:rPr/>
      </w:pPr>
      <w:r>
        <w:rPr>
          <w:rFonts w:ascii="IRNazanin" w:hAnsi="IRNazanin" w:eastAsia="IRNazanin"/>
          <w:color w:val="111111"/>
          <w:sz w:val="28"/>
          <w:sz w:val="28"/>
          <w:szCs w:val="28"/>
          <w:rtl w:val="true"/>
          <w:lang w:bidi="fa-IR"/>
        </w:rPr>
        <w:t xml:space="preserve">نص قرآن در مسائل حقوقی بسیار کم است بنابراین از همان آغاز مشکلها و پرسشهایی تازه پیش می‌آمد که با مراجعه به قرآن قابل حل نبود، نزد اصحاب و امامان و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می‌رفتند و آنان درباره آنها دستورهایی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بسیار گسترده و متنوع به نام سنت یا حدیث یا اخبار از آن فراهم آمد</w:t>
      </w:r>
      <w:r>
        <w:rPr>
          <w:rFonts w:eastAsia="IRNazanin" w:cs="IRNazanin"/>
          <w:color w:val="111111"/>
          <w:sz w:val="28"/>
          <w:szCs w:val="28"/>
          <w:rtl w:val="true"/>
          <w:lang w:bidi="fa-IR"/>
        </w:rPr>
        <w:t>.</w:t>
      </w:r>
    </w:p>
    <w:p>
      <w:pPr>
        <w:pStyle w:val="Heading4"/>
        <w:numPr>
          <w:ilvl w:val="3"/>
          <w:numId w:val="1"/>
        </w:numPr>
        <w:rPr/>
      </w:pPr>
      <w:bookmarkStart w:id="188" w:name="__RefHeading___Toc2150841_1051229030"/>
      <w:bookmarkStart w:id="189" w:name="_Toc68"/>
      <w:bookmarkEnd w:id="188"/>
      <w:r>
        <w:rPr>
          <w:rtl w:val="true"/>
        </w:rPr>
        <w:t>مجموعه‌های اهل سنت و جماعت</w:t>
      </w:r>
      <w:r>
        <w:rPr>
          <w:rtl w:val="true"/>
        </w:rPr>
        <w:t>:</w:t>
      </w:r>
      <w:bookmarkEnd w:id="18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اهل تسنن شش کتاب یا مجموعه که فراهم آورده ایرانیان است از منابع عمده شمرده می‌شود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bookmarkStart w:id="190" w:name="pg7474_109319"/>
    </w:p>
    <w:p>
      <w:pPr>
        <w:pStyle w:val="BookText"/>
        <w:rPr/>
      </w:pPr>
      <w:bookmarkEnd w:id="19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تالیف محمدبن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9082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تالیف مسلم بن حجاج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ابوداود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ابن‌ماجه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احمدبن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ترمذی یا صحیح ترمذی محمدبن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91" w:name="__RefHeading___Toc2150843_1051229030"/>
      <w:bookmarkStart w:id="192" w:name="_Toc69"/>
      <w:bookmarkEnd w:id="191"/>
      <w:r>
        <w:rPr>
          <w:rtl w:val="true"/>
        </w:rPr>
        <w:t>مجموعه‌های امامیه</w:t>
      </w:r>
      <w:bookmarkEnd w:id="192"/>
    </w:p>
    <w:p>
      <w:pPr>
        <w:pStyle w:val="BookText"/>
        <w:rPr/>
      </w:pPr>
      <w:r>
        <w:rPr>
          <w:rFonts w:ascii="IRNazanin" w:hAnsi="IRNazanin" w:eastAsia="IRNazanin"/>
          <w:color w:val="111111"/>
          <w:sz w:val="28"/>
          <w:sz w:val="28"/>
          <w:szCs w:val="28"/>
          <w:rtl w:val="true"/>
          <w:lang w:bidi="fa-IR"/>
        </w:rPr>
        <w:t xml:space="preserve">چهار کتاب که بیشتر حدیثهایی از امام پنجم و ششم و امام هشتم است و همه فراهم آورده ایرانیان است مجموعه امامیه را تشکیل می‌دهد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یعقوب کلینی رازی است که بیست سال در تالیف آن کار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وفات یافت، این اثر شامل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علی‌بن الحسین‌بن بابویه معروف به شیخ صدوق، نزدیک به سیصد تالیف از وی نقل شده در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 وفات یافته و در شهر ری جایی که به ابن‌بابویه معروف است، دفن شد، شامل </w:t>
      </w:r>
      <w:r>
        <w:rPr>
          <w:rFonts w:eastAsia="IRNazanin" w:cs="IRNazanin"/>
          <w:color w:val="111111"/>
          <w:sz w:val="28"/>
          <w:szCs w:val="28"/>
          <w:lang w:bidi="fa-IR"/>
        </w:rPr>
        <w:t>9044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طوسی 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رفت پنج سال شاگرد شیخ مفید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شاگرد سیدمرتضی بود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بغداد تدریس کرد سپس به نجف آمد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تدریس کرد و در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یافت، دو کتاب فوق ازجمله تالیفهای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شامل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استبصار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مؤلفان کتب اربعه را محمدین ثلاثه متقدم نامند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یعقوب کلینی و محمدبن علی‌بن بابویه قمی و محمدبن حسن طوسی، درمقابل سه کتاب معتبر دیگر نیز هست که آنها را ثلاثه متاخره از محمدین ثلاثه متاخر گویند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شیخ حر عاملی صاحب وسائل‌الشیعه، و ملامحسن فیض کاشانی صاحب الوافی و محمدباقر مجلسی صاحب بحارالانوار</w:t>
      </w:r>
      <w:r>
        <w:rPr>
          <w:rFonts w:eastAsia="IRNazanin" w:cs="IRNazanin"/>
          <w:color w:val="111111"/>
          <w:sz w:val="28"/>
          <w:szCs w:val="28"/>
          <w:rtl w:val="true"/>
          <w:lang w:bidi="fa-IR"/>
        </w:rPr>
        <w:t xml:space="preserve">. </w:t>
      </w:r>
      <w:bookmarkStart w:id="193" w:name="pg7474_109320"/>
    </w:p>
    <w:p>
      <w:pPr>
        <w:pStyle w:val="Heading4"/>
        <w:numPr>
          <w:ilvl w:val="3"/>
          <w:numId w:val="1"/>
        </w:numPr>
        <w:rPr/>
      </w:pPr>
      <w:bookmarkStart w:id="194" w:name="__RefHeading___Toc2150845_1051229030"/>
      <w:bookmarkStart w:id="195" w:name="_Toc70"/>
      <w:bookmarkEnd w:id="193"/>
      <w:bookmarkEnd w:id="194"/>
      <w:r>
        <w:rPr>
          <w:rtl w:val="true"/>
        </w:rPr>
        <w:t>فرقه‌های اهل تسنن</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ابوحنیفه نعمان‌بن ثابت تمیمی‌اند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نژاد ایرانی است وی به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وی مکتبی در فقه پدید آورد،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المسند معروف به مسند امام اعظم را از اخلاف او برشته تحریر درآورد که روایات مورد استشهاد ابوحنیفه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مالک‌بن انس اصبحی‌اند که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به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بقیع دفن شد، وی مانند ابوحنیفه معاصر امام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محبان خاندان مولا علی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محمدبن ادریس بن عثمان‌بن شافع هستند که از قریش است در روز وفات ابوحنیفه متولد شد و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قبرش در قاهره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احمدبن حنبل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بغداد به خاک سپرده شد</w:t>
      </w:r>
      <w:r>
        <w:rPr>
          <w:rFonts w:eastAsia="IRNazanin" w:cs="IRNazanin"/>
          <w:color w:val="111111"/>
          <w:sz w:val="28"/>
          <w:szCs w:val="28"/>
          <w:rtl w:val="true"/>
          <w:lang w:bidi="fa-IR"/>
        </w:rPr>
        <w:t>.</w:t>
      </w:r>
    </w:p>
    <w:p>
      <w:pPr>
        <w:pStyle w:val="Heading4"/>
        <w:numPr>
          <w:ilvl w:val="3"/>
          <w:numId w:val="1"/>
        </w:numPr>
        <w:rPr/>
      </w:pPr>
      <w:bookmarkStart w:id="196" w:name="__RefHeading___Toc2150847_1051229030"/>
      <w:bookmarkStart w:id="197" w:name="_Toc71"/>
      <w:bookmarkEnd w:id="196"/>
      <w:r>
        <w:rPr>
          <w:rtl w:val="true"/>
        </w:rPr>
        <w:t>ارزیابی سنت</w:t>
      </w:r>
      <w:bookmarkEnd w:id="197"/>
    </w:p>
    <w:p>
      <w:pPr>
        <w:pStyle w:val="BookText"/>
        <w:rPr/>
      </w:pPr>
      <w:r>
        <w:rPr>
          <w:rFonts w:ascii="IRNazanin" w:hAnsi="IRNazanin" w:eastAsia="IRNazanin"/>
          <w:color w:val="111111"/>
          <w:sz w:val="28"/>
          <w:sz w:val="28"/>
          <w:szCs w:val="28"/>
          <w:rtl w:val="true"/>
          <w:lang w:bidi="fa-IR"/>
        </w:rPr>
        <w:t>حدیث از همان آغاز ارزش بسیار پیدا کرد و مسلمانان علاقه فراوانی به بازگویی و نگهداری و شنیدن آن نشان دادند و حتی برای شنیدن یک حدیث و ضبط آن به سفرهای دراز دست می‌یازیدند، این توجه موجب شد که گروهی از مردم ضعیف‌الایمان، بدون آگاهی از عواقب خطرناک کار خود بنا به سلیقه و ذوق شخصی دست به جعل حدیث زنند</w:t>
      </w:r>
      <w:r>
        <w:rPr>
          <w:rStyle w:val="FootnoteAnchor"/>
          <w:rtl w:val="true"/>
        </w:rPr>
        <w:footnoteReference w:id="118"/>
      </w:r>
      <w:r>
        <w:rPr>
          <w:rFonts w:ascii="IRNazanin" w:hAnsi="IRNazanin" w:eastAsia="IRNazanin"/>
          <w:color w:val="111111"/>
          <w:sz w:val="28"/>
          <w:sz w:val="28"/>
          <w:szCs w:val="28"/>
          <w:rtl w:val="true"/>
          <w:lang w:bidi="fa-IR"/>
        </w:rPr>
        <w:t>، و برای استوار کردن عقاید خود از این راه استفاده می‌کردند و گروههایی نیز به منظور لطمه زدن به اسلام به این کار دست می‌زدند، زیرا حدیث ارزش وحی الهی را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ماینطق عن الهوی ان هو الاّ وحی یوحی</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از هوای نفس نمی‌گوید، هرچه می‌گوید وحی است که از پروردگار به او الهام شده‌است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جعل حدیث در میان اهل تسنن شیوع بیشتری داشت تا جایی که بیشتر حدیث‌شناسان و دانشمندان علم رجال و تاریخ بر جعلی بودن بیش از پنجاه هزار از حدیثهای آنان تصریح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حدیثها که به صورت انبوهی از کتابها درآمده بود؛ برای گروهی از دانشمندان ایجاد مشکل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با افزار نقد و سنجشی که ابتکار کردند به بازشناسی حدیث پرداختند ازجمله این که ظاهر لفظ که به کلمات معصوم و یا پیامبر شبیه است یا خیر؟ زنجیره راویانی که حدیث را بازگو کرده‌اند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شرح حال یکایک آنان و بررسی و تعیین درجه تقوی و عدالت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راه حدیث درست را از نادرست بازشناسند و تصفیه کنند و از این‌جا دانشهای رجال و درایه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ازین‌رو نیز برخی آشنایی با تاریخ را برای ارزیابی حدیث لازم می‌شمارند، از راویان حدیث مسلم نقل کرده که ابوسفیان هنگامی که اسلام آورد سه خواهش از پیامبر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ازدواج آن حضرت با دخترش ام‌حبیبه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قرار دادن پسرش معاویه را جزو نویسندگان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دادن سرکردگی لشکری را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سه تقاضای وی موافقت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پیامبر ام‌حبیبه را هنگامی که در حبشه بود تزویج فرمود و ابوسفیان در عام‌الفتح اسلام آورد و بین این دو واقعه چندین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تواریخ در مورد سرکردگی ابوسفیان در غزوه‌ای مطلبی دیده نمی‌شود و از این‌جا می‌توان به جعل حدیث مذکور پی برد</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از پیامبر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شرطه سگهای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حدیث جعلی است زیرا در زمان پیامبر هنوز این سازمان به وجود نیامده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حدیثی را که در کافی آمده است به طور خلاصه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از مردم در تفسیر قرآن می‌شنوم که شما آن را باطل و یا دروغ می‌دانید؟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مردم است در آن راست و دروغ، حق و باطل، ناسخ و منسوخ، عموم و خصوص، محکم و متشابه است، تا آن‌جا که پیامبر در خطبه‌ای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 من از روی عمد دروغ بندد، جایگاهش در آتش است، و حال بدانید که حدیث بر چهارگونه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که منافقان آن را بازگو می‌کنند، آنان هیچ‌گونه پروایی از این‌که به رسول خدا دروغ ببندند ندارند، درحالی که مردم بلحاظ مصاحبت آنان با رسول خدا سخنشان را می‌پذیرند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که مردمی بازگو می‌کنند که آنان سخن پیامبر را بدرستی حفظ نکرده‌اند و از روی وهم و خیال و البته بدون عمد می‌پندارند که آنچه می‌گویند همان کلام پیامبر است، درحالی که خیالبافی خودشان بوده‌است</w:t>
      </w:r>
      <w:r>
        <w:rPr>
          <w:rFonts w:eastAsia="IRNazanin" w:cs="IRNazanin"/>
          <w:color w:val="111111"/>
          <w:sz w:val="28"/>
          <w:szCs w:val="28"/>
          <w:rtl w:val="true"/>
          <w:lang w:bidi="fa-IR"/>
        </w:rPr>
        <w:t xml:space="preserve">. </w:t>
      </w:r>
      <w:bookmarkStart w:id="198" w:name="pg7474_109322"/>
    </w:p>
    <w:p>
      <w:pPr>
        <w:pStyle w:val="BookText"/>
        <w:rPr/>
      </w:pPr>
      <w:bookmarkEnd w:id="19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 دیگر از ما می‌گویند که از پیامبر شنیده‌اند و بدرستی هم بازگو می‌کنند، لکن از ناسخ آن خبر ندارند، پیامبر سخنی گفته است لکن بعد از آن نهی کرده یا مخالف آن فرموده لکن راوی گفتار بعدی را نشنیده‌است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حدیثهایی است که هم بدرستی حفظ شده و هم راوی ناسخ و منسوخ آن را می‌شناسد، پس به ناسخ عمل می‌کند و منسوخ را رها می‌سازد، همانا سخن پیامبر مانند قرآن، ناسخ و منسوخ، عام و خاص، محکم و متشابه، مطلق و مقید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تفقه در آن باید آنها را از هم باز شناسند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باید میان حدیثهایی که جنبه حکم و فتوا در موضوع و واقعه خاصی دارد با آنها که در مقام تشریع کلی و عمومی آمده، فرق گذاشت و در این کار وضعیت زمانی و مکانی و سابقه و شأن نزول حدیث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حضرت صادق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و افق کتاب‌اللّه فخذوه و ما خالفه 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را هماهنگ با قرآن است بگیرید و هرچه را ناسازگار است رها کنید</w:t>
      </w:r>
      <w:r>
        <w:rPr>
          <w:rFonts w:eastAsia="IRNazanin" w:cs="IRNazanin"/>
          <w:color w:val="111111"/>
          <w:sz w:val="28"/>
          <w:szCs w:val="28"/>
          <w:rtl w:val="true"/>
          <w:lang w:bidi="fa-IR"/>
        </w:rPr>
        <w:t>.</w:t>
      </w:r>
    </w:p>
    <w:p>
      <w:pPr>
        <w:pStyle w:val="Heading4"/>
        <w:numPr>
          <w:ilvl w:val="3"/>
          <w:numId w:val="1"/>
        </w:numPr>
        <w:rPr/>
      </w:pPr>
      <w:bookmarkStart w:id="199" w:name="__RefHeading___Toc2150849_1051229030"/>
      <w:bookmarkStart w:id="200" w:name="_Toc72"/>
      <w:bookmarkEnd w:id="199"/>
      <w:r>
        <w:rPr>
          <w:rtl w:val="true"/>
        </w:rPr>
        <w:t>انواع سنت</w:t>
      </w:r>
      <w:bookmarkEnd w:id="200"/>
    </w:p>
    <w:p>
      <w:pPr>
        <w:pStyle w:val="BookText"/>
        <w:rPr/>
      </w:pPr>
      <w:r>
        <w:rPr>
          <w:rFonts w:ascii="IRNazanin" w:hAnsi="IRNazanin" w:eastAsia="IRNazanin"/>
          <w:color w:val="111111"/>
          <w:sz w:val="28"/>
          <w:sz w:val="28"/>
          <w:szCs w:val="28"/>
          <w:rtl w:val="true"/>
          <w:lang w:bidi="fa-IR"/>
        </w:rPr>
        <w:t>خبر یا حدیث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و غیر 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کسانی، که به حسب عادت سازش آنها با هم ممکن نباشد، از امری محسوس خبر دهند، به طوری که خبر ایشان بخودی خود یقین‌آور باشد و در شنوندگان باور پدید آورد، آن خبر را متواتر می‌خوانند</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تعداد افراد محصور در عدد معین نیست، همین اندازه که از روی عرف و عادت نتوان به آنها اتهام دروغگویی زد، آن حدیث حجت است، و این یا از راه شنیدن و یا از راه مشاهده به دست می‌آید نه استنباط عقلی و نظری، البته خبر متواتر بسیار نادر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قطع‌آور بودن خبر متواتر را مورد تردید قرار داده‌اند زیرا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یحتمل الصدق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احتمال راست و دروغ در آن می‌رود، پس مفید یقین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نادرست است، زیرا آگاهیهای روزانه ما براساس همین </w:t>
      </w:r>
      <w:bookmarkStart w:id="201" w:name="pg7474_109323"/>
    </w:p>
    <w:p>
      <w:pPr>
        <w:pStyle w:val="BookText"/>
        <w:rPr/>
      </w:pPr>
      <w:bookmarkEnd w:id="201"/>
      <w:r>
        <w:rPr>
          <w:rFonts w:ascii="IRNazanin" w:hAnsi="IRNazanin" w:eastAsia="IRNazanin"/>
          <w:color w:val="111111"/>
          <w:sz w:val="28"/>
          <w:sz w:val="28"/>
          <w:szCs w:val="28"/>
          <w:rtl w:val="true"/>
          <w:lang w:bidi="fa-IR"/>
        </w:rPr>
        <w:t>خبرهاست و برای هیچ‌کس میسر نیست که همه رویدادها را خود شاهد و ناظر باشد و به گفته‌های دیگران اعتنا نکند، ما در روزنامه‌ها و از رادیو و یا در افواه به طور متواتر خبرهایی می‌شنویم، در ما یقین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متواتر خود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لفظی و متواتر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 لفظی آنست که تواتر لفظ در نقل حدیث باشد بگونه‌ای که همه راویان آن را به یک لفظ و عبارت بازگو کنند بدون کوچکترین اختلافی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 معنوی آنست که متن و مفهوم حدیث در لفظها و عبارتهای گوناگون آمده لکن معنی همه آنها با هم یکسان باشد</w:t>
      </w:r>
      <w:r>
        <w:rPr>
          <w:rFonts w:eastAsia="IRNazanin" w:cs="IRNazanin"/>
          <w:color w:val="111111"/>
          <w:sz w:val="28"/>
          <w:szCs w:val="28"/>
          <w:rtl w:val="true"/>
          <w:lang w:bidi="fa-IR"/>
        </w:rPr>
        <w:t>.</w:t>
      </w:r>
    </w:p>
    <w:p>
      <w:pPr>
        <w:pStyle w:val="Heading4"/>
        <w:numPr>
          <w:ilvl w:val="3"/>
          <w:numId w:val="1"/>
        </w:numPr>
        <w:rPr/>
      </w:pPr>
      <w:bookmarkStart w:id="202" w:name="__RefHeading___Toc2150851_1051229030"/>
      <w:bookmarkStart w:id="203" w:name="_Toc73"/>
      <w:bookmarkEnd w:id="202"/>
      <w:r>
        <w:rPr>
          <w:rtl w:val="true"/>
        </w:rPr>
        <w:t>شرایط اعتبار خبر متواتر</w:t>
      </w:r>
      <w:r>
        <w:rPr>
          <w:rtl w:val="true"/>
        </w:rPr>
        <w:t>:</w:t>
      </w:r>
      <w:bookmarkEnd w:id="203"/>
    </w:p>
    <w:p>
      <w:pPr>
        <w:pStyle w:val="BookText"/>
        <w:rPr/>
      </w:pPr>
      <w:r>
        <w:rPr>
          <w:rFonts w:ascii="IRNazanin" w:hAnsi="IRNazanin" w:eastAsia="IRNazanin"/>
          <w:color w:val="111111"/>
          <w:sz w:val="28"/>
          <w:sz w:val="28"/>
          <w:szCs w:val="28"/>
          <w:rtl w:val="true"/>
          <w:lang w:bidi="fa-IR"/>
        </w:rPr>
        <w:t>باید تعداد خبردهندگان آن‌قدر باشد که دروغشان غیرممکن به نظر برسد نیز باید همه طبقه‌های زنجیره راویان که واسطه حدیث بوده‌اند چه در طبقه اول و چه دوم و چه بالاتر تعدادشان به حد نصاب برسد والا متواتر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غیرمتواتر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اگر خبر به حد تواتر نرسد، غیرمتواتر است، حال اگر عده راویان دو و یا سه نفر باشد آن را خبر واحد یا آحاد و اگر بیش از سه نفر باشد آن را خبر مستفیض یا مشهور گویند، هرگاه با خبر غیرمتواتر، قراین و اماراتی همراه باشد که با ملاحظه آنها درستی آن خبر مسلم شود، همه فقیهان آن را حجت می‌دانند، لکن اگر همراه با قرینه نباشد در آن اختلاف است، عده‌ای آن را معتبر نمی‌دانند و می‌گویند چنین خبری احتمال و گمان پدید می‌آورد و عمل به ظن و احتمال نکوهش شده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لاتقف ما لیس لک به علم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یعنی از آنچه به آن علم نداری پیروی مکن 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یتبعون الا الظن و ان هم الاّ یخرصون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یعنی آنان جز از پندار و گمان پیروی نمی‌کنند و آنان نیستند مگر کسانی که دروغ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الظن لا یغنی من‌الحق شیئاً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یعنی همانا پندار، هیچ به جای حق به کار نیاید و چیزی را از حق بی نیاز نمی‌کند و جای حق را نمی‌گیرد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یکی از فقیهان پیشین در مورد بی اعتباری خبر غیر متواتر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اما فقیهان متاخر چنین خبری را معتبر دانسته و می‌گویند آیه‌های مربوط به نکوهش پیروی از ظن </w:t>
      </w:r>
      <w:bookmarkStart w:id="204" w:name="pg7474_109324"/>
    </w:p>
    <w:p>
      <w:pPr>
        <w:pStyle w:val="BookText"/>
        <w:rPr/>
      </w:pPr>
      <w:bookmarkEnd w:id="204"/>
      <w:r>
        <w:rPr>
          <w:rFonts w:ascii="IRNazanin" w:hAnsi="IRNazanin" w:eastAsia="IRNazanin"/>
          <w:color w:val="111111"/>
          <w:sz w:val="28"/>
          <w:sz w:val="28"/>
          <w:szCs w:val="28"/>
          <w:rtl w:val="true"/>
          <w:lang w:bidi="fa-IR"/>
        </w:rPr>
        <w:t>و گمان مربوط به امور اعتقادی است نه مسائل فرعی و عملی، وانگهی در قرآن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اگر دروغ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خبری داد، نیک برسید تا مبادا به گروهی به نادانی زیانی برسانید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راوی شخص فاسقی باشد پذیرش آن مشروط به تحقیق و بررسی است، مفهوم مخالف این سخن آنست که هر گاه خبر بوسیله شخص عادلی بازگو شود پذیرش آن به جستجو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گروه طایفه‌ای بیرون نروند تا در دین خویش دانش آموزند و خویشان خود را بیم و امید دهند، هنگامی که نزد آنان بر می‌گردند تا شاید آنان هم از ناپسند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دانش دین را فرا می‌گیرند، عمل بر طبق گفتار آنان بر قوم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نیز بر اعتبار خبر واحد دلالت دارد، از سوی دیگر عمل به خبر واحد از آغاز تا کنون معمول بوده است و خود پیامبر کسانی را به اطراف می‌فرستادند تا حدیثها را به مردم بگویند و مردم هم از همان یک نفر می‌پذیرفتند و به آن عمل می‌کردند</w:t>
      </w:r>
      <w:r>
        <w:rPr>
          <w:rFonts w:eastAsia="IRNazanin" w:cs="IRNazanin"/>
          <w:color w:val="111111"/>
          <w:sz w:val="28"/>
          <w:szCs w:val="28"/>
          <w:rtl w:val="true"/>
          <w:lang w:bidi="fa-IR"/>
        </w:rPr>
        <w:t>.</w:t>
      </w:r>
    </w:p>
    <w:p>
      <w:pPr>
        <w:pStyle w:val="Heading4"/>
        <w:numPr>
          <w:ilvl w:val="3"/>
          <w:numId w:val="1"/>
        </w:numPr>
        <w:rPr/>
      </w:pPr>
      <w:bookmarkStart w:id="205" w:name="__RefHeading___Toc2150853_1051229030"/>
      <w:bookmarkStart w:id="206" w:name="_Toc74"/>
      <w:bookmarkEnd w:id="205"/>
      <w:r>
        <w:rPr>
          <w:rtl w:val="true"/>
        </w:rPr>
        <w:t>مرسل و مسند</w:t>
      </w:r>
      <w:bookmarkEnd w:id="206"/>
    </w:p>
    <w:p>
      <w:pPr>
        <w:pStyle w:val="BookText"/>
        <w:rPr/>
      </w:pPr>
      <w:r>
        <w:rPr>
          <w:rFonts w:ascii="IRNazanin" w:hAnsi="IRNazanin" w:eastAsia="IRNazanin"/>
          <w:color w:val="111111"/>
          <w:sz w:val="28"/>
          <w:sz w:val="28"/>
          <w:szCs w:val="28"/>
          <w:rtl w:val="true"/>
          <w:lang w:bidi="fa-IR"/>
        </w:rPr>
        <w:t xml:space="preserve">هر گاه راوی حدیثی را بازگو کند که زنجیره واسطه‌ها پیوسته باشد، آن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نباشد، چه بعمد و چه به سهو نگفته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Heading4"/>
        <w:numPr>
          <w:ilvl w:val="3"/>
          <w:numId w:val="1"/>
        </w:numPr>
        <w:rPr/>
      </w:pPr>
      <w:bookmarkStart w:id="207" w:name="__RefHeading___Toc2150855_1051229030"/>
      <w:bookmarkStart w:id="208" w:name="_Toc75"/>
      <w:bookmarkEnd w:id="207"/>
      <w:r>
        <w:rPr>
          <w:rtl w:val="true"/>
        </w:rPr>
        <w:t>انواع خبر واحد</w:t>
      </w:r>
      <w:bookmarkEnd w:id="208"/>
    </w:p>
    <w:p>
      <w:pPr>
        <w:pStyle w:val="BookText"/>
        <w:rPr/>
      </w:pPr>
      <w:r>
        <w:rPr>
          <w:rFonts w:ascii="IRNazanin" w:hAnsi="IRNazanin" w:eastAsia="IRNazanin"/>
          <w:color w:val="111111"/>
          <w:sz w:val="28"/>
          <w:sz w:val="28"/>
          <w:szCs w:val="28"/>
          <w:rtl w:val="true"/>
          <w:lang w:bidi="fa-IR"/>
        </w:rPr>
        <w:t>خبر واحد بر چهار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موثق، ضعیف صحیح آنست که راویان آن همه دوازده امامی و عادل و جامع شرایط بازگویی حدیث باشند و سند آن پیوسته به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حسن آنست که راویان همه دوازده امامی و ممدوح باشند لکن در عدالت همه یا برخی از آنان شک باشد این گونه حدیث را در صورتی که قرینه‌ای آن را تایید کند می‌پذیرند و به آن عمل می‌کنند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موثق آنست که سلسله و زنجیره سند پیوسته به امام باشد و در میان آنان یک یا چند نفر غیر دوازده امامی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کلیه راویان متصف به صفت و ثاقت باشند، خبر ضعیف آنست که در زنجیره سند اشخاص ناشناس و یا اشخاصی که مورد ایرادند باشند؛ بطور کلی آنچه واجد </w:t>
      </w:r>
      <w:bookmarkStart w:id="209" w:name="pg7474_109325"/>
    </w:p>
    <w:p>
      <w:pPr>
        <w:pStyle w:val="BookText"/>
        <w:rPr/>
      </w:pPr>
      <w:bookmarkEnd w:id="209"/>
      <w:r>
        <w:rPr>
          <w:rFonts w:ascii="IRNazanin" w:hAnsi="IRNazanin" w:eastAsia="IRNazanin"/>
          <w:color w:val="111111"/>
          <w:sz w:val="28"/>
          <w:sz w:val="28"/>
          <w:szCs w:val="28"/>
          <w:rtl w:val="true"/>
          <w:lang w:bidi="fa-IR"/>
        </w:rPr>
        <w:t>شرایط صحیح و حسن و موثق نباشد در شمار ضعیف است</w:t>
      </w:r>
      <w:r>
        <w:rPr>
          <w:rFonts w:eastAsia="IRNazanin" w:cs="IRNazanin"/>
          <w:color w:val="111111"/>
          <w:sz w:val="28"/>
          <w:szCs w:val="28"/>
          <w:rtl w:val="true"/>
          <w:lang w:bidi="fa-IR"/>
        </w:rPr>
        <w:t>.</w:t>
      </w:r>
    </w:p>
    <w:p>
      <w:pPr>
        <w:pStyle w:val="Heading4"/>
        <w:numPr>
          <w:ilvl w:val="3"/>
          <w:numId w:val="1"/>
        </w:numPr>
        <w:rPr/>
      </w:pPr>
      <w:bookmarkStart w:id="210" w:name="__RefHeading___Toc2150857_1051229030"/>
      <w:bookmarkStart w:id="211" w:name="_Toc76"/>
      <w:bookmarkEnd w:id="210"/>
      <w:r>
        <w:rPr>
          <w:rtl w:val="true"/>
        </w:rPr>
        <w:t>تقسیمی دیگر از سنت</w:t>
      </w:r>
      <w:bookmarkEnd w:id="211"/>
    </w:p>
    <w:p>
      <w:pPr>
        <w:pStyle w:val="BookText"/>
        <w:rPr/>
      </w:pPr>
      <w:r>
        <w:rPr>
          <w:rFonts w:ascii="IRNazanin" w:hAnsi="IRNazanin" w:eastAsia="IRNazanin"/>
          <w:color w:val="111111"/>
          <w:sz w:val="28"/>
          <w:sz w:val="28"/>
          <w:szCs w:val="28"/>
          <w:rtl w:val="true"/>
          <w:lang w:bidi="fa-IR"/>
        </w:rPr>
        <w:t xml:space="preserve">در قرآن درباره اعتبار و اهمیت سنت آیه‌هایی آمده از جمله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در رفتار و گفتار پیامبر سرمشقی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حدود پیروی از سنت لازم است یادآور شویم که سنت از دیدگاهی دیگر نیز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سنتی که ثابت و لایتغیر است و مفاد آن مخصوص به زمان و مکان ویژه‌ای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سنتهای مربوط به نماز و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سنتی که پیرو مقتضیات زمان و مکان است و تحت تاثیر عامل و عرف و عادت در می‌آید مانند آداب و رسوم لباس پوشیدن و نحوه آرایش سر و صورت که امروز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خضاب به سرخی و زردی است، و این اگر غازیان کنند تا کافران بر ایشان دلیر نشوند و به چشم ضعیفی و پیری بدیشان ننگرند، این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غرض، بعضی از علما نیز به سیاهی خضاب کرده‌اند، اما اگر این غرض نباشد هم تلبیس بود و روا نباشد</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خضاب و رنگ موی ریش برای تضعیف روحیه دشمن بوده و چون موضوع از میان برود، حکم نیز رفتنی است</w:t>
      </w:r>
      <w:r>
        <w:rPr>
          <w:rFonts w:eastAsia="IRNazanin" w:cs="IRNazanin"/>
          <w:color w:val="111111"/>
          <w:sz w:val="28"/>
          <w:szCs w:val="28"/>
          <w:rtl w:val="true"/>
          <w:lang w:bidi="fa-IR"/>
        </w:rPr>
        <w:t>.</w:t>
      </w:r>
    </w:p>
    <w:p>
      <w:pPr>
        <w:pStyle w:val="Heading4"/>
        <w:numPr>
          <w:ilvl w:val="3"/>
          <w:numId w:val="1"/>
        </w:numPr>
        <w:rPr/>
      </w:pPr>
      <w:bookmarkStart w:id="212" w:name="__RefHeading___Toc2150859_1051229030"/>
      <w:bookmarkStart w:id="213" w:name="_Toc77"/>
      <w:bookmarkEnd w:id="212"/>
      <w:r>
        <w:rPr>
          <w:rtl w:val="true"/>
        </w:rPr>
        <w:t>تخصیص قرآن به حدیث</w:t>
      </w:r>
      <w:bookmarkEnd w:id="213"/>
    </w:p>
    <w:p>
      <w:pPr>
        <w:pStyle w:val="BookText"/>
        <w:rPr/>
      </w:pPr>
      <w:r>
        <w:rPr>
          <w:rFonts w:ascii="IRNazanin" w:hAnsi="IRNazanin" w:eastAsia="IRNazanin"/>
          <w:color w:val="111111"/>
          <w:sz w:val="28"/>
          <w:sz w:val="28"/>
          <w:szCs w:val="28"/>
          <w:rtl w:val="true"/>
          <w:lang w:bidi="fa-IR"/>
        </w:rPr>
        <w:t>قرآن متنی عام است، فقیهان حدیث را مخصص قرآن قرار داده‌اند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 نبردن زوجه از عرصه، مدلول حدیث است که مخصص آیه‌های راجع به ارث زوجه در فقه امامیه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ارث در فقه امامیه مطابق قرآن است، اما در فقه اهل تسنن یک حدیث را مخصص قرآن دانسته‌اند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 دو نمونه، فنی و دراز است و از حوصله کتاب ما بیرون، بنابراین گفتار دراز مختصر باید کرد</w:t>
      </w:r>
      <w:r>
        <w:rPr>
          <w:rFonts w:eastAsia="IRNazanin" w:cs="IRNazanin"/>
          <w:color w:val="111111"/>
          <w:sz w:val="28"/>
          <w:szCs w:val="28"/>
          <w:rtl w:val="true"/>
          <w:lang w:bidi="fa-IR"/>
        </w:rPr>
        <w:t xml:space="preserve">. </w:t>
      </w:r>
      <w:bookmarkStart w:id="214" w:name="pg7474_109326"/>
    </w:p>
    <w:p>
      <w:pPr>
        <w:pStyle w:val="Heading3"/>
        <w:numPr>
          <w:ilvl w:val="2"/>
          <w:numId w:val="1"/>
        </w:numPr>
        <w:rPr/>
      </w:pPr>
      <w:bookmarkStart w:id="215" w:name="__RefHeading___Toc2150861_1051229030"/>
      <w:bookmarkStart w:id="216" w:name="_Toc78"/>
      <w:bookmarkEnd w:id="214"/>
      <w:bookmarkEnd w:id="215"/>
      <w:r>
        <w:rPr>
          <w:rtl w:val="true"/>
        </w:rPr>
        <w:t>گفتار سوم</w:t>
      </w:r>
      <w:r>
        <w:rPr>
          <w:rtl w:val="true"/>
        </w:rPr>
        <w:t>:</w:t>
      </w:r>
      <w:r>
        <w:rPr>
          <w:rtl w:val="true"/>
        </w:rPr>
        <w:t>اجماع</w:t>
      </w:r>
      <w:bookmarkEnd w:id="216"/>
    </w:p>
    <w:p>
      <w:pPr>
        <w:pStyle w:val="Heading4"/>
        <w:numPr>
          <w:ilvl w:val="3"/>
          <w:numId w:val="1"/>
        </w:numPr>
        <w:rPr/>
      </w:pPr>
      <w:bookmarkStart w:id="217" w:name="__RefHeading___Toc2150863_1051229030"/>
      <w:bookmarkStart w:id="218" w:name="_Toc79"/>
      <w:bookmarkEnd w:id="217"/>
      <w:r>
        <w:rPr>
          <w:rtl w:val="true"/>
        </w:rPr>
        <w:t>الف</w:t>
      </w:r>
      <w:r>
        <w:rPr>
          <w:rtl w:val="true"/>
        </w:rPr>
        <w:t xml:space="preserve">: </w:t>
      </w:r>
      <w:r>
        <w:rPr>
          <w:rtl w:val="true"/>
        </w:rPr>
        <w:t>اصل شورا یا اجماع در حوزه حقوق عمومی</w:t>
      </w:r>
      <w:bookmarkEnd w:id="218"/>
    </w:p>
    <w:p>
      <w:pPr>
        <w:pStyle w:val="BookText"/>
        <w:rPr/>
      </w:pPr>
      <w:r>
        <w:rPr>
          <w:rFonts w:ascii="IRNazanin" w:hAnsi="IRNazanin" w:eastAsia="IRNazanin"/>
          <w:color w:val="111111"/>
          <w:sz w:val="28"/>
          <w:sz w:val="28"/>
          <w:szCs w:val="28"/>
          <w:rtl w:val="true"/>
          <w:lang w:bidi="fa-IR"/>
        </w:rPr>
        <w:t>اصل شورا یکی از مبانی مسلم اصول اسلامی است، قرآن در چند آیه از آن بصراحت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 آیه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ایشان با مشورت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کاری که پیش آید با آنان مشورت کن و هرگاه عزم کردی کار را به خدا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قوم، مرا در این کار پاسخ درست دهید، من هیچ گاه در کاری تصمیم قاطع نمی‌گیرم، مگر آن که شما پیش من بدرستی آن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بر این که حکومت بلقیس بر اساس مشورت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کار و تصمیم خود اختلاف کردند و مطلب خویش را برای مشورت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مجلس سری تشکیل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گرفتن نوزاد را به مشاوره خانواده می‌گذارد که مسأله کوچکی بنظر می‌رسد، تا بطریق اولی شورا در مسائل عظیم اجتماعی جای خود را داشته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نامگذاری یک سوره در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قضیه را صد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 و روایتها نیز توصیه‌های ارزنده و آموزنده‌ای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شاورالرجال شارکهم فی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مشورت ادراک و هشیاری دهد</w:t>
      </w:r>
    </w:p>
    <w:p>
      <w:pPr>
        <w:pStyle w:val="BookText"/>
        <w:rPr/>
      </w:pPr>
      <w:r>
        <w:rPr>
          <w:rFonts w:ascii="IRNazanin" w:hAnsi="IRNazanin" w:eastAsia="IRNazanin"/>
          <w:color w:val="111111"/>
          <w:sz w:val="28"/>
          <w:sz w:val="28"/>
          <w:szCs w:val="28"/>
          <w:rtl w:val="true"/>
          <w:lang w:bidi="fa-IR"/>
        </w:rPr>
        <w:t>عقلها مر عقل را یاری دهد</w:t>
      </w:r>
    </w:p>
    <w:p>
      <w:pPr>
        <w:pStyle w:val="BookText"/>
        <w:rPr/>
      </w:pPr>
      <w:r>
        <w:rPr>
          <w:rFonts w:ascii="IRNazanin" w:hAnsi="IRNazanin" w:eastAsia="IRNazanin"/>
          <w:color w:val="111111"/>
          <w:sz w:val="28"/>
          <w:sz w:val="28"/>
          <w:szCs w:val="28"/>
          <w:rtl w:val="true"/>
          <w:lang w:bidi="fa-IR"/>
        </w:rPr>
        <w:t>گفت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ای رای زن</w:t>
      </w:r>
    </w:p>
    <w:p>
      <w:pPr>
        <w:pStyle w:val="BookText"/>
        <w:rPr/>
      </w:pPr>
      <w:r>
        <w:rPr>
          <w:rFonts w:ascii="IRNazanin" w:hAnsi="IRNazanin" w:eastAsia="IRNazanin"/>
          <w:color w:val="111111"/>
          <w:sz w:val="28"/>
          <w:sz w:val="28"/>
          <w:szCs w:val="28"/>
          <w:rtl w:val="true"/>
          <w:lang w:bidi="fa-IR"/>
        </w:rPr>
        <w:t>مشورت، کالمستشار مؤتمن</w:t>
      </w:r>
    </w:p>
    <w:p>
      <w:pPr>
        <w:pStyle w:val="BookText"/>
        <w:rPr/>
      </w:pPr>
      <w:r>
        <w:rPr>
          <w:rFonts w:ascii="IRNazanin" w:hAnsi="IRNazanin" w:eastAsia="IRNazanin"/>
          <w:color w:val="111111"/>
          <w:sz w:val="28"/>
          <w:sz w:val="28"/>
          <w:szCs w:val="28"/>
          <w:rtl w:val="true"/>
          <w:lang w:bidi="fa-IR"/>
        </w:rPr>
        <w:t xml:space="preserve">شورا در حکومت و امور همگانی در تاریخ نیز شواهد بسیار دارد، پیامبر روز پیش از آغاز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مشاوره نظامی تشکیل داد، دو نظر ابراز شد، اکثریت بر آن بودند که از مدینه برای رویارویی با دشمن بیرون شوند، اقلیت بر آن بودند که شهر را سنگر قرار دهند و منتظر حمله دشمن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مدینه بمانند زیرا در آن صورت مردم، هم برای عقیده خواهند جنگید و هم برای حفظ ناموس و خانواده و شهر و ثروت خویش و هم اگر جنگ شدت یابد، زنان و کودکان نیز از میان خانه‌ها و فراز بامها به جنگ خواهند برخاست، لکن چاره نبود، رأی گرفته بودند و پیامبر در اقلیت بود، بنابراین به حکم اکثریت تن داد، هر چند نتیجه جنگ نظر پیامبر را تایید کرد زیرا مسلمانان شکست خوردند و بازگشتند، لکن پیامبر به احترام رأی اکثریت هرگز آنان را سرزنش نفرمود، بلکه باز هم امر به مشورت کرد و چنین است شورای جنگی غزوه بدر و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درتاریخ به این جمله پیامبر بسیار برخورد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اشیروا علی اصحابی</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اصحابم مشورت کنید، و این بیانگر آنست که شورا از ضروریات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در میان مردم که شمار آنان تا پنجاه هزار نفر گزارش شده، ایراد کرد و در پایان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تکفوا عن مقالة بحق او مشورة بعدل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حق یا مشورت به عدل هیچ گاه خودداری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اخذ آرای عمومی یا به اصطلاح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 و اقلیتی را که باو رأی ندادند، آزاد گذاشت</w:t>
      </w:r>
      <w:r>
        <w:rPr>
          <w:rStyle w:val="FootnoteAnchor"/>
          <w:rtl w:val="true"/>
        </w:rPr>
        <w:footnoteReference w:id="130"/>
      </w:r>
      <w:r>
        <w:rPr>
          <w:rFonts w:ascii="IRNazanin" w:hAnsi="IRNazanin" w:eastAsia="IRNazanin"/>
          <w:color w:val="111111"/>
          <w:sz w:val="28"/>
          <w:sz w:val="28"/>
          <w:szCs w:val="28"/>
          <w:rtl w:val="true"/>
          <w:lang w:bidi="fa-IR"/>
        </w:rPr>
        <w:t xml:space="preserve">، مخالفت علی با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خلافت را طبق وصیت پیامبر در غدیر و جاهای دیگر حق خود می‌دانست</w:t>
      </w:r>
      <w:r>
        <w:rPr>
          <w:rStyle w:val="FootnoteAnchor"/>
          <w:rtl w:val="true"/>
        </w:rPr>
        <w:footnoteReference w:id="131"/>
      </w:r>
      <w:r>
        <w:rPr>
          <w:rFonts w:ascii="IRNazanin" w:hAnsi="IRNazanin" w:eastAsia="IRNazanin"/>
          <w:color w:val="111111"/>
          <w:sz w:val="28"/>
          <w:sz w:val="28"/>
          <w:szCs w:val="28"/>
          <w:rtl w:val="true"/>
          <w:lang w:bidi="fa-IR"/>
        </w:rPr>
        <w:t xml:space="preserve">، باین دلیل هم بود که او با شکل انتخابات در سقیفه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نیز مخالف بود و آن را با اسلام ناسازگار می‌دید، و الا آن حضرت با اصل شورا در امور عمومی موافق بود و شرکت در انتخابات بعدی که به زمامداری وی منتهی شد، دلیل صحه گذاشتن آن حضرت به این اصل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دلیل این ادعا بیعت حضرت با ابوبکر بود، هر چند پس از شش ماه آنهم با اکراه، ولی به هر صورت به اصطلاح امروز در انتخابات خلیفه شرکت فرمود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بعلاوه حضرت با این که بارها در خطبه‌های نهج البلاغه بصراحت یا بکنایت، به حق خود در زمامداری بر اساس وصیت پیامبر و منصوب شدن از جانب او اشاره می‌کند، مع ذلک در زمان زمامداری خود در نامه‌ای که به معاویه می‌نویسد،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می‌فرماید در بخشی از نامه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ابوبکر و عمر و عثمان بیعت کردند با من نیز بیعت کردند، و به سویم روی آوردند، بنابراین سزاوار نیست آنان که حضور داشتند حرف خود را زیر پا بگذارند و آنان که نبودند آن را نپذیرند، و مشورت درباره خلافت، حق مهاجران و انصار است که هر گاه اتفاق و اجماع کنند بر این که کسی را به پیشوایی برگزینند همانا خشنودی خدا نیز در آن خواهد بود، اما اگر شخصی از تصمیم آنان سرپیچی کند و بنای عیبجویی و تهمت بگذارد، وادارش می‌سازند که دوباره به راهی که از آن خارج شده است برگردد، پس اگر گستاخی ورزد و رام نشود، با او به پیکار می‌پردازند زیرا براه راستی که مؤمنان می‌روند نمی‌رود</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عقیده دارند،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به این دلیل به معاویه نوشت تا استدلال بنحوی کند که مورد قبول عقاید طرف باشد نه آن که در واقع عقیده شخصی حضرت این بوده که در نامه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تاریخ 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 چهل هزار نفر با او بیعت کردند و او را به خلافت برگزیدند، تا دست به کار قیام زد، یا در واقعه غم انگیز کربلا نیز ابتدا با ارسال نامه‌ها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فرستاده‌اش مسلم بن عقیل، در آغاز ورود به کوفه بیعت کردند تا حضرت دست به قیام زد و زیارت خانه خدا را رها کرد و عازم حرکت به کوفه شد، هر چند امامت آن حضرت نه بر پایه این نامه‌ها بلکه امری الهی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واپسین حج در غدیر خم به جانشینی تعیین فرمود و مستند جانشینی علی حدیث معتبر غدیر و احادیث دیگر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همین باره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این فرمان را که از سوی خدایت آمده، به مردم </w:t>
      </w:r>
      <w:bookmarkStart w:id="219" w:name="pg7474_109329"/>
    </w:p>
    <w:p>
      <w:pPr>
        <w:pStyle w:val="BookText"/>
        <w:rPr/>
      </w:pPr>
      <w:bookmarkEnd w:id="219"/>
      <w:r>
        <w:rPr>
          <w:rFonts w:ascii="IRNazanin" w:hAnsi="IRNazanin" w:eastAsia="IRNazanin"/>
          <w:color w:val="111111"/>
          <w:sz w:val="28"/>
          <w:sz w:val="28"/>
          <w:szCs w:val="28"/>
          <w:rtl w:val="true"/>
          <w:lang w:bidi="fa-IR"/>
        </w:rPr>
        <w:t>برسان که اگر نرسانی در واقع رسالت خویش را به انجام نرسانده‌ای</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انجام مراسم غدیر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برای شما دین را کامل و نعمت خویش بر شما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اهمیت و عظمت موضوع را می‌رساند که بجز زمامداری به امر دیگری نمی‌توان آن را تاویل کرد زیرا نحوه انشای آیه و شأن نزول همگی دلالت بر جانشینی الهی آن حضرت دارد و موارد بسیار که حضرت مولا در نهج البلاغه آن چنان سخن می‌گوید که جز به مسأله حق مسلم خلافت و امامت به مطلب دیگری نمی‌توان آن را توجیه کرد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2150865_1051229030"/>
      <w:bookmarkStart w:id="221" w:name="_Toc80"/>
      <w:bookmarkEnd w:id="220"/>
      <w:r>
        <w:rPr>
          <w:rtl w:val="true"/>
        </w:rPr>
        <w:t>ب</w:t>
      </w:r>
      <w:r>
        <w:rPr>
          <w:rtl w:val="true"/>
        </w:rPr>
        <w:t xml:space="preserve">: </w:t>
      </w:r>
      <w:r>
        <w:rPr>
          <w:rtl w:val="true"/>
        </w:rPr>
        <w:t>اجماع در حوزه حقوق خصوصی</w:t>
      </w:r>
      <w:bookmarkEnd w:id="221"/>
    </w:p>
    <w:p>
      <w:pPr>
        <w:pStyle w:val="Heading5"/>
        <w:numPr>
          <w:ilvl w:val="4"/>
          <w:numId w:val="1"/>
        </w:numPr>
        <w:rPr/>
      </w:pPr>
      <w:bookmarkStart w:id="222" w:name="__RefHeading___Toc2150867_1051229030"/>
      <w:bookmarkStart w:id="223" w:name="_Toc81"/>
      <w:bookmarkEnd w:id="222"/>
      <w:r>
        <w:rPr/>
        <w:t>1</w:t>
      </w:r>
      <w:r>
        <w:rPr>
          <w:rtl w:val="true"/>
        </w:rPr>
        <w:t xml:space="preserve"> - </w:t>
      </w:r>
      <w:r>
        <w:rPr>
          <w:rtl w:val="true"/>
        </w:rPr>
        <w:t>نظر اهل سنت</w:t>
      </w:r>
      <w:bookmarkEnd w:id="223"/>
    </w:p>
    <w:p>
      <w:pPr>
        <w:pStyle w:val="BookText"/>
        <w:rPr/>
      </w:pPr>
      <w:r>
        <w:rPr>
          <w:rFonts w:ascii="IRNazanin" w:hAnsi="IRNazanin" w:eastAsia="IRNazanin"/>
          <w:color w:val="111111"/>
          <w:sz w:val="28"/>
          <w:sz w:val="28"/>
          <w:szCs w:val="28"/>
          <w:rtl w:val="true"/>
          <w:lang w:bidi="fa-IR"/>
        </w:rPr>
        <w:t>واژه اجماع به معنی توافق و اتحاد است پس هر گاه فقیهان در مسأله خاصی وحدت کلمه داشتند آن را اجماع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عامه، اجماع اهل حل و عقد یعنی فقیهان را بر امری از امور دینی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عبارت است از این که اهل حل و عقد از امت اسلام بر امری از امور اتفاق کنند</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حامد غزالی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عبارت است از این که این امت بر امری از امور دینی اتفاق کنند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غزالی 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مبنی باشد بر اجماع، درکش از دشوارترین چیزهاست چون شرط آن این است که اهل حلّ و عقد در زمینه‌یی واحد گرد آیند و بر امری واحد با لفظ صریح اتفاق حاصل کنند و این اتفاق به عقیده بعضی فقط یک بار و در نزد بعضی دیگر تا پایان عصر مستمر باشد، یا آن که امام با اهل حلّ و عقد که در تمام اقطار زمین پراکنده‌اند مکاتبه کند و در زمانی واحد فتواهاشان را دریافت دارد چنانکه اقوال آنها به طور صریح اتفاق داشته باشد و حتی رجوع از آن و خلاف در آن امتناع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اینجا باز نظر هست که آیا هر کس از آن پس به مخالفت با آن برخیزد کافر می‌شود یا نه ؟ چون بعضی مردم می‌گویند وقتی در یک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حل و عقد</w:t>
      </w:r>
      <w:r>
        <w:rPr>
          <w:rFonts w:eastAsia="IRNazanin" w:cs="IRNazanin"/>
          <w:color w:val="111111"/>
          <w:sz w:val="28"/>
          <w:szCs w:val="28"/>
          <w:rtl w:val="true"/>
          <w:lang w:bidi="fa-IR"/>
        </w:rPr>
        <w:t xml:space="preserve">) </w:t>
      </w:r>
      <w:bookmarkStart w:id="224" w:name="pg7474_109330"/>
    </w:p>
    <w:p>
      <w:pPr>
        <w:pStyle w:val="BookText"/>
        <w:rPr/>
      </w:pPr>
      <w:bookmarkEnd w:id="224"/>
      <w:r>
        <w:rPr>
          <w:rFonts w:ascii="IRNazanin" w:hAnsi="IRNazanin" w:eastAsia="IRNazanin"/>
          <w:color w:val="111111"/>
          <w:sz w:val="28"/>
          <w:sz w:val="28"/>
          <w:szCs w:val="28"/>
          <w:rtl w:val="true"/>
          <w:lang w:bidi="fa-IR"/>
        </w:rPr>
        <w:t>جایز هست که اختلاف داشته باشند توافق آنها را می‌توان بر اتفاق حمل کرد و البته برای هیچ یک از آنها ممتنع نیست که بعد از اتفاق ، از آن باز گردد و این نیز مسأله‌یی است 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خلدون در تعریف اجماع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عبارت از اتفاق و همرأیی بر امری دینی از روی اجتهاد است</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آمدی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عبارت است از اتفاق حقوقدانان اسلام در هر عصر بر واقعه‌ای از وقایع حقوقی یا غیر حقوقی</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سنیان اجماع را یکی از منابع حقوق می‌شناسند و پژوهندگان از عامه و خاصه به اعتبار آن اقرار و اعتراف کرده‌اند، لکن راه هر یک با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سنیان به اعتبار اجماع بخودی خود عقیده دارند، در حالی که شیعیان اعتبار آن را به دلیل کاشف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 و بخودی خود برایش ارزشی نمی‌گذارند</w:t>
      </w:r>
      <w:r>
        <w:rPr>
          <w:rFonts w:eastAsia="IRNazanin" w:cs="IRNazanin"/>
          <w:color w:val="111111"/>
          <w:sz w:val="28"/>
          <w:szCs w:val="28"/>
          <w:rtl w:val="true"/>
          <w:lang w:bidi="fa-IR"/>
        </w:rPr>
        <w:t>.</w:t>
      </w:r>
    </w:p>
    <w:p>
      <w:pPr>
        <w:pStyle w:val="Heading5"/>
        <w:numPr>
          <w:ilvl w:val="4"/>
          <w:numId w:val="1"/>
        </w:numPr>
        <w:rPr/>
      </w:pPr>
      <w:bookmarkStart w:id="225" w:name="__RefHeading___Toc2150869_1051229030"/>
      <w:bookmarkStart w:id="226" w:name="_Toc82"/>
      <w:bookmarkEnd w:id="225"/>
      <w:r>
        <w:rPr/>
        <w:t>2</w:t>
      </w:r>
      <w:r>
        <w:rPr>
          <w:rtl w:val="true"/>
        </w:rPr>
        <w:t xml:space="preserve"> - </w:t>
      </w:r>
      <w:r>
        <w:rPr>
          <w:rtl w:val="true"/>
        </w:rPr>
        <w:t>نظر امامیه</w:t>
      </w:r>
      <w:bookmarkEnd w:id="226"/>
    </w:p>
    <w:p>
      <w:pPr>
        <w:pStyle w:val="Heading6"/>
        <w:numPr>
          <w:ilvl w:val="5"/>
          <w:numId w:val="1"/>
        </w:numPr>
        <w:rPr/>
      </w:pPr>
      <w:bookmarkStart w:id="227" w:name="__RefHeading___Toc2150871_1051229030"/>
      <w:bookmarkStart w:id="228" w:name="_Toc83"/>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امامیه از اجماع تعریفهای گوناگون کرده‌اند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عبارت است از اتفاق گروهی از امت بگونه‌ای که کاشف از رأی معصوم باشد و یا گفتار معصوم را در بر داشته باشد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عبارت است از اتفاق قاطبه فقیهان امامیه در مسأله‌ای از مسائل دینی</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تعریف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اتفاق باید کامل باشد یعنی نظر همه فقیهان بر یک مسأله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اتفاق از سوی فقیهان امامیه باشد پس اتفاق دیگر فرقه‌ها 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اتفاق رأی در امری برای قرنهای بعد نیز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مسأله باید دینی و فقهی باشد بنابراین اتفاق در یک مسأله ادبی یا فلسفی مشمول آن نیست</w:t>
      </w:r>
      <w:r>
        <w:rPr>
          <w:rFonts w:eastAsia="IRNazanin" w:cs="IRNazanin"/>
          <w:color w:val="111111"/>
          <w:sz w:val="28"/>
          <w:szCs w:val="28"/>
          <w:rtl w:val="true"/>
          <w:lang w:bidi="fa-IR"/>
        </w:rPr>
        <w:t>.</w:t>
      </w:r>
    </w:p>
    <w:p>
      <w:pPr>
        <w:pStyle w:val="Heading6"/>
        <w:numPr>
          <w:ilvl w:val="5"/>
          <w:numId w:val="1"/>
        </w:numPr>
        <w:rPr/>
      </w:pPr>
      <w:bookmarkStart w:id="229" w:name="__RefHeading___Toc2150873_1051229030"/>
      <w:bookmarkStart w:id="230" w:name="_Toc84"/>
      <w:bookmarkEnd w:id="229"/>
      <w:r>
        <w:rPr>
          <w:rtl w:val="true"/>
        </w:rPr>
        <w:t>معصوم کیست ؟</w:t>
      </w:r>
      <w:bookmarkEnd w:id="230"/>
    </w:p>
    <w:p>
      <w:pPr>
        <w:pStyle w:val="BookText"/>
        <w:rPr/>
      </w:pPr>
      <w:r>
        <w:rPr>
          <w:rFonts w:ascii="IRNazanin" w:hAnsi="IRNazanin" w:eastAsia="IRNazanin"/>
          <w:color w:val="111111"/>
          <w:sz w:val="28"/>
          <w:sz w:val="28"/>
          <w:szCs w:val="28"/>
          <w:rtl w:val="true"/>
          <w:lang w:bidi="fa-IR"/>
        </w:rPr>
        <w:t>گفته شد، امامیه اجماع را به اعتبار کاشف بودن آن از رأی معصوم معتبر می‌دانند، پس بهتر است، معصوم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اصل عصمت پیامبران و امامان عقیده دارد، آنان را معصوم از هر گناه و خطا و نفوذ ناپذیر در برابر وسوسه‌های شیطانی و خواهشهای نفس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می‌گوید به پیامبر وحی می‌شود در حالی که امام احکام را از راه الهام و با تایید خدا دریافت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احکامی که در زمان پیامبر سخنی از آن به میان نیامده و امام بیان فرموده است، امام </w:t>
      </w:r>
      <w:bookmarkStart w:id="231" w:name="pg7474_109331"/>
    </w:p>
    <w:p>
      <w:pPr>
        <w:pStyle w:val="BookText"/>
        <w:rPr/>
      </w:pPr>
      <w:bookmarkEnd w:id="231"/>
      <w:r>
        <w:rPr>
          <w:rFonts w:ascii="IRNazanin" w:hAnsi="IRNazanin" w:eastAsia="IRNazanin"/>
          <w:color w:val="111111"/>
          <w:sz w:val="28"/>
          <w:sz w:val="28"/>
          <w:szCs w:val="28"/>
          <w:rtl w:val="true"/>
          <w:lang w:bidi="fa-IR"/>
        </w:rPr>
        <w:t xml:space="preserve">باید به همه احکام اجتماعی و حقایق مربوط به مبدأ و معاد عالم باشد و شیعه دلیل عصمت را از جمله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ابراهیم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پیشوای مردم قرار دادم،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من هم پیشوای مردم خواهند شد؟ خدا در برابر خواسته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من به‌ستمکاران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دودمان تو پاک و معصوم‌باشند پیشوا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اهل تسنن می‌گویند به مفاد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رسالت خویش را انجام داده و تکلیف مسلمانان را قرآن مقرر فرموده پس نقصی در شریعت نیست تا نیازی به جانشین و امام باشد که ملهم از جانب خدا و دارای عصمت پیامبر خدا باشد، بلکه کافی است شخصی که بر مسند ریاست مسلمانان قرار می‌گیرد در اجرای احکام خدا کوشا باشد و از سنت پیامبر پیروی کند و بنابراین به عصمت پیامبران عقیده دارند و امامت را در اساس نمی‌پذیرند و حتی برای خلفای راشدین نیز عصمت را شرط نمی‌دانند، ما دلائل امامیه را با عنایت به قرآن و حدیث پیش از این گفته‌ایم و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پیامبران فقط در زمان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یا پیش از آن هم معصوم بوده‌اند؟ هر دو نظر هوادارانی دارد لکن سنیان فقط عصمت را پس از بعثت می‌پذیرند و قبل از آن معاصی صغیره را بر آنان جایز می‌دانند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امامیه می‌گویند که باید عصمت از زمان ولادت تا پایان عمر پیامبر برقرار باشد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2150875_1051229030"/>
      <w:bookmarkStart w:id="233" w:name="_Toc85"/>
      <w:bookmarkEnd w:id="232"/>
      <w:r>
        <w:rPr>
          <w:rtl w:val="true"/>
        </w:rPr>
        <w:t>حجیت اجماع نزد امامیه</w:t>
      </w:r>
      <w:r>
        <w:rPr>
          <w:rtl w:val="true"/>
        </w:rPr>
        <w:t>:</w:t>
      </w:r>
      <w:bookmarkEnd w:id="233"/>
    </w:p>
    <w:p>
      <w:pPr>
        <w:pStyle w:val="BookText"/>
        <w:rPr/>
      </w:pPr>
      <w:r>
        <w:rPr>
          <w:rFonts w:ascii="IRNazanin" w:hAnsi="IRNazanin" w:eastAsia="IRNazanin"/>
          <w:color w:val="111111"/>
          <w:sz w:val="28"/>
          <w:sz w:val="28"/>
          <w:szCs w:val="28"/>
          <w:rtl w:val="true"/>
          <w:lang w:bidi="fa-IR"/>
        </w:rPr>
        <w:t xml:space="preserve">شیعه می‌گوید ، همان گونه که رأی یک نفر به تنهایی اعتبار ندارد و حجت نیست، رأی گروهی که بر پایه این آرا تشکیل یافته نیز فاقد اعتبار است، بخصوص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فقیهان با یکدیگر شرط تحقق و صحت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اجماع حجت است لکن به شرط این که در بر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اگر صدها فقیه در امری اجماع کنند، و آن اتفاق از گفتار معصوم خالی باشد معتبر نخواهد بود و حجت نیست لکن اگر دو نفر به همان امر فتوای مخالفی بدهند که یکی از آنها معصوم باشد در این صورت قول آن دو حجت است لکن نه باعتبار اجماع بلکه فقط به اعتبار قول معصوم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را عقیده بر آن است که اعتبار اجماع میان امامیه به وجهی که گفته شد، از آن جا برخاسته </w:t>
      </w:r>
    </w:p>
    <w:p>
      <w:pPr>
        <w:pStyle w:val="BookText"/>
        <w:rPr/>
      </w:pPr>
      <w:r>
        <w:rPr>
          <w:rFonts w:ascii="IRNazanin" w:hAnsi="IRNazanin" w:eastAsia="IRNazanin"/>
          <w:color w:val="111111"/>
          <w:sz w:val="28"/>
          <w:sz w:val="28"/>
          <w:szCs w:val="28"/>
          <w:rtl w:val="true"/>
          <w:lang w:bidi="fa-IR"/>
        </w:rPr>
        <w:t>که چون اجماع در نظر اهل تسنن، اتفاق اکثریت اصحاب بر خلافت ابوبکر بود، فقیهان امامیه به صراحت آن را انکار نکردند و آن را جزء منابع حقوق به شمار آوردند لکن بشرطی که کاشف از رأی معصوم باشد و معلوم است با این بیان خواستند بی‌پایی و بی‌اساسی آن را آشکار کنند، زیرا گفتار کودکی نابالغ هم اگر کاشف از رأی معصوم باشد معتبر است و لزومی به اجماع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فرض که اعتبار اجماع را بپذیریم باز هم مشکلهای دیگر در سر راه ما عرض وجود می‌کند و آن این‌که آیا اجماع می‌تواند تحقق یابد و جامه عمل به خود بپوشد و از قوه به فعل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بلحاظ ابتدایی بودن وسائل ارتباطی در قرنهای گذشته، تحصیل چنین اطلاعی را از آرای فقیهان غیرممکن می‌دانیم، و در زمان حاضر نیز بواسطه تعداد بسیار فقیهان که در اطراف پراکنده‌اند به دست آوردن آرای آنان را در عمل غیرممکن می‌یابیم، آمارگیری برای به دست آوردن آرای آنان تاکنون در تاریخ سابقه نداشته است، در گذشته در عمل اجماع را از مطالعه کتابهای فقهی به دست می‌آوردند، آن هم کتابهایی که در دسترس بوده‌است، و همین اندازه که در ده یا بیست جلد کتاب نظری و فتوایی می‌دیدند که اتفاق رأی در آن دیده می‌شد، بی‌درنگ ادعای اجماع درباره آن می‌کردند، و حال آن‌که بسیاری از فقیهان اهل قلم نبوده‌اند و یا اگر کتابی می‌نوشته‌اند به لحاظ نبودن صنعت چاپ، در حوادثی از میان می‌رفته و یا در گوشه کتابخانه شخصی پنهان می‌مانده‌است و کسی از وجود آن آگاه نمی‌شده، پس چگونه تحقق اجماع ممکن بوده‌است؟ از سوی دیگر مشکل دیگری در تحقق اجماع وجود دارد و آن این‌که از چه زمانی تا چه زمانی، عصری که اجماع در آن تحقق می‌یابد آغاز می‌شود و به پایان می‌رسد؟ آیا می‌توان آغاز و انجام آن‌را بطور دقیق تعیین کرد؟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لازم است یادآور شویم که اجماع بنا به تعریفی که از آن شده است، باید مستند و مأخذ فتوا و اظهارنظر معلوم نباشد، پس هرگاه اظهارنظری مستند به قرآن یا حدیث و یا استدلالی عقلی و یا عرف و عادت و جز آن بوده باشد آن را اجماع نمی‌گویند بلکه آن یک اظهارنظر مستند است، بنابراین یکی از شرایط اجماع معلوم نبودن مستند رأی است</w:t>
      </w:r>
      <w:r>
        <w:rPr>
          <w:rFonts w:eastAsia="IRNazanin" w:cs="IRNazanin"/>
          <w:color w:val="111111"/>
          <w:sz w:val="28"/>
          <w:szCs w:val="28"/>
          <w:rtl w:val="true"/>
          <w:lang w:bidi="fa-IR"/>
        </w:rPr>
        <w:t>.</w:t>
      </w:r>
      <w:bookmarkStart w:id="234" w:name="pg7474_109333"/>
    </w:p>
    <w:p>
      <w:pPr>
        <w:pStyle w:val="Heading4"/>
        <w:numPr>
          <w:ilvl w:val="3"/>
          <w:numId w:val="1"/>
        </w:numPr>
        <w:rPr/>
      </w:pPr>
      <w:bookmarkStart w:id="235" w:name="__RefHeading___Toc2150877_1051229030"/>
      <w:bookmarkStart w:id="236" w:name="_Toc86"/>
      <w:bookmarkEnd w:id="234"/>
      <w:bookmarkEnd w:id="235"/>
      <w:r>
        <w:rPr>
          <w:rtl w:val="true"/>
        </w:rPr>
        <w:t>عقاید گوناگون درباره اجماع</w:t>
      </w:r>
      <w:bookmarkEnd w:id="236"/>
    </w:p>
    <w:p>
      <w:pPr>
        <w:pStyle w:val="BookText"/>
        <w:rPr/>
      </w:pPr>
      <w:r>
        <w:rPr>
          <w:rFonts w:ascii="IRNazanin" w:hAnsi="IRNazanin" w:eastAsia="IRNazanin"/>
          <w:color w:val="111111"/>
          <w:sz w:val="28"/>
          <w:sz w:val="28"/>
          <w:szCs w:val="28"/>
          <w:rtl w:val="true"/>
          <w:lang w:bidi="fa-IR"/>
        </w:rPr>
        <w:t>عقاید درباره اجماع به طور خلاصه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تنها اجماع اصحاب پیامبر را معتبر دانسته‌اند، وهابیان از این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اجماع هر عصر را معتبر دانسته‌اند لکن گفته‌اند در همان زمان می‌توانند از آن به طور جزیی یا کلی عدول کنند، اگر آن عصر سپری شد و کسی نظر مخالف نداد دیگر هیچ‌کس حق عدول و برگشت از آن را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در هر مورد که اختلاف نظر دیده نشد آن مورد را باید اجماعی تلقی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قول اکثریت را اجماع پنداشته و اتفاق را شرط ندانسته‌اند، درحالی که به نظر می‌رسد که آنان اصطلاح اجماع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گرفته‌اند، توضیح این‌که شهرت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 به احادیثی گفته می‌شود که راویان آن را در کتب روایت زیاد ذکر کرده باشند و مقصود از این کتب، آن دسته از کتابهایی است که قبل از کتاب کافی تدوین شده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اشتهار عمل و استناد به روایت معینی را گویند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و آن اشتهار فتوا در یک مسأله معین بدون استناد به روایتی را گویند، شهرت از منابع فقه محسوب نمی‌شود یعنی همان‌طور که به آیات قرآن و احادیث و عرف استناد می‌شود نمی‌توان به شهرت فتوایی استناد کرد و مع‌ذلک چون اغلب اقوال مشهور، دارای اساس است، عدول از گفته مشهور نیاز به احاطه بیشتر و دلیل استوارتر دارد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مذهب مالک اجماع اهل مدینه را معتبر دانسته‌اند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فقیهان حنفی، اجماع اهل کوفه را حجت دانسته‌اند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ظاهریان از اهل سنت، از سرسخت‌ترین مخالفان اجماعند، آنان تنها قرآن و سنت را معتبر می‌دانند و می‌گویند حتی پس از رحلت پیامبر اکرم که تعداد اصحاب از سه هزار نفر تجاوز نمی‌کرد، تنها از صد و سی و اندی فتوا در دست است، بنابراین به دست آوردن اجماع اصحاب هم ممکن نیست تا چه رسد به اجماع همه مسلمانان عصرهای دیگر، مع‌ذلک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سردسته‌های این مکتب است کتمان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 ندارد و مدرک آن فقط </w:t>
      </w:r>
      <w:bookmarkStart w:id="237" w:name="pg7474_109334"/>
    </w:p>
    <w:p>
      <w:pPr>
        <w:pStyle w:val="BookText"/>
        <w:rPr/>
      </w:pPr>
      <w:bookmarkEnd w:id="237"/>
      <w:r>
        <w:rPr>
          <w:rFonts w:ascii="IRNazanin" w:hAnsi="IRNazanin" w:eastAsia="IRNazanin"/>
          <w:color w:val="111111"/>
          <w:sz w:val="28"/>
          <w:sz w:val="28"/>
          <w:szCs w:val="28"/>
          <w:rtl w:val="true"/>
          <w:lang w:bidi="fa-IR"/>
        </w:rPr>
        <w:t>اجماع 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پیشوای مذهب حنبلی نیز از مخالفان اجماع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مانند ظاهریان از اهل سنت، بشدت با اجماع مخالفند، آنان می‌گویند اجماع نه اساس عقلی و عرفی دارد و نه اساس تعبدی، آنچه از قرآن و حدیث برای حجیت اجماع نقل کرده‌اند هیچ‌گونه دلالتی بر اثبات آن ندارد و در دیگر نظامهای حقوقی دنیا نیز چیزی به عنوان اجماع دیده نمی‌شود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امامیه قریب باتفاق با اجماع نظر سازگاری ندارند، آن را کاشف از رأی معصوم می‌دانند و تنها بدین علت آن را معتبر می‌شناسند، بنابراین بخصوص در دو قرن اخیر اگر در موردی ادعای اجماع از سوی فقیهان عصرهای قبل شده باشد، اوضاع و احوال خصوص مورد را مورد دقت قرار می‌دهند،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دست آمد به عنوان علم عادی به آن عمل می‌کنند نه به عنوان اجماع</w:t>
      </w:r>
      <w:r>
        <w:rPr>
          <w:rFonts w:eastAsia="IRNazanin" w:cs="IRNazanin"/>
          <w:color w:val="111111"/>
          <w:sz w:val="28"/>
          <w:szCs w:val="28"/>
          <w:rtl w:val="true"/>
          <w:lang w:bidi="fa-IR"/>
        </w:rPr>
        <w:t>.</w:t>
      </w:r>
    </w:p>
    <w:p>
      <w:pPr>
        <w:pStyle w:val="Heading4"/>
        <w:numPr>
          <w:ilvl w:val="3"/>
          <w:numId w:val="1"/>
        </w:numPr>
        <w:rPr/>
      </w:pPr>
      <w:bookmarkStart w:id="238" w:name="__RefHeading___Toc2150879_1051229030"/>
      <w:bookmarkStart w:id="239" w:name="_Toc87"/>
      <w:bookmarkEnd w:id="238"/>
      <w:r>
        <w:rPr>
          <w:rtl w:val="true"/>
        </w:rPr>
        <w:t>چگونه اجماع از رأی معصوم کاشف است؟</w:t>
      </w:r>
      <w:bookmarkEnd w:id="239"/>
    </w:p>
    <w:p>
      <w:pPr>
        <w:pStyle w:val="BookText"/>
        <w:rPr/>
      </w:pPr>
      <w:r>
        <w:rPr>
          <w:rFonts w:ascii="IRNazanin" w:hAnsi="IRNazanin" w:eastAsia="IRNazanin"/>
          <w:color w:val="111111"/>
          <w:sz w:val="28"/>
          <w:sz w:val="28"/>
          <w:szCs w:val="28"/>
          <w:rtl w:val="true"/>
          <w:lang w:bidi="fa-IR"/>
        </w:rPr>
        <w:t>منشأ و مایه علم ناقل اجماع به قول امام معصوم یا فتوای مورد اجماع به طرق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ناقل اجماع به این که امام به صورت ناشناسی در میان اجماع‌کنندگان است و این اجماع دخولی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امام معصوم در میان افراد اجماع‌کننده باستناد قاعده وجوب لطف بر خداوند است چنان‌که گفته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ما یقرب العبد الی الطاعة و یبعده عن‌المعصیة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نظر امام با فتوای مورد اجماع مساعد و موافق نبود لازم بود از باب وجوب لطف بر خداوند که بنحوی از انحا در میان اجماع‌کنندگان ایجاد اختلاف و ناسازگاری بشود و این اجماع لطفی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ناقل اجماع شخصا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فتوای مزبور را از شخص امام معصوم شنیده است، ولی چون عصر غیبت است، و مدعی رؤیت در آن عصر متهم و محکوم به کذب است، به منظور پیشگیری از این اتهام فتوای امام را درقالب اجماع نقل کرده چنان‌که در مورد محقق </w:t>
      </w:r>
      <w:bookmarkStart w:id="240" w:name="pg7474_109335"/>
    </w:p>
    <w:p>
      <w:pPr>
        <w:pStyle w:val="BookText"/>
        <w:rPr/>
      </w:pPr>
      <w:bookmarkEnd w:id="240"/>
      <w:r>
        <w:rPr>
          <w:rFonts w:ascii="IRNazanin" w:hAnsi="IRNazanin" w:eastAsia="IRNazanin"/>
          <w:color w:val="111111"/>
          <w:sz w:val="28"/>
          <w:sz w:val="28"/>
          <w:szCs w:val="28"/>
          <w:rtl w:val="true"/>
          <w:lang w:bidi="fa-IR"/>
        </w:rPr>
        <w:t>اردبیلی و سید بحرالعلوم چنین گفته‌اند و این اجماع را اجماع تشرفی گویند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2150881_1051229030"/>
      <w:bookmarkStart w:id="242" w:name="_Toc88"/>
      <w:bookmarkEnd w:id="241"/>
      <w:r>
        <w:rPr>
          <w:rtl w:val="true"/>
        </w:rPr>
        <w:t>منقول و محصل</w:t>
      </w:r>
      <w:bookmarkEnd w:id="242"/>
    </w:p>
    <w:p>
      <w:pPr>
        <w:pStyle w:val="BookText"/>
        <w:rPr/>
      </w:pPr>
      <w:r>
        <w:rPr>
          <w:rFonts w:ascii="IRNazanin" w:hAnsi="IRNazanin" w:eastAsia="IRNazanin"/>
          <w:color w:val="111111"/>
          <w:sz w:val="28"/>
          <w:sz w:val="28"/>
          <w:szCs w:val="28"/>
          <w:rtl w:val="true"/>
          <w:lang w:bidi="fa-IR"/>
        </w:rPr>
        <w:t>محصل اجماعی است که بی‌واسطه از راه استقرا و بررسی آرای فقیهان به دست آید، و منقول اجماعی است که تحقق آن را فقیه مورد اعتمادی ادعا کرده باشد از این گونه در کتابهای فقه امامیه بسیار آمده که مدرک احکام فرعی نیز قرار گرفته‌است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به تقسیمهای دیگر آمده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و مرکب که چون فایده عملی ندارد از آن صرفنظر می‌شود</w:t>
      </w:r>
      <w:r>
        <w:rPr>
          <w:rFonts w:eastAsia="IRNazanin" w:cs="IRNazanin"/>
          <w:color w:val="111111"/>
          <w:sz w:val="28"/>
          <w:szCs w:val="28"/>
          <w:rtl w:val="true"/>
          <w:lang w:bidi="fa-IR"/>
        </w:rPr>
        <w:t xml:space="preserve">. </w:t>
      </w:r>
      <w:bookmarkStart w:id="243" w:name="pg7474_109336"/>
    </w:p>
    <w:p>
      <w:pPr>
        <w:pStyle w:val="Heading3"/>
        <w:numPr>
          <w:ilvl w:val="2"/>
          <w:numId w:val="1"/>
        </w:numPr>
        <w:rPr/>
      </w:pPr>
      <w:bookmarkStart w:id="244" w:name="__RefHeading___Toc2150883_1051229030"/>
      <w:bookmarkStart w:id="245" w:name="_Toc89"/>
      <w:bookmarkEnd w:id="243"/>
      <w:bookmarkEnd w:id="244"/>
      <w:r>
        <w:rPr>
          <w:rtl w:val="true"/>
        </w:rPr>
        <w:t>گفتار چهارم</w:t>
      </w:r>
      <w:r>
        <w:rPr>
          <w:rtl w:val="true"/>
        </w:rPr>
        <w:t>:</w:t>
      </w:r>
      <w:r>
        <w:rPr>
          <w:rtl w:val="true"/>
        </w:rPr>
        <w:t>عقل</w:t>
      </w:r>
      <w:bookmarkEnd w:id="245"/>
    </w:p>
    <w:p>
      <w:pPr>
        <w:pStyle w:val="Heading4"/>
        <w:numPr>
          <w:ilvl w:val="3"/>
          <w:numId w:val="1"/>
        </w:numPr>
        <w:rPr/>
      </w:pPr>
      <w:bookmarkStart w:id="246" w:name="__RefHeading___Toc2150885_1051229030"/>
      <w:bookmarkStart w:id="247" w:name="_Toc90"/>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عقل چشم و پیمبری نور است سنایی پیش از ورود به مبحث عقل، ناگزیر باید اشاره‌ای کوتاه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زیرا بنظر می‌آید که هرگونه سخنی درباره عقل، بی‌توجه و عنایت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ناتمام خواهد بود، چه عقل و آزادی با هم لازم و ملزوم‌اند، عقل بی آزادی نهالی است که در زمین خشک و بی‌آبی کشت شده باشد و آزادی، بی عقل هم کار را به جنون و بی بند و باری و لجام گسیختگی می‌کشاند و مثمر هیچ‌گونه میوه و نتیجه‌ای نخواهد بود، درواقع آزادی، پشتوانه‌ای می‌خواهد که عقل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گلشنی کز نقل روید یک دم است</w:t>
      </w:r>
    </w:p>
    <w:p>
      <w:pPr>
        <w:pStyle w:val="BookText"/>
        <w:rPr/>
      </w:pPr>
      <w:r>
        <w:rPr>
          <w:rFonts w:ascii="IRNazanin" w:hAnsi="IRNazanin" w:eastAsia="IRNazanin"/>
          <w:color w:val="111111"/>
          <w:sz w:val="28"/>
          <w:sz w:val="28"/>
          <w:szCs w:val="28"/>
          <w:rtl w:val="true"/>
          <w:lang w:bidi="fa-IR"/>
        </w:rPr>
        <w:t>گلشنی کز عقل خیزد خرم است</w:t>
      </w:r>
    </w:p>
    <w:p>
      <w:pPr>
        <w:pStyle w:val="BookText"/>
        <w:rPr/>
      </w:pPr>
      <w:r>
        <w:rPr>
          <w:rFonts w:ascii="IRNazanin" w:hAnsi="IRNazanin" w:eastAsia="IRNazanin"/>
          <w:color w:val="111111"/>
          <w:sz w:val="28"/>
          <w:sz w:val="28"/>
          <w:szCs w:val="28"/>
          <w:rtl w:val="true"/>
          <w:lang w:bidi="fa-IR"/>
        </w:rPr>
        <w:t>مولوی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جلال‌الدین محمد مولوی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اندیشه گرفت نیست، درون عالم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سخنی عظیم است زیرا بارزترین صفتی که انسان را از حیوان، جدا می‌سازد، اندیشه است و شاخصترین مصداق آزادی، همانا آزادی اندیشه است، و اگر فکر آزاد نباشد، عقل این ودیعه خداداد، زاید و بیهوده است و خاموش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نخستین سوره‌ای که نازل شده‌است به خواندن و آموختن دعوت می‌کند</w:t>
      </w:r>
      <w:r>
        <w:rPr>
          <w:rStyle w:val="FootnoteAnchor"/>
          <w:rtl w:val="true"/>
        </w:rPr>
        <w:footnoteReference w:id="150"/>
      </w:r>
      <w:r>
        <w:rPr>
          <w:rFonts w:ascii="IRNazanin" w:hAnsi="IRNazanin" w:eastAsia="IRNazanin"/>
          <w:color w:val="111111"/>
          <w:sz w:val="28"/>
          <w:sz w:val="28"/>
          <w:szCs w:val="28"/>
          <w:rtl w:val="true"/>
          <w:lang w:bidi="fa-IR"/>
        </w:rPr>
        <w:t>و سرتاسر قرآن ترغیب آدمی به کشف اسرار و رموز هستی است، این همه تجلیل این نامه آسمانی از مقام علم و عقل نهی از تقلید و پیروی چشم و گوش بسته از افکار و عقاید نیاکان</w:t>
      </w:r>
      <w:r>
        <w:rPr>
          <w:rStyle w:val="FootnoteAnchor"/>
          <w:rtl w:val="true"/>
        </w:rPr>
        <w:footnoteReference w:id="151"/>
      </w:r>
      <w:r>
        <w:rPr>
          <w:rFonts w:ascii="IRNazanin" w:hAnsi="IRNazanin" w:eastAsia="IRNazanin"/>
          <w:color w:val="111111"/>
          <w:sz w:val="28"/>
          <w:sz w:val="28"/>
          <w:szCs w:val="28"/>
          <w:rtl w:val="true"/>
          <w:lang w:bidi="fa-IR"/>
        </w:rPr>
        <w:t>، همه نشانگر آن است که خداوند، استقلال اندیشه را برای رشد آدمی و قوای عالی ذهن که در باطن وی به ودیعت نهاده لازم و ضروری می‌داند، تکیه بر تفکر و آزادی در انتخاب با تعبیرهای گوناگون در قرآن آمده‌است، ذکر همه آنها بدرازا می‌کشد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آرای گوناگون روبرو شود، موارد خطای آنها را از درست باز خواهد شناخت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همواره در نیکی و نیکبختی‌اند مادام که تفاوت داشته باشند و آن‌گاه که تفاوتها برداشته شود و همه یکسان شوند، هلاک خواهند شد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پنجم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آن حضرت سؤالی کرد، به او پاسخ دادند، دیگری آمد و همان سؤال را تکرار کرد، پاسخی مغایر پاسخ نخست شنید، سومی آمد به او نیز پاسخی دادند که با دو نفر اول مغایر بود، راوی علت را جویا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برای بقای ما بهتر و شایسته‌تر است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به کیفیت آفرینش آفریدگان، علم می‌داشتند، هیچ‌کس دیگری را ملامت نمی‌کرد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حوزه اندیشه برای استواری و گسترش مبانی خود، دروازه‌های باز اندیشه‌های گوناگون و متعارض را طلب می‌کند، تا بازار دانش و برخورد عقاید گرم باشد و رویارویی عقاید به غنای مکتبها بیفزاید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تناور اندیشه باید از ریشه‌های گوناگون تغذیه شود وگرنه، زردرویی و خشکی سرانجام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بهره‌گیری از تجربه دیگران راه کمال است، زیرا هیچ عقیده‌ای به خودی خود کامل نیست، وقتی پیامبر در دعا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 و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دانش و حیرت مرا افزون کن،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ارنی الاشیاء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حقیقت اشیاء را به من نشان ده، دیگران جای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عالیترین حد کمال که فکر بشر می‌تواند به آن برسد، احساس شگفتی و حیرت است که برای وی در برابر نمودهای طبیعت و کائنات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ارسطو همین اعجاب را وسیله کشاندن آدمی به بحثهای فلسفی دانسته است</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عرفان، حیرت یکی از منازل نهایی سالک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دعوت قرآن، به تفکر برای چیست؟ تا آن‌جا که بی‌خرد را بی‌دین دانسته</w:t>
      </w:r>
      <w:r>
        <w:rPr>
          <w:rStyle w:val="FootnoteAnchor"/>
          <w:rtl w:val="true"/>
        </w:rPr>
        <w:footnoteReference w:id="158"/>
      </w:r>
      <w:r>
        <w:rPr>
          <w:rFonts w:ascii="IRNazanin" w:hAnsi="IRNazanin" w:eastAsia="IRNazanin"/>
          <w:color w:val="111111"/>
          <w:sz w:val="28"/>
          <w:sz w:val="28"/>
          <w:szCs w:val="28"/>
          <w:rtl w:val="true"/>
          <w:lang w:bidi="fa-IR"/>
        </w:rPr>
        <w:t>و حتی گواهی دانشمند را در ردیف شهادت خدا و فرشتگان قرار داده است</w:t>
      </w:r>
      <w:r>
        <w:rPr>
          <w:rStyle w:val="FootnoteAnchor"/>
          <w:rtl w:val="true"/>
        </w:rPr>
        <w:footnoteReference w:id="159"/>
      </w:r>
      <w:r>
        <w:rPr>
          <w:rFonts w:ascii="IRNazanin" w:hAnsi="IRNazanin" w:eastAsia="IRNazanin"/>
          <w:color w:val="111111"/>
          <w:sz w:val="28"/>
          <w:sz w:val="28"/>
          <w:szCs w:val="28"/>
          <w:rtl w:val="true"/>
          <w:lang w:bidi="fa-IR"/>
        </w:rPr>
        <w:t>از دین به رشد و کمال تعبیر کرده و اجبار و اکراه در آن را منع کرده</w:t>
      </w:r>
      <w:r>
        <w:rPr>
          <w:rStyle w:val="FootnoteAnchor"/>
          <w:rtl w:val="true"/>
        </w:rPr>
        <w:footnoteReference w:id="160"/>
      </w:r>
      <w:r>
        <w:rPr>
          <w:rFonts w:ascii="IRNazanin" w:hAnsi="IRNazanin" w:eastAsia="IRNazanin"/>
          <w:color w:val="111111"/>
          <w:sz w:val="28"/>
          <w:sz w:val="28"/>
          <w:szCs w:val="28"/>
          <w:rtl w:val="true"/>
          <w:lang w:bidi="fa-IR"/>
        </w:rPr>
        <w:t>و پیامبر را از اعمال فشار برحذر داشته است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عین‌القضات همدانی عارف قرن ششم </w:t>
      </w:r>
      <w:r>
        <w:rPr>
          <w:rFonts w:eastAsia="IRNazanin" w:cs="IRNazanin"/>
          <w:color w:val="111111"/>
          <w:sz w:val="28"/>
          <w:szCs w:val="28"/>
          <w:rtl w:val="true"/>
          <w:lang w:bidi="fa-IR"/>
        </w:rPr>
        <w:t>(</w:t>
      </w:r>
      <w:r>
        <w:rPr>
          <w:rFonts w:eastAsia="IRNazanin" w:cs="IRNazanin"/>
          <w:color w:val="111111"/>
          <w:sz w:val="28"/>
          <w:szCs w:val="28"/>
          <w:lang w:bidi="fa-IR"/>
        </w:rPr>
        <w:t>492525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کاینات تنها انسان است که در تسخیر کار معینی نیست، بلکه مسخر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احراق بر آتش بستند، اختیار در آدمی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آتش را جز سوزندگی صفتی نیست، آدمی را جز مختاری صفتی نیست</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اصحاب را دسته‌بندی می‌کرد و به هریک بنا به استعداد باطنی او آموزش می‌داد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سلمان می‌دانست، اگر ابوذر می‌دانست کافر می‌گشت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کسی ادعا نکرده است که همه آنچه در باب ضرورت آزاداندیشی از قرآن و حدیث آمده است، نسخ شده باشد و آیات و روایات متعارض را به موارد خاص تاویل می‌کنند که اصل، </w:t>
      </w:r>
    </w:p>
    <w:p>
      <w:pPr>
        <w:pStyle w:val="BookText"/>
        <w:rPr/>
      </w:pPr>
      <w:r>
        <w:rPr>
          <w:rFonts w:ascii="IRNazanin" w:hAnsi="IRNazanin" w:eastAsia="IRNazanin"/>
          <w:color w:val="111111"/>
          <w:sz w:val="28"/>
          <w:sz w:val="28"/>
          <w:szCs w:val="28"/>
          <w:rtl w:val="true"/>
          <w:lang w:bidi="fa-IR"/>
        </w:rPr>
        <w:t>عدم نسخ است، و عقل که حجت باطنی انسان است، چنین ادعایی را باور نمی‌کند، بنابراین اصل حرکت در تفکر، اصلی است غیرقابل انکار، در این‌باره باز هم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اینجا به یک نکته اشاره کنیم و آن این که منظور از آزاداندیشی، تفکر بی‌مبنی و دلیل و اندیشه بی‌قید و شرط نیست، آزادفکری مطلق نیست، بلکه پایبندی به فکری است که پسندیده‌تر باشد والاّ آزادفکری مطلق به افسانه بیشتر شباهت دارد، همانگونه که هنر بی‌تعهّد و آزاد هم امری موهوم و خیالی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عاشق به غفلت می‌کنند</w:t>
      </w:r>
    </w:p>
    <w:p>
      <w:pPr>
        <w:pStyle w:val="BookText"/>
        <w:rPr/>
      </w:pPr>
      <w:r>
        <w:rPr>
          <w:rFonts w:ascii="IRNazanin" w:hAnsi="IRNazanin" w:eastAsia="IRNazanin"/>
          <w:color w:val="111111"/>
          <w:sz w:val="28"/>
          <w:sz w:val="28"/>
          <w:szCs w:val="28"/>
          <w:rtl w:val="true"/>
          <w:lang w:bidi="fa-IR"/>
        </w:rPr>
        <w:t>و آنکه معشوقی ندارد غافل است</w:t>
      </w:r>
    </w:p>
    <w:p>
      <w:pPr>
        <w:pStyle w:val="BookText"/>
        <w:rPr/>
      </w:pPr>
      <w:r>
        <w:rPr>
          <w:rFonts w:ascii="IRNazanin" w:hAnsi="IRNazanin" w:eastAsia="IRNazanin"/>
          <w:color w:val="111111"/>
          <w:sz w:val="28"/>
          <w:sz w:val="28"/>
          <w:szCs w:val="28"/>
          <w:rtl w:val="true"/>
          <w:lang w:bidi="fa-IR"/>
        </w:rPr>
        <w:t>پس هرگونه آزاداندیشی، پسندیده نیست، آزاداندیشی از ربقه استبداد حاکم، و آزاداندیشی نسبی، از آنچه بد است و مذموم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حجت باطنی است، موهبت و ودیعه‌یی خداداد است؛ کسی حق ندارد آن‌را تعطیل کند؛ فلسفه جزم‌اندیشی، تعطیل عقل است و هرگونه جزم‌اندیشی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درباره درستی و نادرستی عقاید و آرا داوری می‌کند و از آن میان یکی را برمی‌گزیند، درواقع عقل نسبت به همه ارزشها و ازجمله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نخستین است، حجت بودن مبانی ادیان بستگی به حجت بودن عقل دارد، اگر عقل را حجت ندانیم، هیچ مقوله‌ای در دنیا حجیت نخواهد داشت، و از همین روست که در اخبار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را که خدا بیافرید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ما آن‌قدر از خرد و خردمندی و خردمندان ستایش شده که شاید کمتر مقوله‌ای به پای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با مبحث عقل آغاز می‌شود و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خردمند نیست دیندار نیست</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روز رستاخیز به اندازه خردمندی بندگان از آنان بازخواست می‌کند</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اندیشیدن از عبادت سالی برتر است</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دراز تمدن با پای عقل پیموده </w:t>
      </w:r>
      <w:bookmarkStart w:id="248" w:name="pg7474_109340"/>
    </w:p>
    <w:p>
      <w:pPr>
        <w:pStyle w:val="BookText"/>
        <w:rPr/>
      </w:pPr>
      <w:bookmarkEnd w:id="248"/>
      <w:r>
        <w:rPr>
          <w:rFonts w:ascii="IRNazanin" w:hAnsi="IRNazanin" w:eastAsia="IRNazanin"/>
          <w:color w:val="111111"/>
          <w:sz w:val="28"/>
          <w:sz w:val="28"/>
          <w:szCs w:val="28"/>
          <w:rtl w:val="true"/>
          <w:lang w:bidi="fa-IR"/>
        </w:rPr>
        <w:t>شده و امتیاز آدمی بر حیوان، خردمندی اوست، همه راهها و راه‌حلها حاصل اندیشه بوده‌است و اصول اعتقادی باید برپایه پژوهش عقل باشد و ایمان تقلیدی چندان پذیرفتنی نیست، اما اگر عارفان و صوفیان ما از عقل نکوهش کرده‌اند درواقع پای عقل را در آنچه مربوط به ماورای حس و عالم آخرت و عقبا است آن هم در مقام سنجش با عشق و نیروی الهام کشف و شهود، کوتاه و چوبین و غیرقابل اعتماد دیده‌اند، که از آن تعبیر به عقل جزوی کرده‌اند نه کلی؛ عرفان، بینایی عقل جزوی را در آنچه مربوط به حس و عمل و معاش انسانی و بطور کلی مسائل این جهانی است، تایید می‌کند و تنها آن‌را در علم به ماورای طبیعت ناقص و نابینا می‌پندارد و در این زمینه عقل کلی و یا عقل وحیی را که مبتنی بر علم کشفی و شهودی است دلیل راه معرفت واقعی خداوند می‌داند که بررسی آن در حوصله این کتاب نیست و اقلیمی است برای غیر اهل آن، ناشناخته و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عارفان از عقل ستایش بسیار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عالمهاست در سودای عقل</w:t>
      </w:r>
    </w:p>
    <w:p>
      <w:pPr>
        <w:pStyle w:val="BookText"/>
        <w:rPr/>
      </w:pPr>
      <w:r>
        <w:rPr>
          <w:rFonts w:ascii="IRNazanin" w:hAnsi="IRNazanin" w:eastAsia="IRNazanin"/>
          <w:color w:val="111111"/>
          <w:sz w:val="28"/>
          <w:sz w:val="28"/>
          <w:szCs w:val="28"/>
          <w:rtl w:val="true"/>
          <w:lang w:bidi="fa-IR"/>
        </w:rPr>
        <w:t>تا چه با پهناست این دریای عقل</w:t>
      </w:r>
    </w:p>
    <w:p>
      <w:pPr>
        <w:pStyle w:val="BookText"/>
        <w:rPr/>
      </w:pPr>
      <w:r>
        <w:rPr>
          <w:rFonts w:ascii="IRNazanin" w:hAnsi="IRNazanin" w:eastAsia="IRNazanin"/>
          <w:color w:val="111111"/>
          <w:sz w:val="28"/>
          <w:sz w:val="28"/>
          <w:szCs w:val="28"/>
          <w:rtl w:val="true"/>
          <w:lang w:bidi="fa-IR"/>
        </w:rPr>
        <w:t>بحرِ بی‌پایان بود عقل بشر</w:t>
      </w:r>
    </w:p>
    <w:p>
      <w:pPr>
        <w:pStyle w:val="BookText"/>
        <w:rPr/>
      </w:pPr>
      <w:r>
        <w:rPr>
          <w:rFonts w:ascii="IRNazanin" w:hAnsi="IRNazanin" w:eastAsia="IRNazanin"/>
          <w:color w:val="111111"/>
          <w:sz w:val="28"/>
          <w:sz w:val="28"/>
          <w:szCs w:val="28"/>
          <w:rtl w:val="true"/>
          <w:lang w:bidi="fa-IR"/>
        </w:rPr>
        <w:t>بحر را غواص باید ای پسر</w:t>
      </w:r>
    </w:p>
    <w:p>
      <w:pPr>
        <w:pStyle w:val="BookText"/>
        <w:rPr/>
      </w:pPr>
      <w:r>
        <w:rPr>
          <w:rFonts w:ascii="IRNazanin" w:hAnsi="IRNazanin" w:eastAsia="IRNazanin"/>
          <w:color w:val="111111"/>
          <w:sz w:val="28"/>
          <w:sz w:val="28"/>
          <w:szCs w:val="28"/>
          <w:rtl w:val="true"/>
          <w:lang w:bidi="fa-IR"/>
        </w:rPr>
        <w:t>صورت ما اندرین بحر عذاب</w:t>
      </w:r>
    </w:p>
    <w:p>
      <w:pPr>
        <w:pStyle w:val="BookText"/>
        <w:rPr/>
      </w:pPr>
      <w:r>
        <w:rPr>
          <w:rFonts w:ascii="IRNazanin" w:hAnsi="IRNazanin" w:eastAsia="IRNazanin"/>
          <w:color w:val="111111"/>
          <w:sz w:val="28"/>
          <w:sz w:val="28"/>
          <w:szCs w:val="28"/>
          <w:rtl w:val="true"/>
          <w:lang w:bidi="fa-IR"/>
        </w:rPr>
        <w:t>می‌دود چون کاسه‌ها بر روی آب</w:t>
      </w:r>
    </w:p>
    <w:p>
      <w:pPr>
        <w:pStyle w:val="BookText"/>
        <w:rPr/>
      </w:pPr>
      <w:r>
        <w:rPr>
          <w:rFonts w:ascii="IRNazanin" w:hAnsi="IRNazanin" w:eastAsia="IRNazanin"/>
          <w:color w:val="111111"/>
          <w:sz w:val="28"/>
          <w:sz w:val="28"/>
          <w:szCs w:val="28"/>
          <w:rtl w:val="true"/>
          <w:lang w:bidi="fa-IR"/>
        </w:rPr>
        <w:t>گر بصورت وانماید عقل رو</w:t>
      </w:r>
    </w:p>
    <w:p>
      <w:pPr>
        <w:pStyle w:val="BookText"/>
        <w:rPr/>
      </w:pPr>
      <w:r>
        <w:rPr>
          <w:rFonts w:ascii="IRNazanin" w:hAnsi="IRNazanin" w:eastAsia="IRNazanin"/>
          <w:color w:val="111111"/>
          <w:sz w:val="28"/>
          <w:sz w:val="28"/>
          <w:szCs w:val="28"/>
          <w:rtl w:val="true"/>
          <w:lang w:bidi="fa-IR"/>
        </w:rPr>
        <w:t>تیره باشد روز پیش نور او</w:t>
      </w:r>
    </w:p>
    <w:p>
      <w:pPr>
        <w:pStyle w:val="Heading4"/>
        <w:numPr>
          <w:ilvl w:val="3"/>
          <w:numId w:val="1"/>
        </w:numPr>
        <w:rPr/>
      </w:pPr>
      <w:bookmarkStart w:id="249" w:name="__RefHeading___Toc2150887_1051229030"/>
      <w:bookmarkStart w:id="250" w:name="_Toc91"/>
      <w:bookmarkEnd w:id="249"/>
      <w:r>
        <w:rPr>
          <w:rtl w:val="true"/>
        </w:rPr>
        <w:t>عقل ازنظر امامیه</w:t>
      </w:r>
      <w:bookmarkEnd w:id="25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ازنظر امامیه عقل یکی از پایه‌های استنباط است، عقل در سلسله معلولها حجت است و در سلسله علل اعتباری ندارد، به عبارت دیگر عقل در برابر نص سندیت ندارد، بلکه در آنچه از لوازم نص است معتبر می‌باشد، سنیان به جای عقل، قیاس را حجت می‌دانند، درواقع قیاس هم کار عقل است و اساسا عقل، مجال و گسترش بیشتری نسبت به قیاس دارد، عقل با عنایت به سرشت آدمی و مصلحت‌اندیشی برای حفظ نظم و مقتضیات و ضرورتهای زمان به استنتاج می‌پردازد، و اغلب در اصول استنباط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 تا آن‌جا که به صورت ضرب‌المثل درآمده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عقل به آن حکم کند، شرع نیز حکم خواهد کرد، اما عقل، حق چون و چرا در نصوص ندارد و همان‌گونه که گفته شد در الزاماتی که از نص نتیجه می‌شود، مجال استنتاج دارد، زیرا فرض آن است که نصوص چون بر وحی و الهام استوارند مبتنی بر عقل و یا فوق عقل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 میان اصولیان زبانزد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الشرع و العقل یتطابقان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و شرع هماهنگند، زیرا عقل حجت درونی آدمی است، و منظور آن است که احکام شرعی راه رسیدن به مصلحتهایی است که رعایت آنها بنابر حکومت عقل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شرع من داخل والشرع عقل من خارج</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خرد شریعت درونی انسان است و شریعت خرد بیرونی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گفته شد،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شرع استخراج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خاستگاهها و سرچشمه‌های گوناگون دارد، اگر از عرف سرچشمه بگیرد، قانون عرفی و اگر از سرشت پیروی کند قانون سرشتی، و اگر از شرع برخاسته باشد قانون شرعی، و اگر از عقل الهام گرفته باشد قانون عقلی است، بسیاری معتقدند که قانون عقلی در ذات و نفس‌الامر از جانب خداوند نشأت یافته است و حتی قوانین عرفی را نیز بخشی از قوانین عقلی دانسته‌اند زیرا که در عرف مردم 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ما در بخش عرف و عادت به تفصیل در این‌باره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عرفی قابل تغییرند لکن احکام عقلی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ثابتند، بدیهی است عقل سازنده قانون نیست بلکه کشف‌کننده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احکام را فهم می‌کند نه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عقلی بعضی نظری و برخی ضروری است، آنها که نظری است به استدلال نیاز دارد، و آنها که ضروری است به هنگام استنباط احکام شرعی نیازی به کمک قانون عقلی و یا قانون شرعی ندارد مانند حکم وجوب ادای دین، حرمت 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بخودی خود عقل حکم شرعی را فهم و درک می‌کند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وساطت شرع استنباط می‌شود، مانند اموری که بخودی خود واجب نیست لکن تحقق امور واجب یا رفع امور حرام به وجود آنهاست، که واجب بشمار می‌روند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به همین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شرع، حکمی درباره تدوین قانون اساسی برای کشور نیامده‌است، لکن چون شرع جلوگیری از ستم ستمگر و غصب غاصب را لازم و ضروری دانسته و تدوین قانون بطور کلی برای تحقق این مقصود لازم است بنابراین تدوین </w:t>
      </w:r>
      <w:bookmarkStart w:id="251" w:name="pg7474_109342"/>
    </w:p>
    <w:p>
      <w:pPr>
        <w:pStyle w:val="BookText"/>
        <w:rPr/>
      </w:pPr>
      <w:bookmarkEnd w:id="251"/>
      <w:r>
        <w:rPr>
          <w:rFonts w:ascii="IRNazanin" w:hAnsi="IRNazanin" w:eastAsia="IRNazanin"/>
          <w:color w:val="111111"/>
          <w:sz w:val="28"/>
          <w:sz w:val="28"/>
          <w:szCs w:val="28"/>
          <w:rtl w:val="true"/>
          <w:lang w:bidi="fa-IR"/>
        </w:rPr>
        <w:t>قانون یک استلزام عقلی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 غایت قوانین، استقرار و تحقق عدالت است و بدین‌منظور پدیده‌های تازه حقوقی به اقتضای زمان از مسیر عقل و علم صورت قانون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مونتسکیو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خردمندان می‌توانند قوانینی داشته باشند که خود ساخته‌اند، اما قوانینی هست که آنان نساخته‌اند، پیش از آن‌که قوانین وضع شوند روابطی میان افراد براساس عدالت وجود داشته است، اعتقاد به این که عدالت و بی‌عدالتی همانست که قوانین تحققی آن را امر یا نهی کرده مانند اینست که گفته شود شعاعهای یک دایره پیش از ترسیم محیط آن، با هم مساوی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اصلی و اساسی چیست؟ این همان عقل آدمی است که به همه حکومت دارد و قوانین هر ملتی باید با آن هماهنگ و سازگار باشد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2150889_1051229030"/>
      <w:bookmarkStart w:id="253" w:name="_Toc92"/>
      <w:bookmarkEnd w:id="252"/>
      <w:r>
        <w:rPr>
          <w:rtl w:val="true"/>
        </w:rPr>
        <w:t>حسن و قبح عقلی</w:t>
      </w:r>
      <w:bookmarkEnd w:id="25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ملازمه و مستقلات عقلی و استلزامات عقلی، ریشه‌ای تاریخی دارد، در علم کلام دو مکتب پدید 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نخست معتقد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دومی منکر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با توجه به نصوصی ازقبیل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آسمانها و زمین به عدل برپا هستند، خدا را عادل دانسته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او جز بر موازین عدل بر چیزی تعلق نمی‌گیرد، و خدا برطبق همین موازین ما را به بهشت یا دوزخ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جبر را رد کرده و معتقد به اختیار آدمی شدند و اعمال انسان را مخلوق خود آدمی دانستند و از این مطلب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محدودیت اراده خدا را استخراج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 واجب است، و عدالت نمی‌تواند از خدا جدا باشد و قدرت خدا محدود به شرایط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آن بود که چون خدا خیر و سعادت آدمی را می‌خواهد لذا بر او از راه لطف واجبست که پیامبران را برای </w:t>
      </w:r>
    </w:p>
    <w:p>
      <w:pPr>
        <w:pStyle w:val="BookText"/>
        <w:rPr/>
      </w:pPr>
      <w:r>
        <w:rPr>
          <w:rFonts w:ascii="IRNazanin" w:hAnsi="IRNazanin" w:eastAsia="IRNazanin"/>
          <w:color w:val="111111"/>
          <w:sz w:val="28"/>
          <w:sz w:val="28"/>
          <w:szCs w:val="28"/>
          <w:rtl w:val="true"/>
          <w:lang w:bidi="fa-IR"/>
        </w:rPr>
        <w:t>راهنمایی بشر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اشاعره معتقد بودند که خدا آخرین حد وجود است و هرچه از او صادر شود خیر محض است، هرچه آن خسرو کند شیرین بود، و در برابر معتزله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واجب است که نیکوکاران را پاداش و تبهکاران را کیفر دهد و لذا عدل خدا واجب است و به حدیثی از پیامبر استناد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کار نیک انجام دهد برعهده خداست که او را در این دنیا و یا در زندگی پس از این جهان پاداش دهد و یا عوض آن‌را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عقیده، خدا در کارهایش اختیار تام ندارد، درحالیکه اشاعره اینها را منافی توحید 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اعمال الهی را از دیده بشری سنجیده و بنابرآن درواقع خدا باید آن چنان عمل کند که از دیده آدمی عادلانه تشخیص داده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اشاعره یا وضع‌گرایان می‌گویند با توجه به آیه‌هایی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مایشاء و یحکم مایرید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مشیت باریتعالی را با هیچ قاعده و میزانی نباید محدود و مشروط و مقید کرد، اراده او مانند ذاتش مطلق است و محدودیت و مشروطیت در اراده خدا برخلاف توحید است، و تا آن‌جا می‌روند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شخص بی‌گناهی را به دوزخ ببرد و گنهکاری را به بهشت، چون خواست اوست،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دستورهای قرآن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عدل و حق و ناحق و حلال و حرام، همه تابع وضع شارع است</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مطلقه خدا، تابع هیچ اصل و قاعده‌ای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ربا و سرقت را حلال می‌کرد، اینها حلال بود و چون افعال خدا را نباید مقید و مشروط کرد لذا افعال او نیز مطلق است، درحالی که عدل‌گرایان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حلال و ربا حرام است، اگر ظلم و دزدی و قتل بد است، و احسان و امانت و یاری مردم خوب است، همه به علت آنست که درواقع این‌گونه دستورها دارای حسن و قبح ذاتی است، درواقع، حقی و عدالتی است و آن واقع و نفس‌الامر این دستورها را می‌دهد و می‌گویند عدالت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آنست که به‌هر صاحب حقی، آنچه حق اوست داده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دسته، دستورهای شرع را موافق مصلحت و خیر جامعه می‌دانند لکن عدل‌گرایان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خدا موافق عدل است و وضع‌گرایان یا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دستورهای خداست موافق عدل است والا عدل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عدل‌گرایان دستورهای شرع را تابع حسن و قبح عقلی می‌دانند، درحالی که وضع‌گرایان، عقل را به هیچ وجه در قوانین شرعی راهگشا نمی‌دانند و می‌گویند هرچه را شارع خوب بداند خوبست و آنچه را بد بداند بد است، به جای این‌که </w:t>
      </w:r>
    </w:p>
    <w:p>
      <w:pPr>
        <w:pStyle w:val="BookText"/>
        <w:rPr/>
      </w:pPr>
      <w:r>
        <w:rPr>
          <w:rFonts w:ascii="IRNazanin" w:hAnsi="IRNazanin" w:eastAsia="IRNazanin"/>
          <w:color w:val="111111"/>
          <w:sz w:val="28"/>
          <w:sz w:val="28"/>
          <w:szCs w:val="28"/>
          <w:rtl w:val="true"/>
          <w:lang w:bidi="fa-IR"/>
        </w:rPr>
        <w:t>دستور را تابع حسن و قبح عقلی کنند، آن را تابع حسن و قبح وضعی و دینی کرده‌اند، دستورهای خدا تابع هیچ قاعده و قانونی ازقبیل عدل یا عقل و یا حسن و قبح و غیره نیست، افعال بخودی خود نه بد است و نه خوب؛ فقط آن‌گاه بد و خوب است که از آن نهی و یا بدان امر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کبریایی لاابالی است</w:t>
      </w:r>
    </w:p>
    <w:p>
      <w:pPr>
        <w:pStyle w:val="BookText"/>
        <w:rPr/>
      </w:pPr>
      <w:r>
        <w:rPr>
          <w:rFonts w:ascii="IRNazanin" w:hAnsi="IRNazanin" w:eastAsia="IRNazanin"/>
          <w:color w:val="111111"/>
          <w:sz w:val="28"/>
          <w:sz w:val="28"/>
          <w:szCs w:val="28"/>
          <w:rtl w:val="true"/>
          <w:lang w:bidi="fa-IR"/>
        </w:rPr>
        <w:t>منزه از قیاسات خیالی است</w:t>
      </w:r>
    </w:p>
    <w:p>
      <w:pPr>
        <w:pStyle w:val="BookText"/>
        <w:rPr/>
      </w:pPr>
      <w:r>
        <w:rPr>
          <w:rFonts w:ascii="IRNazanin" w:hAnsi="IRNazanin" w:eastAsia="IRNazanin"/>
          <w:color w:val="111111"/>
          <w:sz w:val="28"/>
          <w:sz w:val="28"/>
          <w:szCs w:val="28"/>
          <w:rtl w:val="true"/>
          <w:lang w:bidi="fa-IR"/>
        </w:rPr>
        <w:t xml:space="preserve">اما عدل‌گرایان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آیاتی استناد می‌کنند ازقبیل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که زشت و ناشایسته‌ای از ایشان سر زند گویند که ما پدران خود را به این کار یافته‌ایم و خدا ما را بر آن امر کرد بگو ای پیامبر هرگز خدا به اعمال زشت امر نکند جز آن‌که آنچه را از نادانی خود می‌کنید به خدا می‌بندید بگو خدا شما را به حق و درستی و داد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استنباط می‌شود که کار شایسته و کار ناشایست، فحشا و عفاف، حقیقتی است که با امر و نهی خدا فحشا عفاف و عفاف فحشا نمی‌شود، خدا هرگز به فحشا امر نمی‌کند، این را آدمی خود باید بفهمد وتشخیص دهد، بشر باید عقل خود را به کار بندد و در دستورهای شرع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معتزلی‌الاصول هستند و ازجمله عدل‌گرایانند و از پیروان 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امر به معروف ونهی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دانستن پاکیزه‌ها و ناروا شمردن پلیدیها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اوامر و نواهی شارع لاابالی نیست بلکه تابع موازین و مقیاسهای خوبی و بدی است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جعفری لنگرودی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اشاعره هرچند به زبان، منکر حسن و قبح عقلی هستند اما عملا آن‌را انکار نمی‌کنند مگر نه اینست که غزالی اشعری است با این حال کتاب احیاء علوم‌الدین و کیمیای سعادت را در اخلاق نوشته است و حال این‌که اساس علم اخلاق، تکیه زدن به حسن و قبح عقلی است و همین‌طور است ملای روم و صاحب کتاب 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محی‌الدین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اشاعره هستند اما در آثار خود حسن و قبح عقلی را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ما از صدای خوب، لذت می‌برد و از صدای بد ناراحت می‌شود اینها و امثال اینها علامت حسن و قبح ذاتی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جلال‌الدین سیوطی شافعی پرسیدند که عادت مردم این است که روز تولد رسول اکرم جشنی به پا می‌کنند در آن روز قرآن می‌خوانند و از حدیث گفتگو می‌کنند و سفره می‌گسترند و می‌خورند و پراکنده می‌شوند، مستند این اعمال در شرع چیست؟ 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من‌البدع </w:t>
      </w:r>
      <w:bookmarkStart w:id="254" w:name="pg7474_109345"/>
    </w:p>
    <w:p>
      <w:pPr>
        <w:pStyle w:val="BookText"/>
        <w:rPr/>
      </w:pPr>
      <w:bookmarkEnd w:id="254"/>
      <w:r>
        <w:rPr>
          <w:rFonts w:ascii="IRNazanin" w:hAnsi="IRNazanin" w:eastAsia="IRNazanin"/>
          <w:color w:val="111111"/>
          <w:sz w:val="28"/>
          <w:sz w:val="28"/>
          <w:szCs w:val="28"/>
          <w:rtl w:val="true"/>
          <w:lang w:bidi="fa-IR"/>
        </w:rPr>
        <w:t>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از بدعتهای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بدعت عملی است که شریعت آن‌را نگفته با وجود این چون حسن و قبح افعال عقلی و ذاتی است از آن به بدعت نیکو یاد شده‌است</w:t>
      </w:r>
      <w:r>
        <w:rPr>
          <w:rFonts w:eastAsia="IRNazanin" w:cs="IRNazanin"/>
          <w:color w:val="111111"/>
          <w:sz w:val="28"/>
          <w:szCs w:val="28"/>
          <w:rtl w:val="true"/>
          <w:lang w:bidi="fa-IR"/>
        </w:rPr>
        <w:t>.</w:t>
      </w:r>
    </w:p>
    <w:p>
      <w:pPr>
        <w:pStyle w:val="Heading4"/>
        <w:numPr>
          <w:ilvl w:val="3"/>
          <w:numId w:val="1"/>
        </w:numPr>
        <w:rPr/>
      </w:pPr>
      <w:bookmarkStart w:id="255" w:name="__RefHeading___Toc2150891_1051229030"/>
      <w:bookmarkStart w:id="256" w:name="_Toc93"/>
      <w:bookmarkEnd w:id="255"/>
      <w:r>
        <w:rPr>
          <w:rtl w:val="true"/>
        </w:rPr>
        <w:t xml:space="preserve">آیا </w:t>
      </w:r>
      <w:r>
        <w:rPr>
          <w:rtl w:val="true"/>
        </w:rPr>
        <w:t>«</w:t>
      </w:r>
      <w:r>
        <w:rPr>
          <w:rtl w:val="true"/>
        </w:rPr>
        <w:t>عقل</w:t>
      </w:r>
      <w:r>
        <w:rPr>
          <w:rtl w:val="true"/>
        </w:rPr>
        <w:t xml:space="preserve">» </w:t>
      </w:r>
      <w:r>
        <w:rPr>
          <w:rtl w:val="true"/>
        </w:rPr>
        <w:t>می‌تواند مخصص قرآن باشد؟</w:t>
      </w:r>
      <w:bookmarkEnd w:id="256"/>
    </w:p>
    <w:p>
      <w:pPr>
        <w:pStyle w:val="BookText"/>
        <w:rPr/>
      </w:pPr>
      <w:r>
        <w:rPr>
          <w:rFonts w:ascii="IRNazanin" w:hAnsi="IRNazanin" w:eastAsia="IRNazanin"/>
          <w:color w:val="111111"/>
          <w:sz w:val="28"/>
          <w:sz w:val="28"/>
          <w:szCs w:val="28"/>
          <w:rtl w:val="true"/>
          <w:lang w:bidi="fa-IR"/>
        </w:rPr>
        <w:t>غزالی در کتاب المستصفی ده نوع مخصص برشمرده که یکی از آنها دلیل عقل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آفریننده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ذات و صفات خدا مخلوق او نیست پس به دلیل عقل اینها مخصص این آیه‌اند،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 در تمام جهات از مورد حکم آیه به حکم عقل خارج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علی‌الناس حج‌البیت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 و دیوانه نیز از حکم آیه که در وجوب حج بر جمیع مردم است بحکم عقل از شمول آیه خارج 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2150893_1051229030"/>
      <w:bookmarkStart w:id="258" w:name="_Toc94"/>
      <w:bookmarkEnd w:id="257"/>
      <w:r>
        <w:rPr>
          <w:rtl w:val="true"/>
        </w:rPr>
        <w:t>ثمره بحث</w:t>
      </w:r>
      <w:bookmarkEnd w:id="258"/>
    </w:p>
    <w:p>
      <w:pPr>
        <w:pStyle w:val="Heading5"/>
        <w:numPr>
          <w:ilvl w:val="4"/>
          <w:numId w:val="1"/>
        </w:numPr>
        <w:rPr/>
      </w:pPr>
      <w:bookmarkStart w:id="259" w:name="__RefHeading___Toc2150895_1051229030"/>
      <w:bookmarkStart w:id="260" w:name="_Toc95"/>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از حسن و قبح عقلی نتیجه‌هایی گرفته شده‌است که به برخی از آنها اشاره می‌کنیم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امر به محال و نهی از محال نمی‌کند و نباید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باید در امر و نهی، آنچه اصلح است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آزادی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اباحه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وقتی‌که دلیل قاطع بر تکلیف قانونی نباشد مسؤولیتی متوجه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عده‌ای نیز قاعده اضطرار و حاجت عمومی و قاعده لاضرر و اباحه عقلی را از مصادیق حسن و قبح عقلی دانسته‌اند که از مستقلات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مناسب آن است که به شرح برخی از آنها بپردازیم</w:t>
      </w:r>
      <w:r>
        <w:rPr>
          <w:rFonts w:eastAsia="IRNazanin" w:cs="IRNazanin"/>
          <w:color w:val="111111"/>
          <w:sz w:val="28"/>
          <w:szCs w:val="28"/>
          <w:rtl w:val="true"/>
          <w:lang w:bidi="fa-IR"/>
        </w:rPr>
        <w:t>:</w:t>
      </w:r>
    </w:p>
    <w:p>
      <w:pPr>
        <w:pStyle w:val="Heading5"/>
        <w:numPr>
          <w:ilvl w:val="4"/>
          <w:numId w:val="1"/>
        </w:numPr>
        <w:rPr/>
      </w:pPr>
      <w:bookmarkStart w:id="261" w:name="__RefHeading___Toc2150897_1051229030"/>
      <w:bookmarkStart w:id="262" w:name="_Toc96"/>
      <w:bookmarkEnd w:id="261"/>
      <w:r>
        <w:rPr/>
        <w:t>1</w:t>
      </w:r>
      <w:r>
        <w:rPr>
          <w:rtl w:val="true"/>
        </w:rPr>
        <w:t xml:space="preserve">- </w:t>
      </w:r>
      <w:r>
        <w:rPr>
          <w:rtl w:val="true"/>
        </w:rPr>
        <w:t>قاعده اضطرار</w:t>
      </w:r>
      <w:bookmarkEnd w:id="26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ضرورت و اضطرار هیچ حرامی به حرمت خود باقی نمی‌ماند، آدم گرسنه و در شرف </w:t>
      </w:r>
    </w:p>
    <w:p>
      <w:pPr>
        <w:pStyle w:val="BookText"/>
        <w:rPr/>
      </w:pPr>
      <w:r>
        <w:rPr>
          <w:rFonts w:ascii="IRNazanin" w:hAnsi="IRNazanin" w:eastAsia="IRNazanin"/>
          <w:color w:val="111111"/>
          <w:sz w:val="28"/>
          <w:sz w:val="28"/>
          <w:szCs w:val="28"/>
          <w:rtl w:val="true"/>
          <w:lang w:bidi="fa-IR"/>
        </w:rPr>
        <w:t>مرگ حق دارد بی‌اجازه مال دیگری را به‌قدر رفع گرسنگی بردارد و بعد با رفع اضطرار عوض آن‌را به وی بدهد، در این‌باره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قدر رفع ضرورت می‌توان مرتکب امر ممنوع شد،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آمده‌است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 شما حرام کرد مردار و خون و گوشت خوک و آنچه را که به نام غیر خدا کشته باشند پس هرکس که در یافتن خوراک بیچاره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ستمگار باشد و نه افزون جوی، بر او از خوردن آنها گناهی نیست که خداوند آمرزنده و بخشاینده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رسد شما را و چه عذر است شما را که از آنچه به نام خدا ذبح شده نمی‌خورید؟ درصورتی که آنچه بر شما خوردن آن حرام شده بتفصیل آمده، مگر آنچه در آن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کسی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گرفتار گرسنگی باشد و بیم مرگ رود بی آن‌که تعرض به گناه کند، خوردن حرامهای گفته شده بر او روا باشد که خداوند بخشنده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نمی‌خواهد شما را در تنگنا و سختی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هیچ‌کس مگر به اندازه توانش تکلیفی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حدیثهایی نیز در تایید قاعده اضطرار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معروف به خبر رفع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 و النسیان و ما لا یعلمون و ما لایطیقون و ما اضطروا الیه و الحسد والطیره والتفکر فی‌الخلق مالم ینطقوا بشفه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نُه چیز برداشته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فراموشی و نادانسته و ناتوانسته و اضطرار به امری و بدبینی و تفأل و اندیشه در آفرینش تا آن‌گاه که به زبان نیامده‌است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فقیهان از همه این آیه‌ها و حدیثها قاعده اضطرار را استخراج کرده‌اند، که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مما حرم‌اللّه الا و قد احله لمن اضطر الیه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باشد که در حقوق اروپایی نیز به حق ضرورت معروف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این‌که در شرع خوردن مردار حرام است اما اگر کسی به علتهای طبیعی یا شخصی به خوردنی و نوشیدنی حلال دسترسی نداشته و در معرض مرگ باشد می‌تواند به اندازه رفع نیاز از آن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ضرورت کرد مرداری مباح</w:t>
      </w:r>
    </w:p>
    <w:p>
      <w:pPr>
        <w:pStyle w:val="BookText"/>
        <w:rPr/>
      </w:pPr>
      <w:r>
        <w:rPr>
          <w:rFonts w:ascii="IRNazanin" w:hAnsi="IRNazanin" w:eastAsia="IRNazanin"/>
          <w:color w:val="111111"/>
          <w:sz w:val="28"/>
          <w:sz w:val="28"/>
          <w:szCs w:val="28"/>
          <w:rtl w:val="true"/>
          <w:lang w:bidi="fa-IR"/>
        </w:rPr>
        <w:t>بس فسادی کز ضرورت شد صلاح</w:t>
      </w:r>
    </w:p>
    <w:p>
      <w:pPr>
        <w:pStyle w:val="BookText"/>
        <w:rPr/>
      </w:pPr>
      <w:r>
        <w:rPr>
          <w:rFonts w:ascii="IRNazanin" w:hAnsi="IRNazanin" w:eastAsia="IRNazanin"/>
          <w:color w:val="111111"/>
          <w:sz w:val="28"/>
          <w:sz w:val="28"/>
          <w:szCs w:val="28"/>
          <w:rtl w:val="true"/>
          <w:lang w:bidi="fa-IR"/>
        </w:rPr>
        <w:t>همچنین هرگاه راننده‌ای برای احتراز از زیر گرفتن عابر پیاده ناچار از انحراف به چپ و تخلف از مقررات راهنمایی و رانندگی شود در حالت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کشور بلژیک در حکم مورخه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باستناد اضطرار مرتکبان جعل در اسناد رسمی و استفاده کنندگان از اسناد مجعول را در خور کیفر ندانسته است گزارش کار از این قرار بوده که در زمان جنگ آلمانیها بموجب فرمانهایی اهالی سرزمینهای اشغال شده بلژیک و فرانسه را به کار اجباری فرا می‌خواندند و به تبعید و زجر و کشتار یهودیان می‌پرداختند، مقامهای صلاحیتدار محلی به منظور نجات مردم از بیگاری و رهایی یهودیان از چنگ دشمن، شناسنامه‌های خلاف واقع برایشان جعل می‌کردند و به دست آنان می‌دادند، بعدها این قبیل اشخاص تحت تعقیب قانونی قرار گرفتند و کار به دیوان کشور کشید، دیوان کشور در حکم خود چنین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مقرارت قانون در مورد بحث مربوط به نظم عمومی است اما بیش از این اقتضا ندارد که کسی نباید به قصد تقلب و اضرار به غیر نام ساختگی اختیار کند، چون مرتکبان در عمل خود چنین قصدی نداشته‌اند بلکه درحال اجبار و اضطرار بدین کار مبادرت ورزیده‌اند بنابراین قابل تعقیب و مجازات نیستند</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دیگری از یکی از دادگاههای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که باجبار وسیله فرار سارقان بانک را فراهم کرده به علت اجبار روحی و اضطرار قابل مجازات نیست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ارتکاب ضرر اقل و اخص برای‌جلوگیری از ضرر اکثر و اعم یکی از اصول عقلی‌وعرفی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جزیی از برای نفع عام</w:t>
      </w:r>
    </w:p>
    <w:p>
      <w:pPr>
        <w:pStyle w:val="BookText"/>
        <w:rPr/>
      </w:pPr>
      <w:r>
        <w:rPr>
          <w:rFonts w:ascii="IRNazanin" w:hAnsi="IRNazanin" w:eastAsia="IRNazanin"/>
          <w:color w:val="111111"/>
          <w:sz w:val="28"/>
          <w:sz w:val="28"/>
          <w:szCs w:val="28"/>
          <w:rtl w:val="true"/>
          <w:lang w:bidi="fa-IR"/>
        </w:rPr>
        <w:t>شرع رخصت می‌دهد بگذار گام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تزاحم دو مصلحت، طبق حکومت عقل، باید آن شر که ضررش کمتر است بخاطر خودداری از شری که زیانش بیشتر است و ضرر خاص در برابر ضرر عام 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263" w:name="pg7474_109348"/>
    </w:p>
    <w:p>
      <w:pPr>
        <w:pStyle w:val="BookText"/>
        <w:rPr/>
      </w:pPr>
      <w:bookmarkEnd w:id="263"/>
      <w:r>
        <w:rPr>
          <w:rFonts w:ascii="IRNazanin" w:hAnsi="IRNazanin" w:eastAsia="IRNazanin"/>
          <w:color w:val="111111"/>
          <w:sz w:val="28"/>
          <w:sz w:val="28"/>
          <w:szCs w:val="28"/>
          <w:rtl w:val="true"/>
          <w:lang w:bidi="fa-IR"/>
        </w:rPr>
        <w:t>اگر دو ضرر برابر باشد بنحوی که از همه جهات نتوان نفع و ضرر را تشخیص داد، در اینجا حالت اضطرار و اجبار موردی ندارد و شخص مختار است که هریک از آن دو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ابوحنیفه عرف مسلم را که با شرع ناسازگار باشد در صورت وجود اضطرار بر نص مقدم می‌دارند، فروش میوه درخت که بخشی به صورت میوه و بقیه بصورت گل و چغاله است بعلت مجهول بودن مبیع باطل است، اما در قرون اولیه عرف مردم فروش این‌گونه میوه را جایز می‌شمرد، مبنای عرف، عسر و حرج بود، بنابراین حنفیان به صحت آن رأی دادند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قاعده اضطرار را از مصادیق حسن و قبح عقلی و از مستقلات عقلی دانسته‌اند لکن برخی که مخالف مکتب عقلی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قاعده اضطرار را از نصوص قانونی که قرآن و سنت است، استخراج کرده‌ایم نه از عقل، عقل‌گرایان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نصوص مذکور جنبه اعلامی دارد نه تاسیسی، یعنی شارع، همان حکم عقلی را در نص گنجانیده است و اگر این نصوص هم نمی‌بود حکم عقل ما را به استخراج این قواعد راهنمایی می‌کرد</w:t>
      </w:r>
      <w:r>
        <w:rPr>
          <w:rFonts w:eastAsia="IRNazanin" w:cs="IRNazanin"/>
          <w:color w:val="111111"/>
          <w:sz w:val="28"/>
          <w:szCs w:val="28"/>
          <w:rtl w:val="true"/>
          <w:lang w:bidi="fa-IR"/>
        </w:rPr>
        <w:t>.</w:t>
      </w:r>
    </w:p>
    <w:p>
      <w:pPr>
        <w:pStyle w:val="Heading5"/>
        <w:numPr>
          <w:ilvl w:val="4"/>
          <w:numId w:val="1"/>
        </w:numPr>
        <w:rPr/>
      </w:pPr>
      <w:bookmarkStart w:id="264" w:name="__RefHeading___Toc2150899_1051229030"/>
      <w:bookmarkStart w:id="265" w:name="_Toc97"/>
      <w:bookmarkEnd w:id="264"/>
      <w:r>
        <w:rPr/>
        <w:t>2</w:t>
      </w:r>
      <w:r>
        <w:rPr>
          <w:rtl w:val="true"/>
        </w:rPr>
        <w:t xml:space="preserve">- </w:t>
      </w:r>
      <w:r>
        <w:rPr>
          <w:rtl w:val="true"/>
        </w:rPr>
        <w:t>حدیث لاضرر</w:t>
      </w:r>
      <w:bookmarkEnd w:id="265"/>
    </w:p>
    <w:p>
      <w:pPr>
        <w:pStyle w:val="BookText"/>
        <w:rPr/>
      </w:pPr>
      <w:r>
        <w:rPr>
          <w:rFonts w:ascii="IRNazanin" w:hAnsi="IRNazanin" w:eastAsia="IRNazanin"/>
          <w:color w:val="111111"/>
          <w:sz w:val="28"/>
          <w:sz w:val="28"/>
          <w:szCs w:val="28"/>
          <w:rtl w:val="true"/>
          <w:lang w:bidi="fa-IR"/>
        </w:rPr>
        <w:t>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لاضرار فی‌الاسلام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زیان دیدن و زیان رسانیدن در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حدیث متواتر است و برخی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درباره آن آورده‌اند و همچنین حدیث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یضر بطریق المسلمین فصاحبه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در مسیر مردم زیانی را سبب شود صاحب آن ضامن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لاضرر را به عنوان این که او نبی و پیامبر و حامل وحی است نفرمود بلکه آن را به عنوان این که او قاضی و رئیس و حاکم مردم مدینه است انشاء فرمود، حضرت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حدیث لاضرر را از احکام حکومتی می‌داند، پس با این ترتیب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حکمی است که برای رفع مشکلی در زمان خود پیامبر به مرحله اجرا درآمده لذا ما از آن فقط برای حل مشکلات مقطعی می‌توانیم استفاده کنیم، لکن از آن نمی‌توانیم به عنوان مثلاً دلیل و مدرک برای خیار غبن استفاده کنیم، چرا؟ چون لاضرر قاعده و اصل فقهی نیست بلکه حکم حکومتی است و ما با توجه به شأن نزول حدیث و انگیزه‌ای </w:t>
      </w:r>
    </w:p>
    <w:p>
      <w:pPr>
        <w:pStyle w:val="BookText"/>
        <w:rPr/>
      </w:pPr>
      <w:r>
        <w:rPr>
          <w:rFonts w:ascii="IRNazanin" w:hAnsi="IRNazanin" w:eastAsia="IRNazanin"/>
          <w:color w:val="111111"/>
          <w:sz w:val="28"/>
          <w:sz w:val="28"/>
          <w:szCs w:val="28"/>
          <w:rtl w:val="true"/>
          <w:lang w:bidi="fa-IR"/>
        </w:rPr>
        <w:t>که در صدور آن بوده این مطلب را استنباط می‌کنیم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آرای گوناگونی که درباره این حدیث آمده چنین برمی‌آید که هرگونه خسارت چه مادی و چه معنوی باید جبران شود، در حقوق غربی نیز این قاعده آمده‌است، اگر فردی بواسطه اعمالش به منافع دیگران لطمه بزند او را در برابر جامعه مسؤول دانسته‌اند و گفته‌اند که خسارت مادی و معنوی زیان دیده را باید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حق برای اجتماع حدودی دارد مثلا در حرفه‌ای که شاغل فراوان دارد اگر کسی سرآمد دیگران شود و بر اقران پیشی گیرد، موجب زیان دیگران شده‌است، هواداران آزادی اقتصاد، این زیان را به سود جامعه می‌شمارند و زیان‌دیدگان را مستحق مطالبه خسارت نمی‌دانند مگر آن‌که سود به وسایل نامشروع از قبیل فریبکاری و تقلب و زور به دست آمده باشد، اما مخالفان مکتب آزادی اقتصادی، فرد را در برابر جامعه مسؤول می‌دانند و وادار کردن او به جبران زیان وارده را مشروع تلقی می‌کنند، تفصیل دلیلهای دو طرف بدرازا می‌کشد وازین‌رو از آن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مصادیق لاضرر برای روشن شدن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قاعده لاضرر، اگر فروشنده با دسترسی به مبیع از تحویل آن به خریدار خودداری کند، و به دریافت ثمن معامله نیز اقرار داشته باشد، باید خسارت ناشی از تاخیر تحویل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مشتری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نمی‌تواند در ملک خود تصرفی کند که مستلزم تضرر همسایه شود مگر تصرفی که به قدر متعارف و برای رفع حاجت یا رفع ضرر از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هیچ‌یک از شرکا نمی‌تواند دیگری را اجبار بر بنا و تعمیر دیوار مشترک نماید مگر این‌که دفع ضرر به نحو دیگر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مراجعه شود به مواد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که همگی حاوی مسائلی درباره قاعده لاضررند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سؤال شود که قاعده لاضرر بموجب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تمسکوهن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bookmarkStart w:id="266" w:name="pg7474_109350"/>
    </w:p>
    <w:p>
      <w:pPr>
        <w:pStyle w:val="BookText"/>
        <w:rPr/>
      </w:pPr>
      <w:bookmarkEnd w:id="266"/>
      <w:r>
        <w:rPr>
          <w:rFonts w:ascii="IRNazanin" w:hAnsi="IRNazanin" w:eastAsia="IRNazanin"/>
          <w:color w:val="111111"/>
          <w:sz w:val="28"/>
          <w:sz w:val="28"/>
          <w:szCs w:val="28"/>
          <w:rtl w:val="true"/>
          <w:lang w:bidi="fa-IR"/>
        </w:rPr>
        <w:t>حجت است بنابراین قاعده‌ای عقلی نیست؟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حدیث لاضرر آن‌چنان نصی نیست که عقل به آن پی نبرد بنابراین یک قاعده عقلی است، مکتبهای مخالف عقل، این استدلال را نمی‌پذیرند و نزاع همچنان باقی است</w:t>
      </w:r>
      <w:r>
        <w:rPr>
          <w:rFonts w:eastAsia="IRNazanin" w:cs="IRNazanin"/>
          <w:color w:val="111111"/>
          <w:sz w:val="28"/>
          <w:szCs w:val="28"/>
          <w:rtl w:val="true"/>
          <w:lang w:bidi="fa-IR"/>
        </w:rPr>
        <w:t>.</w:t>
      </w:r>
    </w:p>
    <w:p>
      <w:pPr>
        <w:pStyle w:val="Heading5"/>
        <w:numPr>
          <w:ilvl w:val="4"/>
          <w:numId w:val="1"/>
        </w:numPr>
        <w:rPr/>
      </w:pPr>
      <w:bookmarkStart w:id="267" w:name="__RefHeading___Toc2150901_1051229030"/>
      <w:bookmarkStart w:id="268" w:name="_Toc98"/>
      <w:bookmarkEnd w:id="267"/>
      <w:r>
        <w:rPr/>
        <w:t>3</w:t>
      </w:r>
      <w:r>
        <w:rPr>
          <w:rtl w:val="true"/>
        </w:rPr>
        <w:t xml:space="preserve">- </w:t>
      </w:r>
      <w:r>
        <w:rPr>
          <w:rtl w:val="true"/>
        </w:rPr>
        <w:t>اباحه عقلی</w:t>
      </w:r>
      <w:bookmarkEnd w:id="268"/>
    </w:p>
    <w:p>
      <w:pPr>
        <w:pStyle w:val="BookText"/>
        <w:rPr/>
      </w:pPr>
      <w:r>
        <w:rPr>
          <w:rFonts w:ascii="IRNazanin" w:hAnsi="IRNazanin" w:eastAsia="IRNazanin"/>
          <w:color w:val="111111"/>
          <w:sz w:val="28"/>
          <w:sz w:val="28"/>
          <w:szCs w:val="28"/>
          <w:rtl w:val="true"/>
          <w:lang w:bidi="fa-IR"/>
        </w:rPr>
        <w:t>اگر فعل یا ترک فعلی مطابق عقل دارای حسن و قبح عقلی نباشد، اراده آدمی نسبت به انجام یا عدم انجام آن آزاد است، این قاعده‌ای عقلی است اما مکتبهای مخالف دلیل عقل می‌گوید اباحه عقلی را نص بیان کرده‌است و از جمله دلیل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روی زمین و درون آن است برای شما آفریده شده‌است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احل اللّه فهو حلال و ما حرم فهو حرام و ما سکت عنه فهو عفو فاقبلوا من اللّه عافیته فان اللّه لم یکن ینسی‌ء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حلال یا حرام کرد که حلال و حرام است اما آنچه را به سکوت برگزار کرده‌است شما را از تکلیف و تعهد نسبت به آن معاف کرده‌است، آن را به همین صورت پذیرا شوید خدا چیزی را فراموش نکرده‌است</w:t>
      </w:r>
      <w:r>
        <w:rPr>
          <w:rFonts w:eastAsia="IRNazanin" w:cs="IRNazanin"/>
          <w:color w:val="111111"/>
          <w:sz w:val="28"/>
          <w:szCs w:val="28"/>
          <w:rtl w:val="true"/>
          <w:lang w:bidi="fa-IR"/>
        </w:rPr>
        <w:t>.</w:t>
      </w:r>
      <w:r>
        <w:rPr>
          <w:rStyle w:val="FootnoteAnchor"/>
          <w:rtl w:val="true"/>
        </w:rPr>
        <w:footnoteReference w:id="180"/>
      </w:r>
      <w:bookmarkStart w:id="269" w:name="pg7474_109351"/>
    </w:p>
    <w:p>
      <w:pPr>
        <w:pStyle w:val="Heading3"/>
        <w:numPr>
          <w:ilvl w:val="2"/>
          <w:numId w:val="1"/>
        </w:numPr>
        <w:rPr/>
      </w:pPr>
      <w:bookmarkStart w:id="270" w:name="__RefHeading___Toc2150903_1051229030"/>
      <w:bookmarkStart w:id="271" w:name="_Toc99"/>
      <w:bookmarkEnd w:id="269"/>
      <w:bookmarkEnd w:id="270"/>
      <w:r>
        <w:rPr>
          <w:rtl w:val="true"/>
        </w:rPr>
        <w:t xml:space="preserve">گفتار پنجم </w:t>
      </w:r>
      <w:r>
        <w:rPr>
          <w:rtl w:val="true"/>
        </w:rPr>
        <w:t>:</w:t>
      </w:r>
      <w:r>
        <w:rPr>
          <w:rtl w:val="true"/>
        </w:rPr>
        <w:t xml:space="preserve">اصلهای عملی </w:t>
      </w:r>
      <w:r>
        <w:rPr>
          <w:rtl w:val="true"/>
        </w:rPr>
        <w:t>(</w:t>
      </w:r>
      <w:r>
        <w:rPr>
          <w:rtl w:val="true"/>
        </w:rPr>
        <w:t>فرضهای قانونی</w:t>
      </w:r>
      <w:r>
        <w:rPr>
          <w:rtl w:val="true"/>
        </w:rPr>
        <w:t>)</w:t>
      </w:r>
      <w:bookmarkEnd w:id="271"/>
    </w:p>
    <w:p>
      <w:pPr>
        <w:pStyle w:val="Heading4"/>
        <w:numPr>
          <w:ilvl w:val="3"/>
          <w:numId w:val="1"/>
        </w:numPr>
        <w:rPr/>
      </w:pPr>
      <w:bookmarkStart w:id="272" w:name="__RefHeading___Toc2150905_1051229030"/>
      <w:bookmarkStart w:id="273" w:name="_Toc100"/>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در حقوق غربی فرض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یک پدیده یا حالت مغایر واقع به منظور استنتاج بعضی از نتایج حقوقی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فرضهای قانونی یا اصلهای عملی در فقه امامیه بخصوص در سه قرن اخیر گسترش پردامنه‌ای یافته‌است، ازطرفی به لحاظ دوری از اشتغال به کار قضایی، این توسعه شگفت‌انگیز با ضعف تمثیل همراه است و از سوی دیگر ابهام پر ملال آن جنبه کاربردی آنها را بسیار کاهش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اصول عملی در فقه از جمله هنگامی است که پای شک و تردید به میان آید، والا آن‌جا که پای قطع و یقین و حتی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است، جای استدلال و دلیل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باید معنی چند واژه روشن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یا یقین حالتی نفسانی است که احتمال خلاف و خطا در آن نرود، عمل بر طبق یقین، به ضرورت عقل واجب است، زیرا عقل حجتی باطنی و ذاتی است، در این‌جا به این نکته اشاره می‌شود که مقصود از قطع و یقین در حقوق، قطع و یقین فلسفی یا ریاضی نیست، در حقوق نباید بیهوده فرصت را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همین‌که اطمینان نسبت به موضوعی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باید به آن عمل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یا گمان حالتی نفسانی است که احتمال خلاف در آن داده می‌شود لکن یک طرف بر طرف دیگر رجحان دارد، طرفی را که برتری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اصولیان با استناد به ادله عقلی و شرعی برخی از ظنون را معتبر دانسته و آنها را ظن خاص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مالکیت است طبق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به عنوان مالکیت، دلیل مالکیت است مگر این‌که خلاف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 که حجت از تو غایب است</w:t>
      </w:r>
    </w:p>
    <w:p>
      <w:pPr>
        <w:pStyle w:val="BookText"/>
        <w:rPr/>
      </w:pPr>
      <w:r>
        <w:rPr>
          <w:rFonts w:ascii="IRNazanin" w:hAnsi="IRNazanin" w:eastAsia="IRNazanin"/>
          <w:color w:val="111111"/>
          <w:sz w:val="28"/>
          <w:sz w:val="28"/>
          <w:szCs w:val="28"/>
          <w:rtl w:val="true"/>
          <w:lang w:bidi="fa-IR"/>
        </w:rPr>
        <w:t>ظن بود حجت که حکم غالب است</w:t>
      </w:r>
    </w:p>
    <w:p>
      <w:pPr>
        <w:pStyle w:val="BookText"/>
        <w:rPr/>
      </w:pPr>
      <w:r>
        <w:rPr>
          <w:rFonts w:ascii="IRNazanin" w:hAnsi="IRNazanin" w:eastAsia="IRNazanin"/>
          <w:color w:val="111111"/>
          <w:sz w:val="28"/>
          <w:sz w:val="28"/>
          <w:szCs w:val="28"/>
          <w:rtl w:val="true"/>
          <w:lang w:bidi="fa-IR"/>
        </w:rPr>
        <w:t xml:space="preserve">ظن خاص یا اماره برای حل مجهولهای قضایی به حد کافی دراختیار قاضی نیست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فرضهای قانونی را ابداع کرده‌اند، لکن بنظر می‌رسد فرضهای قانونی در حقوق غربی وسعت و دامنه پژوهشهای مکتب حقوقی ما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حالتی نفسانی است که ذهن میان دو یا چند احتمال قرار گیرد و به هیچ‌یک از آنها گرایش پیدا نکند، دو جانب احتمال برابرند، و آدمی ناتوان از تصمیم‌گیری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چشم بسته برگزیند، ترجیح بلا مرجع لازم می‌آید و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چون اکثر این اصول برپایه عقل استوارند، از این حیث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ازجهت این‌که به طور مستقیم مبنای عملی مردمند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حقوق اروپایی از جهت این‌که از فرض یک حالت مغایر با واقع ممکن است استنتاج شده باشند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فرضهای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اختلاف و تمایز میان اصول عملی با ادله شرعی و امارات آن است که مفاد ادله چه قطعی و چه ظنی از احکام واقعی هستند درحالی که اصول عملی به هیچ‌وجه جنبه ارائه و بیان واقع ندارند اصول عملی یا عقلی که مورد تایید شرع است نه کاشف از واقع و نه طریق به سوی واقعند، بلکه تنها برای رفع سرگردانی و بلاتکلیفی وضع شده‌اند و از این‌رو مفاد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 برای روشن شدن مطلب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اشخاص متعدد در یک حادثه تلف شوند فرض براین می‌شود که همه آنها در آن واحد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زلزله خانه‌ای ویران می‌شود، فرض ماده اینست که همه با هم مرده‌اند و کسی پیش از دیگری نمرده تا از او ارث ببرد، بروشنی معلوم است که این فرض هرگز با واقع امر هماهنگ نیست و علم و یقین پدید نمی‌آورد واقع چیز دیگری است لکن این دستور برای رفع بلاتکلیفی قاضی و مردم، ارزنده است</w:t>
      </w:r>
      <w:r>
        <w:rPr>
          <w:rFonts w:eastAsia="IRNazanin" w:cs="IRNazanin"/>
          <w:color w:val="111111"/>
          <w:sz w:val="28"/>
          <w:szCs w:val="28"/>
          <w:rtl w:val="true"/>
          <w:lang w:bidi="fa-IR"/>
        </w:rPr>
        <w:t xml:space="preserve">. </w:t>
      </w:r>
      <w:bookmarkStart w:id="274" w:name="pg7474_109353"/>
    </w:p>
    <w:p>
      <w:pPr>
        <w:pStyle w:val="BookText"/>
        <w:rPr/>
      </w:pPr>
      <w:bookmarkEnd w:id="27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درصورتی که حق یا دینی برعهده کسی ثابت شد اصل بقای آن است مگر این‌که خلافش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دین ثابت شد، مگر مدیون دین خود را نمی‌دهد؟ چرا اصل، بقای دین باشد؟ ماده، مجهولی را معلوم نمی‌کند، چون مدیون ادعا کرده که دین خود را پرداخته لکن سفته یا قبض را نگرفته است و دلیلی هم بر این ادعا ندارد، شاید هم راست بگوید، لکن قانون به دادرس دستور می‌دهد و او را از بن‌بست شک بیرون می‌آورد؛ می‌گوید به ادعای بی‌دلیل اعتنا مکن، حکم قاضی در این قضیه یک حکم ظاهری است نه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دو زمین در دو طرف نهر محاذی هم واقع شوند و حق تقدم یکی بر دیگری محرز نباشد و هر دو در یک زمان بخواهند آب ببرند و آب کافی برای هر دو نباشد باید برای تقدم و تاخر در بردن آب به نسبت حصه قرعه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زدن، یک دستور است، ممکن است با واقع منطبق نباشد لکن برای رفع سرگردانی وضع شده و در عمل بسیار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معامله که واقع شده باشد محمول بر صحت است مگر این‌که فساد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هم مجهولی را معلوم نمی‌کند، اساس آن بر قاعده غلبه گذاشته شده و برای رفع سرگردانی وضع شده‌است و به اصاله‌الصحه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مثالهای بالا یک فرض قانونی یا اصل عملی وجود دارد که در همه آنها نه کشف واقع موردنظر است و نه حتی راهی به سوی آن، بلکه تدبیری است برای رفع سرگردانی در مشکلهای قضایی</w:t>
      </w:r>
      <w:r>
        <w:rPr>
          <w:rFonts w:eastAsia="IRNazanin" w:cs="IRNazanin"/>
          <w:color w:val="111111"/>
          <w:sz w:val="28"/>
          <w:szCs w:val="28"/>
          <w:rtl w:val="true"/>
          <w:lang w:bidi="fa-IR"/>
        </w:rPr>
        <w:t>.</w:t>
      </w:r>
    </w:p>
    <w:p>
      <w:pPr>
        <w:pStyle w:val="Heading4"/>
        <w:numPr>
          <w:ilvl w:val="3"/>
          <w:numId w:val="1"/>
        </w:numPr>
        <w:rPr/>
      </w:pPr>
      <w:bookmarkStart w:id="275" w:name="__RefHeading___Toc2150907_1051229030"/>
      <w:bookmarkStart w:id="276" w:name="_Toc101"/>
      <w:bookmarkEnd w:id="275"/>
      <w:r>
        <w:rPr>
          <w:rtl w:val="true"/>
        </w:rPr>
        <w:t>اقسام اصول عملی</w:t>
      </w:r>
      <w:bookmarkEnd w:id="276"/>
    </w:p>
    <w:p>
      <w:pPr>
        <w:pStyle w:val="Heading5"/>
        <w:numPr>
          <w:ilvl w:val="4"/>
          <w:numId w:val="1"/>
        </w:numPr>
        <w:rPr/>
      </w:pPr>
      <w:bookmarkStart w:id="277" w:name="__RefHeading___Toc2150909_1051229030"/>
      <w:bookmarkStart w:id="278" w:name="_Toc102"/>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اصول عملی بر چهار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یا قاعده اشتغال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تقسیم‌بندی از یک حصر عقلی کشف شده که از تفصیل آن خودداری می‌شود همین‌قدر اشاره می‌شود که اگر در مسأله‌ای شک شود و امر میان دو یا چند احتمال قرار گیرد و یکی را بر دیگری رجحان نباشد، از دو حال بیرون نیست، یا حالت گذشته این شک معلوم است و حالت ثانوی و عارضی آن مشکوک است، در این‌حال وضع سابق معتبر است و فرض قانونی را بر بقای حالت سابقه می‌گذارند و به شک ثانوی اعتنا نمی‌کنند، این قاعده عملی را استصحاب گویند و می‌گویند شک نمی‌تواند یقین ما را بر هم بزند بلکه یقین باید تا یقین گذشته را به هم بزند پس در </w:t>
      </w:r>
      <w:bookmarkStart w:id="279" w:name="pg7474_109354"/>
    </w:p>
    <w:p>
      <w:pPr>
        <w:pStyle w:val="BookText"/>
        <w:rPr/>
      </w:pPr>
      <w:bookmarkEnd w:id="279"/>
      <w:r>
        <w:rPr>
          <w:rFonts w:ascii="IRNazanin" w:hAnsi="IRNazanin" w:eastAsia="IRNazanin"/>
          <w:color w:val="111111"/>
          <w:sz w:val="28"/>
          <w:sz w:val="28"/>
          <w:szCs w:val="28"/>
          <w:rtl w:val="true"/>
          <w:lang w:bidi="fa-IR"/>
        </w:rPr>
        <w:t>استصحاب شک ثانوی و در سه اصل دیگر شک ابتدایی است</w:t>
      </w:r>
      <w:r>
        <w:rPr>
          <w:rStyle w:val="FootnoteAnchor"/>
          <w:rtl w:val="true"/>
        </w:rPr>
        <w:footnoteReference w:id="182"/>
      </w:r>
      <w:r>
        <w:rPr>
          <w:rFonts w:ascii="IRNazanin" w:hAnsi="IRNazanin" w:eastAsia="IRNazanin"/>
          <w:color w:val="111111"/>
          <w:sz w:val="28"/>
          <w:sz w:val="28"/>
          <w:szCs w:val="28"/>
          <w:rtl w:val="true"/>
          <w:lang w:bidi="fa-IR"/>
        </w:rPr>
        <w:t>اکنون به شرح کوتاهی درباره دو اصل از این اصول چهارگانه می‌پردازیم</w:t>
      </w:r>
      <w:r>
        <w:rPr>
          <w:rFonts w:eastAsia="IRNazanin" w:cs="IRNazanin"/>
          <w:color w:val="111111"/>
          <w:sz w:val="28"/>
          <w:szCs w:val="28"/>
          <w:rtl w:val="true"/>
          <w:lang w:bidi="fa-IR"/>
        </w:rPr>
        <w:t>:</w:t>
      </w:r>
    </w:p>
    <w:p>
      <w:pPr>
        <w:pStyle w:val="Heading5"/>
        <w:numPr>
          <w:ilvl w:val="4"/>
          <w:numId w:val="1"/>
        </w:numPr>
        <w:rPr/>
      </w:pPr>
      <w:bookmarkStart w:id="280" w:name="__RefHeading___Toc2150911_1051229030"/>
      <w:bookmarkStart w:id="281" w:name="_Toc103"/>
      <w:bookmarkEnd w:id="280"/>
      <w:r>
        <w:rPr/>
        <w:t>1</w:t>
      </w:r>
      <w:r>
        <w:rPr>
          <w:rtl w:val="true"/>
        </w:rPr>
        <w:t xml:space="preserve">- </w:t>
      </w:r>
      <w:r>
        <w:rPr>
          <w:rtl w:val="true"/>
        </w:rPr>
        <w:t>اصل برائت</w:t>
      </w:r>
      <w:bookmarkEnd w:id="281"/>
    </w:p>
    <w:p>
      <w:pPr>
        <w:pStyle w:val="Heading6"/>
        <w:numPr>
          <w:ilvl w:val="5"/>
          <w:numId w:val="1"/>
        </w:numPr>
        <w:rPr/>
      </w:pPr>
      <w:bookmarkStart w:id="282" w:name="__RefHeading___Toc2150913_1051229030"/>
      <w:bookmarkStart w:id="283" w:name="_Toc104"/>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چند ماده از قوانین ما این اصل را دربر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دادرسی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برائت است بنابراین اگر کسی مدعی حقی یا دینی بر دیگری باشد باید آن‌را اثبات کند والا طبق این اصل حکم به برائت مدعی علیه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مدعی حقی باشد باید آن‌را اثبات کند و مدعی علیه هرگاه در مقام دفاع، مدعی امری شود که محتاج به دلیل باشد اثبات امر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ماده بالا اصل برائت 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 خود را اثبات کند، مفاد اصل برائت از بدیهیات عقلی است</w:t>
      </w:r>
      <w:r>
        <w:rPr>
          <w:rFonts w:eastAsia="IRNazanin" w:cs="IRNazanin"/>
          <w:color w:val="111111"/>
          <w:sz w:val="28"/>
          <w:szCs w:val="28"/>
          <w:rtl w:val="true"/>
          <w:lang w:bidi="fa-IR"/>
        </w:rPr>
        <w:t>.</w:t>
      </w:r>
    </w:p>
    <w:p>
      <w:pPr>
        <w:pStyle w:val="Heading6"/>
        <w:numPr>
          <w:ilvl w:val="5"/>
          <w:numId w:val="1"/>
        </w:numPr>
        <w:rPr/>
      </w:pPr>
      <w:bookmarkStart w:id="284" w:name="__RefHeading___Toc2150915_1051229030"/>
      <w:bookmarkStart w:id="285" w:name="_Toc105"/>
      <w:bookmarkEnd w:id="284"/>
      <w:r>
        <w:rPr>
          <w:rtl w:val="true"/>
        </w:rPr>
        <w:t>دلایل اصل برائت</w:t>
      </w:r>
      <w:r>
        <w:rPr>
          <w:rtl w:val="true"/>
        </w:rPr>
        <w:t>:</w:t>
      </w:r>
      <w:bookmarkEnd w:id="28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به وسیله پیامبران احکام را ابلاغ نکرده‌ایم کسی را مجازات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می‌شود و مفاد آن در اصول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آمده‌است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رسد شما را و چه عذر است شما را که از آنچه بنام خدا ذبح شده نمی‌خورید؟ درصورتی که آنچه بر شما خوردن آن حرام شده بتفصیل آمده‌است</w:t>
      </w:r>
      <w:r>
        <w:rPr>
          <w:rFonts w:eastAsia="IRNazanin" w:cs="IRNazanin"/>
          <w:color w:val="111111"/>
          <w:sz w:val="28"/>
          <w:szCs w:val="28"/>
          <w:rtl w:val="true"/>
          <w:lang w:bidi="fa-IR"/>
        </w:rPr>
        <w:t xml:space="preserve">». </w:t>
      </w:r>
      <w:bookmarkStart w:id="286" w:name="pg7474_109355"/>
    </w:p>
    <w:p>
      <w:pPr>
        <w:pStyle w:val="BookText"/>
        <w:rPr/>
      </w:pPr>
      <w:bookmarkEnd w:id="28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هیچ قومی را گمراه نمی‌کند مگر آن‌که موارد اجتناب و پرهیز را از پیش برایشان تشریح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هیچکس مگر باندازه توانش تکلیفی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ضمنی دلالت بر اصل برائت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رواست تا زمانی که در آن نهیی نرسیده باشد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حلال است تا زمانی که حرمت آن‌را بشناسی</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که خدا از بندگان خود پوشیده داشته و حکمش را بیان نفرموده آن چیز از حساب مردم کنار گذاشته خواهد شد و مباح است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قبیل حدیثها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اصل برائت عقل نیز حکم می‌کند و اگر نصوص قرآنی و حدیثی هم نمی‌بود ما آن‌را از عقل که حجتی باطنی است فرامی‌گرفتیم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مدعی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برائت شده و آن‌را از ضروریات مذهب امامیه دانسته‌اند</w:t>
      </w:r>
      <w:r>
        <w:rPr>
          <w:rFonts w:eastAsia="IRNazanin" w:cs="IRNazanin"/>
          <w:color w:val="111111"/>
          <w:sz w:val="28"/>
          <w:szCs w:val="28"/>
          <w:rtl w:val="true"/>
          <w:lang w:bidi="fa-IR"/>
        </w:rPr>
        <w:t>!</w:t>
      </w:r>
    </w:p>
    <w:p>
      <w:pPr>
        <w:pStyle w:val="Heading6"/>
        <w:numPr>
          <w:ilvl w:val="5"/>
          <w:numId w:val="1"/>
        </w:numPr>
        <w:rPr/>
      </w:pPr>
      <w:bookmarkStart w:id="287" w:name="__RefHeading___Toc2150917_1051229030"/>
      <w:bookmarkStart w:id="288" w:name="_Toc106"/>
      <w:bookmarkEnd w:id="287"/>
      <w:r>
        <w:rPr>
          <w:rtl w:val="true"/>
        </w:rPr>
        <w:t>دلایل اخباری‌ها در بطلان اصل برائت</w:t>
      </w:r>
      <w:r>
        <w:rPr>
          <w:rtl w:val="true"/>
        </w:rPr>
        <w:t>:</w:t>
      </w:r>
      <w:bookmarkEnd w:id="28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بدان آگاهی نداری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نمی‌دانید مگویید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درباره امری اختلاف کردید آنرا بخدا و رسولش ارجاع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اخباری‌ها می‌گویند طبق سه آیه بالا، در امور مشتبه، چون به حکم واقعی علم نداریم، نباید اصل برائت را جاری کنیم و حکم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دهیم، باید عمل به احتیاط کنیم، آنان اصل را بر ممنوعیت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 درحالی که مجتهدان اصل بر عدم محرومیت و عدم ممنوعیت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مطلبی بر شما مشتبه شد، توقف کنید و بما رجوع نمایید تا برای شما آنچه را که خدا فرموده تشریح کنیم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بر سه دسته‌اند، آن‌که حق بودنش آشکار است، از آن پیروی کن، آنکه بطلانش آشکار است، از آن دوری کن، آن‌که در آن اختلاف است، در آن به خدا رجوع کن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ایستادن در امور مشتبه بهتر است از سقوط در مهلکه‌ها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از کاری که احتمال حرمت در آن می‌رود یا حکمش مجهول است، به حکم </w:t>
      </w:r>
      <w:bookmarkStart w:id="289" w:name="pg7474_109356"/>
    </w:p>
    <w:p>
      <w:pPr>
        <w:pStyle w:val="BookText"/>
        <w:rPr/>
      </w:pPr>
      <w:bookmarkEnd w:id="289"/>
      <w:r>
        <w:rPr>
          <w:rFonts w:ascii="IRNazanin" w:hAnsi="IRNazanin" w:eastAsia="IRNazanin"/>
          <w:color w:val="111111"/>
          <w:sz w:val="28"/>
          <w:sz w:val="28"/>
          <w:szCs w:val="28"/>
          <w:rtl w:val="true"/>
          <w:lang w:bidi="fa-IR"/>
        </w:rPr>
        <w:t xml:space="preserve">عقل باید دوری کرد، اشتغال یقینی، مبرء یقینی می‌خواهد، برائت یقینی جز با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دلیلهای استنادی هیچ‌یک مستلزم منع عمل به اصل برائت نیست، اصل برائت تنها به دلیل عقل نیست، آیه‌ها و روایتها هم هست، عمل به اصل برائت مثل عمل به آیه‌ها و روایتهاست، صرفنظر از آنچه گفتیم، آیه‌ها و روایتهایی که عمل و اظهارنظر را در مسائل مجهول منع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نمی‌گردد بلکه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درحالی که مراد ما از اصل برائت و اجرای آن، دستورالعمل برای رفع بلاتکلیفی است، درست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یقینی خواستار فراغ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برائت یقینی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ظاهری بنابراین ما هیچ‌گونه اجباری به عمل به احتیاط نداریم</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فراغ یقینی تنها در مورد تکالیفی که اشتغال ذمه نسبت به آنها به اجمال یا تفصیل مسلم باشد جاری است والا جایی که اصل اشتغال مشکوک است نیازی به تحصیل فراغ یقینی نیست</w:t>
      </w:r>
      <w:r>
        <w:rPr>
          <w:rFonts w:eastAsia="IRNazanin" w:cs="IRNazanin"/>
          <w:color w:val="111111"/>
          <w:sz w:val="28"/>
          <w:szCs w:val="28"/>
          <w:rtl w:val="true"/>
          <w:lang w:bidi="fa-IR"/>
        </w:rPr>
        <w:t>.</w:t>
      </w:r>
    </w:p>
    <w:p>
      <w:pPr>
        <w:pStyle w:val="Heading5"/>
        <w:numPr>
          <w:ilvl w:val="4"/>
          <w:numId w:val="1"/>
        </w:numPr>
        <w:rPr/>
      </w:pPr>
      <w:bookmarkStart w:id="290" w:name="__RefHeading___Toc2150919_1051229030"/>
      <w:bookmarkStart w:id="291" w:name="_Toc107"/>
      <w:bookmarkEnd w:id="290"/>
      <w:r>
        <w:rPr/>
        <w:t>2</w:t>
      </w:r>
      <w:r>
        <w:rPr>
          <w:rtl w:val="true"/>
        </w:rPr>
        <w:t xml:space="preserve">- </w:t>
      </w:r>
      <w:r>
        <w:rPr>
          <w:rtl w:val="true"/>
        </w:rPr>
        <w:t xml:space="preserve">اصل استصحاب </w:t>
      </w:r>
      <w:r>
        <w:rPr>
          <w:rtl w:val="true"/>
        </w:rPr>
        <w:t>(</w:t>
      </w:r>
      <w:r>
        <w:rPr>
          <w:rtl w:val="true"/>
        </w:rPr>
        <w:t>اعتبار حالت سابق</w:t>
      </w:r>
      <w:r>
        <w:rPr>
          <w:rtl w:val="true"/>
        </w:rPr>
        <w:t>)</w:t>
      </w:r>
      <w:bookmarkEnd w:id="291"/>
    </w:p>
    <w:p>
      <w:pPr>
        <w:pStyle w:val="BookText"/>
        <w:rPr/>
      </w:pPr>
      <w:r>
        <w:rPr>
          <w:rFonts w:ascii="IRNazanin" w:hAnsi="IRNazanin" w:eastAsia="IRNazanin"/>
          <w:color w:val="111111"/>
          <w:sz w:val="28"/>
          <w:sz w:val="28"/>
          <w:szCs w:val="28"/>
          <w:rtl w:val="true"/>
          <w:lang w:bidi="fa-IR"/>
        </w:rPr>
        <w:t>واژه استصحاب به معنی به همراه داشتن چیزی است و در اصطلاح عبارتست از معتبر شمردن حالت و وضع یقینی سابق که بعدا در بقای آن شک و تردید حاصل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 شک در بقای حکمی از احکام یا موضوعی از موضوعات که دارای حکم است، حکم به باقی بودن حالت پیشین می‌کنند، استصحاب در احکام را استصحاب حکمی و در موضوعات را استصحاب موضوعی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بر اصول عملی دیگر حاکم است لکن اگر اماره شرعی وجود داشته باشد اماره شرعی بر استصحاب حاکم و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سربازی که به جبهه جنگ رفته و با خاتمه یافتن جنگ از مراجعت وی خبری نیست، در اینجا سابقه حیات مسلم است، بقای حیات مشکوک است، در این صورت آیا باید او را فوت شده فرض کنیم و اموال او را به ورثه بدهیم؟ زوجه او می‌تواند شوهر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که بدون ضابطه این رابطه را قطع نکنیم، حیات او را باقی فرض کنیم، به اموالش دست نزنیم، و زوجه‌اش تا مدتی ازدواج نکند، این فرض قانونگذار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استصحاب بر دو امر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وجود 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سابق نیز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عدمی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وجودی بنابراین از این جهت استصحاب بر </w:t>
      </w:r>
    </w:p>
    <w:p>
      <w:pPr>
        <w:pStyle w:val="BookText"/>
        <w:rPr/>
      </w:pP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و وجودی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دادرسی مدنی یک نمونه از آن را دربر دارد؛ ماده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برائت است بنابراین اگر کسی مدعی حقی یا دینی بر دیگری باشد باید آن را اثبات کند والا مطابق این اصل حکم به برائت مدعی علیه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سابق هر دین و حقی عدم است زیرا هیچ حق و دینی ازلی نیست لذا مدعی تا دلیل نیاورد قاضی حق دارد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که مدیون نبودن مدعی علیه است در این ماده معتبر شناخته شده و قاضی باید استصحاب بقای عدم مدیون بودن وی را در صورت عدم اقامه دلیل از جانب مدعی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علیه فقط کافی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دینی به مدعی ندارم، قاضی از مدعی علیه دلیل نمی‌خواهد،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نافی را نفی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 است که بار دلیل آوردن را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والیمین علی من انکر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قدری توضیح داده شود، می‌گویند، همه چیز از سر حد عدم قدم به اقلیم وجود گذاشته و از نیستی به هستی آمده‌است، بنابراین اثبات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دلیل ندارد، بلکه وجود است که بدان نیاز دارد، این معنی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نامگذاری کرده‌اند و بنابراین می‌گویند هرکس مدعی حقی باشد باید آن‌را اثبات کند، ازطرف او که منکر است، کسی دلیل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دادرسی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درصورتی که حق یا دینی برعهده کسی ثابت شد اصل بقای آن است مگر خلافش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بموجب سند معتبر مبلغی به حسین بدهکار است، حسن در دادگاه مدعی پرداخت دین می‌شود، در این حالت در صورتی که دلیلی معتبر بر پرداخت دین به دادگاه ندهد، دادگاه حالت سابق را که مدیون بودن حسن است استصحاب می‌کند و بقای آن را تا زمان حال مستمر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ادعای پرداخت، شک در بقای حالت سابق، برای قاضی ایجاد می‌کند لکن تا این شک بمرحله یقین نرسد نمی‌تواند یقین سابق را از میان ببرد، وانگهی وجود اصل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 چک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ید مدعی ظهور عرفی بر مدیون بودن مدعی علیه دارد، در عرف کسی که دینی را می‌پردازد، اصل مستند را از طرف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متصرف فعلی تصرف سابق خود را اثبات کند تصرف او مستمر محسوب است مگر این‌که انقطاع تصرف در بین ثابت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ماده نیز یک استصحاب وجودی است که به آن استصحاب قهقری نیز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دلایل اعتبار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اعتبار استصحاب عقیده‌های گوناگون است، برخی آن‌را معتبر و بعضی آن‌را باطل دانسته‌اند و عده‌ای نیز قایل به تفصیل شده‌اند ما تنها دلایل طرفداران اعتبار آن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آن است که تا آن زمان که به زوال و نابودی قطعی چیزی که در سابق به آن یقین داشته‌ایم، علم پیدا نکرده‌ایم باید آن‌را همچنان باقی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دوستی که مدتهاست از وی خبری نداریم، نامه‌ای می‌نویسیم، به دلیل آن است که او را زنده فرض می‌کنیم، بازرگانان براساس اعتباری که به امانتداری افراد می‌کنند، برایشان کالا میفرستند، همه اینها استصحاب است، تا آن‌جا که برخی ادعا کرده‌اند که اگر استصحاب نباشد اساس جامعه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امر بنای عقلا حکم می‌دهد نه حکم عقل نظری، که در این‌گونه موارد حکم ندارد و این عقل عملی است که مبنای کار عقلاست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با شک شکسته و گسیخته نمی‌شود، بلکه با یقین دیگر ممکن است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حدیث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ینبغی ان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نیست یقین بوسیله شک گسیخته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علی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 فان 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بر امری یقین داشته باشد و شک بر وی عارض شود باید برطبق یقین خود رفتار کند زیرا شک نمی‌تواند یقین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حدیثها بسیار است یادآوری همه آنها را ضروری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از مسائل فرعی شرعی نسبت به اعتبار استصحاب ادعای حصول اجماع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مدرک استصحاب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آن را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مصلحت‌اندیشی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محقق نائینی استصحاب را از جمله بر فطرت آدمی استوار می‌داند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این نکته لازم بیادآوری است که این اصول از روشهای استنباط هستند نه از مبانی آن و چون ابتکار این اصول، کار عقل و عقل در پدیدآوردن آن نقشی اساسی داشته است ازین‌رو این مبحث را به دنبال منبع عقل آوردیم</w:t>
      </w:r>
      <w:r>
        <w:rPr>
          <w:rFonts w:eastAsia="IRNazanin" w:cs="IRNazanin"/>
          <w:color w:val="111111"/>
          <w:sz w:val="28"/>
          <w:szCs w:val="28"/>
          <w:rtl w:val="true"/>
          <w:lang w:bidi="fa-IR"/>
        </w:rPr>
        <w:t xml:space="preserve">. </w:t>
      </w:r>
      <w:bookmarkStart w:id="292" w:name="pg7474_109359"/>
    </w:p>
    <w:p>
      <w:pPr>
        <w:pStyle w:val="Heading3"/>
        <w:numPr>
          <w:ilvl w:val="2"/>
          <w:numId w:val="1"/>
        </w:numPr>
        <w:rPr/>
      </w:pPr>
      <w:bookmarkStart w:id="293" w:name="__RefHeading___Toc2150921_1051229030"/>
      <w:bookmarkStart w:id="294" w:name="_Toc108"/>
      <w:bookmarkEnd w:id="292"/>
      <w:bookmarkEnd w:id="293"/>
      <w:r>
        <w:rPr>
          <w:rtl w:val="true"/>
        </w:rPr>
        <w:t xml:space="preserve">گفتار ششم </w:t>
      </w:r>
      <w:r>
        <w:rPr>
          <w:rtl w:val="true"/>
        </w:rPr>
        <w:t>:</w:t>
      </w:r>
      <w:r>
        <w:rPr>
          <w:rtl w:val="true"/>
        </w:rPr>
        <w:t>قیاس</w:t>
      </w:r>
      <w:bookmarkEnd w:id="294"/>
    </w:p>
    <w:p>
      <w:pPr>
        <w:pStyle w:val="Heading4"/>
        <w:numPr>
          <w:ilvl w:val="3"/>
          <w:numId w:val="1"/>
        </w:numPr>
        <w:rPr/>
      </w:pPr>
      <w:bookmarkStart w:id="295" w:name="__RefHeading___Toc2150923_1051229030"/>
      <w:bookmarkStart w:id="296" w:name="_Toc109"/>
      <w:bookmarkEnd w:id="295"/>
      <w:r>
        <w:rPr>
          <w:rtl w:val="true"/>
        </w:rPr>
        <w:t>مقدمه</w:t>
      </w:r>
      <w:r>
        <w:rPr>
          <w:rtl w:val="true"/>
        </w:rPr>
        <w:t>:</w:t>
      </w:r>
      <w:bookmarkEnd w:id="296"/>
    </w:p>
    <w:p>
      <w:pPr>
        <w:pStyle w:val="BookText"/>
        <w:rPr/>
      </w:pPr>
      <w:r>
        <w:rPr>
          <w:rFonts w:ascii="IRNazanin" w:hAnsi="IRNazanin" w:eastAsia="IRNazanin"/>
          <w:color w:val="111111"/>
          <w:sz w:val="28"/>
          <w:sz w:val="28"/>
          <w:szCs w:val="28"/>
          <w:rtl w:val="true"/>
          <w:lang w:bidi="fa-IR"/>
        </w:rPr>
        <w:t>واژه قیاس به معنی سنجش و اندازه‌گیری و نیز به معنی مساوات و برابری آمده‌است، لکن معنی اول مشهورتر است، قیاس و مقایسه هر دو مصدر باب مفاعله‌اند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همواره بسیاری از دانستنیهای خویش را از این راه به دست آورده است، او هر چیزی را از ضد و نقیض و یا مانند آن شناخته و اگر چنین نبود هرگز قادر به شناخت بسیاری از چیزها نمی‌شد، ساختمان ادراکی آدمی چنین آفریده شده‌است و بر همین اساس امروز در دانشگاهها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تطبیقی، ادبیات تطبیقی، دین‌شناسی تطبیقی، زبانشناسی تطبیقی، اقتصاد تطبیقی و دهها شاخه تطبیقی دیگر 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نباشد راست کی باشد دروغ آن دروغ از راست می‌گیرد فروغ پرواز اندیشه آن‌گاه به اوج می‌رسد که در مسائل، بویژه مسائل اجتماعی چند جانبه بیندیشد</w:t>
      </w:r>
      <w:r>
        <w:rPr>
          <w:rFonts w:eastAsia="IRNazanin" w:cs="IRNazanin"/>
          <w:color w:val="111111"/>
          <w:sz w:val="28"/>
          <w:szCs w:val="28"/>
          <w:rtl w:val="true"/>
          <w:lang w:bidi="fa-IR"/>
        </w:rPr>
        <w:t>.</w:t>
      </w:r>
    </w:p>
    <w:p>
      <w:pPr>
        <w:pStyle w:val="Heading4"/>
        <w:numPr>
          <w:ilvl w:val="3"/>
          <w:numId w:val="1"/>
        </w:numPr>
        <w:rPr/>
      </w:pPr>
      <w:bookmarkStart w:id="297" w:name="__RefHeading___Toc2150925_1051229030"/>
      <w:bookmarkStart w:id="298" w:name="_Toc110"/>
      <w:bookmarkEnd w:id="297"/>
      <w:r>
        <w:rPr>
          <w:rtl w:val="true"/>
        </w:rPr>
        <w:t>قیاس منطقی</w:t>
      </w:r>
      <w:bookmarkEnd w:id="298"/>
    </w:p>
    <w:p>
      <w:pPr>
        <w:pStyle w:val="BookText"/>
        <w:rPr/>
      </w:pPr>
      <w:r>
        <w:rPr>
          <w:rFonts w:ascii="IRNazanin" w:hAnsi="IRNazanin" w:eastAsia="IRNazanin"/>
          <w:color w:val="111111"/>
          <w:sz w:val="28"/>
          <w:sz w:val="28"/>
          <w:szCs w:val="28"/>
          <w:rtl w:val="true"/>
          <w:lang w:bidi="fa-IR"/>
        </w:rPr>
        <w:t>قیاس در منطق ارسطویی یکی از انواع استدلال است، حجت یا استدلال در منطق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استقرا، تمثیل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استدلالی است که ذهن را از حکمی کلی به حکمی جزیی، یا از اصل به نتیجه و یا از قانون به موارد اطلاق و یا از مفهومی کلی به مصداق برساند</w:t>
      </w:r>
      <w:r>
        <w:rPr>
          <w:rFonts w:eastAsia="IRNazanin" w:cs="IRNazanin"/>
          <w:color w:val="111111"/>
          <w:sz w:val="28"/>
          <w:szCs w:val="28"/>
          <w:rtl w:val="true"/>
          <w:lang w:bidi="fa-IR"/>
        </w:rPr>
        <w:t xml:space="preserve">. </w:t>
      </w:r>
      <w:bookmarkStart w:id="299" w:name="pg7474_109360"/>
    </w:p>
    <w:p>
      <w:pPr>
        <w:pStyle w:val="BookText"/>
        <w:rPr/>
      </w:pPr>
      <w:bookmarkEnd w:id="299"/>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فانی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فانی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به اعتبار شکل و نحوه ترکیب قضایا به شکلهای چهارگانه و به اعتبار مواد تشکیل‌دهنده به گونه‌های بسیار تقسیم می‌شود که تفصیل آن دراز است و از بحث ما بیرون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قیاس است، از جزیی به کلی رسیدن است، فلزات گوناگون را پی در پی حرارت می‌دهیم، می‌بینیم منبسط می‌شوند، حکم می‌کنیم که تمام فلزات در برابر گرما منبسط می‌شوند، اگر استقرا مبتنی بر بررسی کامل باشد و فردی از افراد جزیی مورد شمول آن از قلم نیفتاده باشد، آن را استقرای کامل و تام گویند و گرنه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از جزیی به جزیی دیگر است، شباهتی میان دو جزیی موجب بار کردن حکم یکی بر دیگری است، و بیشترین داوری در اخلاق و رفتار و منش اشخاص از این‌گونه است، تمثیل بجز گمان نتیجه‌ای نمی‌دهد و بنابراین منطقیان برایش ارزشی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روشهای استدلال منطقی را در کتابهای منطق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قیاس در اصول فقه را با تمثیل و بعضی با قیاس و استقرا در منطق نظری برابر دانسته‌اند، لکن به نظر می‌رسد که قیاس اصولی مفهومی گسترده‌تر دارد تا آن‌جا که هر سه روش استدلال منطق را در اقسام گوناگون خود دربر می‌گیرد،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استقرا و در برخی صورتها به تمثیل و در مواردی به قیاس منطقی شباهت دارد، اما قواعد کار و نظام قیاس اصولی به طور کامل از ابتکارهای فقه‌شناسان ایرانی است و دامنه‌ای دارد که منطق ارسطویی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چکیده اندیشه‌هایی که در تالیفهای فنون استنباط در طول قرنها در باب قیاس اصولی پدید آمده با بیانی ساده و کوتاه در معرض خواننده قرار می‌گیرد و ملاحظه خواهند کرد که دقت و موشکافی پیشینیان ما در بسیاری از موارد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و یا اجمال و یا ابهام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قضا می‌تواند رهگشای دادرسان باشد</w:t>
      </w:r>
      <w:r>
        <w:rPr>
          <w:rFonts w:eastAsia="IRNazanin" w:cs="IRNazanin"/>
          <w:color w:val="111111"/>
          <w:sz w:val="28"/>
          <w:szCs w:val="28"/>
          <w:rtl w:val="true"/>
          <w:lang w:bidi="fa-IR"/>
        </w:rPr>
        <w:t>.</w:t>
      </w:r>
    </w:p>
    <w:p>
      <w:pPr>
        <w:pStyle w:val="Heading4"/>
        <w:numPr>
          <w:ilvl w:val="3"/>
          <w:numId w:val="1"/>
        </w:numPr>
        <w:rPr/>
      </w:pPr>
      <w:bookmarkStart w:id="300" w:name="__RefHeading___Toc2150927_1051229030"/>
      <w:bookmarkStart w:id="301" w:name="_Toc111"/>
      <w:bookmarkEnd w:id="300"/>
      <w:r>
        <w:rPr>
          <w:rtl w:val="true"/>
        </w:rPr>
        <w:t>در لزوم قیاس حقوقی</w:t>
      </w:r>
      <w:bookmarkEnd w:id="301"/>
    </w:p>
    <w:p>
      <w:pPr>
        <w:pStyle w:val="BookText"/>
        <w:rPr/>
      </w:pPr>
      <w:r>
        <w:rPr>
          <w:rFonts w:ascii="IRNazanin" w:hAnsi="IRNazanin" w:eastAsia="IRNazanin"/>
          <w:color w:val="111111"/>
          <w:sz w:val="28"/>
          <w:sz w:val="28"/>
          <w:szCs w:val="28"/>
          <w:rtl w:val="true"/>
          <w:lang w:bidi="fa-IR"/>
        </w:rPr>
        <w:t xml:space="preserve">پیش از آغاز مطلب در لزوم قیاس، به سخن مولوی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هر گه که باشد نص‌شناس</w:t>
      </w:r>
    </w:p>
    <w:p>
      <w:pPr>
        <w:pStyle w:val="BookText"/>
        <w:rPr/>
      </w:pPr>
      <w:r>
        <w:rPr>
          <w:rFonts w:ascii="IRNazanin" w:hAnsi="IRNazanin" w:eastAsia="IRNazanin"/>
          <w:color w:val="111111"/>
          <w:sz w:val="28"/>
          <w:sz w:val="28"/>
          <w:szCs w:val="28"/>
          <w:rtl w:val="true"/>
          <w:lang w:bidi="fa-IR"/>
        </w:rPr>
        <w:t>اندر آن صورت نیندیشد قیاس</w:t>
      </w:r>
    </w:p>
    <w:p>
      <w:pPr>
        <w:pStyle w:val="BookText"/>
        <w:rPr/>
      </w:pPr>
      <w:r>
        <w:rPr>
          <w:rFonts w:ascii="IRNazanin" w:hAnsi="IRNazanin" w:eastAsia="IRNazanin"/>
          <w:color w:val="111111"/>
          <w:sz w:val="28"/>
          <w:sz w:val="28"/>
          <w:szCs w:val="28"/>
          <w:rtl w:val="true"/>
          <w:lang w:bidi="fa-IR"/>
        </w:rPr>
        <w:t>چون نیابد نص اندر صورتی</w:t>
      </w:r>
    </w:p>
    <w:p>
      <w:pPr>
        <w:pStyle w:val="BookText"/>
        <w:rPr/>
      </w:pPr>
      <w:r>
        <w:rPr>
          <w:rFonts w:ascii="IRNazanin" w:hAnsi="IRNazanin" w:eastAsia="IRNazanin"/>
          <w:color w:val="111111"/>
          <w:sz w:val="28"/>
          <w:sz w:val="28"/>
          <w:szCs w:val="28"/>
          <w:rtl w:val="true"/>
          <w:lang w:bidi="fa-IR"/>
        </w:rPr>
        <w:t>از قیاس آن‌جا نماید عبرتی</w:t>
      </w:r>
    </w:p>
    <w:p>
      <w:pPr>
        <w:pStyle w:val="BookText"/>
        <w:rPr/>
      </w:pPr>
      <w:r>
        <w:rPr>
          <w:rFonts w:ascii="IRNazanin" w:hAnsi="IRNazanin" w:eastAsia="IRNazanin"/>
          <w:color w:val="111111"/>
          <w:sz w:val="28"/>
          <w:sz w:val="28"/>
          <w:szCs w:val="28"/>
          <w:rtl w:val="true"/>
          <w:lang w:bidi="fa-IR"/>
        </w:rPr>
        <w:t>نص، وحی روح قدسی دان یقین</w:t>
      </w:r>
    </w:p>
    <w:p>
      <w:pPr>
        <w:pStyle w:val="BookText"/>
        <w:rPr/>
      </w:pPr>
      <w:r>
        <w:rPr>
          <w:rFonts w:ascii="IRNazanin" w:hAnsi="IRNazanin" w:eastAsia="IRNazanin"/>
          <w:color w:val="111111"/>
          <w:sz w:val="28"/>
          <w:sz w:val="28"/>
          <w:szCs w:val="28"/>
          <w:rtl w:val="true"/>
          <w:lang w:bidi="fa-IR"/>
        </w:rPr>
        <w:t>و آن قیاس عقل جزوی تحت این</w:t>
      </w:r>
    </w:p>
    <w:p>
      <w:pPr>
        <w:pStyle w:val="BookText"/>
        <w:rPr/>
      </w:pPr>
      <w:r>
        <w:rPr>
          <w:rFonts w:ascii="IRNazanin" w:hAnsi="IRNazanin" w:eastAsia="IRNazanin"/>
          <w:color w:val="111111"/>
          <w:sz w:val="28"/>
          <w:sz w:val="28"/>
          <w:szCs w:val="28"/>
          <w:rtl w:val="true"/>
          <w:lang w:bidi="fa-IR"/>
        </w:rPr>
        <w:t>عقل از جان گشت با ادراک و فر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او را کی شود زیرنظر؟ </w:t>
      </w:r>
      <w:bookmarkStart w:id="302" w:name="pg7474_109361"/>
    </w:p>
    <w:p>
      <w:pPr>
        <w:pStyle w:val="BookText"/>
        <w:rPr/>
      </w:pPr>
      <w:bookmarkEnd w:id="302"/>
      <w:r>
        <w:rPr>
          <w:rFonts w:ascii="IRNazanin" w:hAnsi="IRNazanin" w:eastAsia="IRNazanin"/>
          <w:color w:val="111111"/>
          <w:sz w:val="28"/>
          <w:sz w:val="28"/>
          <w:szCs w:val="28"/>
          <w:rtl w:val="true"/>
          <w:lang w:bidi="fa-IR"/>
        </w:rPr>
        <w:t>لیک جان در عقل تاثیری کند</w:t>
      </w:r>
    </w:p>
    <w:p>
      <w:pPr>
        <w:pStyle w:val="BookText"/>
        <w:rPr/>
      </w:pPr>
      <w:r>
        <w:rPr>
          <w:rFonts w:ascii="IRNazanin" w:hAnsi="IRNazanin" w:eastAsia="IRNazanin"/>
          <w:color w:val="111111"/>
          <w:sz w:val="28"/>
          <w:sz w:val="28"/>
          <w:szCs w:val="28"/>
          <w:rtl w:val="true"/>
          <w:lang w:bidi="fa-IR"/>
        </w:rPr>
        <w:t>زان اثر آن عقل تدبیری کند</w:t>
      </w:r>
    </w:p>
    <w:p>
      <w:pPr>
        <w:pStyle w:val="BookText"/>
        <w:rPr/>
      </w:pPr>
      <w:r>
        <w:rPr>
          <w:rFonts w:ascii="IRNazanin" w:hAnsi="IRNazanin" w:eastAsia="IRNazanin"/>
          <w:color w:val="111111"/>
          <w:sz w:val="28"/>
          <w:sz w:val="28"/>
          <w:szCs w:val="28"/>
          <w:rtl w:val="true"/>
          <w:lang w:bidi="fa-IR"/>
        </w:rPr>
        <w:t>نوح‌وار ار صدمتی زد بر تو روح</w:t>
      </w:r>
    </w:p>
    <w:p>
      <w:pPr>
        <w:pStyle w:val="BookText"/>
        <w:rPr/>
      </w:pPr>
      <w:r>
        <w:rPr>
          <w:rFonts w:ascii="IRNazanin" w:hAnsi="IRNazanin" w:eastAsia="IRNazanin"/>
          <w:color w:val="111111"/>
          <w:sz w:val="28"/>
          <w:sz w:val="28"/>
          <w:szCs w:val="28"/>
          <w:rtl w:val="true"/>
          <w:lang w:bidi="fa-IR"/>
        </w:rPr>
        <w:t>کو یم و کشتی و کو طوفان نوح؟</w:t>
      </w:r>
    </w:p>
    <w:p>
      <w:pPr>
        <w:pStyle w:val="BookText"/>
        <w:rPr/>
      </w:pPr>
      <w:r>
        <w:rPr>
          <w:rFonts w:ascii="IRNazanin" w:hAnsi="IRNazanin" w:eastAsia="IRNazanin"/>
          <w:color w:val="111111"/>
          <w:sz w:val="28"/>
          <w:sz w:val="28"/>
          <w:szCs w:val="28"/>
          <w:rtl w:val="true"/>
          <w:lang w:bidi="fa-IR"/>
        </w:rPr>
        <w:t>عقل اثر را روح پندارد و لیک</w:t>
      </w:r>
    </w:p>
    <w:p>
      <w:pPr>
        <w:pStyle w:val="BookText"/>
        <w:rPr/>
      </w:pPr>
      <w:r>
        <w:rPr>
          <w:rFonts w:ascii="IRNazanin" w:hAnsi="IRNazanin" w:eastAsia="IRNazanin"/>
          <w:color w:val="111111"/>
          <w:sz w:val="28"/>
          <w:sz w:val="28"/>
          <w:szCs w:val="28"/>
          <w:rtl w:val="true"/>
          <w:lang w:bidi="fa-IR"/>
        </w:rPr>
        <w:t>نور خور از قرص خور دورست نیک</w:t>
      </w:r>
    </w:p>
    <w:p>
      <w:pPr>
        <w:pStyle w:val="BookText"/>
        <w:rPr/>
      </w:pPr>
      <w:r>
        <w:rPr>
          <w:rFonts w:ascii="IRNazanin" w:hAnsi="IRNazanin" w:eastAsia="IRNazanin"/>
          <w:color w:val="111111"/>
          <w:sz w:val="28"/>
          <w:sz w:val="28"/>
          <w:szCs w:val="28"/>
          <w:rtl w:val="true"/>
          <w:lang w:bidi="fa-IR"/>
        </w:rPr>
        <w:t>مولوی مانند همه فیلسوفان و متکلمان و صوفیان عقل را انکار نمی‌کند، بلکه برای عقل در پرتو نور وحی، مقام و منزلت قائل است، او عقل را تابع وحی می‌داند و به این معنی درجایی دیگر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جزوی عقل استخراج نیست</w:t>
      </w:r>
    </w:p>
    <w:p>
      <w:pPr>
        <w:pStyle w:val="BookText"/>
        <w:rPr/>
      </w:pPr>
      <w:r>
        <w:rPr>
          <w:rFonts w:ascii="IRNazanin" w:hAnsi="IRNazanin" w:eastAsia="IRNazanin"/>
          <w:color w:val="111111"/>
          <w:sz w:val="28"/>
          <w:sz w:val="28"/>
          <w:szCs w:val="28"/>
          <w:rtl w:val="true"/>
          <w:lang w:bidi="fa-IR"/>
        </w:rPr>
        <w:t>جز پذیرای فن و محتاج نیست</w:t>
      </w:r>
    </w:p>
    <w:p>
      <w:pPr>
        <w:pStyle w:val="BookText"/>
        <w:rPr/>
      </w:pPr>
      <w:r>
        <w:rPr>
          <w:rFonts w:ascii="IRNazanin" w:hAnsi="IRNazanin" w:eastAsia="IRNazanin"/>
          <w:color w:val="111111"/>
          <w:sz w:val="28"/>
          <w:sz w:val="28"/>
          <w:szCs w:val="28"/>
          <w:rtl w:val="true"/>
          <w:lang w:bidi="fa-IR"/>
        </w:rPr>
        <w:t>قابل تعلیم و فهم است این خرد</w:t>
      </w:r>
    </w:p>
    <w:p>
      <w:pPr>
        <w:pStyle w:val="BookText"/>
        <w:rPr/>
      </w:pPr>
      <w:r>
        <w:rPr>
          <w:rFonts w:ascii="IRNazanin" w:hAnsi="IRNazanin" w:eastAsia="IRNazanin"/>
          <w:color w:val="111111"/>
          <w:sz w:val="28"/>
          <w:sz w:val="28"/>
          <w:szCs w:val="28"/>
          <w:rtl w:val="true"/>
          <w:lang w:bidi="fa-IR"/>
        </w:rPr>
        <w:t>لیک صاحب وحی تعلیمش دهد</w:t>
      </w:r>
    </w:p>
    <w:p>
      <w:pPr>
        <w:pStyle w:val="BookText"/>
        <w:rPr/>
      </w:pPr>
      <w:r>
        <w:rPr>
          <w:rFonts w:ascii="IRNazanin" w:hAnsi="IRNazanin" w:eastAsia="IRNazanin"/>
          <w:color w:val="111111"/>
          <w:sz w:val="28"/>
          <w:sz w:val="28"/>
          <w:szCs w:val="28"/>
          <w:rtl w:val="true"/>
          <w:lang w:bidi="fa-IR"/>
        </w:rPr>
        <w:t xml:space="preserve">مولوی در شعری که نخست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ناشی از وحی است به خورشید و قیاس را که ناشی از اجتهاد مجتهد براساس عقل جزوی است، به نور خورشید تشبیه کرده‌است، لکن بی‌درنگ می‌افزاید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کجا و خود خورشید کجا؟ و به هر صورت با قیاس مخالفتی ندارد بلکه آن‌را ضروری می‌داند</w:t>
      </w:r>
      <w:r>
        <w:rPr>
          <w:rFonts w:eastAsia="IRNazanin" w:cs="IRNazanin"/>
          <w:color w:val="111111"/>
          <w:sz w:val="28"/>
          <w:szCs w:val="28"/>
          <w:rtl w:val="true"/>
          <w:lang w:bidi="fa-IR"/>
        </w:rPr>
        <w:t>.</w:t>
      </w:r>
    </w:p>
    <w:p>
      <w:pPr>
        <w:pStyle w:val="Heading4"/>
        <w:numPr>
          <w:ilvl w:val="3"/>
          <w:numId w:val="1"/>
        </w:numPr>
        <w:rPr/>
      </w:pPr>
      <w:bookmarkStart w:id="303" w:name="__RefHeading___Toc2150929_1051229030"/>
      <w:bookmarkStart w:id="304" w:name="_Toc112"/>
      <w:bookmarkEnd w:id="303"/>
      <w:r>
        <w:rPr>
          <w:rtl w:val="true"/>
        </w:rPr>
        <w:t>مکتبهای قیاس</w:t>
      </w:r>
      <w:bookmarkEnd w:id="304"/>
    </w:p>
    <w:p>
      <w:pPr>
        <w:pStyle w:val="Heading5"/>
        <w:numPr>
          <w:ilvl w:val="4"/>
          <w:numId w:val="1"/>
        </w:numPr>
        <w:rPr/>
      </w:pPr>
      <w:bookmarkStart w:id="305" w:name="__RefHeading___Toc2150931_1051229030"/>
      <w:bookmarkStart w:id="306" w:name="_Toc113"/>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xml:space="preserve">در ادوار فقه و اصول، چهار مکتب در باب قیاس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که یکی جانب افراط گرفته؛ دیگری به تفریط گراییده و دو دیگر راه میانگین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نفی قیاس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تعدی از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قیاس مستنبط العله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قیاس آزاد</w:t>
      </w:r>
    </w:p>
    <w:p>
      <w:pPr>
        <w:pStyle w:val="Heading5"/>
        <w:numPr>
          <w:ilvl w:val="4"/>
          <w:numId w:val="1"/>
        </w:numPr>
        <w:rPr/>
      </w:pPr>
      <w:bookmarkStart w:id="307" w:name="__RefHeading___Toc2150933_1051229030"/>
      <w:bookmarkStart w:id="308" w:name="_Toc114"/>
      <w:bookmarkEnd w:id="307"/>
      <w:r>
        <w:rPr/>
        <w:t>1</w:t>
      </w:r>
      <w:r>
        <w:rPr>
          <w:rtl w:val="true"/>
        </w:rPr>
        <w:t xml:space="preserve">- </w:t>
      </w:r>
      <w:r>
        <w:rPr>
          <w:rtl w:val="true"/>
        </w:rPr>
        <w:t>مکتب نفی قیاس</w:t>
      </w:r>
      <w:bookmarkEnd w:id="30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ظاهریان از اهل تسنن و اخباریان از امامیه و نیز حنبلیان پیرو این مکتبند، می‌گویند تعدی و تجاوز از مدلول نص نارواست، کتاب و سنت همه موارد را پیش‌بینی کرده‌است، حتی آیه‌های قرآن را هم به استناد اخبار حجت می‌دانند و مدلول آیه‌ها را از راه اخبار می‌فهمند و در نتیجه تنها اخبار برای آنان قابل استناد است</w:t>
      </w:r>
      <w:r>
        <w:rPr>
          <w:rFonts w:eastAsia="IRNazanin" w:cs="IRNazanin"/>
          <w:color w:val="111111"/>
          <w:sz w:val="28"/>
          <w:szCs w:val="28"/>
          <w:rtl w:val="true"/>
          <w:lang w:bidi="fa-IR"/>
        </w:rPr>
        <w:t xml:space="preserve">. </w:t>
      </w:r>
      <w:bookmarkStart w:id="309" w:name="pg7474_109362"/>
    </w:p>
    <w:p>
      <w:pPr>
        <w:pStyle w:val="BookText"/>
        <w:rPr/>
      </w:pPr>
      <w:bookmarkEnd w:id="309"/>
      <w:r>
        <w:rPr>
          <w:rFonts w:ascii="IRNazanin" w:hAnsi="IRNazanin" w:eastAsia="IRNazanin"/>
          <w:color w:val="111111"/>
          <w:sz w:val="28"/>
          <w:sz w:val="28"/>
          <w:szCs w:val="28"/>
          <w:rtl w:val="true"/>
          <w:lang w:bidi="fa-IR"/>
        </w:rPr>
        <w:t>درواقع این دسته، در مسأله قیاس بدرستی تحقیق نکرده‌اند تا آشکار شود، چه مسائلی داخل در قیاس است و چه مسائلی از حوزه آن بیرون است، و در صورت نبودن نص چاره چیست؟ محافظه‌کاری تا بدان‌جا رسیده که بسیاری از نویسندگان کتابهای اصول نیز از ورود به مبحث قیاس اجتناب کرده‌اند و این باب بسیار پرارزش را به دست فراموشی سپرده‌اند با این‌که خود از ظاهریان و یا اخباریان و یا حنبلیان نبوده‌اند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2150935_1051229030"/>
      <w:bookmarkStart w:id="311" w:name="_Toc115"/>
      <w:bookmarkEnd w:id="310"/>
      <w:r>
        <w:rPr/>
        <w:t>2</w:t>
      </w:r>
      <w:r>
        <w:rPr>
          <w:rtl w:val="true"/>
        </w:rPr>
        <w:t xml:space="preserve">- </w:t>
      </w:r>
      <w:r>
        <w:rPr>
          <w:rtl w:val="true"/>
        </w:rPr>
        <w:t xml:space="preserve">مکتب تعدی از نص </w:t>
      </w:r>
      <w:r>
        <w:rPr>
          <w:rtl w:val="true"/>
        </w:rPr>
        <w:t>(</w:t>
      </w:r>
      <w:r>
        <w:rPr>
          <w:rtl w:val="true"/>
        </w:rPr>
        <w:t>قیاس منصوص العله</w:t>
      </w:r>
      <w:r>
        <w:rPr>
          <w:rtl w:val="true"/>
        </w:rPr>
        <w:t>)</w:t>
      </w:r>
      <w:bookmarkEnd w:id="311"/>
    </w:p>
    <w:p>
      <w:pPr>
        <w:pStyle w:val="BookText"/>
        <w:rPr/>
      </w:pPr>
      <w:r>
        <w:rPr>
          <w:rFonts w:ascii="IRNazanin" w:hAnsi="IRNazanin" w:eastAsia="IRNazanin"/>
          <w:color w:val="111111"/>
          <w:sz w:val="28"/>
          <w:sz w:val="28"/>
          <w:szCs w:val="28"/>
          <w:rtl w:val="true"/>
          <w:lang w:bidi="fa-IR"/>
        </w:rPr>
        <w:t>هواداران این مکتب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ژرفای مراد و منظور قانونگذار را تا حد توان شناخت، و حدود قصد و منظور قانونگذار درواقع همان حدود نص است، به همان میزان که قصد قانونگذار توسعه دارد، نص هم دارد، بر معانی سطحی تحت لفظ مانند واژه‌گرایان قشری، نباید جمود کرد، بلکه باید علت و فلسفه صدور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 هرجا در مصداقی همان علت پیدا شد، قاطعانه حکم نص را بر آن جاری کرد</w:t>
      </w:r>
      <w:r>
        <w:rPr>
          <w:rStyle w:val="FootnoteAnchor"/>
          <w:rtl w:val="true"/>
        </w:rPr>
        <w:footnoteReference w:id="192"/>
      </w:r>
      <w:r>
        <w:rPr>
          <w:rFonts w:ascii="IRNazanin" w:hAnsi="IRNazanin" w:eastAsia="IRNazanin"/>
          <w:color w:val="111111"/>
          <w:sz w:val="28"/>
          <w:sz w:val="28"/>
          <w:szCs w:val="28"/>
          <w:rtl w:val="true"/>
          <w:lang w:bidi="fa-IR"/>
        </w:rPr>
        <w:t>مثلا در خبر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لایحکم احد بین اثنین و هو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درحال خشم نباید به دادرسی پردازد</w:t>
      </w:r>
      <w:r>
        <w:rPr>
          <w:rStyle w:val="FootnoteAnchor"/>
          <w:rtl w:val="true"/>
        </w:rPr>
        <w:footnoteReference w:id="193"/>
      </w:r>
      <w:r>
        <w:rPr>
          <w:rFonts w:ascii="IRNazanin" w:hAnsi="IRNazanin" w:eastAsia="IRNazanin"/>
          <w:color w:val="111111"/>
          <w:sz w:val="28"/>
          <w:sz w:val="28"/>
          <w:szCs w:val="28"/>
          <w:rtl w:val="true"/>
          <w:lang w:bidi="fa-IR"/>
        </w:rPr>
        <w:t>، مخالفان قیاس حکم این حدیث را فقط در همان مورد خاص که در عرف بدان خشم گفته می‌شود بار می‌کنند، درحالی که پیروان مکتب تعدی از نص، دادرسی قاضی را درحال پراکندگی و تشویش فکر، چه از خشم باشد، چه از بیماری و خستگی، چه از نابسامانی وضع مالی چه داشتن سابقه خصومت با یکی از طرفین دعوا و مانند آنها روا نمی‌دانند، با این تاویل، تعدی از نص شده‌است، لکن تجاوز از قصد و منظور قانونگذار نشده‌است، وانگهی دلیلی ندارد که تعدی از قصد قانونگذار منع شده باشد، پس تا حد امکان باید قصد و علت تشریع را فهمید و بسیاری از نیازها و مسائل حادث را بدین‌گونه حل کرد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برشمریم، اکثر قریب به اتفاق امامیه و اهل تسنن پیرو این مکتبند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نام این روش استنباط را تعدی از نص گذارده‌اند، یعنی از سرحد نص به اقلیم قصد قانونگذار رسیدن، لکن در واقع نوعی قیاس به کار می‌برند که به آن در آینده اشاره خواهیم کرد</w:t>
      </w:r>
      <w:r>
        <w:rPr>
          <w:rFonts w:eastAsia="IRNazanin" w:cs="IRNazanin"/>
          <w:color w:val="111111"/>
          <w:sz w:val="28"/>
          <w:szCs w:val="28"/>
          <w:rtl w:val="true"/>
          <w:lang w:bidi="fa-IR"/>
        </w:rPr>
        <w:t xml:space="preserve">. </w:t>
      </w:r>
      <w:bookmarkStart w:id="312" w:name="pg7474_109363"/>
    </w:p>
    <w:p>
      <w:pPr>
        <w:pStyle w:val="Heading5"/>
        <w:numPr>
          <w:ilvl w:val="4"/>
          <w:numId w:val="1"/>
        </w:numPr>
        <w:rPr/>
      </w:pPr>
      <w:bookmarkStart w:id="313" w:name="__RefHeading___Toc2150937_1051229030"/>
      <w:bookmarkStart w:id="314" w:name="_Toc116"/>
      <w:bookmarkEnd w:id="312"/>
      <w:bookmarkEnd w:id="313"/>
      <w:r>
        <w:rPr/>
        <w:t>3</w:t>
      </w:r>
      <w:r>
        <w:rPr>
          <w:rtl w:val="true"/>
        </w:rPr>
        <w:t xml:space="preserve">- </w:t>
      </w:r>
      <w:r>
        <w:rPr>
          <w:rtl w:val="true"/>
        </w:rPr>
        <w:t>مکتب قیاس مستنبط العله</w:t>
      </w:r>
      <w:bookmarkEnd w:id="314"/>
    </w:p>
    <w:p>
      <w:pPr>
        <w:pStyle w:val="BookText"/>
        <w:rPr/>
      </w:pPr>
      <w:r>
        <w:rPr>
          <w:rFonts w:ascii="IRNazanin" w:hAnsi="IRNazanin" w:eastAsia="IRNazanin"/>
          <w:color w:val="111111"/>
          <w:sz w:val="28"/>
          <w:sz w:val="28"/>
          <w:szCs w:val="28"/>
          <w:rtl w:val="true"/>
          <w:lang w:bidi="fa-IR"/>
        </w:rPr>
        <w:t>هواداران این مکتب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قصد قانونگذار را شناخت لکن در راه شناخت قصد قانونگذار، یا مرحله قطع و یقین است یا ظن و گمان، و در صورت ظن نیز گاه استنباط از راه ظاهر واژه است و گاه به وسایل دیگر، به هر تقدیر پس از به دست آوردن قصد، مدلول آن را می‌توانیم به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تسری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مواردی که در علت صدور قانون، اشتراک داشته باشند، مشمول آن حکم هستند،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علت، موجب اشتراک در حکم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مستنبط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قائل به تفصیل شده 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حجت بودن قیاس مبتنی بر دلالت قطعی یا ظنی که از ظاهر واژه‌ها ناشی شده باشد، تردیدی نیست، لکن هر گاه دلالت به وسایل دیگری غیر از ظاهر واژه قانون به دست آید، دلیلی بر روا بودن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امام سرخسی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النصوص معدودة و الحوادث محدودة فهو دلیل علی ان القیاس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کمی نصوص و بی‌شماری حادثه‌ها را دلیل بر اعتبار و حجت بودن قیاس دانسته بود،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نص پاسخگوی رویدادها و پدیده‌های تازه خواهد بود و نیازی به این قیاس نیست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2150939_1051229030"/>
      <w:bookmarkStart w:id="316" w:name="_Toc117"/>
      <w:bookmarkEnd w:id="315"/>
      <w:r>
        <w:rPr/>
        <w:t>4</w:t>
      </w:r>
      <w:r>
        <w:rPr>
          <w:rtl w:val="true"/>
        </w:rPr>
        <w:t xml:space="preserve">- </w:t>
      </w:r>
      <w:r>
        <w:rPr>
          <w:rtl w:val="true"/>
        </w:rPr>
        <w:t xml:space="preserve">مکتب قیاس آزاد </w:t>
      </w:r>
      <w:r>
        <w:rPr>
          <w:rtl w:val="true"/>
        </w:rPr>
        <w:t>(</w:t>
      </w:r>
      <w:r>
        <w:rPr>
          <w:rtl w:val="true"/>
        </w:rPr>
        <w:t>اصحاب رأی</w:t>
      </w:r>
      <w:r>
        <w:rPr>
          <w:rtl w:val="true"/>
        </w:rPr>
        <w:t>)</w:t>
      </w:r>
      <w:bookmarkEnd w:id="316"/>
    </w:p>
    <w:p>
      <w:pPr>
        <w:pStyle w:val="Heading6"/>
        <w:numPr>
          <w:ilvl w:val="5"/>
          <w:numId w:val="1"/>
        </w:numPr>
        <w:rPr/>
      </w:pPr>
      <w:bookmarkStart w:id="317" w:name="__RefHeading___Toc2150941_1051229030"/>
      <w:bookmarkStart w:id="318" w:name="_Toc118"/>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هواداران این مکتب به هیچ وجه نه در صدد کشف مقصود و منظور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نه در پی تعدی از نص و یا توسعه موارد شمول نص؛ بلکه تنها عقل و دریافت خویش را ملاک اظهار نظر قرار می‌دادند و حتی اگر نص را با عقل و فهم خود ناسازگار می‌دیدند، کوشش می‌کردند تا آن را تاویل و توجیه کنند، در واقع این مکتب موارد شمول قانون را بی دلیل گسترش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اهتمام آنان بر این بود که ظاهر عبارت را به مقصود و هدفی که گمان می‌بردند از آن اراده شده باز گردانند نه این که در واقع از آن اراده شده باشد؛ در عمل لفظی را که در آن اشکالی هست، به لفظی که در آن اشکالی نیست تفسیر می‌کردند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البته تنها به اسلام اختصاص ندارد، میان مذهبها و فرقه‌های دیگر نیز دیده شده </w:t>
      </w:r>
    </w:p>
    <w:p>
      <w:pPr>
        <w:pStyle w:val="BookText"/>
        <w:rPr/>
      </w:pPr>
      <w:r>
        <w:rPr>
          <w:rFonts w:ascii="IRNazanin" w:hAnsi="IRNazanin" w:eastAsia="IRNazanin"/>
          <w:color w:val="111111"/>
          <w:sz w:val="28"/>
          <w:sz w:val="28"/>
          <w:szCs w:val="28"/>
          <w:rtl w:val="true"/>
          <w:lang w:bidi="fa-IR"/>
        </w:rPr>
        <w:t xml:space="preserve">است، که برای اثبات عقیده و رأی نوظهور و برای پیدا کردن راه فرار از سخنانی که گمان می‌برده‌اند، با ذوق و عقل هماهنگ نیست به این تفسیر و قیاس آزاد دست یازدیده‌اند، اصحاب فیلون یهودی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زندیک مجوس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راه را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گرفتن قیاس در مفهومی تا این اندازه آزاد و بی قید و شرط واکنشی مخالف را در میان گروهی از دانشمندان بر انگیخت، زیرا هر کاری را بازتابی است ناسازگار با آن و در جهت 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ابوحنیفه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لاتقس فان اول من قاس الشیطان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و 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مکن زیرا که نخستین کس که قیاس کرد، ابلیس بود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و او را از خاک پروردی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قیاس کرد و خلقت خود را که از آتش بود با آفرینش آدم که از خاک بود، سنجید و علی رغم دستور آشکار خدا خودپسندی کرد و بر آدم سجده نکرد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ابلیس یک قیاس حقوقی نبود، یک قیاس آزاد بود، مخالفت با امر بود، اجتهاد در برابر نص بود، شیطان نمی‌دانست که علت سجده امر خداست نه جنسیت خاک و آتش؛ آن جا که پای امر صریح در میان باشد، چه جای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کس کین قیاسکها نمود</w:t>
      </w:r>
    </w:p>
    <w:p>
      <w:pPr>
        <w:pStyle w:val="BookText"/>
        <w:rPr/>
      </w:pPr>
      <w:r>
        <w:rPr>
          <w:rFonts w:ascii="IRNazanin" w:hAnsi="IRNazanin" w:eastAsia="IRNazanin"/>
          <w:color w:val="111111"/>
          <w:sz w:val="28"/>
          <w:sz w:val="28"/>
          <w:szCs w:val="28"/>
          <w:rtl w:val="true"/>
          <w:lang w:bidi="fa-IR"/>
        </w:rPr>
        <w:t>پیش انوار خدا ابلیس بود</w:t>
      </w:r>
    </w:p>
    <w:p>
      <w:pPr>
        <w:pStyle w:val="BookText"/>
        <w:rPr/>
      </w:pPr>
      <w:r>
        <w:rPr>
          <w:rFonts w:ascii="IRNazanin" w:hAnsi="IRNazanin" w:eastAsia="IRNazanin"/>
          <w:color w:val="111111"/>
          <w:sz w:val="28"/>
          <w:sz w:val="28"/>
          <w:szCs w:val="28"/>
          <w:rtl w:val="true"/>
          <w:lang w:bidi="fa-IR"/>
        </w:rPr>
        <w:t>گفت نار از خاک بی شک بهتر است</w:t>
      </w:r>
    </w:p>
    <w:p>
      <w:pPr>
        <w:pStyle w:val="BookText"/>
        <w:rPr/>
      </w:pPr>
      <w:r>
        <w:rPr>
          <w:rFonts w:ascii="IRNazanin" w:hAnsi="IRNazanin" w:eastAsia="IRNazanin"/>
          <w:color w:val="111111"/>
          <w:sz w:val="28"/>
          <w:sz w:val="28"/>
          <w:szCs w:val="28"/>
          <w:rtl w:val="true"/>
          <w:lang w:bidi="fa-IR"/>
        </w:rPr>
        <w:t>من ز نار و او ز خاک ابتر است</w:t>
      </w:r>
    </w:p>
    <w:p>
      <w:pPr>
        <w:pStyle w:val="BookText"/>
        <w:rPr/>
      </w:pPr>
      <w:r>
        <w:rPr>
          <w:rFonts w:ascii="IRNazanin" w:hAnsi="IRNazanin" w:eastAsia="IRNazanin"/>
          <w:color w:val="111111"/>
          <w:sz w:val="28"/>
          <w:sz w:val="28"/>
          <w:szCs w:val="28"/>
          <w:rtl w:val="true"/>
          <w:lang w:bidi="fa-IR"/>
        </w:rPr>
        <w:t>پس قیاس فرع بر اصلش کنیم</w:t>
      </w:r>
    </w:p>
    <w:p>
      <w:pPr>
        <w:pStyle w:val="BookText"/>
        <w:rPr/>
      </w:pPr>
      <w:r>
        <w:rPr>
          <w:rFonts w:ascii="IRNazanin" w:hAnsi="IRNazanin" w:eastAsia="IRNazanin"/>
          <w:color w:val="111111"/>
          <w:sz w:val="28"/>
          <w:sz w:val="28"/>
          <w:szCs w:val="28"/>
          <w:rtl w:val="true"/>
          <w:lang w:bidi="fa-IR"/>
        </w:rPr>
        <w:t>او ز ظلمت ما ز نور روشنیم</w:t>
      </w:r>
    </w:p>
    <w:p>
      <w:pPr>
        <w:pStyle w:val="BookText"/>
        <w:rPr/>
      </w:pPr>
      <w:r>
        <w:rPr>
          <w:rFonts w:ascii="IRNazanin" w:hAnsi="IRNazanin" w:eastAsia="IRNazanin"/>
          <w:color w:val="111111"/>
          <w:sz w:val="28"/>
          <w:sz w:val="28"/>
          <w:szCs w:val="28"/>
          <w:rtl w:val="true"/>
          <w:lang w:bidi="fa-IR"/>
        </w:rPr>
        <w:t>و در داستان خوردن گندم در بهشت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دانست چون آمد قضا</w:t>
      </w:r>
    </w:p>
    <w:p>
      <w:pPr>
        <w:pStyle w:val="BookText"/>
        <w:rPr/>
      </w:pPr>
      <w:r>
        <w:rPr>
          <w:rFonts w:ascii="IRNazanin" w:hAnsi="IRNazanin" w:eastAsia="IRNazanin"/>
          <w:color w:val="111111"/>
          <w:sz w:val="28"/>
          <w:sz w:val="28"/>
          <w:szCs w:val="28"/>
          <w:rtl w:val="true"/>
          <w:lang w:bidi="fa-IR"/>
        </w:rPr>
        <w:t>دانش یک نهی شد بر وی غطا</w:t>
      </w:r>
    </w:p>
    <w:p>
      <w:pPr>
        <w:pStyle w:val="BookText"/>
        <w:rPr/>
      </w:pPr>
      <w:r>
        <w:rPr>
          <w:rFonts w:ascii="IRNazanin" w:hAnsi="IRNazanin" w:eastAsia="IRNazanin"/>
          <w:color w:val="111111"/>
          <w:sz w:val="28"/>
          <w:sz w:val="28"/>
          <w:szCs w:val="28"/>
          <w:rtl w:val="true"/>
          <w:lang w:bidi="fa-IR"/>
        </w:rPr>
        <w:t>کای عجب نهی ازپی تحریم بود؟</w:t>
      </w:r>
    </w:p>
    <w:p>
      <w:pPr>
        <w:pStyle w:val="BookText"/>
        <w:rPr/>
      </w:pPr>
      <w:r>
        <w:rPr>
          <w:rFonts w:ascii="IRNazanin" w:hAnsi="IRNazanin" w:eastAsia="IRNazanin"/>
          <w:color w:val="111111"/>
          <w:sz w:val="28"/>
          <w:sz w:val="28"/>
          <w:szCs w:val="28"/>
          <w:rtl w:val="true"/>
          <w:lang w:bidi="fa-IR"/>
        </w:rPr>
        <w:t>یا بتاویلی بد و توهیم بود؟</w:t>
      </w:r>
    </w:p>
    <w:p>
      <w:pPr>
        <w:pStyle w:val="BookText"/>
        <w:rPr/>
      </w:pPr>
      <w:r>
        <w:rPr>
          <w:rFonts w:ascii="IRNazanin" w:hAnsi="IRNazanin" w:eastAsia="IRNazanin"/>
          <w:color w:val="111111"/>
          <w:sz w:val="28"/>
          <w:sz w:val="28"/>
          <w:szCs w:val="28"/>
          <w:rtl w:val="true"/>
          <w:lang w:bidi="fa-IR"/>
        </w:rPr>
        <w:t>در دلش تاویل چون ترجیح یافت</w:t>
      </w:r>
    </w:p>
    <w:p>
      <w:pPr>
        <w:pStyle w:val="BookText"/>
        <w:rPr/>
      </w:pPr>
      <w:r>
        <w:rPr>
          <w:rFonts w:ascii="IRNazanin" w:hAnsi="IRNazanin" w:eastAsia="IRNazanin"/>
          <w:color w:val="111111"/>
          <w:sz w:val="28"/>
          <w:sz w:val="28"/>
          <w:szCs w:val="28"/>
          <w:rtl w:val="true"/>
          <w:lang w:bidi="fa-IR"/>
        </w:rPr>
        <w:t>طبع در حیرت سوی گندم شتافت</w:t>
      </w:r>
    </w:p>
    <w:p>
      <w:pPr>
        <w:pStyle w:val="BookText"/>
        <w:rPr/>
      </w:pPr>
      <w:r>
        <w:rPr>
          <w:rFonts w:ascii="IRNazanin" w:hAnsi="IRNazanin" w:eastAsia="IRNazanin"/>
          <w:color w:val="111111"/>
          <w:sz w:val="28"/>
          <w:sz w:val="28"/>
          <w:szCs w:val="28"/>
          <w:rtl w:val="true"/>
          <w:lang w:bidi="fa-IR"/>
        </w:rPr>
        <w:t>ادبیات عرفانی ایران پر است از تمثیلهای زیبا و شنیدنی در باب قیاس، مولوی در داستان طوطی و مرد بقال در دفتر اول مثنوی، چه نیکو حق سخن را ادا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پاکان را قیاس از خود مگیر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ماند در نوشتن شیر، شیر </w:t>
      </w:r>
      <w:bookmarkStart w:id="319" w:name="pg7474_109365"/>
    </w:p>
    <w:p>
      <w:pPr>
        <w:pStyle w:val="BookText"/>
        <w:rPr/>
      </w:pPr>
      <w:bookmarkEnd w:id="319"/>
      <w:r>
        <w:rPr>
          <w:rFonts w:ascii="IRNazanin" w:hAnsi="IRNazanin" w:eastAsia="IRNazanin"/>
          <w:color w:val="111111"/>
          <w:sz w:val="28"/>
          <w:sz w:val="28"/>
          <w:szCs w:val="28"/>
          <w:rtl w:val="true"/>
          <w:lang w:bidi="fa-IR"/>
        </w:rPr>
        <w:t>و به همین قیاس آزاد در برابر نص نظر داشته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شو و از راه جان، جان را شناس</w:t>
      </w:r>
    </w:p>
    <w:p>
      <w:pPr>
        <w:pStyle w:val="BookText"/>
        <w:rPr/>
      </w:pPr>
      <w:r>
        <w:rPr>
          <w:rFonts w:ascii="IRNazanin" w:hAnsi="IRNazanin" w:eastAsia="IRNazanin"/>
          <w:color w:val="111111"/>
          <w:sz w:val="28"/>
          <w:sz w:val="28"/>
          <w:szCs w:val="28"/>
          <w:rtl w:val="true"/>
          <w:lang w:bidi="fa-IR"/>
        </w:rPr>
        <w:t>یار بینش شو نه فرزند قیاس</w:t>
      </w:r>
    </w:p>
    <w:p>
      <w:pPr>
        <w:pStyle w:val="BookText"/>
        <w:rPr/>
      </w:pPr>
      <w:r>
        <w:rPr>
          <w:rFonts w:ascii="IRNazanin" w:hAnsi="IRNazanin" w:eastAsia="IRNazanin"/>
          <w:color w:val="111111"/>
          <w:sz w:val="28"/>
          <w:sz w:val="28"/>
          <w:szCs w:val="28"/>
          <w:rtl w:val="true"/>
          <w:lang w:bidi="fa-IR"/>
        </w:rPr>
        <w:t>در حدیث دیگر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اذا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شود، دین نابود می‌شود و یا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کاستی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حدیث هم ناظر به قیاس آزاد بوده است</w:t>
      </w:r>
      <w:r>
        <w:rPr>
          <w:rFonts w:eastAsia="IRNazanin" w:cs="IRNazanin"/>
          <w:color w:val="111111"/>
          <w:sz w:val="28"/>
          <w:szCs w:val="28"/>
          <w:rtl w:val="true"/>
          <w:lang w:bidi="fa-IR"/>
        </w:rPr>
        <w:t>.</w:t>
      </w:r>
    </w:p>
    <w:p>
      <w:pPr>
        <w:pStyle w:val="Heading6"/>
        <w:numPr>
          <w:ilvl w:val="5"/>
          <w:numId w:val="1"/>
        </w:numPr>
        <w:rPr/>
      </w:pPr>
      <w:bookmarkStart w:id="320" w:name="__RefHeading___Toc2150943_1051229030"/>
      <w:bookmarkStart w:id="321" w:name="_Toc119"/>
      <w:bookmarkEnd w:id="320"/>
      <w:r>
        <w:rPr>
          <w:rtl w:val="true"/>
        </w:rPr>
        <w:t>آیا قیاس یک منبع حقوقی است ؟</w:t>
      </w:r>
      <w:bookmarkEnd w:id="321"/>
    </w:p>
    <w:p>
      <w:pPr>
        <w:pStyle w:val="BookText"/>
        <w:rPr/>
      </w:pPr>
      <w:r>
        <w:rPr>
          <w:rFonts w:ascii="IRNazanin" w:hAnsi="IRNazanin" w:eastAsia="IRNazanin"/>
          <w:color w:val="111111"/>
          <w:sz w:val="28"/>
          <w:sz w:val="28"/>
          <w:szCs w:val="28"/>
          <w:rtl w:val="true"/>
          <w:lang w:bidi="fa-IR"/>
        </w:rPr>
        <w:t xml:space="preserve">پرسشی به ذهن می‌آید که چرا برادران اهل تسنن ما، قیاس را یک منبع حقوقی در ردیف کتاب و سنت شمرده‌اند؟ در حالیکه قیاس، اعم از تعدی از نص یا قصد و اعم از منصوص یا مستنبط از علت، بهرحال از توابع نص و تفسیر نص است، و از این رو نمی‌تواند منبعی حقوقی باشد بلکه از روشهای استنباط است، فرق است میان منبع و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بالا امامیه قیاس را از منابع حقوق ندانسته‌اند، بلکه آن را از روشهای استنباط احکام فرعی شناخته‌اند و در عمل برخی از صورتهای آن را حجت دانسته و از آن بهره برداری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برادران اهل تسنن ما شاید این باشد که خواسته‌اند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آشکار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بگذارند و حریم کتاب و سنت را نگهدارند و به آن تجاوز نکنند، بنابراین قیاس را منبعی مستقل از کتاب و سنت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مطلب مولوی اشاره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اثر را روح پندارد ولیک</w:t>
      </w:r>
    </w:p>
    <w:p>
      <w:pPr>
        <w:pStyle w:val="BookText"/>
        <w:rPr/>
      </w:pPr>
      <w:r>
        <w:rPr>
          <w:rFonts w:ascii="IRNazanin" w:hAnsi="IRNazanin" w:eastAsia="IRNazanin"/>
          <w:color w:val="111111"/>
          <w:sz w:val="28"/>
          <w:sz w:val="28"/>
          <w:szCs w:val="28"/>
          <w:rtl w:val="true"/>
          <w:lang w:bidi="fa-IR"/>
        </w:rPr>
        <w:t>نور خور از قرص خور دورست نیک</w:t>
      </w:r>
    </w:p>
    <w:p>
      <w:pPr>
        <w:pStyle w:val="BookText"/>
        <w:rPr/>
      </w:pPr>
      <w:r>
        <w:rPr>
          <w:rFonts w:ascii="IRNazanin" w:hAnsi="IRNazanin" w:eastAsia="IRNazanin"/>
          <w:color w:val="111111"/>
          <w:sz w:val="28"/>
          <w:sz w:val="28"/>
          <w:szCs w:val="28"/>
          <w:rtl w:val="true"/>
          <w:lang w:bidi="fa-IR"/>
        </w:rPr>
        <w:t xml:space="preserve">پس در روش برادران سنی ما، یک روح محافظه کاری به چشم می‌خورد، لکن این احتیاط درمیان امامیه دیده نمی‌شود، اینان با آن که برخی از صورتهای قیاس را به کار بسته و حجت بودن آن را پذیرفته‌اند، لکن هرگز آن را به عنوان منبعی حقوقی در ردیف کتاب و سنت نیاورده‌اند، و در برابر از منبعی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زده‌اند و از مستقلهای عقلی و استلزامهای عقلی و حسن و قبح و مصلحتها و مفسدتهای عقلی؛ و به عبارت دیگر از قواعد محصول عقل سخن به میان آورده‌اند، اما انصاف را، به هر تقدیر هر دو فرقه در عمل آن را به کار گرفته‌اند و این ناهمسازیها ظاهری بیش ندارد</w:t>
      </w:r>
      <w:r>
        <w:rPr>
          <w:rFonts w:eastAsia="IRNazanin" w:cs="IRNazanin"/>
          <w:color w:val="111111"/>
          <w:sz w:val="28"/>
          <w:szCs w:val="28"/>
          <w:rtl w:val="true"/>
          <w:lang w:bidi="fa-IR"/>
        </w:rPr>
        <w:t>.</w:t>
      </w:r>
    </w:p>
    <w:p>
      <w:pPr>
        <w:pStyle w:val="Heading6"/>
        <w:numPr>
          <w:ilvl w:val="5"/>
          <w:numId w:val="1"/>
        </w:numPr>
        <w:rPr/>
      </w:pPr>
      <w:bookmarkStart w:id="322" w:name="__RefHeading___Toc2150945_1051229030"/>
      <w:bookmarkStart w:id="323" w:name="_Toc120"/>
      <w:bookmarkEnd w:id="322"/>
      <w:r>
        <w:rPr>
          <w:rtl w:val="true"/>
        </w:rPr>
        <w:t>آیا قیاس می‌تواند مخصص قرآن باشد؟</w:t>
      </w:r>
      <w:bookmarkEnd w:id="32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بتفصیل در این باره سخن گفته است؛ خلاصه عقیده وی چنین </w:t>
      </w:r>
      <w:bookmarkStart w:id="324" w:name="pg7474_109366"/>
    </w:p>
    <w:p>
      <w:pPr>
        <w:pStyle w:val="BookText"/>
        <w:rPr/>
      </w:pPr>
      <w:bookmarkEnd w:id="3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صرف قیاس بودن دلیلی مانع نمی‌شود که مخصص قرآن گردد، زیرا قیاس در صورتهایی که حجت است، در شمار سایر دلیلهاست از جمله قرآن، و بنابراین باید دید دلالت کدام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قرآن یا تخصیص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است ، در صورتی که دلالت قیاس قوی‌تر باشد، می‌تواند عموم قرآن را تخصیص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حلال بودن معامله برنج و خرما و جز اینها می‌شود، لکن قیاس مستنبط از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لاتبیعوا البر بالبر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آن دو می‌کند، و چون عام مزبور به علت تخصیص فراوان ضعیف شده بنابراین قیاس هم در این مورد می‌تواند آن را تخصیص دهد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2150947_1051229030"/>
      <w:bookmarkStart w:id="326" w:name="_Toc121"/>
      <w:bookmarkEnd w:id="325"/>
      <w:r>
        <w:rPr>
          <w:rtl w:val="true"/>
        </w:rPr>
        <w:t>قیاس در قوانین کیفری</w:t>
      </w:r>
      <w:bookmarkEnd w:id="326"/>
    </w:p>
    <w:p>
      <w:pPr>
        <w:pStyle w:val="BookText"/>
        <w:rPr/>
      </w:pPr>
      <w:r>
        <w:rPr>
          <w:rFonts w:ascii="IRNazanin" w:hAnsi="IRNazanin" w:eastAsia="IRNazanin"/>
          <w:color w:val="111111"/>
          <w:sz w:val="28"/>
          <w:sz w:val="28"/>
          <w:szCs w:val="28"/>
          <w:rtl w:val="true"/>
          <w:lang w:bidi="fa-IR"/>
        </w:rPr>
        <w:t xml:space="preserve">هواداران قیاس، در سده‌های نخستین اسلام، بویژه قیاس آزاد، در قوانین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تعزیرات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قیاس می‌کردند، نصوص جزایی را تفسیر موسع می‌کردند، برای کارهای ممنوعی که در نصوص برایش کیفری تعیین نشده بود، به قیاس با کارهایی که کیفر داشت، مجازات تعیین می‌کردند، در حالی که در همه نظامهای حقوقی جهان امروز، این عمل ممنوع است، و علت و فلسفه آن هم روشن است، زیرا اگر قیاس در امور جزایی روا باشد دیگر کسی در زندگی تامین قضایی نخواهد داشت؛ هر روز ممکن است عملی با یکی از جرمها، قیاس شود و بر پایه آن، شخص به کیفری محکوم شود که تصورش را هم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در امور کیفری مخالف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بودن جرم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اصول مورد قبول قوانین همه کشورهای دنیاست و در اصل یازدهم اعلامیه جهانی حقوق بشر بصراحت آمده است و همچنین در اصول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مندرج است،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اسلامی نیز آمده و به عقیده امامیه علاوه بر آن بر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آیه‌های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 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آن اشاره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علی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را که خدا بر مردم پوشیده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را بازگو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مباح و از حساب مردم کنار گذاشته </w:t>
      </w:r>
    </w:p>
    <w:p>
      <w:pPr>
        <w:pStyle w:val="BookText"/>
        <w:rPr/>
      </w:pPr>
      <w:r>
        <w:rPr>
          <w:rFonts w:ascii="IRNazanin" w:hAnsi="IRNazanin" w:eastAsia="IRNazanin"/>
          <w:color w:val="111111"/>
          <w:sz w:val="28"/>
          <w:sz w:val="28"/>
          <w:szCs w:val="28"/>
          <w:rtl w:val="true"/>
          <w:lang w:bidi="fa-IR"/>
        </w:rPr>
        <w:t>شده است،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حدیث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مطابق اصول حقوقی مورد قبول دنیای امروز و از جمله قوانین شرعی، شک همواره باید به نفع متهم تفسیر شود و مستند آن حدیث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إدرأوا الحدود بالشبهات ما استطعتم فان وجدتم لمسلم مخرجاً فخلوا سبیله فان الامام لان یخطی‌ء فی العفو خیر من ان یخطی‌ء فی العقوبه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بتوانید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تمسک به شبهات رفع کنید، و هر گاه برای مسلمانی گریزگاهی از حدود بیابید او را رها سازید، زیرا به حقیقت اگر پیشوا به خطا عفو کند بهتر است از آن که به خطا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عبارت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تدرءالحدود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را در موارد مشتبه ساقط می‌کند، گویای آنست که تفسیر در مقررات جزایی، مضیق و قیاس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حدیثهایی که در منع قیاس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ناظر و وارد بر قیاس آزاد و 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قیاس در قوانین جزایی و عبادی بر می‌گردد نه 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اطلاق امر و نهی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منصرف به فرد اکمل و شایع آن است، فرد شایع در قیاس، در سده‌های نخستین و همزمان با امامان، قیاس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قیاس در امور جزایی و عبادی بود، که به گواهی تاریخ شیوع فراوان یافته بود، هر روز صاحبان مکتبهای فقهی گوناگون، با تفسیر موسع برای اعمال مردم کیفر تعیین می‌کردند در حالی که حدی برای آن اعمال در قرآن و سنت نیامده بود و هر روز در مسائل عبادی با قیاس اجتهاد می‌کردند و بدعتهایی در دین می‌گذاشتند که حتی مخالف نص قرآن بود، بنابراین نهی امام هم از قیاس به همین موارد شایع و عمومی زمان بر می‌گردد ، بخصوص از شأن نزول حدیثها و حتی از عبارات آنها، آشکارا این عقیده 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باشد دین بوسیله قیاس بدست آید لازم است که قضای نماز بر زن حائض واجب شود زیرا نماز افضل از روزه است و در باب زنا اقامه چهار شاهد لازم است لکن در قتل دو نفر شاهد کافی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حالیکه قتل جرم عظیمتری از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صراحتا منع قیاس در مسائل عبادی و کیفری را در بر می‌گیرد و شامل مسائل حقوقی نمی‌شود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من هفتاد و سه فرقه می‌شوند و بزرگترین فتنه آنها فتنه قومی است که </w:t>
      </w:r>
      <w:bookmarkStart w:id="327" w:name="pg7474_109368"/>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یقیسون الامور فیحرمون الحلال و یحللون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به قیاس عمل می‌کنند و حرام را حلال و حلال را حرام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نیز حلال و حرام مربوط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کیفرهای تعیین شده را در بر دارد و نمی‌تواند حلال و حرام را به مسائل مربوط به معاملات و حقوق تجارت از قبیل بیع و اجاره و شرکت و غیره تسری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اذا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دیات است و یا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بی من قاس برایه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کسی که به رأی خویش قیاس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قیاس آزاد و اصحاب رأی را در بر می‌گیرد و حتی مفهوم مخالف حدیث چنین است که اگر قیاس کند لکن قیاس به رأی نکند جایز است، مطلق قیاس منع نشده بلکه قیاس به رأی منع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همان گونه که پیش از این گفته شد، چگونگی عبادات ایجاب نوعی تعبد می‌کند بنابراین در مسائل عبادی ملاکهای عقلی و قیاس به کار نمی‌رفته است وانگهی در عبادات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ظاهر منضبط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نمی‌آید تا قیاس را امکان پذیر سازد که شرح آن خواهد آمد</w:t>
      </w:r>
      <w:r>
        <w:rPr>
          <w:rFonts w:eastAsia="IRNazanin" w:cs="IRNazanin"/>
          <w:color w:val="111111"/>
          <w:sz w:val="28"/>
          <w:szCs w:val="28"/>
          <w:rtl w:val="true"/>
          <w:lang w:bidi="fa-IR"/>
        </w:rPr>
        <w:t>.</w:t>
      </w:r>
    </w:p>
    <w:p>
      <w:pPr>
        <w:pStyle w:val="Heading6"/>
        <w:numPr>
          <w:ilvl w:val="5"/>
          <w:numId w:val="1"/>
        </w:numPr>
        <w:rPr/>
      </w:pPr>
      <w:bookmarkStart w:id="328" w:name="__RefHeading___Toc2150949_1051229030"/>
      <w:bookmarkStart w:id="329" w:name="_Toc122"/>
      <w:bookmarkEnd w:id="328"/>
      <w:r>
        <w:rPr>
          <w:rtl w:val="true"/>
        </w:rPr>
        <w:t>دلیلهای اعتبار قیاس</w:t>
      </w:r>
      <w:bookmarkEnd w:id="329"/>
    </w:p>
    <w:p>
      <w:pPr>
        <w:pStyle w:val="Heading6"/>
        <w:numPr>
          <w:ilvl w:val="5"/>
          <w:numId w:val="1"/>
        </w:numPr>
        <w:rPr/>
      </w:pPr>
      <w:bookmarkStart w:id="330" w:name="__RefHeading___Toc2150951_1051229030"/>
      <w:bookmarkStart w:id="331" w:name="_Toc123"/>
      <w:bookmarkEnd w:id="330"/>
      <w:r>
        <w:rPr>
          <w:rtl w:val="true"/>
        </w:rPr>
        <w:t xml:space="preserve">الف </w:t>
      </w:r>
      <w:r>
        <w:rPr>
          <w:rtl w:val="true"/>
        </w:rPr>
        <w:t xml:space="preserve">- </w:t>
      </w:r>
      <w:r>
        <w:rPr>
          <w:rtl w:val="true"/>
        </w:rPr>
        <w:t>قرآن</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هوشیاران عالم از این حادثه عبرت گیرید، که اعتبار و عبرت را بمعنی قیاس دانسته‌اند یعنی در مورد مشابه قیاس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 مصدر باب افتعال از عبور است یعنی عبور کنید و توقف نکنید قیاس هم عبور از مقیس علیه است به مقیس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اطیعواللّه‌و اطیعوا الرسول واولی الامر منکم فان تنازعتم فی شی‌ء فردوه الی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نزاعی میانتان پیش آمد به خدا و رسول برگردید و مراد این است که در صورت انسداد وحی به سنت رسول مراجعه کنید در حالی که برخی گفته‌اند که خداوند فرع را در این آیه رد به اصل کرده و آن را دلیلی بر اعتبار قیاس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پیامبر در مقام اعتراض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استخوانهای پوسیده را باز که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خدایی زنده </w:t>
      </w:r>
      <w:bookmarkStart w:id="332" w:name="pg7474_109369"/>
    </w:p>
    <w:p>
      <w:pPr>
        <w:pStyle w:val="BookText"/>
        <w:rPr/>
      </w:pPr>
      <w:bookmarkEnd w:id="332"/>
      <w:r>
        <w:rPr>
          <w:rFonts w:ascii="IRNazanin" w:hAnsi="IRNazanin" w:eastAsia="IRNazanin"/>
          <w:color w:val="111111"/>
          <w:sz w:val="28"/>
          <w:sz w:val="28"/>
          <w:szCs w:val="28"/>
          <w:rtl w:val="true"/>
          <w:lang w:bidi="fa-IR"/>
        </w:rPr>
        <w:t>می‌کند که اول به آنها زندگی بخشید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در آیه حشر پس از مرگ را به ایجاد قیاس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مثلها را می‌زنیم تا حقایق برای مردم روشن شود</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امثال و حکایات قرآن می‌توان در موارد مشابه قیاس کرد و پند گرفت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قیاس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یک از آیه‌های بالا حجت بودن قیاس استنباط نمی‌شود، زیرا آیه اول دلالت بر پند واندرز دارد نه قیاس و آیه دوم و سوم بر مراجعه به رسول و قدرت خدا دلالت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نظر ما بجز آیه دوم سه آیه دیگر آشکارا بر اعتبار قیاس دلالت دارد</w:t>
      </w:r>
      <w:r>
        <w:rPr>
          <w:rFonts w:eastAsia="IRNazanin" w:cs="IRNazanin"/>
          <w:color w:val="111111"/>
          <w:sz w:val="28"/>
          <w:szCs w:val="28"/>
          <w:rtl w:val="true"/>
          <w:lang w:bidi="fa-IR"/>
        </w:rPr>
        <w:t>.</w:t>
      </w:r>
    </w:p>
    <w:p>
      <w:pPr>
        <w:pStyle w:val="Heading6"/>
        <w:numPr>
          <w:ilvl w:val="5"/>
          <w:numId w:val="1"/>
        </w:numPr>
        <w:rPr/>
      </w:pPr>
      <w:bookmarkStart w:id="333" w:name="__RefHeading___Toc2150953_1051229030"/>
      <w:bookmarkStart w:id="334" w:name="_Toc124"/>
      <w:bookmarkEnd w:id="333"/>
      <w:r>
        <w:rPr>
          <w:rtl w:val="true"/>
        </w:rPr>
        <w:t xml:space="preserve">ب </w:t>
      </w:r>
      <w:r>
        <w:rPr>
          <w:rtl w:val="true"/>
        </w:rPr>
        <w:t xml:space="preserve">- </w:t>
      </w:r>
      <w:r>
        <w:rPr>
          <w:rtl w:val="true"/>
        </w:rPr>
        <w:t>سنت</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حکومت یمن کرد، عرض کرد چگونه قضاوت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نیافتم،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نیافتم اجتهاد به رأی خویش کنم؟ جضرت دست بر سینه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رسول او به آنچه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بزرگ و فقیه مشهور دوره خلفای راشدین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بالکتاب والسنة اذا وجدتهما فاذا لم تجدالحکم فیهما فاجتهد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مطابق قرآن و سنت قضاوت کن، و اگر در آنها نیافتی رأی خود را بکار بند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تسنن، اجتهاد به رأی را به معنی قیاس گرفته‌اند، لکن مخالفان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با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 است، در این مورد باید به دلیل عقل برگردیم، که اصل برائت و اباحه است زیرا اشتغال ذمه یقینی مبرء یقینی لازم دارد و چون یقین به اشتغال داریم باید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تا یقین به برائت ذمه حاصل کنیم و به استناد این حدیث نمی‌توان قیاس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از عمر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پرسیدم ، بوسه بی‌انزال موجب بطلان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آب موجب بطلان روزه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هم نه</w:t>
      </w:r>
      <w:r>
        <w:rPr>
          <w:rFonts w:eastAsia="IRNazanin" w:cs="IRNazanin"/>
          <w:color w:val="111111"/>
          <w:sz w:val="28"/>
          <w:szCs w:val="28"/>
          <w:rtl w:val="true"/>
          <w:lang w:bidi="fa-IR"/>
        </w:rPr>
        <w:t xml:space="preserve">! </w:t>
      </w:r>
      <w:bookmarkStart w:id="335" w:name="pg7474_109370"/>
    </w:p>
    <w:p>
      <w:pPr>
        <w:pStyle w:val="BookText"/>
        <w:rPr/>
      </w:pPr>
      <w:bookmarkEnd w:id="335"/>
      <w:r>
        <w:rPr>
          <w:rFonts w:ascii="IRNazanin" w:hAnsi="IRNazanin" w:eastAsia="IRNazanin"/>
          <w:color w:val="111111"/>
          <w:sz w:val="28"/>
          <w:sz w:val="28"/>
          <w:szCs w:val="28"/>
          <w:rtl w:val="true"/>
          <w:lang w:bidi="fa-IR"/>
        </w:rPr>
        <w:t>از این حدیث هم جواز قیاس را استنباط می‌کنند</w:t>
      </w:r>
      <w:r>
        <w:rPr>
          <w:rFonts w:eastAsia="IRNazanin" w:cs="IRNazanin"/>
          <w:color w:val="111111"/>
          <w:sz w:val="28"/>
          <w:szCs w:val="28"/>
          <w:rtl w:val="true"/>
          <w:lang w:bidi="fa-IR"/>
        </w:rPr>
        <w:t>.</w:t>
      </w:r>
    </w:p>
    <w:p>
      <w:pPr>
        <w:pStyle w:val="Heading6"/>
        <w:numPr>
          <w:ilvl w:val="5"/>
          <w:numId w:val="1"/>
        </w:numPr>
        <w:rPr/>
      </w:pPr>
      <w:bookmarkStart w:id="336" w:name="__RefHeading___Toc2150955_1051229030"/>
      <w:bookmarkStart w:id="337" w:name="_Toc125"/>
      <w:bookmarkEnd w:id="336"/>
      <w:r>
        <w:rPr>
          <w:rtl w:val="true"/>
        </w:rPr>
        <w:t xml:space="preserve">ج </w:t>
      </w:r>
      <w:r>
        <w:rPr>
          <w:rtl w:val="true"/>
        </w:rPr>
        <w:t xml:space="preserve">- </w:t>
      </w:r>
      <w:r>
        <w:rPr>
          <w:rtl w:val="true"/>
        </w:rPr>
        <w:t>اجماع</w:t>
      </w:r>
      <w:bookmarkEnd w:id="337"/>
    </w:p>
    <w:p>
      <w:pPr>
        <w:pStyle w:val="BookText"/>
        <w:rPr/>
      </w:pPr>
      <w:r>
        <w:rPr>
          <w:rFonts w:ascii="IRNazanin" w:hAnsi="IRNazanin" w:eastAsia="IRNazanin"/>
          <w:color w:val="111111"/>
          <w:sz w:val="28"/>
          <w:sz w:val="28"/>
          <w:szCs w:val="28"/>
          <w:rtl w:val="true"/>
          <w:lang w:bidi="fa-IR"/>
        </w:rPr>
        <w:t>دلیل اجماع به نظر ما بکلی نادرست و ادعایی است بی دلیل، زیرا اجماعی که از راه استقرای همه آرا باشد به دست نیامده، بر فرض هم کسی چنین ادعایی کرده باشد، تاریخ خلاف آن را می‌گوید؛ کجا در مسأله‌ای که این قدر آرای متناقض و ناسازگار است، اجماع می‌تواند به دست آید، وانگهی قیاس کار عقل است و در امور عقلی به عقیده آنان که به حجت بودن اجماع عقیده دارند، اجماع اعتبار ندارد</w:t>
      </w:r>
      <w:r>
        <w:rPr>
          <w:rFonts w:eastAsia="IRNazanin" w:cs="IRNazanin"/>
          <w:color w:val="111111"/>
          <w:sz w:val="28"/>
          <w:szCs w:val="28"/>
          <w:rtl w:val="true"/>
          <w:lang w:bidi="fa-IR"/>
        </w:rPr>
        <w:t>.</w:t>
      </w:r>
    </w:p>
    <w:p>
      <w:pPr>
        <w:pStyle w:val="Heading6"/>
        <w:numPr>
          <w:ilvl w:val="5"/>
          <w:numId w:val="1"/>
        </w:numPr>
        <w:rPr/>
      </w:pPr>
      <w:bookmarkStart w:id="338" w:name="__RefHeading___Toc2150957_1051229030"/>
      <w:bookmarkStart w:id="339" w:name="_Toc126"/>
      <w:bookmarkEnd w:id="338"/>
      <w:r>
        <w:rPr>
          <w:rtl w:val="true"/>
        </w:rPr>
        <w:t xml:space="preserve">د </w:t>
      </w:r>
      <w:r>
        <w:rPr>
          <w:rtl w:val="true"/>
        </w:rPr>
        <w:t xml:space="preserve">- </w:t>
      </w:r>
      <w:r>
        <w:rPr>
          <w:rtl w:val="true"/>
        </w:rPr>
        <w:t>عقل</w:t>
      </w:r>
      <w:bookmarkEnd w:id="339"/>
    </w:p>
    <w:p>
      <w:pPr>
        <w:pStyle w:val="BookText"/>
        <w:rPr/>
      </w:pPr>
      <w:r>
        <w:rPr>
          <w:rFonts w:ascii="IRNazanin" w:hAnsi="IRNazanin" w:eastAsia="IRNazanin"/>
          <w:color w:val="111111"/>
          <w:sz w:val="28"/>
          <w:sz w:val="28"/>
          <w:szCs w:val="28"/>
          <w:rtl w:val="true"/>
          <w:lang w:bidi="fa-IR"/>
        </w:rPr>
        <w:t>عقل آدمی همان گونه که در دیباچه این گفتار گفته شد، آشکارا حجیت قیاس را می‌پذیرد، لکن تنها هنگامی که نصی نباشد و الا نمی‌پذیرد و منع از قیاس هم بویژه در سده‌های نخستین بدین دلیل بود که به علت دوری از مرجعها و دسترسی نداشتن به آگاهان به کتاب و سنت، گروهی چشم بسته و از پیش خود دست به قیاس می‌زدند و زحمت مراجعه به کتاب و سنت را به خود نمی‌دادند که به آ ن پیش از این اشاره شد</w:t>
      </w:r>
      <w:r>
        <w:rPr>
          <w:rFonts w:eastAsia="IRNazanin" w:cs="IRNazanin"/>
          <w:color w:val="111111"/>
          <w:sz w:val="28"/>
          <w:szCs w:val="28"/>
          <w:rtl w:val="true"/>
          <w:lang w:bidi="fa-IR"/>
        </w:rPr>
        <w:t>.</w:t>
      </w:r>
    </w:p>
    <w:p>
      <w:pPr>
        <w:pStyle w:val="Heading4"/>
        <w:numPr>
          <w:ilvl w:val="3"/>
          <w:numId w:val="1"/>
        </w:numPr>
        <w:rPr/>
      </w:pPr>
      <w:bookmarkStart w:id="340" w:name="__RefHeading___Toc2150959_1051229030"/>
      <w:bookmarkStart w:id="341" w:name="_Toc127"/>
      <w:bookmarkEnd w:id="340"/>
      <w:r>
        <w:rPr>
          <w:rtl w:val="true"/>
        </w:rPr>
        <w:t>تعریف و عناصر قیاس</w:t>
      </w:r>
      <w:bookmarkEnd w:id="341"/>
    </w:p>
    <w:p>
      <w:pPr>
        <w:pStyle w:val="Heading5"/>
        <w:numPr>
          <w:ilvl w:val="4"/>
          <w:numId w:val="1"/>
        </w:numPr>
        <w:rPr/>
      </w:pPr>
      <w:bookmarkStart w:id="342" w:name="__RefHeading___Toc2150961_1051229030"/>
      <w:bookmarkStart w:id="343" w:name="_Toc128"/>
      <w:bookmarkEnd w:id="342"/>
      <w:r>
        <w:rPr>
          <w:rtl w:val="true"/>
        </w:rPr>
        <w:t>تعریف قیاس</w:t>
      </w:r>
      <w:bookmarkEnd w:id="343"/>
    </w:p>
    <w:p>
      <w:pPr>
        <w:pStyle w:val="BookText"/>
        <w:rPr/>
      </w:pPr>
      <w:r>
        <w:rPr>
          <w:rFonts w:ascii="IRNazanin" w:hAnsi="IRNazanin" w:eastAsia="IRNazanin"/>
          <w:color w:val="111111"/>
          <w:sz w:val="28"/>
          <w:sz w:val="28"/>
          <w:szCs w:val="28"/>
          <w:rtl w:val="true"/>
          <w:lang w:bidi="fa-IR"/>
        </w:rPr>
        <w:t>دانشمندان اصول تعریفهای گوناگونی از قیاس کرده‌اند که به چند مورد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تسری دادن حکم اصل به فرع به مناسبت جامع بر اساس علت واحدی که در اصل و فرع وجود دارد و آن علت تنها از عبارت نص درباره اصل، استنباط و دانسته نمی‌شود بلکه حاجت به نوعی اعمال نظر دارد</w:t>
      </w:r>
      <w:r>
        <w:rPr>
          <w:rStyle w:val="FootnoteAnchor"/>
        </w:rPr>
        <w:footnoteReference w:id="205"/>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برابری میان فرع و اصل در علت حکم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حکم معلومی بمانند حکمی که برای معلوم دیگری ثابت است بواسطه اشتراک آن دو در علت حکم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344" w:name="pg7474_109371"/>
    </w:p>
    <w:p>
      <w:pPr>
        <w:pStyle w:val="Heading5"/>
        <w:numPr>
          <w:ilvl w:val="4"/>
          <w:numId w:val="1"/>
        </w:numPr>
        <w:rPr/>
      </w:pPr>
      <w:bookmarkStart w:id="345" w:name="__RefHeading___Toc2150963_1051229030"/>
      <w:bookmarkStart w:id="346" w:name="_Toc129"/>
      <w:bookmarkEnd w:id="344"/>
      <w:bookmarkEnd w:id="345"/>
      <w:r>
        <w:rPr>
          <w:rtl w:val="true"/>
        </w:rPr>
        <w:t>عناصر قیاس</w:t>
      </w:r>
      <w:bookmarkEnd w:id="346"/>
    </w:p>
    <w:p>
      <w:pPr>
        <w:pStyle w:val="BookText"/>
        <w:rPr/>
      </w:pPr>
      <w:r>
        <w:rPr>
          <w:rFonts w:ascii="IRNazanin" w:hAnsi="IRNazanin" w:eastAsia="IRNazanin"/>
          <w:color w:val="111111"/>
          <w:sz w:val="28"/>
          <w:sz w:val="28"/>
          <w:szCs w:val="28"/>
          <w:rtl w:val="true"/>
          <w:lang w:bidi="fa-IR"/>
        </w:rPr>
        <w:t>هر قیاس دارای چهار عنصر است ازاینقرار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 که حکمش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 که حکمش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سبب حکم که در هر دو موضوع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حکمی که مجهول و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مداخله در بیعی که کسی انجام داده در شرع منع شده، حدیثی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لایحل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یبتاع علی بیع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نیست بر مسلمان که آنچه را مسلمان دیگر خریده است،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صراحت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لکن آیا مداخله در اجاره دیگری هم همین است؟ نمی‌دانیم، چون حدیث از آ ن ذکری نکرده است، اکنون اگر علت حکم اول را استنباط کنیم و مثلاً بگوییم، علت ممنوع بودن مداخله در بیع و خرید و فروش، این است که این کار موجب بالا رفتن قیمت مورد معامله شده، در نتیجه به زیان مشتری تمام خواهد شد، و بعد بگوییم همین علت در اجاره نیز وجود دارد یعنی اگر کسی در اجاره دیگری مداخله کند و به قول عوام روی دست او درآید، اجاره بها بالا می‌رود و موجب ضرر مستاجر خواهد شد و نتیجه بگیریم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مداخله در اجاره دیگران هم ممنوع است، در این قیاس، بیع را اصل، اجاره را فرع، بالا رفتن نرخ را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ممنوع بودن مداخله در اجاره را حکم گویند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اول،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عبارتست از موردی که نص یا قانون، حکم آن را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رعایت سه شرط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به مورد خاصی محدود نشده باشد مثلاً طبق ماده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خیار مجلس و حیوان و تاخیر ثمن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بنابراین نمی‌توان از این خیارات در عقود دیگر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صلح و نکاح استفاده کرد و این عقود را به بیع در این مورد قیاس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 یا قانون باید آن گونه باشد که بتوان علت وضع را از آ ن استنباط و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بدست آوردن علت از قانون راههایی ابداع کرده‌اند که به آ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به آن اشاره خواهیم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تصریح شده باشد، پس اگر حکم مورد سکوتی را به وسیله </w:t>
      </w:r>
      <w:bookmarkStart w:id="347" w:name="pg7474_109372"/>
    </w:p>
    <w:p>
      <w:pPr>
        <w:pStyle w:val="BookText"/>
        <w:rPr/>
      </w:pPr>
      <w:bookmarkEnd w:id="347"/>
      <w:r>
        <w:rPr>
          <w:rFonts w:ascii="IRNazanin" w:hAnsi="IRNazanin" w:eastAsia="IRNazanin"/>
          <w:color w:val="111111"/>
          <w:sz w:val="28"/>
          <w:sz w:val="28"/>
          <w:szCs w:val="28"/>
          <w:rtl w:val="true"/>
          <w:lang w:bidi="fa-IR"/>
        </w:rPr>
        <w:t>قیاس بدست آوردیم، نمی‌توانیم آن را برای مورد سکوت دیگری، اصل قرار دهیم زیرا تسلسل پدید می‌آید و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راههای استنباط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استنباط علت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نظر آنان که به حجت بودن اجماع عقیده دارند که علت وضع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رأی اجماعی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هر گاه شارع یا قانونگذار علت وضع را در خود قانون بیان کرده باشد؛ مثلاً 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با اشخاصی که بالغ یا عاقل یا رشید نیستند، بواسطه عدم اهلیت،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خود ماده علت بطلان بیان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همین علت در ایقاعات محجورین هم متصور است، بنابراین با این که در ماده از ایقاعات ذکری نرفته می‌توان با قیاس ایقاعات را هم باطل دانست، و این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استنباط علت از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که علت، در نص آشکارا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که در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بحثی نیست، اشکال آن جاست که علت، بصراحت نیامده باشد، در این مورد راههایی برای چگونگی استخراج علت از نص آورده‌اند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تنبیه وایما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مفهوم موافق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استنباط علت</w:t>
      </w:r>
    </w:p>
    <w:p>
      <w:pPr>
        <w:pStyle w:val="Heading5"/>
        <w:numPr>
          <w:ilvl w:val="4"/>
          <w:numId w:val="1"/>
        </w:numPr>
        <w:rPr/>
      </w:pPr>
      <w:bookmarkStart w:id="348" w:name="__RefHeading___Toc2150965_1051229030"/>
      <w:bookmarkStart w:id="349" w:name="_Toc130"/>
      <w:bookmarkEnd w:id="348"/>
      <w:r>
        <w:rPr/>
        <w:t>1</w:t>
      </w:r>
      <w:r>
        <w:rPr>
          <w:rtl w:val="true"/>
        </w:rPr>
        <w:t xml:space="preserve">- </w:t>
      </w:r>
      <w:r>
        <w:rPr>
          <w:rtl w:val="true"/>
        </w:rPr>
        <w:t>دلالت تنبیه و ایما</w:t>
      </w:r>
      <w:bookmarkEnd w:id="34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حکم قانونی بر وصفی استوار باشد، آن را دلالت تنبیه و ایما گویند، مثلاً ماده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به صرف مال در امر غیر مشروع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در وصیت عهدی است، لکن از راه قیاس می‌توان آن را به وصیت تملیکی نیز تسری داد، برای استخراج علت وضع، می‌گویند به دلالت تنبیه و ایما،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صفت وصیت عهدی است که علت بطلان است، پس هرگاه همین صفت در وصیت تملیکی هم باشد حکم بطلان بر آن هم جاری است، در مثال بالا علت وضع آشکارا در نص نیست بلکه به ایما استنباط می‌شود و این همان عبارت مشهور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حکم بر وصف، مشعر بر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قیاسی هم که از </w:t>
      </w:r>
      <w:bookmarkStart w:id="350" w:name="pg7474_109373"/>
    </w:p>
    <w:p>
      <w:pPr>
        <w:pStyle w:val="BookText"/>
        <w:rPr/>
      </w:pPr>
      <w:bookmarkEnd w:id="350"/>
      <w:r>
        <w:rPr>
          <w:rFonts w:ascii="IRNazanin" w:hAnsi="IRNazanin" w:eastAsia="IRNazanin"/>
          <w:color w:val="111111"/>
          <w:sz w:val="28"/>
          <w:sz w:val="28"/>
          <w:szCs w:val="28"/>
          <w:rtl w:val="true"/>
          <w:lang w:bidi="fa-IR"/>
        </w:rPr>
        <w:t>راه تنبیه و ایما به دست آید از انواع قیاس منصوص العله است</w:t>
      </w:r>
      <w:r>
        <w:rPr>
          <w:rStyle w:val="FootnoteAnchor"/>
          <w:rtl w:val="true"/>
        </w:rPr>
        <w:footnoteReference w:id="208"/>
      </w:r>
    </w:p>
    <w:p>
      <w:pPr>
        <w:pStyle w:val="Heading5"/>
        <w:numPr>
          <w:ilvl w:val="4"/>
          <w:numId w:val="1"/>
        </w:numPr>
        <w:rPr/>
      </w:pPr>
      <w:bookmarkStart w:id="351" w:name="__RefHeading___Toc2150967_1051229030"/>
      <w:bookmarkStart w:id="352" w:name="_Toc131"/>
      <w:bookmarkEnd w:id="351"/>
      <w:r>
        <w:rPr/>
        <w:t>2</w:t>
      </w:r>
      <w:r>
        <w:rPr>
          <w:rtl w:val="true"/>
        </w:rPr>
        <w:t xml:space="preserve">- </w:t>
      </w:r>
      <w:r>
        <w:rPr>
          <w:rtl w:val="true"/>
        </w:rPr>
        <w:t xml:space="preserve">دلالت مفهوم موافق </w:t>
      </w:r>
      <w:r>
        <w:rPr>
          <w:rtl w:val="true"/>
        </w:rPr>
        <w:t>(</w:t>
      </w:r>
      <w:r>
        <w:rPr>
          <w:rtl w:val="true"/>
        </w:rPr>
        <w:t>اولویت</w:t>
      </w:r>
      <w:r>
        <w:rPr>
          <w:rtl w:val="true"/>
        </w:rPr>
        <w:t>)</w:t>
      </w:r>
      <w:bookmarkEnd w:id="352"/>
    </w:p>
    <w:p>
      <w:pPr>
        <w:pStyle w:val="BookText"/>
        <w:rPr/>
      </w:pPr>
      <w:r>
        <w:rPr>
          <w:rFonts w:ascii="IRNazanin" w:hAnsi="IRNazanin" w:eastAsia="IRNazanin"/>
          <w:color w:val="111111"/>
          <w:sz w:val="28"/>
          <w:sz w:val="28"/>
          <w:szCs w:val="28"/>
          <w:rtl w:val="true"/>
          <w:lang w:bidi="fa-IR"/>
        </w:rPr>
        <w:t xml:space="preserve">اگر قدر مشترک میان اصل و فرع که موجب حمل حکم اصل بر فرع می‌شود، در فرع بیشتر و شدیدتر باشد، آن را قیاس اولویت یا دلالت مفهوم موافق گویند، مثلاً در آیه تافیف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 لهمااف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پدر و مادر اف مگویید، از مفهوم موافق این عبارت بر می‌آید که سایر توهینها و مثلاً ایراد ضرب و جرح به طریق اولی نهی شده است، علت حکم یا وجه جامع هم روشن است، زیرا پدر و مادر باید به نهایت درجه مورد احترام فرزندان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قیاس اولویت را قیاس ندانسته و آن را از باب دلالت لفظی نص دانسته‌اند و می‌گویند ذکر موضوع در قضیه از باب ذکر مصداق اضعف است تا نسبت به مصداق اقوی حکم به شدت و به وجه مبالغه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قیاس اولویت را قیاس نمی‌داند،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وقتی است که فرع مورد غفلت و سکوت قانونگذار باشد و در اولویت چنین نیست، لکن سخن غزالی مصادره به مطلوب است، جانا سخن از زبان ما می‌گویی </w:t>
      </w:r>
      <w:r>
        <w:rPr>
          <w:rFonts w:eastAsia="IRNazanin" w:cs="IRNazanin"/>
          <w:color w:val="111111"/>
          <w:sz w:val="28"/>
          <w:szCs w:val="28"/>
          <w:rtl w:val="true"/>
          <w:lang w:bidi="fa-IR"/>
        </w:rPr>
        <w:t>!</w:t>
      </w:r>
    </w:p>
    <w:p>
      <w:pPr>
        <w:pStyle w:val="Heading5"/>
        <w:numPr>
          <w:ilvl w:val="4"/>
          <w:numId w:val="1"/>
        </w:numPr>
        <w:rPr/>
      </w:pPr>
      <w:bookmarkStart w:id="353" w:name="__RefHeading___Toc2150969_1051229030"/>
      <w:bookmarkStart w:id="354" w:name="_Toc132"/>
      <w:bookmarkEnd w:id="353"/>
      <w:r>
        <w:rPr/>
        <w:t>3</w:t>
      </w:r>
      <w:r>
        <w:rPr>
          <w:rtl w:val="true"/>
        </w:rPr>
        <w:t xml:space="preserve">- </w:t>
      </w:r>
      <w:r>
        <w:rPr>
          <w:rtl w:val="true"/>
        </w:rPr>
        <w:t>علت مستنبط از نص</w:t>
      </w:r>
      <w:bookmarkEnd w:id="354"/>
    </w:p>
    <w:p>
      <w:pPr>
        <w:pStyle w:val="Heading6"/>
        <w:numPr>
          <w:ilvl w:val="5"/>
          <w:numId w:val="1"/>
        </w:numPr>
        <w:rPr/>
      </w:pPr>
      <w:bookmarkStart w:id="355" w:name="__RefHeading___Toc2150971_1051229030"/>
      <w:bookmarkStart w:id="356" w:name="_Toc133"/>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سومین نحوه استخراج علت، علت مستنبط است، هر گاه به دلالت تنبیه و ایما و مفهوم موافق علت به دست نیاید باید کوشش بیشتری کرد تا از راه مصلحتها و مفسدتهایی که انگیزه وضع قانون بوده، علت به دست آید، این را قیاس مستنبط علت گویند که به آن اشاره خواهیم کرد</w:t>
      </w:r>
      <w:r>
        <w:rPr>
          <w:rFonts w:eastAsia="IRNazanin" w:cs="IRNazanin"/>
          <w:color w:val="111111"/>
          <w:sz w:val="28"/>
          <w:szCs w:val="28"/>
          <w:rtl w:val="true"/>
          <w:lang w:bidi="fa-IR"/>
        </w:rPr>
        <w:t>.</w:t>
      </w:r>
    </w:p>
    <w:p>
      <w:pPr>
        <w:pStyle w:val="Heading6"/>
        <w:numPr>
          <w:ilvl w:val="5"/>
          <w:numId w:val="1"/>
        </w:numPr>
        <w:rPr/>
      </w:pPr>
      <w:bookmarkStart w:id="357" w:name="__RefHeading___Toc2150973_1051229030"/>
      <w:bookmarkStart w:id="358" w:name="_Toc134"/>
      <w:bookmarkEnd w:id="357"/>
      <w:r>
        <w:rPr>
          <w:rtl w:val="true"/>
        </w:rPr>
        <w:t>عنصر دوم،</w:t>
      </w:r>
      <w:bookmarkEnd w:id="3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همان مورد سکوت قانون است، در فرع باید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یا مجمل باشد و علت وضع قانون در فرع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اجرت قیم در ماده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بیان شده، حال اگر اجرت وصی مسکوت باشد، علت وضع در مورد قیم، ارزش کار هر کارگر است، همین علت در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اگر قیاس شود، قیاس مستنبط العله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اوضاع و احوالی نباشد که مانع از تاثیر علت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در مثال بالا میان وصی و موصی و موصی له معمولاً یک رابطه عاطفی وجود دارد که مانع از چشمداشت اجرت است در حالی که در قیم چنین نیست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359" w:name="pg7474_109374"/>
    </w:p>
    <w:p>
      <w:pPr>
        <w:pStyle w:val="Heading6"/>
        <w:numPr>
          <w:ilvl w:val="5"/>
          <w:numId w:val="1"/>
        </w:numPr>
        <w:rPr/>
      </w:pPr>
      <w:bookmarkStart w:id="360" w:name="__RefHeading___Toc2150975_1051229030"/>
      <w:bookmarkStart w:id="361" w:name="_Toc135"/>
      <w:bookmarkEnd w:id="359"/>
      <w:bookmarkEnd w:id="360"/>
      <w:r>
        <w:rPr>
          <w:rtl w:val="true"/>
        </w:rPr>
        <w:t>عنصر سوم،</w:t>
      </w:r>
      <w:bookmarkEnd w:id="361"/>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اصل باید از نص حاصل شود و مستقیم به دست آید نه غیر مستقیم و از امور تعبدی مانند عبادات نباشد</w:t>
      </w:r>
      <w:r>
        <w:rPr>
          <w:rFonts w:eastAsia="IRNazanin" w:cs="IRNazanin"/>
          <w:color w:val="111111"/>
          <w:sz w:val="28"/>
          <w:szCs w:val="28"/>
          <w:rtl w:val="true"/>
          <w:lang w:bidi="fa-IR"/>
        </w:rPr>
        <w:t>.</w:t>
      </w:r>
    </w:p>
    <w:p>
      <w:pPr>
        <w:pStyle w:val="Heading6"/>
        <w:numPr>
          <w:ilvl w:val="5"/>
          <w:numId w:val="1"/>
        </w:numPr>
        <w:rPr/>
      </w:pPr>
      <w:bookmarkStart w:id="362" w:name="__RefHeading___Toc2150977_1051229030"/>
      <w:bookmarkStart w:id="363" w:name="_Toc136"/>
      <w:bookmarkEnd w:id="362"/>
      <w:r>
        <w:rPr>
          <w:rtl w:val="true"/>
        </w:rPr>
        <w:t>عنصر چهارم،</w:t>
      </w:r>
      <w:bookmarkEnd w:id="363"/>
    </w:p>
    <w:p>
      <w:pPr>
        <w:pStyle w:val="BookText"/>
        <w:rPr/>
      </w:pPr>
      <w:r>
        <w:rPr>
          <w:rFonts w:ascii="IRNazanin" w:hAnsi="IRNazanin" w:eastAsia="IRNazanin"/>
          <w:color w:val="111111"/>
          <w:sz w:val="28"/>
          <w:sz w:val="28"/>
          <w:szCs w:val="28"/>
          <w:rtl w:val="true"/>
          <w:lang w:bidi="fa-IR"/>
        </w:rPr>
        <w:t>جامع یا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یا علت، قدر مشترک میان اصل و فرع است، علت باید وصفی روشن و آشکار باشد نه مبهم، تا بتوان با محک آن فرع را به علت عرضه کرد، علت باید چنان باشد که حکم اصل با اثبات آن اثبات و با نفی آن نفی شود و نیز مناسبت ذاتی میان علت و حکم اصل موجود باشد و همین مناسبت ذاتی است که شرط را از علت جدا می‌کند زیرا در شرط مناسبت ذاتی با مشروط ممکنست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استخراج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علت چند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سبر و تقسیم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شبه</w:t>
      </w:r>
    </w:p>
    <w:p>
      <w:pPr>
        <w:pStyle w:val="Heading5"/>
        <w:numPr>
          <w:ilvl w:val="4"/>
          <w:numId w:val="1"/>
        </w:numPr>
        <w:rPr/>
      </w:pPr>
      <w:bookmarkStart w:id="364" w:name="__RefHeading___Toc2150979_1051229030"/>
      <w:bookmarkStart w:id="365" w:name="_Toc137"/>
      <w:bookmarkEnd w:id="364"/>
      <w:r>
        <w:rPr/>
        <w:t>1</w:t>
      </w:r>
      <w:r>
        <w:rPr>
          <w:rtl w:val="true"/>
        </w:rPr>
        <w:t xml:space="preserve">- </w:t>
      </w:r>
      <w:r>
        <w:rPr>
          <w:rtl w:val="true"/>
        </w:rPr>
        <w:t>سبر و تقسیم</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 و تقسیم</w:t>
      </w:r>
      <w:r>
        <w:rPr>
          <w:rStyle w:val="FootnoteAnchor"/>
          <w:rtl w:val="true"/>
        </w:rPr>
        <w:footnoteReference w:id="210"/>
      </w:r>
      <w:r>
        <w:rPr>
          <w:rFonts w:ascii="IRNazanin" w:hAnsi="IRNazanin" w:eastAsia="IRNazanin"/>
          <w:color w:val="111111"/>
          <w:sz w:val="28"/>
          <w:sz w:val="28"/>
          <w:szCs w:val="28"/>
          <w:rtl w:val="true"/>
          <w:lang w:bidi="fa-IR"/>
        </w:rPr>
        <w:t>سبر به معنی آزمایش و اختبار و نیز غوررسی و تجزیه و تحلیل است و تقسیم آن است که اوصاف متعددی را که گمان می‌رود علت حکم اصل است، برگزینند و هر وصف را در برابر حکم اصل بسنجند تا ببینند تناسب ذاتی میان آن وصف با حکم اصل هست یا خیر؟ و یکایک وصفهایی که شایستگی ندارند، حذف کنند تا سرانجام آن علتی بماند که شایسته علت بودن باشد مثلاً در مورد علت حرمت خمر، وصفهای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طعم، میعان، تلخی، گرفتنش از انگور، مسکر بودن وجود دارد؛ بجز وصف اخیر بقیه وصفها در دیگر شربتها هم هست پس علت باید همان مسکر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همان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آنالیزه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فرنگی‌هاست</w:t>
      </w:r>
      <w:r>
        <w:rPr>
          <w:rStyle w:val="FootnoteAnchor"/>
          <w:rtl w:val="true"/>
        </w:rPr>
        <w:footnoteReference w:id="211"/>
      </w:r>
      <w:r>
        <w:rPr>
          <w:rFonts w:ascii="IRNazanin" w:hAnsi="IRNazanin" w:eastAsia="IRNazanin"/>
          <w:color w:val="111111"/>
          <w:sz w:val="28"/>
          <w:sz w:val="28"/>
          <w:szCs w:val="28"/>
          <w:rtl w:val="true"/>
          <w:lang w:bidi="fa-IR"/>
        </w:rPr>
        <w:t xml:space="preserve">حاج ملا هادی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استخراج علت حکم با سبر و تقسیم که نتیجه آن نفی مدخلیت اوصافی است جز وصف واحد اشکال کرده است، از جمله این که در اوصاف مذکور، حصر عقلی وجود ندارد تا از نفی عده‌ای از آنها اثبات واحدی از آنها باشد و بنابراین احتمال وصف دیگر نیز می‌رود که آن علت حکم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قیاسی که علت آن از راه سبر و تقسیم به 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و </w:t>
      </w:r>
      <w:bookmarkStart w:id="366" w:name="pg7474_109375"/>
    </w:p>
    <w:p>
      <w:pPr>
        <w:pStyle w:val="BookText"/>
        <w:rPr/>
      </w:pPr>
      <w:bookmarkEnd w:id="366"/>
      <w:r>
        <w:rPr>
          <w:rFonts w:ascii="IRNazanin" w:hAnsi="IRNazanin" w:eastAsia="IRNazanin"/>
          <w:color w:val="111111"/>
          <w:sz w:val="28"/>
          <w:sz w:val="28"/>
          <w:szCs w:val="28"/>
          <w:rtl w:val="true"/>
          <w:lang w:bidi="fa-IR"/>
        </w:rPr>
        <w:t xml:space="preserve">آن یا قطعی است و یا ظنی، اگر قطعی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ماده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معلوم شود که معامله به قصد فرار از دین واقع شده آن معامله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نفوذ، فرار از دین است، اکنون اگر ایقاعی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قصد باشد، می‌توان قیاس کرد و آن را غیر نافذ دانست، پس تنقیح مناط یکی از اقسام قیاس منصوص العله، و از اصطلاحات امامیه است</w:t>
      </w:r>
      <w:r>
        <w:rPr>
          <w:rFonts w:eastAsia="IRNazanin" w:cs="IRNazanin"/>
          <w:color w:val="111111"/>
          <w:sz w:val="28"/>
          <w:szCs w:val="28"/>
          <w:rtl w:val="true"/>
          <w:lang w:bidi="fa-IR"/>
        </w:rPr>
        <w:t>.</w:t>
      </w:r>
    </w:p>
    <w:p>
      <w:pPr>
        <w:pStyle w:val="Heading5"/>
        <w:numPr>
          <w:ilvl w:val="4"/>
          <w:numId w:val="1"/>
        </w:numPr>
        <w:rPr/>
      </w:pPr>
      <w:bookmarkStart w:id="367" w:name="__RefHeading___Toc2150981_1051229030"/>
      <w:bookmarkStart w:id="368" w:name="_Toc138"/>
      <w:bookmarkEnd w:id="367"/>
      <w:r>
        <w:rPr/>
        <w:t>2</w:t>
      </w:r>
      <w:r>
        <w:rPr>
          <w:rtl w:val="true"/>
        </w:rPr>
        <w:t xml:space="preserve">- </w:t>
      </w:r>
      <w:r>
        <w:rPr>
          <w:rtl w:val="true"/>
        </w:rPr>
        <w:t>طریق مناسبت</w:t>
      </w:r>
      <w:bookmarkEnd w:id="368"/>
    </w:p>
    <w:p>
      <w:pPr>
        <w:pStyle w:val="BookText"/>
        <w:rPr/>
      </w:pPr>
      <w:r>
        <w:rPr>
          <w:rFonts w:ascii="IRNazanin" w:hAnsi="IRNazanin" w:eastAsia="IRNazanin"/>
          <w:color w:val="111111"/>
          <w:sz w:val="28"/>
          <w:sz w:val="28"/>
          <w:szCs w:val="28"/>
          <w:rtl w:val="true"/>
          <w:lang w:bidi="fa-IR"/>
        </w:rPr>
        <w:t xml:space="preserve">هر گاه برای بدست آوردن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پیش گرفتن راه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وصفی را برگزینند به گمان این که علت حکم است و با اصل مناسبتی دارد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اعتبار این قیاس بمراتب از تنقیح مناط کمتر است و امامیه آن را نپذیرفته‌اند</w:t>
      </w:r>
      <w:r>
        <w:rPr>
          <w:rFonts w:eastAsia="IRNazanin" w:cs="IRNazanin"/>
          <w:color w:val="111111"/>
          <w:sz w:val="28"/>
          <w:szCs w:val="28"/>
          <w:rtl w:val="true"/>
          <w:lang w:bidi="fa-IR"/>
        </w:rPr>
        <w:t>.</w:t>
      </w:r>
    </w:p>
    <w:p>
      <w:pPr>
        <w:pStyle w:val="Heading5"/>
        <w:numPr>
          <w:ilvl w:val="4"/>
          <w:numId w:val="1"/>
        </w:numPr>
        <w:rPr/>
      </w:pPr>
      <w:bookmarkStart w:id="369" w:name="__RefHeading___Toc2150983_1051229030"/>
      <w:bookmarkStart w:id="370" w:name="_Toc139"/>
      <w:bookmarkEnd w:id="369"/>
      <w:r>
        <w:rPr/>
        <w:t>3</w:t>
      </w:r>
      <w:r>
        <w:rPr>
          <w:rtl w:val="true"/>
        </w:rPr>
        <w:t xml:space="preserve">- </w:t>
      </w:r>
      <w:r>
        <w:rPr>
          <w:rtl w:val="true"/>
        </w:rPr>
        <w:t>قیاس شبه</w:t>
      </w:r>
      <w:bookmarkEnd w:id="370"/>
    </w:p>
    <w:p>
      <w:pPr>
        <w:pStyle w:val="BookText"/>
        <w:rPr/>
      </w:pPr>
      <w:r>
        <w:rPr>
          <w:rFonts w:ascii="IRNazanin" w:hAnsi="IRNazanin" w:eastAsia="IRNazanin"/>
          <w:color w:val="111111"/>
          <w:sz w:val="28"/>
          <w:sz w:val="28"/>
          <w:szCs w:val="28"/>
          <w:rtl w:val="true"/>
          <w:lang w:bidi="fa-IR"/>
        </w:rPr>
        <w:t>هر گاه وصفی بدون سبر و تقسیم و بدون داشتن مناسبت با اصل، از روی حدس و گمان علت برای حکم اصل قرار داده شود، اگر ایجاد ظن برای قیاس کننده کند به آن قیاس مناسبت می‌گویند و اگر ظن هم ایجاد نکند قیاس شبه نام می‌گیرد قیاس شبه را هیچ یک از مکتبهای فقهی نپذیرفته‌اند</w:t>
      </w:r>
      <w:r>
        <w:rPr>
          <w:rFonts w:eastAsia="IRNazanin" w:cs="IRNazanin"/>
          <w:color w:val="111111"/>
          <w:sz w:val="28"/>
          <w:szCs w:val="28"/>
          <w:rtl w:val="true"/>
          <w:lang w:bidi="fa-IR"/>
        </w:rPr>
        <w:t>.</w:t>
      </w:r>
    </w:p>
    <w:p>
      <w:pPr>
        <w:pStyle w:val="Heading5"/>
        <w:numPr>
          <w:ilvl w:val="4"/>
          <w:numId w:val="1"/>
        </w:numPr>
        <w:rPr/>
      </w:pPr>
      <w:bookmarkStart w:id="371" w:name="__RefHeading___Toc2150985_1051229030"/>
      <w:bookmarkStart w:id="372" w:name="_Toc140"/>
      <w:bookmarkEnd w:id="371"/>
      <w:r>
        <w:rPr>
          <w:rtl w:val="true"/>
        </w:rPr>
        <w:t>ویژگیهای امامیه در باب قیاس</w:t>
      </w:r>
      <w:bookmarkEnd w:id="372"/>
    </w:p>
    <w:p>
      <w:pPr>
        <w:pStyle w:val="BookText"/>
        <w:rPr/>
      </w:pPr>
      <w:r>
        <w:rPr>
          <w:rFonts w:ascii="IRNazanin" w:hAnsi="IRNazanin" w:eastAsia="IRNazanin"/>
          <w:color w:val="111111"/>
          <w:sz w:val="28"/>
          <w:sz w:val="28"/>
          <w:szCs w:val="28"/>
          <w:rtl w:val="true"/>
          <w:lang w:bidi="fa-IR"/>
        </w:rPr>
        <w:t>محقق قمی عقیده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منصوص العله قیاس نیست بلکه نتیجه این قیاس در واقع جزئی از مدلول عبارت قانونگذار است و قیاس اولویت هم قیاس نیست زیرا مفهومی که از عبارت قانونگذار به دست می‌آید به گونه دلالت التزامی از آن مستفاد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به حجت بودن هر دو قیاس اعتقاد دارد لکن بحث در نامیدن این روش استنباط است که از کلمه قیاس بشدت اجتناب کرده‌اند و این روشهای استدلال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فحوای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از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نهی امام را از همه مصادیق قیاس به معنای حقیقی آن دانسته‌اند و بنابراین در همه مواردی که از قیاس تا کنون یاد کردیم، آن را با تغییر اسم و عنوان در عمل به کار می‌برند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را بکلی بی‌اعتبار می‌داند و مثلاً می‌گوید، در سبر و تقسیم، حرمت شراب بواسطه اسکار نیست، زیرا امکان دارد که اسکار مختص شراب علت حرمت باشد نه مطلق مسکر بودن هر مشروبی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این بیان راه قیاس دیگر مشروبهای الکلی را به شراب ظاهراً می‌بندد، علامه در پاسخ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مانند آن است که پدری به فرزند خود بگوید از این گیاه مخور زیرا زهرآلود است، بدیهی است اقتضای این سخن آن است که هر گیاه زهرآلود دیگر هم مشمول همان نهی باشد، لکن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بجاست که علت، ظاهر و آشکار باشد، نه این که از راه سبر و تقسیم و تجزیه و تحلیل به دست آید، و ظاهراً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نصی بر می‌گردد که علت در آن نیامده باشد، اما شیخ بهایی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قیاس اولویت و منصوص العله را حجت می‌داند و معتبر می‌شناسد، لکن در قیاس مستنبط العله تردید می‌کند</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امامیه برای قیاسها واژه‌های دیگری به کار برده‌اند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طریق مسألتین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مسأله در طریق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وحدت ملاک و مناط است مثلاً نص 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قهری اطفال می‌تواند مال صغیر را برای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وصی هم در اجرای وصیت می‌تواند مورد وصیت عهدی را برای خود بخرد، زیرا طریق هر دو مسأله یکی است، این را می‌گویند وحدت ملاک، اما اگر بدرستی درنگ کنیم، نوعی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مستنبط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گفتار چشم اندازی از این مبحث با ارزش را مجسم کرده باشد</w:t>
      </w:r>
      <w:r>
        <w:rPr>
          <w:rFonts w:eastAsia="IRNazanin" w:cs="IRNazanin"/>
          <w:color w:val="111111"/>
          <w:sz w:val="28"/>
          <w:szCs w:val="28"/>
          <w:rtl w:val="true"/>
          <w:lang w:bidi="fa-IR"/>
        </w:rPr>
        <w:t xml:space="preserve">. </w:t>
      </w:r>
      <w:bookmarkStart w:id="373" w:name="pg7474_109377"/>
    </w:p>
    <w:p>
      <w:pPr>
        <w:pStyle w:val="Heading3"/>
        <w:numPr>
          <w:ilvl w:val="2"/>
          <w:numId w:val="1"/>
        </w:numPr>
        <w:rPr/>
      </w:pPr>
      <w:bookmarkStart w:id="374" w:name="__RefHeading___Toc2150987_1051229030"/>
      <w:bookmarkStart w:id="375" w:name="_Toc141"/>
      <w:bookmarkEnd w:id="373"/>
      <w:bookmarkEnd w:id="374"/>
      <w:r>
        <w:rPr>
          <w:rtl w:val="true"/>
        </w:rPr>
        <w:t xml:space="preserve">گفتار هفتم </w:t>
      </w:r>
      <w:r>
        <w:rPr>
          <w:rtl w:val="true"/>
        </w:rPr>
        <w:t>:</w:t>
      </w:r>
      <w:r>
        <w:rPr>
          <w:rtl w:val="true"/>
        </w:rPr>
        <w:t>استحسان و استصلاح</w:t>
      </w:r>
      <w:bookmarkEnd w:id="375"/>
    </w:p>
    <w:p>
      <w:pPr>
        <w:pStyle w:val="Heading4"/>
        <w:numPr>
          <w:ilvl w:val="3"/>
          <w:numId w:val="1"/>
        </w:numPr>
        <w:rPr/>
      </w:pPr>
      <w:bookmarkStart w:id="376" w:name="__RefHeading___Toc2150989_1051229030"/>
      <w:bookmarkStart w:id="377" w:name="_Toc142"/>
      <w:bookmarkEnd w:id="376"/>
      <w:r>
        <w:rPr/>
        <w:t>1</w:t>
      </w:r>
      <w:r>
        <w:rPr>
          <w:rtl w:val="true"/>
        </w:rPr>
        <w:t xml:space="preserve">- </w:t>
      </w:r>
      <w:r>
        <w:rPr>
          <w:rtl w:val="true"/>
        </w:rPr>
        <w:t>استحسان</w:t>
      </w:r>
      <w:bookmarkEnd w:id="377"/>
    </w:p>
    <w:p>
      <w:pPr>
        <w:pStyle w:val="Heading5"/>
        <w:numPr>
          <w:ilvl w:val="4"/>
          <w:numId w:val="1"/>
        </w:numPr>
        <w:rPr/>
      </w:pPr>
      <w:bookmarkStart w:id="378" w:name="__RefHeading___Toc2150991_1051229030"/>
      <w:bookmarkStart w:id="379" w:name="_Toc143"/>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استحسان در لغت چیزی را نیکو شمردن است و در اصول فقهی ابوحنیفه و پیروانش، عدول از نتایج قیاس به‌هنگامی که این نتایج با مصلحتهای مردم تباین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بدون دانستن اندازه و ارزش آب یا صابونی که در حمام مصرف می‌کند و ذکر مدتی که در حمام می‌ماند، در مقابل اجرت معین به حمام در آید، در حالی‌که این مخالف است با قاعده اجاره که مبتنی بر علم بعوضین و ذکر اجل است ، استحسان با استصلاح اصحاب مالک شباهت بسیار دارد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حنفیان، استحسان را در ردیف کتاب و سنت بعنوان یک منبع حقوقی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تعریف استحسان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عبارت است از این که مطلبی به ذهن مفتی و مجتهد خطور کند و او به عقل خویش آن را نیکو بداند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گفتار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مالکیان و حنفیان عقل را به عنوان یک منبع حقوقی نمی‌شناسند، و اگر تعریف بالا را بپذیریم، لازم می‌آید که این دو مکتب نیز مانند امامیه به حسن و قبح عقلی اعتقاد داشته باشند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استحسان را چنین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است که در ضمیر مجتهد خطور کند لکن </w:t>
      </w:r>
    </w:p>
    <w:p>
      <w:pPr>
        <w:pStyle w:val="BookText"/>
        <w:rPr/>
      </w:pPr>
      <w:r>
        <w:rPr>
          <w:rFonts w:ascii="IRNazanin" w:hAnsi="IRNazanin" w:eastAsia="IRNazanin"/>
          <w:color w:val="111111"/>
          <w:sz w:val="28"/>
          <w:sz w:val="28"/>
          <w:szCs w:val="28"/>
          <w:rtl w:val="true"/>
          <w:lang w:bidi="fa-IR"/>
        </w:rPr>
        <w:t>قابل بیان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یدرک و لا یوصف</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تعریف هم ایراد شده است که شاید وهم و خیال به ذهن مجتهد خطور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 عبارتست از این که فقیه به حسب ذوق و به صرافت طبع خود، نزدیکتر به حق و عدالت را تشخیص دهد و اگر چیزی را به نظر خود ناسازگار با حق و عدالت دید آن امر حرام خواهد بود، این تشخیص به نظر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تعریف نیز انتقادهای بالا وارد است، زیرا طبع و ذوق ، مرز و حدود مشخصی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کرخی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استحسان این است که در مسأله‌ای از حکمی که مسائل همسان و همانند آن دارند، چشم پوشی کنیم و حکم دیگری در آن باره بدهیم، بواسطه دلیل قویتری که مقتضی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 گاه کسی حیوان متعلق به دیگری را مشرف به مرگ ببیند و آن را سر ببرد که گوشت آن حلال باشد، این کار بدون اذن مالک اتلاف مال غیر و موجب ضمان است و حال آن که استحسان و رعایت مصلحت ایجاب می‌کند که این کار جایز و بدون ضمان باشد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طبق قاعده کلی در فقه اسلام تصرفات مالی سفیه، در اموال خود نافذ نیست، در صورتی که ولی یا قیم او آن را تنفیذ کند و صحه بگذارد، صحیح می‌شود و اگر رد کند باطل می‌گردد، اکنون مسأله این است که هر گاه سفیهی وصیت کند که مقداری از اموالش را در کار خیری مصرف کنند، آیا چنین وصیتی صحیح است؟ بر طبق قاعده باید غیر نافذ باشد، لکن حنفیان آن را صحیح می‌دانند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ممنوع ساختن سفیه از تصرف در اموالش این است که به زیان خود کاری نکند تا نادار و درمانده نشود و سربار دیگران و جامعه نشود، اینها همه برای زمان حیات او هدفهای درستی است، اما اگر وصیت او را در کار خیری پس از مرگش بپذیریم، چه زیانی بر او وارد می‌شود و چه اثر بدی بر دیگران یا جامعه باقی می‌گذارد؟ هیچ، پس بهتر است که بر خلاف قیاس و قاعده چنین وصیتی را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بدانیم</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به استحسان فتوا دادند، که گفته شده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مالکی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استحسان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حنفیان عبارت است از عمل کردن به قوی‌ترین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استحسان آنست که استدلال آزاد را بر قیاس ترجیح دهیم، نه این که بر خلاف قیاس و بی دلیل و صرفاً به میل و دلخواه خود حکمی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قیاس اینست که مقصود و منظور شارع را در موارد نظیر و مشابه رعایت کنیم، لکن هر گاه رعایت این مقصود منجر شود به از بین رفتن مصلحتی یا گرفتار شدن به مفسده‌ای، برای رفع عسر و حرج از قاعده استحسان یاری می‌جوییم و مصلحت مورد خاص را بر قاعده کلی مقدم می‌داریم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دیگری از استحسان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 عبارت است از صرفنظر کردن از نتایج قیاس هنگامی که با توجه به روح حکم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نتیجه زیان آور یا نامطلوب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تعریف حل مسائل بر وفق مقتضیات زندگی روزمره باید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سرخسی در کتاب المبسوط می‌گوید</w:t>
      </w:r>
      <w:r>
        <w:rPr>
          <w:rStyle w:val="FootnoteAnchor"/>
          <w:rtl w:val="true"/>
        </w:rPr>
        <w:footnoteReference w:id="2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استحسان ترک عسر و اختیار 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یریداللّه بکم الیسر ولا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کرده است امام سرخسی که از فقیهان حنفی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دیگری را وکیل در طلب دیون و مطالبات خود کند و پس از عقد وکالت، طلب جدیدی پیدا کند، این طلب مشمول عقد وکالت مذکور، به حسب قیاس نیست، لکن به حسب استحسان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حقوقدانان حنفی در مجله‌الاحکام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مدنی دولت سابق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قاعده‌مرور زمان و عدم استماع دعوی را پس از گذشت زمانی طبق قانون، بر اساس استحسان صحیح دانسته‌اند، زیرا منع استماع دعوی در دادگاه نه بر اساس قیاس است و نه بر اساس نص</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به نظر می‌رسد که نشنیدن دعوی باید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استوار است که هر شخصی چون حق دارد که از اموال خود به هر نحو که بخواهد طبق قانون بهره‌برداری کند بدین گونه دارای حق سلب حقوق از خود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هگل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مال فقط به سبب اجرای اراده مالک آن ، مال است، اگر اراده نسبت به مال مجری نشود آن مال بخودی خود بی صاحب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اساس منطقی قانون مرور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حق مرور زمان را از صورت معقول استنتاج کرد و به همین دلیل آن را </w:t>
      </w:r>
      <w:bookmarkStart w:id="380" w:name="pg7474_109380"/>
    </w:p>
    <w:p>
      <w:pPr>
        <w:pStyle w:val="BookText"/>
        <w:rPr/>
      </w:pPr>
      <w:bookmarkEnd w:id="380"/>
      <w:r>
        <w:rPr>
          <w:rFonts w:ascii="IRNazanin" w:hAnsi="IRNazanin" w:eastAsia="IRNazanin"/>
          <w:color w:val="111111"/>
          <w:sz w:val="28"/>
          <w:sz w:val="28"/>
          <w:szCs w:val="28"/>
          <w:rtl w:val="true"/>
          <w:lang w:bidi="fa-IR"/>
        </w:rPr>
        <w:t>باید حاصل ضرورت منطقی دانست نه مصلحت اندیشی اجتماعی</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نظر می‌رسد، این قاعده علاوه بر مبنای عقلی، بر مصلحت اندیشی اجتماعی نیز استوار باشد، در کتابهای فقه از طرفی بابی بر عدم مشروعیت مرور زمان باز نشده و از طرفی بصراحت نیز مرور زمان نهی نگردیده و آنچه از سنت درباره قابل استماع بودن دعوی آمده نیز بدون مخصص نمی‌تواند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اطلاق و عموم همواره منصرف بفرد اکمل و شایع است، فرد شایع دعوی، دعوایی نیست که بیست سال از منشأ آن گذشته باشد و شاکی با علم و اطلاع از منشأ حق و توانایی اقامه دعوی آن را طرح نکرده باشد، احیای اراضی موات در فقه بی شباهت به این قاعده نیست، سکوت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نهی ملازمه ندارد بلکه آنچه ممنوع نشده مجاز و مباح است، شیخ صدوق در کتاب احیای موات در باب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عطل ارضا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ان من ترک داراً او عقاراً او ارضاً فی ید غیره فلم یتکلم و لم یطلب و لم یخاصم فی ذلک عشر سنین فلا حق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شیخ صدوق روایت و خبر متواتری است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للّه جعلها و قفاً علی عباده فمن عطل ارضاً ثلاث سنین متوالیة لغیر علة اخذت من یده و رفعت الی غیره و من ترک مطالبة حق له عشر سنین فلا حق له</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بررسی در مبانی فقهی و فلسفی قاعده مرور زمان چه در امور کیفری و چه در امور مدنی ما را از مسیر اصلی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می‌کند و بنابراین به همین اشاره کوتاه در این جا بسنده می‌کنیم</w:t>
      </w:r>
      <w:r>
        <w:rPr>
          <w:rFonts w:eastAsia="IRNazanin" w:cs="IRNazanin"/>
          <w:color w:val="111111"/>
          <w:sz w:val="28"/>
          <w:szCs w:val="28"/>
          <w:rtl w:val="true"/>
          <w:lang w:bidi="fa-IR"/>
        </w:rPr>
        <w:t>.</w:t>
      </w:r>
    </w:p>
    <w:p>
      <w:pPr>
        <w:pStyle w:val="Heading5"/>
        <w:numPr>
          <w:ilvl w:val="4"/>
          <w:numId w:val="1"/>
        </w:numPr>
        <w:rPr/>
      </w:pPr>
      <w:bookmarkStart w:id="381" w:name="__RefHeading___Toc2150993_1051229030"/>
      <w:bookmarkStart w:id="382" w:name="_Toc144"/>
      <w:bookmarkEnd w:id="381"/>
      <w:r>
        <w:rPr>
          <w:rtl w:val="true"/>
        </w:rPr>
        <w:t>دلیلهای اعتبار و حجیت استحسان</w:t>
      </w:r>
      <w:bookmarkEnd w:id="382"/>
    </w:p>
    <w:p>
      <w:pPr>
        <w:pStyle w:val="Heading6"/>
        <w:numPr>
          <w:ilvl w:val="5"/>
          <w:numId w:val="1"/>
        </w:numPr>
        <w:rPr/>
      </w:pPr>
      <w:bookmarkStart w:id="383" w:name="__RefHeading___Toc2150995_1051229030"/>
      <w:bookmarkStart w:id="384" w:name="_Toc145"/>
      <w:bookmarkEnd w:id="383"/>
      <w:r>
        <w:rPr>
          <w:rtl w:val="true"/>
        </w:rPr>
        <w:t xml:space="preserve">الف </w:t>
      </w:r>
      <w:r>
        <w:rPr>
          <w:rtl w:val="true"/>
        </w:rPr>
        <w:t xml:space="preserve">- </w:t>
      </w:r>
      <w:r>
        <w:rPr>
          <w:rtl w:val="true"/>
        </w:rPr>
        <w:t xml:space="preserve">قرآن </w:t>
      </w:r>
      <w:r>
        <w:rPr>
          <w:rtl w:val="true"/>
        </w:rPr>
        <w:t>(</w:t>
      </w:r>
      <w:r>
        <w:rPr>
          <w:rtl w:val="true"/>
        </w:rPr>
        <w:t>کتاب</w:t>
      </w:r>
      <w:r>
        <w:rPr>
          <w:rtl w:val="true"/>
        </w:rPr>
        <w:t>):</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بهترین آنچه خداوند برای شما فرو فرستاده است،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استحسان به معنی خواستن بهترین‌هاست، و در این آیه مردم را به آن فرمان داده است، آن هم در بهترین فرمانها و آیه‌های آسمانی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به یک عبارت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ده به آن بندگان من که به گفتار گوش فرا می‌دارند و بهترین آنها را پیروی می‌کنند، و آنان کسانی هستند که خدا راهنمایی شان کرده و آنان خردمندند</w:t>
      </w:r>
      <w:r>
        <w:rPr>
          <w:rFonts w:eastAsia="IRNazanin" w:cs="IRNazanin"/>
          <w:color w:val="111111"/>
          <w:sz w:val="28"/>
          <w:szCs w:val="28"/>
          <w:rtl w:val="true"/>
          <w:lang w:bidi="fa-IR"/>
        </w:rPr>
        <w:t xml:space="preserve">». </w:t>
      </w:r>
      <w:bookmarkStart w:id="385" w:name="pg7474_109381"/>
    </w:p>
    <w:p>
      <w:pPr>
        <w:pStyle w:val="BookText"/>
        <w:rPr/>
      </w:pPr>
      <w:bookmarkEnd w:id="38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شما آسانی خواهد نه سختی و مشقّت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تکلیف، خداوند بر شما رنج و مشقت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یریداللّه ان یخفف عنکم و خلق الانسان ضعیفا</w:t>
      </w:r>
      <w:r>
        <w:rPr>
          <w:rFonts w:eastAsia="IRNazanin" w:cs="IRNazanin"/>
          <w:color w:val="111111"/>
          <w:sz w:val="28"/>
          <w:szCs w:val="28"/>
          <w:rtl w:val="true"/>
          <w:lang w:bidi="fa-IR"/>
        </w:rPr>
        <w:t>».</w:t>
      </w:r>
    </w:p>
    <w:p>
      <w:pPr>
        <w:pStyle w:val="Heading6"/>
        <w:numPr>
          <w:ilvl w:val="5"/>
          <w:numId w:val="1"/>
        </w:numPr>
        <w:rPr/>
      </w:pPr>
      <w:bookmarkStart w:id="386" w:name="__RefHeading___Toc2150997_1051229030"/>
      <w:bookmarkStart w:id="387" w:name="_Toc146"/>
      <w:bookmarkEnd w:id="386"/>
      <w:r>
        <w:rPr>
          <w:rtl w:val="true"/>
        </w:rPr>
        <w:t xml:space="preserve">ب </w:t>
      </w:r>
      <w:r>
        <w:rPr>
          <w:rtl w:val="true"/>
        </w:rPr>
        <w:t xml:space="preserve">- </w:t>
      </w:r>
      <w:r>
        <w:rPr>
          <w:rtl w:val="true"/>
        </w:rPr>
        <w:t>سنت</w:t>
      </w:r>
      <w:r>
        <w:rPr>
          <w:rtl w:val="true"/>
        </w:rPr>
        <w:t>:</w:t>
      </w:r>
      <w:bookmarkEnd w:id="387"/>
    </w:p>
    <w:p>
      <w:pPr>
        <w:pStyle w:val="BookText"/>
        <w:rPr/>
      </w:pPr>
      <w:r>
        <w:rPr>
          <w:rFonts w:ascii="IRNazanin" w:hAnsi="IRNazanin" w:eastAsia="IRNazanin"/>
          <w:color w:val="111111"/>
          <w:sz w:val="28"/>
          <w:sz w:val="28"/>
          <w:szCs w:val="28"/>
          <w:rtl w:val="true"/>
          <w:lang w:bidi="fa-IR"/>
        </w:rPr>
        <w:t>از ابن مسعود نقل شده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رآه المسلمون حسن فهو عند اللّه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مسلمانان نیکو شمارند، در نزد خداوند نیز نیکو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این حدیث فهمیده می‌شود آن است که اتفاق و همرأیی همه مسلمانان بر نیکو شمردن امری معتبر و حجت است نه فتوای یک فرد، استحسان همه مسلمانان نه استحسان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مستفاد از حدیث مذکور، اعتبار دادن به عرف و عادت باشد نه این که پایه فتوا و استنباط قرار گیرد</w:t>
      </w:r>
      <w:r>
        <w:rPr>
          <w:rFonts w:eastAsia="IRNazanin" w:cs="IRNazanin"/>
          <w:color w:val="111111"/>
          <w:sz w:val="28"/>
          <w:szCs w:val="28"/>
          <w:rtl w:val="true"/>
          <w:lang w:bidi="fa-IR"/>
        </w:rPr>
        <w:t>.</w:t>
      </w:r>
    </w:p>
    <w:p>
      <w:pPr>
        <w:pStyle w:val="Heading6"/>
        <w:numPr>
          <w:ilvl w:val="5"/>
          <w:numId w:val="1"/>
        </w:numPr>
        <w:rPr/>
      </w:pPr>
      <w:bookmarkStart w:id="388" w:name="__RefHeading___Toc2150999_1051229030"/>
      <w:bookmarkStart w:id="389" w:name="_Toc147"/>
      <w:bookmarkEnd w:id="388"/>
      <w:r>
        <w:rPr>
          <w:rtl w:val="true"/>
        </w:rPr>
        <w:t xml:space="preserve">ج </w:t>
      </w:r>
      <w:r>
        <w:rPr>
          <w:rtl w:val="true"/>
        </w:rPr>
        <w:t xml:space="preserve">- </w:t>
      </w:r>
      <w:r>
        <w:rPr>
          <w:rtl w:val="true"/>
        </w:rPr>
        <w:t>عقل</w:t>
      </w:r>
      <w:r>
        <w:rPr>
          <w:rtl w:val="true"/>
        </w:rPr>
        <w:t>:</w:t>
      </w:r>
      <w:bookmarkEnd w:id="389"/>
    </w:p>
    <w:p>
      <w:pPr>
        <w:pStyle w:val="BookText"/>
        <w:rPr/>
      </w:pPr>
      <w:r>
        <w:rPr>
          <w:rFonts w:ascii="IRNazanin" w:hAnsi="IRNazanin" w:eastAsia="IRNazanin"/>
          <w:color w:val="111111"/>
          <w:sz w:val="28"/>
          <w:sz w:val="28"/>
          <w:szCs w:val="28"/>
          <w:rtl w:val="true"/>
          <w:lang w:bidi="fa-IR"/>
        </w:rPr>
        <w:t>پی بردن به مصلحتهای شرعی از راه قیاس گاه منجر به نتایج نامطلوبی می‌شود، بدین معنی که مصلحتی ظلم و ستم را تقویت کند یا مفسده‌ای قطعی را موجب شود، عقل حکم می‌کند که باید آن قیاس را کنار گذاشت و به مقتضای مصلحت و استحسان رفتار کرد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استحسان همان گونه که روشن است، همان نظر اصحاب رأی است که در سراسر سده اول هجری معمول بوده و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می‌رفته است، تا جایی که عده‌ای رأی و قیاس را به یک معنی به کار برده‌اند</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همان تعریفی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از استحسان شده است</w:t>
      </w:r>
      <w:r>
        <w:rPr>
          <w:rFonts w:eastAsia="IRNazanin" w:cs="IRNazanin"/>
          <w:color w:val="111111"/>
          <w:sz w:val="28"/>
          <w:szCs w:val="28"/>
          <w:rtl w:val="true"/>
          <w:lang w:bidi="fa-IR"/>
        </w:rPr>
        <w:t>.</w:t>
      </w:r>
    </w:p>
    <w:p>
      <w:pPr>
        <w:pStyle w:val="Heading5"/>
        <w:numPr>
          <w:ilvl w:val="4"/>
          <w:numId w:val="1"/>
        </w:numPr>
        <w:rPr/>
      </w:pPr>
      <w:bookmarkStart w:id="390" w:name="__RefHeading___Toc2151001_1051229030"/>
      <w:bookmarkStart w:id="391" w:name="_Toc148"/>
      <w:bookmarkEnd w:id="390"/>
      <w:r>
        <w:rPr>
          <w:rtl w:val="true"/>
        </w:rPr>
        <w:t>اقسام استحسان</w:t>
      </w:r>
      <w:bookmarkEnd w:id="391"/>
    </w:p>
    <w:p>
      <w:pPr>
        <w:pStyle w:val="BookText"/>
        <w:rPr/>
      </w:pPr>
      <w:r>
        <w:rPr>
          <w:rFonts w:ascii="IRNazanin" w:hAnsi="IRNazanin" w:eastAsia="IRNazanin"/>
          <w:color w:val="111111"/>
          <w:sz w:val="28"/>
          <w:sz w:val="28"/>
          <w:szCs w:val="28"/>
          <w:rtl w:val="true"/>
          <w:lang w:bidi="fa-IR"/>
        </w:rPr>
        <w:t>برخی استحسان را به چهار گونه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استحسانی که دلیل آن حدیث است مانند بیع سلم که مقتضای قیاس بطلان آن است زیرا بیع معدوم است، لکن مقتضای استحسان جواز آن است به علت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أسلف فی شی‌ء فلیسلف فی کیل معلوم و وزن معلوم الی اجل معلوم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استحسانی که دلیل آن اجماع است مانند استصناع بدین معنی که انسان به کفاشی مثلاً سفارش دهد که یک جفت کفش برایش بدوزد با ذکر خصوصیات و قیمت آن؛ در این جا مقتضای قیاس عدم جواز است زیرا چنین معامله‌ای در اصطلاح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bookmarkStart w:id="392" w:name="pg7474_109382"/>
    </w:p>
    <w:p>
      <w:pPr>
        <w:pStyle w:val="BookText"/>
        <w:rPr/>
      </w:pPr>
      <w:bookmarkEnd w:id="392"/>
      <w:r>
        <w:rPr>
          <w:rFonts w:ascii="IRNazanin" w:hAnsi="IRNazanin" w:eastAsia="IRNazanin"/>
          <w:color w:val="111111"/>
          <w:sz w:val="28"/>
          <w:sz w:val="28"/>
          <w:szCs w:val="28"/>
          <w:rtl w:val="true"/>
          <w:lang w:bidi="fa-IR"/>
        </w:rPr>
        <w:t xml:space="preserve">به موجب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و ممنوع است، لکن استحسان جواز آن را ایجاب می‌کند از جهت وجود اجماع بر صحت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استحسانی که مستند آن ضرورت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متنجس شود که در این جا قیاس پاک نشدن آنهاست زیرا فشردن آنها برای خروج نجاست ممکن نیست اما به حکم ضرورت باید گفت که طهارت آنها مستحسن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استحسانی که مستند آن قیاس خفی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سؤر سباع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نیم خورده پرندگان درنده که قیاس جلی مقتضی نجاست آن است از جهت حرام گوشت بودن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سباع 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نیم خورده چهارپایان درنده نجس است لکن قیاس خفی مقتضی طهارت است بدان جهت که سباع طیر بوسیله منقار آب می‌نوشند و منقار استخوانی طاهر است به خلاف سباع بهایم که بر دهان آب می‌نوشند و لعاب نجس آنها با آب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قیاس آنها بر جانوران درنده مقتضی نجاست و قیاس آنها بر آدمی که او نیز غیر مأکول اللحم است مقتضی طهارت است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2151003_1051229030"/>
      <w:bookmarkStart w:id="394" w:name="_Toc149"/>
      <w:bookmarkEnd w:id="393"/>
      <w:r>
        <w:rPr>
          <w:rtl w:val="true"/>
        </w:rPr>
        <w:t>عقیده امامیه</w:t>
      </w:r>
      <w:bookmarkEnd w:id="3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قوانین الاصول، استحسان را از ادله‌ای معرفی می‌کند که عامه به آن استدلال کرده‌اند و سپس آن را چنین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استحسان عبارت از رجحانی است که مستند به دلیل شرعی نباشد یا عبارت است از عدول از دلیل شرعی به عادتی که شرعاً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رجوع و عدول به عادتی که شرعاً معتبر است استحسانی باطل و مردود نیست زیرا چنین عادتی مانند اجماع بلکه خود اجماع است مانند دخول در حمام بدون تعیین مدت مکث و مقدار مصرف آب که مخالف با قاعده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علم به عوضین و ذکر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عادت بر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قسم اول باطل است زیرا اولا دلیلی بر اعتبار آن نیست ثانیاً مفید ظن به حکم شرعی نیست ثالثاً اجماع امامیه و اخبار آنان بر بطلان آن دلالت دارد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در مقام مقایسه با حقوق عرفی نظام انگلوساکسون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اسلامی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حقوقی عرف و سابقه انگلیس دارای شباهتهای بسیاری </w:t>
      </w:r>
      <w:bookmarkStart w:id="395" w:name="pg7474_109383"/>
    </w:p>
    <w:p>
      <w:pPr>
        <w:pStyle w:val="BookText"/>
        <w:rPr/>
      </w:pPr>
      <w:bookmarkEnd w:id="39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مقایسه می‌تواند موضوع بحثی جداگانه باشد که بسیار مفید است لکن از انگاره این گفتار بیرون است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2151005_1051229030"/>
      <w:bookmarkStart w:id="397" w:name="_Toc150"/>
      <w:bookmarkEnd w:id="396"/>
      <w:r>
        <w:rPr/>
        <w:t>2</w:t>
      </w:r>
      <w:r>
        <w:rPr>
          <w:rtl w:val="true"/>
        </w:rPr>
        <w:t xml:space="preserve">- </w:t>
      </w:r>
      <w:r>
        <w:rPr>
          <w:rtl w:val="true"/>
        </w:rPr>
        <w:t xml:space="preserve">استصلاح </w:t>
      </w:r>
      <w:r>
        <w:rPr>
          <w:rtl w:val="true"/>
        </w:rPr>
        <w:t>(</w:t>
      </w:r>
      <w:r>
        <w:rPr>
          <w:rtl w:val="true"/>
        </w:rPr>
        <w:t>مصالح مرسله</w:t>
      </w:r>
      <w:r>
        <w:rPr>
          <w:rtl w:val="true"/>
        </w:rPr>
        <w:t>)</w:t>
      </w:r>
      <w:bookmarkEnd w:id="397"/>
    </w:p>
    <w:p>
      <w:pPr>
        <w:pStyle w:val="BookText"/>
        <w:rPr/>
      </w:pPr>
      <w:r>
        <w:rPr>
          <w:rFonts w:ascii="IRNazanin" w:hAnsi="IRNazanin" w:eastAsia="IRNazanin"/>
          <w:color w:val="111111"/>
          <w:sz w:val="28"/>
          <w:sz w:val="28"/>
          <w:szCs w:val="28"/>
          <w:rtl w:val="true"/>
          <w:lang w:bidi="fa-IR"/>
        </w:rPr>
        <w:t xml:space="preserve">استصلاح در لغت به معنی چیزی را مناسب یا به صلاح دانستن است، مصالح جمع مصلحت و مرسل در مقابل مقید به معنای رها و آزاد است، در اصول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و صرفنظر کردن از نتایج قیاس نظر به مصالح مردم است، نمونه آن اجازه‌ای است که به صرافان می‌دهند تا پول کاغذی یا فلزی را با زیاده یا نقصان با یکدیگر معامله کنند، از آن جهت که این کار به صلاح مردم است، در صورتی که اگر دیگران چنین معامله‌ای کنند ربا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استصلاح، شبیه استحسان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متن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اسلام عبارت است از کتاب و سنت، به رعایت مصلحتها تصریح نکرده باشد، به این اصل متوسل می‌شوند، می‌گویند مصالحی که سابقه‌ای در اسلام ندارد باید مجاز شناخته شود واز آنها حمایت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از مصلحت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شرع، حمایت از دین، جان، عقل، نسل و مال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متضمن حمایت از این پنج اصل باشد مصلحت نامیده می‌شود و هر آنچه ناقض آنهاست مفسدت است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2151007_1051229030"/>
      <w:bookmarkStart w:id="399" w:name="_Toc151"/>
      <w:bookmarkEnd w:id="398"/>
      <w:r>
        <w:rPr>
          <w:rtl w:val="true"/>
        </w:rPr>
        <w:t>چند مثال برای استصلاح</w:t>
      </w:r>
      <w:r>
        <w:rPr>
          <w:rtl w:val="true"/>
        </w:rPr>
        <w:t>:</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به انحلال زوجیت بین غایب مفقودالاثر و زوجه او، در صورتی که زوجه او بخواهد، براساس رعایت مصلحت‌در مذهب مالکی‌مجاز است، هرچند زوجه‌از جهت‌نفقه‌در زحمت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فقهای متاخر حنبلی و حنفی فتوا داده‌اند که تصرفات مالی بدهکاری که بدهی وی بیش از داراییش باشد غیر نافذ است، مبنای این حکم رعایت مصالح مرسله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تاسیس ادارات ثبت اسناد و املاک در کشورهای اسلامی، برخی از فقیهان حنبلی و حنفی فتوا دادند که معاملات اموال غیر منقول مادام که ثبت نشده باشد، موجب انتقال عین یا منفعت آن به خریدار و منتقل‌الیه نیست، این فتوا نیز بر اساس رعایت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معاملات معارض و تولید اختلاف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صورت استصلاح را مخصص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می‌دهند، یعنی قانون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قانون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قانونگذاری و اجتهاد در اسلام بر رعایت مصلحتها و مفسدتها استوار است، می‌توان گفت که شاید تقریبا همه فرقه‌های اسلام بجز اخباریان و ظاهریان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موافق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امامیه پیش از این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حسن و قبح عقلی و این که تابع مصلحتها و مفسدتهای اجتماعی است، بحث بسیار کرده‌ایم، همه آن بحثها بر اساس اعتبار استصلاح است، ضرورتهایی بر حسب زمان و مکان پیش می‌آید که مصلحت اجتماعی ایجاب می‌کند که آنها مورد توجه قرار گیرد،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 دیگری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شده‌اند همگی نازل منزله و عبارت اخرای اصل استصلاحند،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بظاهر نصی ندارد، مصلحت مردم در این زمان ایجاب می‌کند که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عقود شرطی دانست و آن را بر این اساس تجویز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بیمه را علاوه بر عقود شرطی شاید بهتر 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 که بموجب آن عقدی است که یکی از طرفین عقد، مسئولیّت جرائم مستلزم دیه را نسبت به طرف دیگر عقد می‌پذیرد با این شرط که از او ارث ببرد ، شخصی که ضامنِ جریره می‌شود باید وارث قانونی مضمون عنه نباشد، در واقع ضمانِ جریره از سنخ بیمه مسؤولیت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بدعت بد و بدعت نیک به میان آورده و رعایت بسیاری از عرفها را از باب رعایت مصلحت، جزء بدعتهای نیکو شمرده است، قاعده مرور زمان را علاوه از آنچه در بحث استحسان آوردیم، برخی با اصل استصلاح تجویز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فقیهان قریب به این مضمون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بنای شریعت مصلحت مردم است، 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پاسداران ارزشهای عقلی در فقه و علم کلام بودند، آنان با ژرف بینی عجیبی همه آنچه را که از جانب خدا آمده است مبتنی بر مصلحت و عدل می‌دانستند و در شریعت قایل به حسن و قبح عقلی و ذاتی بودند، تا آن جا که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مصلحتهای اجتماعی تعارض پیدا می‌کرد، مصلحت را مقدم می‌دانستند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فقیهان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طوفی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و معاملات؛ عبادات از حقوق خاصه شارع است و مصلحت آدمی نمی‌تواند تغییری در آن بدهد، لکن در مورد معاملات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نظر خاصی ندارد جز تامین </w:t>
      </w:r>
    </w:p>
    <w:p>
      <w:pPr>
        <w:pStyle w:val="BookText"/>
        <w:rPr/>
      </w:pPr>
      <w:r>
        <w:rPr>
          <w:rFonts w:ascii="IRNazanin" w:hAnsi="IRNazanin" w:eastAsia="IRNazanin"/>
          <w:color w:val="111111"/>
          <w:sz w:val="28"/>
          <w:sz w:val="28"/>
          <w:szCs w:val="28"/>
          <w:rtl w:val="true"/>
          <w:lang w:bidi="fa-IR"/>
        </w:rPr>
        <w:t>مصلحت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حکم شرع در معاملات با مصلحت تطبیق نکند و جمع میان آن دو میسر نشود، مصلحت به حکم عمومی شرع باید مقدم شمرده شود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تهور آمیز بودن نظر خود توجه داشته و بصراحت می‌گوید که این نظر با آنچه دانشمندان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فرق دارد و تندتر از آن است، لیکن در پاسخ اعتراض مقدر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دستاورد روش ما تعطیل شرع نیست بلکه روش شما مقدم داشتن دلیل شرعی بر دلیلی قوی‌تر از آن است</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او مصلحت اجتماعی را قویتر از دلیل شرعی می‌داند اما به نظر می‌رسد که مصلحت اجتماعی از مصادیق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ما در مبحث عقل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معرض داوری حقوقدانان دنیا گذاشته شد، عجیب است که عده‌ای از دانشمندان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از جمله استاد محمد ابو زهره</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مرسله بر سه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مصلحتهای ضروری مانند حفظ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جان، عقل، نسل و مال که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مصلحت نیز آمده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زکات و جهاد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نیازمندیها که عبارت است از هر عمل و تصرفی که آدمی برای گشایش امور زندگی خویش و رفع عسر و حرج از خود لازم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و تصرفی که ترک آن موجب دشواری زندگی نمی‌شود لکن انجام آن از مکارم اخلاق و آداب نیک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استحسان و استصلاح از روشهای استنباط است در نظامهای دیگر حقوقی نیز از منابع حقوق شمرده نشده‌اند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400" w:name="pg7474_109386"/>
    </w:p>
    <w:p>
      <w:pPr>
        <w:pStyle w:val="Heading3"/>
        <w:numPr>
          <w:ilvl w:val="2"/>
          <w:numId w:val="1"/>
        </w:numPr>
        <w:rPr/>
      </w:pPr>
      <w:bookmarkStart w:id="401" w:name="__RefHeading___Toc2151009_1051229030"/>
      <w:bookmarkStart w:id="402" w:name="_Toc152"/>
      <w:bookmarkEnd w:id="400"/>
      <w:bookmarkEnd w:id="401"/>
      <w:r>
        <w:rPr>
          <w:rtl w:val="true"/>
        </w:rPr>
        <w:t xml:space="preserve">گفتار هشتم </w:t>
      </w:r>
      <w:r>
        <w:rPr>
          <w:rtl w:val="true"/>
        </w:rPr>
        <w:t>:</w:t>
      </w:r>
      <w:r>
        <w:rPr>
          <w:rtl w:val="true"/>
        </w:rPr>
        <w:t>سد ذرایع</w:t>
      </w:r>
      <w:bookmarkEnd w:id="402"/>
    </w:p>
    <w:p>
      <w:pPr>
        <w:pStyle w:val="Heading4"/>
        <w:numPr>
          <w:ilvl w:val="3"/>
          <w:numId w:val="1"/>
        </w:numPr>
        <w:rPr/>
      </w:pPr>
      <w:bookmarkStart w:id="403" w:name="__RefHeading___Toc2151011_1051229030"/>
      <w:bookmarkStart w:id="404" w:name="_Toc153"/>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ذرایع، جمع ذریعه و بمعنی وسیله است، به نظر هواداران مکتب 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هر واجب، واجب و مقدمات هر ممنوع، ممنوعست، ازین اندیشه تعبیر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مانع ایجاد کردن در سلسله وسایط ، قانون وسیله برای مقصود است، که برقراری نظم و عدالت فردی و اجتماعی است، همین قدر که یک فرع فقهی مصداق خارجی پیدا کرد، کار تمام نیست، باید دید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 و هدف قانون، که عدالت است، پدید آمده است یا خیر؟ نباید درچنگ فروع، اسیر ماند و از هدف و غایت قانون غفلت کرد، در جامعه اصل غایی بودن حرکتها فرمانرواست، در حالی که در طبیعت اصل علی بودن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نخست از بخش اول این کتاب در این باب اشاره‌هایی رفته است که برخی قانون را وسیله و آلت برای برقراری نظم و عدالت دانسته‌اند و بنابراین نسبت به آن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آن را آلت تحقق عدالت می‌دانند، در واقع قانون جنبه طریقیت دارد نه موضوعیت؛ حقوق از قانون پدید نیامده بلکه قانون باید حقوق را رعایت کند، جامعه‌ها پیش از پدید آمدن دولت و قانون، دارای حقوق بوده‌اند، حقوق مقدم بر قانون، اصل مقدم بر فرع ، و هدف مقدم بر وسیله است، اگر قانون وسیله ستم و انحراف و بدبختی قرار گرفت، آیا باید آن را محترم شمرد و به کار برد یا باید آن را از میان برداشت؟ هیچ گاه نباید هیچ چیزی را به عنوان حقیقت بپذیریم، مگر این که چنان روشن و بدیهی باشد که وجدان آدمی آن را به شهود دریابد و در خوبی و سودمندی و درستی آن جای هیچ گونه شکی باقی نماند، چه سخن عمیقی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درمقابل قواعدی که دشمن می‌سازد، تسلیم شود هرگز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قواعد و قوانین ساخته دست دشمن </w:t>
      </w:r>
    </w:p>
    <w:p>
      <w:pPr>
        <w:pStyle w:val="BookText"/>
        <w:rPr/>
      </w:pPr>
      <w:r>
        <w:rPr>
          <w:rFonts w:ascii="IRNazanin" w:hAnsi="IRNazanin" w:eastAsia="IRNazanin"/>
          <w:color w:val="111111"/>
          <w:sz w:val="28"/>
          <w:sz w:val="28"/>
          <w:szCs w:val="28"/>
          <w:rtl w:val="true"/>
          <w:lang w:bidi="fa-IR"/>
        </w:rPr>
        <w:t>به هیچ وجه هدف ما را تأمین نمی‌کند، از این رو در جنگ، حیله را روا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که از نظر مذهب، غایت زندگی، هدفهای روحانی و معنوی آن است لکن باید گفت صرف نظر از این که در جامعه ای که عدالت اجتماعی فرمانروا نباشد، هدفهای روحانی نیز پایمالند، اساساً هدفهای روحانی و معنوی به هیچ وجه منافاتی با غایتهای عدالت و انصاف ندارد، توجهی به معنای لغوی شرع و شریعت که به معنای طریق و راه است، مؤید این نظر است، و از ا ین رو این جمله نزد فقیهان زبانزد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خذالغایات واترک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زندگی فرد نباید وسیله بهره وری اقتصادی و گردآوری سرمایه باشد، این وضع مایه انزجار طبع آدمی است، زیرا که حقیقت زندگی انسان با معنویات و عروج بسوی کمال وابستگی مستقیم دارد از این رو، مادیات هدف اصلی نیست، بلکه برای هدف کمال معنوی ضرورت دارد بنابراین، نمی‌توان از هدف حقوق یعنی عدالت اجتماعی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اسلحه به‌خودی‌خود نه کاری خوب است و نه بد، این هدف است که آن را توجیه می‌کند، اگر فروش اسلحه به دشمن باشد، حرام است و فروشنده اگر به عمد مرتکب آن شده باشد، جنایت کرده است و باید به کیفر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وسیله دانستن قانون در اسلام و نظر آلی بدان داشتن به هیچ وجه مستلزم این نیست که هر وسیله بدی برای رسیدن به هدف به کار گرفته شود، در جنگ صفین وقتی فرات به چنگ سپاهیان علی افتاد و معاویه آب خواست، حضرت به دشمن اجازه آب برداشتن داد، زیرا این وسیله‌ای نبود که از آن بتوان بنفع هدف مسلمانان که شکست دشمن داخلی بود،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گفتار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که‌اموری که بخودی‌خود بدیهی نیستند لکن تحقق امور واجب یا رفع‌ظلم بستگی به‌وجود آنها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بسیار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با این همه تفاوتهایی هم با آن دارد که بدان اشاره میکنیم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جعفری لنگرودی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فعل معینی مباح باشد لکن غالباً انجام دادن آن مفسده به بار آورد، از باب سد ذرایع باید آن فعل را ممنوع ، تلقی کرد، در این جا نصی وجود ندارد که عقل، راجع به لوازم آن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بسیاری از ممنوعیت های رانندگی نخست جزو مباحات بود که چون غالباً منشأ خسارت و ضرر می‌شد به فکر افتادند و از باب سد ذرایع آنها را ممنوع اعلام کردند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405" w:name="pg7474_109388"/>
    </w:p>
    <w:p>
      <w:pPr>
        <w:pStyle w:val="Heading4"/>
        <w:numPr>
          <w:ilvl w:val="3"/>
          <w:numId w:val="1"/>
        </w:numPr>
        <w:rPr/>
      </w:pPr>
      <w:bookmarkStart w:id="406" w:name="__RefHeading___Toc2151013_1051229030"/>
      <w:bookmarkStart w:id="407" w:name="_Toc154"/>
      <w:bookmarkEnd w:id="405"/>
      <w:bookmarkEnd w:id="406"/>
      <w:r>
        <w:rPr>
          <w:rtl w:val="true"/>
        </w:rPr>
        <w:t>عناصر سد ذرایع</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فعل یا ترک فعل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ذریعه باید وسیله انجام فعل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وسیله نیل به هدفی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ذریعه نباید خود حکم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از هدف و غایتش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نکاح محلل هر چند که ذریعه برای تحلیل زوجه نسبت به زوج سابق است، اما خود این نکاح از نظر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غالباً در این گونه ازدواجها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محلل، قصد دوام ندارد، حکم خاص دارد بنابراین از بحث ذریعه خارج می‌شود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2151015_1051229030"/>
      <w:bookmarkStart w:id="409" w:name="_Toc155"/>
      <w:bookmarkEnd w:id="408"/>
      <w:r>
        <w:rPr>
          <w:rtl w:val="true"/>
        </w:rPr>
        <w:t>عقاید موافق و مخالف</w:t>
      </w:r>
      <w:bookmarkEnd w:id="409"/>
    </w:p>
    <w:p>
      <w:pPr>
        <w:pStyle w:val="BookText"/>
        <w:rPr/>
      </w:pPr>
      <w:r>
        <w:rPr>
          <w:rFonts w:ascii="IRNazanin" w:hAnsi="IRNazanin" w:eastAsia="IRNazanin"/>
          <w:color w:val="111111"/>
          <w:sz w:val="28"/>
          <w:sz w:val="28"/>
          <w:szCs w:val="28"/>
          <w:rtl w:val="true"/>
          <w:lang w:bidi="fa-IR"/>
        </w:rPr>
        <w:t>مالکیان و حنبلیان از طرفداران این مکتبند، و به همین سبب بیع شرط را چون برای تجویز ربا به کار می‌رود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حنفیان و شافعیان موافقت آشکاری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نکرده‌اند، امامیه هم بصراحت مخالف آن نیستند، اما چون با قبول حسن و قبح عقلی، عقل را ناتوان از درک مصلحتها نمی‌دانند 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مذهب مالکی و حنبلی معتقد به اصول خشک و لایتغیر است، درحالی که در مذهب حنفی و شافعی نرمش بیشتری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صرف اراضی مفتوح عنوه و منع نکاح منقطع و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باشد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گسترش بی‌اندازه‌ای است و قواعد و قوانینی منضبط ندارد بنابراین بسیاری از فقیهان با آن به ناسازگاری برخاستند زیرا آن را موجب دخالت و تشریع بیش از حد در قلمرو شرع می‌پنداشتند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آینده درباره این منبع یا روش استنباط و اجتهاد، پژوهشهای بیشتری به عمل آید و حدود و ضابطه‌های دقیقتری برای آن کشف و تعیین شود</w:t>
      </w:r>
      <w:r>
        <w:rPr>
          <w:rFonts w:eastAsia="IRNazanin" w:cs="IRNazanin"/>
          <w:color w:val="111111"/>
          <w:sz w:val="28"/>
          <w:szCs w:val="28"/>
          <w:rtl w:val="true"/>
          <w:lang w:bidi="fa-IR"/>
        </w:rPr>
        <w:t xml:space="preserve">. </w:t>
      </w:r>
      <w:bookmarkStart w:id="410" w:name="pg7474_109389"/>
    </w:p>
    <w:p>
      <w:pPr>
        <w:pStyle w:val="Heading3"/>
        <w:numPr>
          <w:ilvl w:val="2"/>
          <w:numId w:val="1"/>
        </w:numPr>
        <w:rPr/>
      </w:pPr>
      <w:bookmarkStart w:id="411" w:name="__RefHeading___Toc2151017_1051229030"/>
      <w:bookmarkStart w:id="412" w:name="_Toc156"/>
      <w:bookmarkEnd w:id="410"/>
      <w:bookmarkEnd w:id="411"/>
      <w:r>
        <w:rPr>
          <w:rtl w:val="true"/>
        </w:rPr>
        <w:t>گفتار نهم</w:t>
      </w:r>
      <w:r>
        <w:rPr>
          <w:rtl w:val="true"/>
        </w:rPr>
        <w:t>:</w:t>
      </w:r>
      <w:r>
        <w:rPr>
          <w:rtl w:val="true"/>
        </w:rPr>
        <w:t>عرف وعادت</w:t>
      </w:r>
      <w:bookmarkEnd w:id="412"/>
    </w:p>
    <w:p>
      <w:pPr>
        <w:pStyle w:val="Heading4"/>
        <w:numPr>
          <w:ilvl w:val="3"/>
          <w:numId w:val="1"/>
        </w:numPr>
        <w:rPr/>
      </w:pPr>
      <w:bookmarkStart w:id="413" w:name="__RefHeading___Toc2151019_1051229030"/>
      <w:bookmarkStart w:id="414" w:name="_Toc157"/>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گفتار مربوط به عرف و عادت را در سه بخش جداگانه مرور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مفهوم عرف و عادت را در روانشناسی و در بخش دوّم در حقوق امروز دنیا و در بخش سوم در فقه اسلامی بررسی می‌کنیم </w:t>
      </w:r>
      <w:r>
        <w:rPr>
          <w:rFonts w:eastAsia="IRNazanin" w:cs="IRNazanin"/>
          <w:color w:val="111111"/>
          <w:sz w:val="28"/>
          <w:szCs w:val="28"/>
          <w:rtl w:val="true"/>
          <w:lang w:bidi="fa-IR"/>
        </w:rPr>
        <w:t>.</w:t>
      </w:r>
    </w:p>
    <w:p>
      <w:pPr>
        <w:pStyle w:val="Heading4"/>
        <w:numPr>
          <w:ilvl w:val="3"/>
          <w:numId w:val="1"/>
        </w:numPr>
        <w:rPr/>
      </w:pPr>
      <w:bookmarkStart w:id="415" w:name="__RefHeading___Toc2151021_1051229030"/>
      <w:bookmarkStart w:id="416" w:name="_Toc158"/>
      <w:bookmarkEnd w:id="415"/>
      <w:r>
        <w:rPr/>
        <w:t>1</w:t>
      </w:r>
      <w:r>
        <w:rPr>
          <w:rtl w:val="true"/>
        </w:rPr>
        <w:t xml:space="preserve">- </w:t>
      </w:r>
      <w:r>
        <w:rPr>
          <w:rtl w:val="true"/>
        </w:rPr>
        <w:t>عرف و عادت در روانشناسی</w:t>
      </w:r>
      <w:bookmarkEnd w:id="416"/>
    </w:p>
    <w:p>
      <w:pPr>
        <w:pStyle w:val="Heading5"/>
        <w:numPr>
          <w:ilvl w:val="4"/>
          <w:numId w:val="1"/>
        </w:numPr>
        <w:rPr/>
      </w:pPr>
      <w:bookmarkStart w:id="417" w:name="__RefHeading___Toc2151023_1051229030"/>
      <w:bookmarkStart w:id="418" w:name="_Toc159"/>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افعال و حرکات موجودات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آدمی که کاملترین نوع حیوان است بر چهار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انعکاسی، غریزی، عادی، ارادی </w:t>
      </w:r>
      <w:r>
        <w:rPr>
          <w:rFonts w:eastAsia="IRNazanin" w:cs="IRNazanin"/>
          <w:color w:val="111111"/>
          <w:sz w:val="28"/>
          <w:szCs w:val="28"/>
          <w:rtl w:val="true"/>
          <w:lang w:bidi="fa-IR"/>
        </w:rPr>
        <w:t>.</w:t>
      </w:r>
    </w:p>
    <w:p>
      <w:pPr>
        <w:pStyle w:val="Heading5"/>
        <w:numPr>
          <w:ilvl w:val="4"/>
          <w:numId w:val="1"/>
        </w:numPr>
        <w:rPr/>
      </w:pPr>
      <w:bookmarkStart w:id="419" w:name="__RefHeading___Toc2151025_1051229030"/>
      <w:bookmarkStart w:id="420" w:name="_Toc160"/>
      <w:bookmarkEnd w:id="419"/>
      <w:r>
        <w:rPr>
          <w:rtl w:val="true"/>
        </w:rPr>
        <w:t xml:space="preserve">الف </w:t>
      </w:r>
      <w:r>
        <w:rPr>
          <w:rtl w:val="true"/>
        </w:rPr>
        <w:t xml:space="preserve">- </w:t>
      </w:r>
      <w:r>
        <w:rPr>
          <w:rtl w:val="true"/>
        </w:rPr>
        <w:t>حرکت انعکاسی</w:t>
      </w:r>
      <w:r>
        <w:rPr>
          <w:rtl w:val="true"/>
        </w:rPr>
        <w:t>:</w:t>
      </w:r>
      <w:bookmarkEnd w:id="420"/>
    </w:p>
    <w:p>
      <w:pPr>
        <w:pStyle w:val="BookText"/>
        <w:rPr/>
      </w:pPr>
      <w:r>
        <w:rPr>
          <w:rFonts w:ascii="IRNazanin" w:hAnsi="IRNazanin" w:eastAsia="IRNazanin"/>
          <w:color w:val="111111"/>
          <w:sz w:val="28"/>
          <w:sz w:val="28"/>
          <w:szCs w:val="28"/>
          <w:rtl w:val="true"/>
          <w:lang w:bidi="fa-IR"/>
        </w:rPr>
        <w:t xml:space="preserve">جنبشی است غیرارادی که در همه جانوران و از جمله انسان دیده می‌شود، با تحریک عصب حشره‌ای، حیوان واکنشی می‌کند که قابلِ پیش‌بینی است و یکسان و یکنواخت و با قالب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است، به هنگام برخورد ناگهانی چشم با نور شدید، مردمکِ چشم زیر تأثیر نور واکنشی از قبض و بسط اندامی از خود نشان می‌دهد</w:t>
      </w:r>
      <w:r>
        <w:rPr>
          <w:rFonts w:eastAsia="IRNazanin" w:cs="IRNazanin"/>
          <w:color w:val="111111"/>
          <w:sz w:val="28"/>
          <w:szCs w:val="28"/>
          <w:rtl w:val="true"/>
          <w:lang w:bidi="fa-IR"/>
        </w:rPr>
        <w:t>.</w:t>
      </w:r>
    </w:p>
    <w:p>
      <w:pPr>
        <w:pStyle w:val="Heading5"/>
        <w:numPr>
          <w:ilvl w:val="4"/>
          <w:numId w:val="1"/>
        </w:numPr>
        <w:rPr/>
      </w:pPr>
      <w:bookmarkStart w:id="421" w:name="__RefHeading___Toc2151027_1051229030"/>
      <w:bookmarkStart w:id="422" w:name="_Toc161"/>
      <w:bookmarkEnd w:id="421"/>
      <w:r>
        <w:rPr>
          <w:rtl w:val="true"/>
        </w:rPr>
        <w:t xml:space="preserve">ب </w:t>
      </w:r>
      <w:r>
        <w:rPr>
          <w:rtl w:val="true"/>
        </w:rPr>
        <w:t xml:space="preserve">- </w:t>
      </w:r>
      <w:r>
        <w:rPr>
          <w:rtl w:val="true"/>
        </w:rPr>
        <w:t>حرکت غریزی</w:t>
      </w:r>
      <w:r>
        <w:rPr>
          <w:rtl w:val="true"/>
        </w:rPr>
        <w:t>:</w:t>
      </w:r>
      <w:bookmarkEnd w:id="42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عبارت است از مجموعه متشکلی از اعمال که به وسیله ساختمانهایِ ارثی عصبی تعیین می‌شود</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حرکت غریزی بر خلاف حرکتِ واکنشی، وراثت دخالت دارد، هر چه جانور در مرتبه پائینتری باشد، هماهنگی وی با طبیعت بیشتر و حرکاتش غریزی تر </w:t>
      </w:r>
      <w:bookmarkStart w:id="423" w:name="pg7474_109390"/>
    </w:p>
    <w:p>
      <w:pPr>
        <w:pStyle w:val="BookText"/>
        <w:rPr/>
      </w:pPr>
      <w:bookmarkEnd w:id="423"/>
      <w:r>
        <w:rPr>
          <w:rFonts w:ascii="IRNazanin" w:hAnsi="IRNazanin" w:eastAsia="IRNazanin"/>
          <w:color w:val="111111"/>
          <w:sz w:val="28"/>
          <w:sz w:val="28"/>
          <w:szCs w:val="28"/>
          <w:rtl w:val="true"/>
          <w:lang w:bidi="fa-IR"/>
        </w:rPr>
        <w:t>است، ولی هر چه حیوان کاملتر باشد هماهنگی با محیط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غریزی به تعلیم نیاز ندارد، دارای کمال فوری و ثبات و یکسانی است، بویژه با نوعی بی خبری از نتیجه توأم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ساختن پرنده و عسل گذاشتنِ زنبور عسل ؛ پرنده از آموختن بی نیاز است، وقتی برای نخستین بار می‌پرد، نوعی کمال در فعلِ او هست که نیازی به رفع نقایص و تکمیل ندارد، و از نتیجه فعل خود بی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جوجه از بیضه برون آید و روزی طلبد</w:t>
      </w:r>
    </w:p>
    <w:p>
      <w:pPr>
        <w:pStyle w:val="BookText"/>
        <w:rPr/>
      </w:pPr>
      <w:r>
        <w:rPr>
          <w:rFonts w:ascii="IRNazanin" w:hAnsi="IRNazanin" w:eastAsia="IRNazanin"/>
          <w:color w:val="111111"/>
          <w:sz w:val="28"/>
          <w:sz w:val="28"/>
          <w:szCs w:val="28"/>
          <w:rtl w:val="true"/>
          <w:lang w:bidi="fa-IR"/>
        </w:rPr>
        <w:t>و آدمی زاده ندارد خبر از عقل و تمیز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که کیفیت زندگی مورچه از پنجاه میلیون سال پیش تا کنون تغییری نکرده، حال آن که زندگی آدمی در ظرف چند صد هزار سال بارها دگرگون شده است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مغز کاملتر باشد، از حرکت غریزی به همان نسبت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موش از نوزاد پرنده ناتوانتر است و پس از چند روز به استقلال می‌رسد، معمولاً در رفع نیازمندیهایِ خود تا دو هفته پای بند مادر است و آن گاه که از موش به آدمی می‌رسیم، پیچیدگی و کمالِ دستگاه عصبی بیشتر می‌شود و بنابراین اعمال غریزی به همان نسبت بسیار کاهش می‌یابد، و به همین دلیل نوزاد آدمی از همه جانوران بیچاره تر و ناتوانتر و دوره کودکیِ وی از همه درازتر است، حیوان طبق غریزه قالبهای معین رفتار را خود به خود دارا است، اما انسان باید آنها را بیاموزد و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دارای هسته اصلیِ بسیاری از غرایز است ، ولی به دلیل آن که امکانِ پرورش آنها از وی گرفته شده و یا به این علت که والدین، رفتار وی را در راههای دیگری می‌اندازند، هیچ گاه این غرایز در او رشد کامل نمی‌یابند، می‌گویند اگر کودک انسانی را در آب بگذارند با دست و پایش حرکاتی می‌کند که او را در آب راه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شنا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لکن این غریزه در اثر بکار نبستن در وی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برای روانشناسان هنوز این آزمایش ممکن نشده تا ببینند که اگر کودکی را به حال خود رها کنند تا بزرگ شود، در آن صورت افعال او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افعال غریزی آدمی، میان روانشناسان اختلاف است، بعضی بکلی منکر افعال غریزی شده‌اند و برخی بسیاری از افعال انسان را غریزی دانسته اند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2151029_1051229030"/>
      <w:bookmarkStart w:id="425" w:name="_Toc162"/>
      <w:bookmarkEnd w:id="424"/>
      <w:r>
        <w:rPr>
          <w:rtl w:val="true"/>
        </w:rPr>
        <w:t xml:space="preserve">ج </w:t>
      </w:r>
      <w:r>
        <w:rPr>
          <w:rtl w:val="true"/>
        </w:rPr>
        <w:t xml:space="preserve">- </w:t>
      </w:r>
      <w:r>
        <w:rPr>
          <w:rtl w:val="true"/>
        </w:rPr>
        <w:t>حرکت عادی</w:t>
      </w:r>
      <w:r>
        <w:rPr>
          <w:rtl w:val="true"/>
        </w:rPr>
        <w:t>:</w:t>
      </w:r>
      <w:bookmarkEnd w:id="42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بردن روشهای خاصّی برای رفع نیازها را ، عادت گویند، به نحوی که آن روش چنان جایگزین شود که نتوان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دیگر آن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ما را در راهی می‌اندازد که اگر بخواهیم از آن برگردیم، ترکش بیماری می‌آورد، این نیروی عادت </w:t>
      </w:r>
    </w:p>
    <w:p>
      <w:pPr>
        <w:pStyle w:val="BookText"/>
        <w:rPr/>
      </w:pPr>
      <w:r>
        <w:rPr>
          <w:rFonts w:ascii="IRNazanin" w:hAnsi="IRNazanin" w:eastAsia="IRNazanin"/>
          <w:color w:val="111111"/>
          <w:sz w:val="28"/>
          <w:sz w:val="28"/>
          <w:szCs w:val="28"/>
          <w:rtl w:val="true"/>
          <w:lang w:bidi="fa-IR"/>
        </w:rPr>
        <w:t>را انگیزه یا سائقه ثانوی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جیمز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عادت چرخ عظیمی است که اجتماع را می‌گرداند و عامل مهمّی است که در اجتماع پایداری ایجاد می‌کند، عادت است که ثروتمندان را از طغیان تهیدستان حفظ می‌کند، شیوه‌های نامطبوع و ناهموار زندگی را هموار می‌کند؛ ماهیگیر و دریانورد را در زمستان سرد در دریا و کارگر معدن را در تاریکی معدن و روستایی فقیر را در زمستان سرد در خانه فقر نگه می‌دارد، عادت است که ما را از هجوم وحشیانِ بیابان و ساکنان نواحی یخزده قطبی حفظ میکند، مثل سرنوشت، ما را محکوم می‌کند کار و حرفه‌ای را که یک بار انتخاب کرده‌ایم دنبال کنیم، طبقات مختلف اجتماع را از هم جدا نگه می‌دارد، حتّی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می‌بینید آن که وکیلِ دعاوی است عادات حرفه خود و آن که بازرگان یا پزشک است عاداتِ صنفِ خود را کسب کرده‌اند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عادت مبالغه کرده است، زیرا گاه اشخاص عادتهای خود را عوض می‌کنند و گاه پیشامدها بکلی زندگی را در راه تازه‌ای می‌اندازد، امّا نمی‌توان انکار کرد که آدمی در برابر مسائلِ نو مقاومت نشان می‌دهد و از تغییر و تحوّل هراس دارد، کسانی که می‌خواهند عادتهای بزرگسالان را دگرگون کنند، نباید از این نکته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ما در زمینه تغییر عادات ناهنجار مضامین جالبی سروده‌اند، دوبیتی برای آن که زیبایی سخنِ آنان از ملالِ خاطر خواننده قدری بکاهد،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نظامی گنجوی در مخزن الاسرار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خلافْ آمدِ عادت بود</w:t>
      </w:r>
    </w:p>
    <w:p>
      <w:pPr>
        <w:pStyle w:val="BookText"/>
        <w:rPr/>
      </w:pPr>
      <w:r>
        <w:rPr>
          <w:rFonts w:ascii="IRNazanin" w:hAnsi="IRNazanin" w:eastAsia="IRNazanin"/>
          <w:color w:val="111111"/>
          <w:sz w:val="28"/>
          <w:sz w:val="28"/>
          <w:szCs w:val="28"/>
          <w:rtl w:val="true"/>
          <w:lang w:bidi="fa-IR"/>
        </w:rPr>
        <w:t>قافله سالار سعادت بود</w:t>
      </w:r>
    </w:p>
    <w:p>
      <w:pPr>
        <w:pStyle w:val="BookText"/>
        <w:rPr/>
      </w:pPr>
      <w:r>
        <w:rPr>
          <w:rFonts w:ascii="IRNazanin" w:hAnsi="IRNazanin" w:eastAsia="IRNazanin"/>
          <w:color w:val="111111"/>
          <w:sz w:val="28"/>
          <w:sz w:val="28"/>
          <w:szCs w:val="28"/>
          <w:rtl w:val="true"/>
          <w:lang w:bidi="fa-IR"/>
        </w:rPr>
        <w:t>و خواجه حافظ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خلاف آمدِ عادت بطلب کام که من</w:t>
      </w:r>
    </w:p>
    <w:p>
      <w:pPr>
        <w:pStyle w:val="BookText"/>
        <w:rPr/>
      </w:pPr>
      <w:r>
        <w:rPr>
          <w:rFonts w:ascii="IRNazanin" w:hAnsi="IRNazanin" w:eastAsia="IRNazanin"/>
          <w:color w:val="111111"/>
          <w:sz w:val="28"/>
          <w:sz w:val="28"/>
          <w:szCs w:val="28"/>
          <w:rtl w:val="true"/>
          <w:lang w:bidi="fa-IR"/>
        </w:rPr>
        <w:t>کسب جمعیّت از آن زلف پریشان کردم</w:t>
      </w:r>
    </w:p>
    <w:p>
      <w:pPr>
        <w:pStyle w:val="BookText"/>
        <w:rPr/>
      </w:pPr>
      <w:r>
        <w:rPr>
          <w:rFonts w:ascii="IRNazanin" w:hAnsi="IRNazanin" w:eastAsia="IRNazanin"/>
          <w:color w:val="111111"/>
          <w:sz w:val="28"/>
          <w:sz w:val="28"/>
          <w:szCs w:val="28"/>
          <w:rtl w:val="true"/>
          <w:lang w:bidi="fa-IR"/>
        </w:rPr>
        <w:t>در تعریف عادت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استعداد اکتسابیِ صدور حرکات یا تحمّل تأثیراتی معیّن، عادت است</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عادت، فطری و غریزی نیست بلکه اکتسابی است، و دو جنبه مثبت و منفی دارد، مثبت است آن گاه که منظور حرکاتی باشد که بتدریج از دشواریش کاسته گردد مثلِ عادتِ خواندن و نوشتن، و منفی است هنگامی که تحمّل تأثیراتی باشد مثل عادت به زندگی در مناطق معیّن و کارهای معیّن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شناسی در تعریف رسم و عادت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رسمهای اجتماعی رفتاری است که بر اثر </w:t>
      </w:r>
      <w:bookmarkStart w:id="426" w:name="pg7474_109392"/>
    </w:p>
    <w:p>
      <w:pPr>
        <w:pStyle w:val="BookText"/>
        <w:rPr/>
      </w:pPr>
      <w:bookmarkEnd w:id="426"/>
      <w:r>
        <w:rPr>
          <w:rFonts w:ascii="IRNazanin" w:hAnsi="IRNazanin" w:eastAsia="IRNazanin"/>
          <w:color w:val="111111"/>
          <w:sz w:val="28"/>
          <w:sz w:val="28"/>
          <w:szCs w:val="28"/>
          <w:rtl w:val="true"/>
          <w:lang w:bidi="fa-IR"/>
        </w:rPr>
        <w:t>تکرار فراوان و تثبیتِ کنشهای متقابل اجتماعی فراهم می‌آید، همچنان که از تکرار فراوان و تثبیتِ فعلهای فردی، عادت زاده می‌شود، هر رسمی دست کم در نخستین مراحلِ پیدایش خود، وسیله رفع یک یا چند نیاز اجتماعی است، یکی از رسمها در بسیاری از جامعه‌ها این است که مرد به خواستگاری زن می‌رود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تشکیل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عادت، تکرار را شرط لازم دانسته‌اند، ولی در روانشناسیِ فردی ثابت شده که تکرار با این که به فعل آدمی مهارت و دقّت می‌بخشد، و به نیروی تکوینِ عادت می‌افزاید، هرگز شرط کافی نیست، زیرا هر فعلی خود آغاز تشکیلِ عادت است، اگر در مرتبه نخست اثری از خود به جای نگذارد، بار دوّم هم مثلِ بار اوّل است و چنین است دفعه‌های سوم و بعد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کمال فعل و سود آن مورد توجّه باشد، باید تکرار توأم با اصلاح حرکتها باشد، مثلاً آن که تمرینِ ساز زدن می‌کند، اگر هر بار همان حرکتهای خشن و غیر ماهرانه را تکرار کند و برای اصلاح آن کوششی نکند هرگز موفق به فرا گرفتن این هنر نخواهد شد، با این همه نمی‌توان منکر فایده تکرار شد بویژه که فاصله‌هایِ تکرار آن قدر دراز نباشد که موجب محو آثار قبلی گردد و نه بسیار کوتاه باشد که خستگی 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استعداد هماهنگی با وضع جدید را از آدمی سلب کند</w:t>
      </w:r>
      <w:r>
        <w:rPr>
          <w:rFonts w:eastAsia="IRNazanin" w:cs="IRNazanin"/>
          <w:color w:val="111111"/>
          <w:sz w:val="28"/>
          <w:szCs w:val="28"/>
          <w:rtl w:val="true"/>
          <w:lang w:bidi="fa-IR"/>
        </w:rPr>
        <w:t>.</w:t>
      </w:r>
    </w:p>
    <w:p>
      <w:pPr>
        <w:pStyle w:val="Heading4"/>
        <w:numPr>
          <w:ilvl w:val="3"/>
          <w:numId w:val="1"/>
        </w:numPr>
        <w:rPr/>
      </w:pPr>
      <w:bookmarkStart w:id="427" w:name="__RefHeading___Toc2151031_1051229030"/>
      <w:bookmarkStart w:id="428" w:name="_Toc163"/>
      <w:bookmarkEnd w:id="427"/>
      <w:r>
        <w:rPr>
          <w:rtl w:val="true"/>
        </w:rPr>
        <w:t xml:space="preserve">د </w:t>
      </w:r>
      <w:r>
        <w:rPr>
          <w:rtl w:val="true"/>
        </w:rPr>
        <w:t xml:space="preserve">- </w:t>
      </w:r>
      <w:r>
        <w:rPr>
          <w:rtl w:val="true"/>
        </w:rPr>
        <w:t>حرکتِ ارادی</w:t>
      </w:r>
      <w:r>
        <w:rPr>
          <w:rtl w:val="true"/>
        </w:rPr>
        <w:t>:</w:t>
      </w:r>
      <w:bookmarkEnd w:id="428"/>
    </w:p>
    <w:p>
      <w:pPr>
        <w:pStyle w:val="BookText"/>
        <w:rPr/>
      </w:pPr>
      <w:r>
        <w:rPr>
          <w:rFonts w:ascii="IRNazanin" w:hAnsi="IRNazanin" w:eastAsia="IRNazanin"/>
          <w:color w:val="111111"/>
          <w:sz w:val="28"/>
          <w:sz w:val="28"/>
          <w:szCs w:val="28"/>
          <w:rtl w:val="true"/>
          <w:lang w:bidi="fa-IR"/>
        </w:rPr>
        <w:t>حرکت ارادی آن است که پس از تأمّل برای غرضی معیّن و معلوم، به ا ختیار از شخص صادر شود، پس فعل ارادی بر خلاف فعل غریزی دارای غرض و نتیجه معلومی است و از روی تأمّل و اختیار سر می‌زند و صفتِ اختصاصیِ آدمی است و لازمه شخصیّت و شرط فرهنگ و معنویّت انسان است، آدمی ، با اراده میانِ خوب و بد دست به انتخاب می‌زند، اراده دارایِ چهار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 تأمّل ، عزم و اجرا، که تفصیل آن دراز است و از بحث ما بیرون</w:t>
      </w:r>
      <w:r>
        <w:rPr>
          <w:rFonts w:eastAsia="IRNazanin" w:cs="IRNazanin"/>
          <w:color w:val="111111"/>
          <w:sz w:val="28"/>
          <w:szCs w:val="28"/>
          <w:rtl w:val="true"/>
          <w:lang w:bidi="fa-IR"/>
        </w:rPr>
        <w:t>.</w:t>
      </w:r>
    </w:p>
    <w:p>
      <w:pPr>
        <w:pStyle w:val="Heading4"/>
        <w:numPr>
          <w:ilvl w:val="3"/>
          <w:numId w:val="1"/>
        </w:numPr>
        <w:rPr/>
      </w:pPr>
      <w:bookmarkStart w:id="429" w:name="__RefHeading___Toc2151033_1051229030"/>
      <w:bookmarkStart w:id="430" w:name="_Toc164"/>
      <w:bookmarkEnd w:id="429"/>
      <w:r>
        <w:rPr>
          <w:rtl w:val="true"/>
        </w:rPr>
        <w:t>تعریف عرف</w:t>
      </w:r>
      <w:bookmarkEnd w:id="43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به معنای شناسایی است، امّا در علم حقوق، در تعریف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قاعده‌ای است که به‌تدریج و خودبه‌خود میان همه مردم یا گروهی از آنان به عنوان قاعده‌ای الزام آور مرسوم شده است</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عرف عبارتست از عادتی که چهره الزامی به خود گرفته باشد، عادتی که از عاملهای فکری و اختیاری برخاسته باشد، تحققّ عادت گاه برخاسته از عاملهایِ طبیعی است مثل </w:t>
      </w:r>
      <w:bookmarkStart w:id="431" w:name="pg7474_109393"/>
    </w:p>
    <w:p>
      <w:pPr>
        <w:pStyle w:val="BookText"/>
        <w:rPr/>
      </w:pPr>
      <w:bookmarkEnd w:id="431"/>
      <w:r>
        <w:rPr>
          <w:rFonts w:ascii="IRNazanin" w:hAnsi="IRNazanin" w:eastAsia="IRNazanin"/>
          <w:color w:val="111111"/>
          <w:sz w:val="28"/>
          <w:sz w:val="28"/>
          <w:szCs w:val="28"/>
          <w:rtl w:val="true"/>
          <w:lang w:bidi="fa-IR"/>
        </w:rPr>
        <w:t>عادت به زندگی در مناطق سردسیر، و گاه ناشی از عاملهای فکری و اختیاری است مثل عادت به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معنی عرف اخصّ از عادت است و عادت اعم از آن است و علاوه بر این عرف عمل عادی و مکرّر اکثریت یا تمام افراد یک گروه است و حال این که عادت ممکن است عمل مکررّ فرد باشد، تا اینجا عُرف به معنای اجتماعیِ آن بود امّا عرفِ حقوقی همانگونه که در تعریف آن یادآور شدیم علاوه بر قوّه الزام آور بودن آن، باید عُرفی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عرف حقوقی را با عُرفی که در قراردادها اراده ضمنی دو طرف را بیان می‌کند نباید اشتباه کرد</w:t>
      </w:r>
      <w:r>
        <w:rPr>
          <w:rFonts w:eastAsia="IRNazanin" w:cs="IRNazanin"/>
          <w:color w:val="111111"/>
          <w:sz w:val="28"/>
          <w:szCs w:val="28"/>
          <w:rtl w:val="true"/>
          <w:lang w:bidi="fa-IR"/>
        </w:rPr>
        <w:t>.</w:t>
      </w:r>
    </w:p>
    <w:p>
      <w:pPr>
        <w:pStyle w:val="Heading4"/>
        <w:numPr>
          <w:ilvl w:val="3"/>
          <w:numId w:val="1"/>
        </w:numPr>
        <w:rPr/>
      </w:pPr>
      <w:bookmarkStart w:id="432" w:name="__RefHeading___Toc2151035_1051229030"/>
      <w:bookmarkStart w:id="433" w:name="_Toc165"/>
      <w:bookmarkEnd w:id="432"/>
      <w:r>
        <w:rPr>
          <w:rtl w:val="true"/>
        </w:rPr>
        <w:t>«</w:t>
      </w:r>
      <w:r>
        <w:rPr>
          <w:rtl w:val="true"/>
        </w:rPr>
        <w:t>مد</w:t>
      </w:r>
      <w:r>
        <w:rPr>
          <w:rtl w:val="true"/>
        </w:rPr>
        <w:t xml:space="preserve">» </w:t>
      </w:r>
      <w:r>
        <w:rPr>
          <w:rtl w:val="true"/>
        </w:rPr>
        <w:t>یا رفتار اجتماعی</w:t>
      </w:r>
      <w:bookmarkEnd w:id="433"/>
    </w:p>
    <w:p>
      <w:pPr>
        <w:pStyle w:val="BookText"/>
        <w:rPr/>
      </w:pPr>
      <w:r>
        <w:rPr>
          <w:rFonts w:ascii="IRNazanin" w:hAnsi="IRNazanin" w:eastAsia="IRNazanin"/>
          <w:color w:val="111111"/>
          <w:sz w:val="28"/>
          <w:sz w:val="28"/>
          <w:szCs w:val="28"/>
          <w:rtl w:val="true"/>
          <w:lang w:bidi="fa-IR"/>
        </w:rPr>
        <w:t>نوظهور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Fashion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رفتار اجتماعیِ نوظهوری است که به قدر رسم اجتماعی یا عادت تثبیت نشده باشد</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عُرف با مُد در عاملِ روحی و روانی است، زیرا در مد عاملِ عملیِ تکرار وجود دارد لکن عاملِ روحی یعنی فشار و الزام اجتماعی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هیچ کس را برای نبستنِ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نمی‌کنند، در حالی که اگر عرف را رعایت نکند و مثلاً نوبت دیگران را در صف اتوبوس محترم نشمارد، مورد سرزنش قرار خواهد گرفت و در واقع همین ملامتِ عمومی که از اخلاق سرچشمه می‌گیرد ضامنِ اجرای طبیعی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تقلید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حال یا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الزام معنوی عادت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همین ویژگی برخاسته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عادت تغییر پذیر است، این ویژگی بیشتر در ملتّهایی است که در معرض تحوّلهای اجتماعی قرار گرفته‌اند، از این رو جامعه‌های بسته و قدیمی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Static Society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تقریباً فاقد رفتارهایِ اجتماعی نو ظهورند،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فکریِ عمیق مانند عرف و عادت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عمر، سطحی و زودگذر است در حالی که عرف دیرپای و عمیق و دست و پاگیر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 مانند عرف نمودار و مُشخِّصِ طبقه اجتماعی است مثلاً مُد طبقه مرفّه با طبقه متوسط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ملتهایِ متجدّد ظهور و بروز بیشتری دارد در صورتی که عرف تنها به یک ملّت اختصاص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جامعه‌های ابتدایی کمتر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عقیده و سنّت با فکر و اندیشه در ارتباط است درحالی که مد و عرف به کردار و رفتار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تخلّف از سنّت </w:t>
      </w:r>
      <w:bookmarkStart w:id="434" w:name="pg7474_109394"/>
    </w:p>
    <w:p>
      <w:pPr>
        <w:pStyle w:val="BookText"/>
        <w:rPr/>
      </w:pPr>
      <w:bookmarkEnd w:id="434"/>
      <w:r>
        <w:rPr>
          <w:rFonts w:ascii="IRNazanin" w:hAnsi="IRNazanin" w:eastAsia="IRNazanin"/>
          <w:color w:val="111111"/>
          <w:sz w:val="28"/>
          <w:sz w:val="28"/>
          <w:szCs w:val="28"/>
          <w:rtl w:val="true"/>
          <w:lang w:bidi="fa-IR"/>
        </w:rPr>
        <w:t>شرمندگی وجدانی به دنبال دارد در حالی که در عرف و عادت تا این درجه ارزش معنوی وجود ندارد</w:t>
      </w:r>
      <w:r>
        <w:rPr>
          <w:rFonts w:eastAsia="IRNazanin" w:cs="IRNazanin"/>
          <w:color w:val="111111"/>
          <w:sz w:val="28"/>
          <w:szCs w:val="28"/>
          <w:rtl w:val="true"/>
          <w:lang w:bidi="fa-IR"/>
        </w:rPr>
        <w:t>.</w:t>
      </w:r>
    </w:p>
    <w:p>
      <w:pPr>
        <w:pStyle w:val="Heading4"/>
        <w:numPr>
          <w:ilvl w:val="3"/>
          <w:numId w:val="1"/>
        </w:numPr>
        <w:rPr/>
      </w:pPr>
      <w:bookmarkStart w:id="435" w:name="__RefHeading___Toc2151037_1051229030"/>
      <w:bookmarkStart w:id="436" w:name="_Toc166"/>
      <w:bookmarkEnd w:id="435"/>
      <w:r>
        <w:rPr/>
        <w:t>2</w:t>
      </w:r>
      <w:r>
        <w:rPr>
          <w:rtl w:val="true"/>
        </w:rPr>
        <w:t xml:space="preserve">- </w:t>
      </w:r>
      <w:r>
        <w:rPr>
          <w:rtl w:val="true"/>
        </w:rPr>
        <w:t>عرف و عادت در حقوق امروز</w:t>
      </w:r>
      <w:bookmarkEnd w:id="436"/>
    </w:p>
    <w:p>
      <w:pPr>
        <w:pStyle w:val="BookText"/>
        <w:rPr/>
      </w:pPr>
      <w:r>
        <w:rPr>
          <w:rFonts w:ascii="IRNazanin" w:hAnsi="IRNazanin" w:eastAsia="IRNazanin"/>
          <w:color w:val="111111"/>
          <w:sz w:val="28"/>
          <w:sz w:val="28"/>
          <w:szCs w:val="28"/>
          <w:rtl w:val="true"/>
          <w:lang w:bidi="fa-IR"/>
        </w:rPr>
        <w:t xml:space="preserve">در یک معنی عام و گسترده درحقوق امروز، عُرف به همه قواعدی اطلاق می‌شود که از وقایع اجتماعی استخراج شده و بی دخالت قانونگذار به صورت قاعده حقوقی درآمده باشد، در این معنی گسترده و عام، عُرف جز قانون شامل منابع دیگر حقوق مثل رویّه قضایی و قواعد ناشی از عقاید علما و عادات و رسوم تجارتی نیز می‌شود، در حالی که همانگونه که اشاره شد عرف، عادتی است که الزام آور بوده و قاعده حقوقی پدید آورده باشد در زبان حقوقی گاه به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غیر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عرف تحت دو عامل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عملی یا مادّی و عاملِ روانی یا معنوی عامل عملی عبارتست از انجام پیاپی و مکررّ یک عمل برای حلّ مسایل زندگی، پس عُرف بر پایه تکرار استوار است و علاوه باید به مدّت طولانی میان مردم مرسوم باشد و عمومیّت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تشخیص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عرف و عادت می‌شود و بنابراین ممکن است بر حسب ازمنه و امکنه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تشخیص معیوب بودنِ مبیع و یا کالای فروخته شده آسان است، امّا چون ممکن است گاهی بی اشکال نباشد بنابراین قانونگذار عرف را مشخصّ معیوب بودنِ مبیع قرار داده است و حتی این عرف را بر حسب زمان و مکان قابل تغییر وتحوّل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مادّه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تعمیرات و کلّیه مخارجی که در عین مستأجره برای امکان انتفاع از آن لازم است، به عهده مالک است مگر آن که شرط خلاف شده یا عُرف بلد بر خلاف آن جاری باشد و همچنین است آلات و ادواتی که برای امکان انتفاع از عین مستأجره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موجر یا مالک باید عین مستأجره را در حالتی تسلیم مستأجر کند که وی استفاده مطلوبه را بتواند از آن بکند مگر این که عرف محل خلافِ آن را بگوید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روانی یا معنوی عبارت است از احساسِ اجبار و الزام به هنگام انجام یک عرف، از این رو عرف به کمک اصول اخلاق و حقوق می‌آید، زیرا اصول اخلاقی در آغاز پیدایش بصورتِ باری بر دوش اجتماع سنگینی می‌کند، لکن نیروی عرف وعادت ، آنها را پس از مدّتی بهآسانی قابل پذیرش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عرفی به مرحله اجبار و الزام نرسد، عرف نیست بلکه آن را جزو آداب و رسوم و نزاکتهای اجتماعی باید به حساب آورد مانند آداب معاشرت و مراسم </w:t>
      </w:r>
      <w:bookmarkStart w:id="437" w:name="pg7474_109395"/>
    </w:p>
    <w:p>
      <w:pPr>
        <w:pStyle w:val="BookText"/>
        <w:rPr/>
      </w:pPr>
      <w:bookmarkEnd w:id="437"/>
      <w:r>
        <w:rPr>
          <w:rFonts w:ascii="IRNazanin" w:hAnsi="IRNazanin" w:eastAsia="IRNazanin"/>
          <w:color w:val="111111"/>
          <w:sz w:val="28"/>
          <w:sz w:val="28"/>
          <w:szCs w:val="28"/>
          <w:rtl w:val="true"/>
          <w:lang w:bidi="fa-IR"/>
        </w:rPr>
        <w:t>محلی در پاره‌ای از جشنها و سوگواری‌ها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2151039_1051229030"/>
      <w:bookmarkStart w:id="439" w:name="_Toc167"/>
      <w:bookmarkEnd w:id="438"/>
      <w:r>
        <w:rPr>
          <w:rtl w:val="true"/>
        </w:rPr>
        <w:t>عقاید موافق و مخالف پیرامون عُرف</w:t>
      </w:r>
      <w:bookmarkEnd w:id="439"/>
    </w:p>
    <w:p>
      <w:pPr>
        <w:pStyle w:val="Heading5"/>
        <w:numPr>
          <w:ilvl w:val="4"/>
          <w:numId w:val="1"/>
        </w:numPr>
        <w:rPr/>
      </w:pPr>
      <w:bookmarkStart w:id="440" w:name="__RefHeading___Toc2151041_1051229030"/>
      <w:bookmarkStart w:id="441" w:name="_Toc168"/>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نسبت به عرف و عادت ، عقاید سازگار و ناسازگاری ابراز شده که به آن اشاره می‌شود</w:t>
      </w:r>
      <w:r>
        <w:rPr>
          <w:rFonts w:eastAsia="IRNazanin" w:cs="IRNazanin"/>
          <w:color w:val="111111"/>
          <w:sz w:val="28"/>
          <w:szCs w:val="28"/>
          <w:rtl w:val="true"/>
          <w:lang w:bidi="fa-IR"/>
        </w:rPr>
        <w:t>.</w:t>
      </w:r>
    </w:p>
    <w:p>
      <w:pPr>
        <w:pStyle w:val="Heading5"/>
        <w:numPr>
          <w:ilvl w:val="4"/>
          <w:numId w:val="1"/>
        </w:numPr>
        <w:rPr/>
      </w:pPr>
      <w:bookmarkStart w:id="442" w:name="__RefHeading___Toc2151043_1051229030"/>
      <w:bookmarkStart w:id="443" w:name="_Toc169"/>
      <w:bookmarkEnd w:id="442"/>
      <w:r>
        <w:rPr>
          <w:rtl w:val="true"/>
        </w:rPr>
        <w:t xml:space="preserve">اوّل </w:t>
      </w:r>
      <w:r>
        <w:rPr>
          <w:rtl w:val="true"/>
        </w:rPr>
        <w:t xml:space="preserve">- </w:t>
      </w:r>
      <w:r>
        <w:rPr>
          <w:rtl w:val="true"/>
        </w:rPr>
        <w:t>موافقان</w:t>
      </w:r>
      <w:r>
        <w:rPr>
          <w:rtl w:val="true"/>
        </w:rPr>
        <w:t>:</w:t>
      </w:r>
      <w:bookmarkEnd w:id="443"/>
    </w:p>
    <w:p>
      <w:pPr>
        <w:pStyle w:val="BookText"/>
        <w:rPr/>
      </w:pPr>
      <w:r>
        <w:rPr>
          <w:rFonts w:ascii="IRNazanin" w:hAnsi="IRNazanin" w:eastAsia="IRNazanin"/>
          <w:color w:val="111111"/>
          <w:sz w:val="28"/>
          <w:sz w:val="28"/>
          <w:szCs w:val="28"/>
          <w:rtl w:val="true"/>
          <w:lang w:bidi="fa-IR"/>
        </w:rPr>
        <w:t xml:space="preserve">مکتب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بنیانگذار آن را باید ساوینیی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Savigny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حقوقدانِ مشهور آلمانی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عادت را به دلیل تحوّل پذیری آن بر قانون ترجیح می‌دهد، به نظر این مکتب، حقوق خاستگاه عرفی دارد و عرف قابل تغییر و دگرگونی است مانند زبان که با گذشت زمان به خودیِ خود، تغییر می‌یابد، حقوقدان مانند عالم دستور زبان، قوانین را کشف می‌کند و منظّم می‌سازد، او وظیفه ندارد آن را تغییر دهد، قواعد زبان را از چگونگی گفتار و موازینِ شعر را از اشعار باید بیرون کشید، حقوقدان بر اساس تجربه و مشاهده رفتارهای اجتماعی آنها را استخراج می‌کند، او به اصول و قواعد عقل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مکتب، تدوین قانون ، حقوق را بی‌حرکت و ثابت نگه می‌دارد و منابع آن را از بین می‌برد، عرف از وجدانِ مشترک توده‌های مردم پدید می‌آید و به همین دلیل هماهنگ با نیازهای جامعه است، به هنگام اجرای عرف، الزام و اجباری در کار نیست ، مردم به صرافت طبع و از روی طیب خاطر به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سه نقص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ثبات، نارسایی نسبت به بعضی از حالات و مصادیق؛ در حالی که عرف این نقصها را ندارد، بعضی از موارد جزیی در زندگی آدمی تحت قاعده کلی و عمومی نمی‌گنجد، ثبات و عمومیّت قانون، هر چند از محسّنات آن است، زیرا به روابط مردم اعتماد می‌دهد و از تزلزل آن جلوگیری می‌کند، لکن خود زندگی، ثبات ندارد و همواره در تغییر است، بنابراین نمی‌تواند تحت قانون ثابت در آید، بنابراین درنظام جقوق مدوَّن ، رویّه قضایی دادگاهها و عقیده حقوقدانان، که خود از منابع تبعی هستند، جبران نقیصه را به عهده می‌گیرند، دو منبع اخیر سکوت و اجمال قانون را در نیازمندیهای متحوّل به عهده می‌گیرند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مکتب تاریخی ، حقوق غیر از قانون است، قانون باید در خدمت و پیرو حقوق باشد، پیش از پدید آمدنِ مفهوم قانون و قانونگذاری، حقوق وجود داشته و بر آن مقدَّم بوده، حتی در عصر حاضر چه بسا که حقوق از زیر سلطه قانون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اگرچنین نبود نیازی به رویّه قضایی و تفقّه نبود، اگر تصوّر شود که قانون بر حقوق مقدم است، لازم است که پیش از پیدایش دولت و </w:t>
      </w:r>
      <w:bookmarkStart w:id="444" w:name="pg7474_109396"/>
    </w:p>
    <w:p>
      <w:pPr>
        <w:pStyle w:val="BookText"/>
        <w:rPr/>
      </w:pPr>
      <w:bookmarkEnd w:id="444"/>
      <w:r>
        <w:rPr>
          <w:rFonts w:ascii="IRNazanin" w:hAnsi="IRNazanin" w:eastAsia="IRNazanin"/>
          <w:color w:val="111111"/>
          <w:sz w:val="28"/>
          <w:sz w:val="28"/>
          <w:szCs w:val="28"/>
          <w:rtl w:val="true"/>
          <w:lang w:bidi="fa-IR"/>
        </w:rPr>
        <w:t xml:space="preserve">بر آمدنِ نظامهایِ قانونی، آدمی بدون حقوق زندگی کرده باشد که تصوّرش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قانون را نمایندگان مردم وضع می‌کنند و بر فرض که نماینده واقعی باشند، باز هم مردم به طور مستقیم در وضع قانون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اغلب نظر و خواست مردم را رعایت نمی‌کنند، و منافع شخصی و یا گروهی را بر مصلحت و سود عمومی برتری می‌دهند ، امّا درحقوق عرفی چنین نیست ، مردم مُستقلند و نماینده لازم ندارند و روح فکر مشترک خود را به کار می‌برند</w:t>
      </w:r>
      <w:r>
        <w:rPr>
          <w:rFonts w:eastAsia="IRNazanin" w:cs="IRNazanin"/>
          <w:color w:val="111111"/>
          <w:sz w:val="28"/>
          <w:szCs w:val="28"/>
          <w:rtl w:val="true"/>
          <w:lang w:bidi="fa-IR"/>
        </w:rPr>
        <w:t>!</w:t>
      </w:r>
    </w:p>
    <w:p>
      <w:pPr>
        <w:pStyle w:val="Heading5"/>
        <w:numPr>
          <w:ilvl w:val="4"/>
          <w:numId w:val="1"/>
        </w:numPr>
        <w:rPr/>
      </w:pPr>
      <w:bookmarkStart w:id="445" w:name="__RefHeading___Toc2151045_1051229030"/>
      <w:bookmarkStart w:id="446" w:name="_Toc170"/>
      <w:bookmarkEnd w:id="445"/>
      <w:r>
        <w:rPr>
          <w:rtl w:val="true"/>
        </w:rPr>
        <w:t xml:space="preserve">دوم </w:t>
      </w:r>
      <w:r>
        <w:rPr>
          <w:rtl w:val="true"/>
        </w:rPr>
        <w:t xml:space="preserve">- </w:t>
      </w:r>
      <w:r>
        <w:rPr>
          <w:rtl w:val="true"/>
        </w:rPr>
        <w:t>مخالفان</w:t>
      </w:r>
      <w:r>
        <w:rPr>
          <w:rtl w:val="true"/>
        </w:rPr>
        <w:t>:</w:t>
      </w:r>
      <w:bookmarkEnd w:id="446"/>
    </w:p>
    <w:p>
      <w:pPr>
        <w:pStyle w:val="BookText"/>
        <w:rPr/>
      </w:pPr>
      <w:r>
        <w:rPr>
          <w:rFonts w:ascii="IRNazanin" w:hAnsi="IRNazanin" w:eastAsia="IRNazanin"/>
          <w:color w:val="111111"/>
          <w:sz w:val="28"/>
          <w:sz w:val="28"/>
          <w:szCs w:val="28"/>
          <w:rtl w:val="true"/>
          <w:lang w:bidi="fa-IR"/>
        </w:rPr>
        <w:t xml:space="preserve">بر خلاف نظر مکتب تاریخی، قانون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کشف می‌کند، و بخاطر رسیدن به غرض و هدف مشخصّی آن را منظم می‌سازد، حقوق امری خود بخودی و در شمار اعمالِ غیر ارادی نیست، نتیجه عقل قرون و تجربه نسلهای متوالی است، اگر هم حقوقدان قواعد مبهم و نامشخصّ و جزئی عرف را در برخی از موارد صورت ثابت و معیّن می‌دهد، بخاطر سازگار کردنِ این قواعد کلی با زندگی است، قانونگذار قواعد عرف را در قالبهای قانون جمع بندی می‌کند، با دخالتِ عقل و علم آن را تغییر شکل می‌دهد و مناسبترین راهها را برای تحقّق عدالتِ اجتماعی بر می‌گزیند و این کار دشوار فقط از عقل و در پرتو علم ساخته است، به نظر این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ایرینگ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Ihering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بنیانگذاران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ناشی از اراده اشخاص است و قدرت آن بر نیروی دولت تکیه دارد، حقوق مانند زبان خود به خود تحوّل نمی‌پذیرد، بلکه هر قاعده جدیدی، نتیجه کشمکش و نزاعی علمی و عقلی بوده تا به پیروزی یکی از دو طرز فکر مُنتهی شده است، الغاء بردگی نتیجه یکی از همین مبارزه‌های دامنه دار است، به نظر این مکتب، حقوق باید ثابت و عمومی و لایتغیّر باشد، تا هر لحظه حقوق مُکتسب مردم دستخوش تغییر و تزلزل قرار نگیرد، ثبات و کلیت و عمومیّت قانون ویژگی ذاتی آن است، زیرا از پایگاه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می‌گیرد، به همین دلیل مخالفان عرف نسبت به ارزشِ قانون آن قدر مبالغه میکردند که آن را جاوید می‌پنداشتند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عُرف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در نظام استبداد مبتنی بر عرف و عادت است، بنابراین مبهم و ناقص است، قواعد عرف آشکار و روشن نیست و تشکیل عُرف کند و بطی‌ء است، در حالی که گاه در اجتماع ضرورت دارد که قانونی سریع و با شتاب به تصویب برسد، وانگهی اگر قاعده‌ای که از طرف دولت تعیین شده، در عمل متروک بماند، در واقع آن را نمی‌توان در عداد قواعد حقوقی بشمار آورد، خاصیّت قاعده‌ای حقوقی از آن گرفته شده است، قاعده‌ای در شمار قواعد حقوقی است که دولت پشتبیانِ آن باشد و آن را در عمل بر مردم الزام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مابقی حقوقی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هیچ جامعه‌ای تا کنون وضع قانون در دست همه مردم نبوده است حتی تا سه قرن پیش برای همه حق شرکت در وضع قانون متصوّر 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 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وجدان همگانی است و هر یک از افراد پذیرفته است که قانون راهنمایش باشد، اگر جز این باشد، با اختلافی که در تشخیصِ وجدانهای افراد مختلف وجود دارد، و این جز اختلاف عقیده چیزی نیست، ناچار در دولت پراکندگی راه می‌یابد</w:t>
      </w:r>
      <w:r>
        <w:rPr>
          <w:rStyle w:val="FootnoteAnchor"/>
          <w:rtl w:val="true"/>
        </w:rPr>
        <w:footnoteReference w:id="2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آزادی انسان در اجتماع آن است که زیر فرمان هیچ قدرت قانونگذاری نباشد مگر آنکه خود با ایجاد دولت به رضا و رغبت بر پا کرده است و دیگر هیچ اراده و حکمی بر او فرمان ندهد مگر آنچه هیأت قانونگذار کشور بنابر وکالتی که از جانب او دارد تصویب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آزادی برای کسانی که زیر فرمان حکومت هستند آن است که برای زندگی خود قوانین مسلم و مشخصی داشته باشند که در مقابل آن همه افراد برابر باشند و آن را قوه قانونگذاری که بر پا شده است ایجاد کرده باشد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بحث دور نشویم ، سخن درباره عقاید موافق و مخالف عرف و عادت بود، به نظر ما چنین می‌نماید که همه دلیلهای طرفین دعوی، ظاهری است بی حقیقت، و الفاظی است بی محتوی، زیرا دو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عرف مکمّل یکدیگرند، و امروز در قوانین بیشتر کشورها عرف جزو قوانین تعویضی است، یعنی عرف مفسّر اراده افراد است، مردم در تنظیم قراردادها و شرطهای آن آزادند، عرف و قانون جاهایِ مبهم و مجمل و ساکت آن‌ها را پر می‌کند و جانشین آنها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اوّل قانون مدنی سویس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صورت فقدان نصّ، قاضی از روی حقوق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خواهد کرد واگر عرف و عادت نیز وجود نداشته باشد از روی قواعدی که اگر خود او قانونگذار بود، وضع می‌کرد حکم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آئین دادرسی مدنی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دادگاههای دادگستری مکلفند به دعاوی، موافق قوانین رسیدگی کرده، حکم داده یا فصل نمایند و در صورتی که قوانین موضوعه کشوری کامل یا صریح نبوده و یا متناقض باشد یا اصلاً قانونی در قضیه مطروحه وجود نداشته باشد، دادگاههای دادگستری باید موافق روح و مفاد قوانین موضوعه و عرف و عادت مسلّم، قضیه را قطع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می‌شود که بر طبق ماده فوق، کامل نبودن قوانین موضوعه و عدم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فقدان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موضوعه برای همه آنها دو راه حلّ پیش بینی شده، یکی مراجعه به روح و مفاد قوانین موضوعه و دیگری عرف و عادت مسلّم ، روح قانون را بعضی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و نظرهای علمی که پایه یک یا چند ماده قانون باشد</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تعریف کرده‌اند و برخی روح قانون را مصلحتهای اجتماعی که علّت و انگیزه وضع و تصویب قانون بوده است، دانسته‌اند، مثلاً در علم، علّت همواره بر معلول مقدّم است، در حالی که ماده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معامله فضولی نسبت به منافع مال، اجازه عقد فضولی و نیز عدم تنفیذ آن را اثر قهقرایی داده و آن را از زمان عقد مؤثر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علّت نفوذ یا عدم نفوذ معامله باید نسبت به آینده اثر کند نه گذشته، علم این را می‌گوید، امّا مصلحت جامعه اقتضا دارد که غائله ختم شود و حساب حال را به گذشته سرایت دهیم زیرا قانون باید بر مصلحتهای مردم استوار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 ه حل دوم را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آئین دادرسی مدنی ایران، مراجعه به عرف و عادت دانسته است، گفته شد که عرف و عادت در واقع وجدان حقوقی و مشترک مردم است که ریشه در تاریخ یک ملّت دارد و گفته شد که به نظر طرفداران عرف و عادت، اگر یک اصل حقوقی تنها از عقل و نظر قانونگذار برخاسته باشد، لازم می‌آید که قبل از تصویب قوانین، مردم در جامعه‌ای بدون نظام حقوقی زندگی کرده باشند، اما امروز بنظر می‌رسد که با تصویب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نیازی به مراجعه به عرف و عادت مسلّم نباشد زیرا اصل مذکور مقرر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موظف است کوشش کند حکم هر دعوا را در قوانین مدونه بیابد و اگر نیابد با استناد به منابع معتبر اسلامی یا فتاوی معتبر حکم قضیه را صادر نماید و نمی‌تواند به بهانه سکوت یا نقص یا اجمال یا تعارض قوانین مدوّنه از رسیدگی به دعوا و صدور حکم امتناع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که در بادی امر بنظر می‌رسد که با تصویب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آئین دادرسی مدنی نسخ ضمنی شده باشد لکن در قانون مدنی ایران که از فقه امامیّه اقتباس شده است و نسبت به همه قوانین عادی دیگر سمت مادری و امّ القوانین را دارد، آن قدر قاضی را به عرف و عادت و متعارف بلد ارجاع داده است که در قدرت و اعتبار عرف در حقوق ایران جای بحثی باقی نگذاشته است، زیرا در قانون مذکور موارد ارجاع صریح به عرف و موارد ارجاع ضمنی و مواردی هم که عرف برای تکمیل قواعد قانون مدنی یا قاعده جدید آمده است بیش از یک دوازدهم از کل مواد قانون مدنی را در بر گرفته است و این میزان کمی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تقدیر برای روشن شدن ذهن خواننده در موارد فوق الذکر ، هر یک مثالی از قانون مدنی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رجوع صریح به عرف، مثلاً در ماده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نمی‌تواند در ملک خود تصرفی کند که مستلزم تضررّ همسایه شود، مگر تصرفی که بقدر متعارف و برای رفع حاجت یا رفع ضرر از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متعارف در مادّه مذکور، رجوع صریح قانون به عرف و عادت محلّی است و ماده مذکور میان قاعده تسلیط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لاضرر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میانگین باز کرده است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رجوع ضمنی به عرف ، در این موارد در قانون ذکری از عرف و عادت نشده لکن در تفسیر، منظور قانونگذار جز عرف‌چیز دیگری نیست، مثلاًوقتی در مواد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قانون‌مدنی صحبت از قیمت‌یا مهلت‌عادله است، بطور ضمنی‌داوری عُرف‌را درباره‌عادلانه‌بودن‌آنها می‌پذیرد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مواردی هم که عرف قواعد تازه‌ای مستقلّ از قانون پدید می‌آورد و یا برای رفع اجمال و ابهام از عرف استمداد می‌جوید نیز بسیار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دکانها پیش از وضع قانون مالک و مستأجر مصوب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چون در قانون مدنی عنوانی نداشت ولی ضرورتهای اجتماعی این امتیاز را برای مستأجر پدید آورده بود، قدرت و اعتبار عرف، آن را بر قانونگذار تحمیل نمود و بصورت قانون از مجلس بیرون آمد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447" w:name="pg7474_109400"/>
    </w:p>
    <w:p>
      <w:pPr>
        <w:pStyle w:val="Heading4"/>
        <w:numPr>
          <w:ilvl w:val="3"/>
          <w:numId w:val="1"/>
        </w:numPr>
        <w:rPr/>
      </w:pPr>
      <w:bookmarkStart w:id="448" w:name="__RefHeading___Toc2151047_1051229030"/>
      <w:bookmarkStart w:id="449" w:name="_Toc171"/>
      <w:bookmarkEnd w:id="447"/>
      <w:bookmarkEnd w:id="448"/>
      <w:r>
        <w:rPr>
          <w:rtl w:val="true"/>
        </w:rPr>
        <w:t>ارتباط عُرف و قانون</w:t>
      </w:r>
      <w:bookmarkEnd w:id="449"/>
    </w:p>
    <w:p>
      <w:pPr>
        <w:pStyle w:val="BookText"/>
        <w:rPr/>
      </w:pPr>
      <w:r>
        <w:rPr>
          <w:rFonts w:ascii="IRNazanin" w:hAnsi="IRNazanin" w:eastAsia="IRNazanin"/>
          <w:color w:val="111111"/>
          <w:sz w:val="28"/>
          <w:sz w:val="28"/>
          <w:szCs w:val="28"/>
          <w:rtl w:val="true"/>
          <w:lang w:bidi="fa-IR"/>
        </w:rPr>
        <w:t>بی گمان عرف، جوهر و شالوده اکثر قوانین دنیا است، حقوق مانند جادّه میان دو شهر است که دراثر آمد و شد به تدریج هموارتر می‌شود، حقوقی که از عرف مایه می‌گیرد، رفته رفته در روابط ومناسبات مردم جای خود را باز می‌کند و بعد به صورت قانون جلوه‌گر می‌شود، قوانین هم هر چه بیشتر از این سرچشمه ، منشعب شود و بر این اساس پی ریزی گردد، تواناتر و غنی تر شده و آسانتر به اجرا در می‌آید و این واقعیت تا آنجاست که جمعی در ماهیت آ ن غلو کرده‌اند و بجز عرف منبع دیگری را برای قانونگذاری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عرف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رفع نیازهای خود به میل و رغبت به عرف عمل می‌کنند تا به صورت قانون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در درون، نسلهای متوالی، گذشته و حال و آینده را به هم پیوند می‌دهد، و به صورت میراثی از نسلی به نسل دیگر منتقل می‌شود و به وسیله همانها در معرض دگرگونی دایمی است و چون این تحوّل ، طبیعی است بنابراین دوام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امری اخلاقی که جزو طبیعت انسان نیست و باید کسب شود، به درجه خوی برسد یعنی عمل به آن دشوار نباشد بلکه از روی میل و رغبت انجام شود، به درجه عادت رسیده و طبیعت ثانوی شده است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عرف تا آنجاست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دوازده گانه</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جمع آوری شده و عرفها و عادات رومیان در این الواح دیده می‌شود، ژوسطینین برای وحدت دادن به قوانین مستعمره‌ها، مجموعه‌های قانونی بر پایه عرف تدوین کرد و هیأتهایی را در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این کار واداشت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قانون مدنی فرانسه نیز از حقوق رُم و عُرفِ ژرمن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انگیزنده کوششهای آدمی بیشتر احساس و عاطفه و عرف و عادت است تا اندیشه و علم، و هر اندازه این عرفها متناقض و غیر طبیعی و تعصب آمیز باشد، باز برکنشها و واکنشهای ما تأثیر می‌گذارد و اساسِ فلسفه زندگی ما را تشکیل می‌دهد، آدمی این گونه اعمال خود را که بر اساسی غیر از اندیشه وعلم کار گذاشته شده است، اغلب تنظیم نشده رها می‌کند، در این اعمال یک نوع احساس مبهم و شعور ناخودآگاه است که مردم آن را از عقاید و رسوم متداول در جامعه جذب و با تجربه‌های شخصی خود تعدیل و هموار می‌کنند و همین مجموعه درهم و برهم برایشان کافی است زیرا </w:t>
      </w:r>
    </w:p>
    <w:p>
      <w:pPr>
        <w:pStyle w:val="BookText"/>
        <w:rPr/>
      </w:pPr>
      <w:r>
        <w:rPr>
          <w:rFonts w:ascii="IRNazanin" w:hAnsi="IRNazanin" w:eastAsia="IRNazanin"/>
          <w:color w:val="111111"/>
          <w:sz w:val="28"/>
          <w:sz w:val="28"/>
          <w:szCs w:val="28"/>
          <w:rtl w:val="true"/>
          <w:lang w:bidi="fa-IR"/>
        </w:rPr>
        <w:t xml:space="preserve">درآن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گونارمیردال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قدرت و نیرویی که آداب و رسوم بطور کلی در اغلب اندیشه‌های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بویژه در امور اقتصادی دارند، بسیار در شگفتم ، حتی هنگامی که به ابداع خود ایمان کامل داریم، کم و بیش تحت تأثیر برخی ایده‌ها یا برخی نمودهای فکری بسیار کلی که بازمانده زمانهای باستان است قرار می‌گیریم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همه نظامهای حقوقی دنیا یک زادگاه و خاستگاه عرفی و عاطفی و هیجانی دارند و کمتر در آنها عقل و علم بدون دخالت انگیزه‌های دیگر ریشه دارد، بنابراین نحوه برخورد و سابقه ذهنی، تأثیر غیر قابل انکاری در اعمال و اجرای یک تأسیس حقوقی دارد و حقوق نمی‌تواند از این طرز تلقی عموم دور و بر کنار بماند و قوانین آن گاه کامل است که عقیده و خواست مردم را رعایت کند و مردم نیز به آن ایمان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پیوسته حقوق کشورها، دنباله دگرگونیهای گذشته آنهاست، مثلاً حقوق تجارتِ امروز از عرفها و رسوم بازارهای مکاره قرون وسطی پدید آمده و در اثر نیاز جامعه با ابتکارها و راه حلهایی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بازرگانانی که در قرون وسطی با هم روابط تجاری داشتند به علت ناامنی راهها برای طلبکاران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بازار مکاره سال بعد صادر می‌کردند، و بدین وسیله هم حمل و نقل پول که در آن زمان بیشتر فلزی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آسان می‌شد و هزینه‌ای بر نمی‌داشت و هم اغلب با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طرف معامله بودند تهاتر می‌کردند، و شکلهای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 چک ، سفته، بروات بین‌المللی و چکهای مسافرتی همه صورت تکامل یافته همان راه حلهاست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تصویب قانون، یک پدیده کاملاً تازه نیست،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 دوگی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Léon Duguit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چیزی که درجامعه‌های امروز به یک قاعده، صفت حقوقی می‌دهد، نه از تصمیم قانونگذاران، بلکه از شعور و خودآگاهی همه مردم بر می‌خیزد، ولو این که به طور مبهم و غیر روشن لزوم اجرای این قاعده را احساس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قواعدی که جزو قوانین به تصویب رسیده ولی هنوز از قواعد حقوقی شمرده نمی‌شود و چه بسا از قواعد حقوقی که میان مردم به کار بسته می‌شوند بی آن که در قوانین موضوعه وجود داشته باشد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450" w:name="pg7474_109402"/>
    </w:p>
    <w:p>
      <w:pPr>
        <w:pStyle w:val="BookText"/>
        <w:rPr/>
      </w:pPr>
      <w:bookmarkEnd w:id="450"/>
      <w:r>
        <w:rPr>
          <w:rFonts w:ascii="IRNazanin" w:hAnsi="IRNazanin" w:eastAsia="IRNazanin"/>
          <w:color w:val="111111"/>
          <w:sz w:val="28"/>
          <w:sz w:val="28"/>
          <w:szCs w:val="28"/>
          <w:rtl w:val="true"/>
          <w:lang w:bidi="fa-IR"/>
        </w:rPr>
        <w:t>بنابراین قانونگذاری مانند بسیاری از پدیده‌های دیگر ، ریشه در تاریخ و گذشته‌های دور دارد و قانونگذار ناگزیر است آنها را جستجو کند تا بهتر به درک واقعیت امر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جامعه شناسان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نوزادی بدنیا می‌آید، جامعه، ارث چندین هزار ساله خویش را به او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گذشته بارور و آبستن آینده است، ما با بنیانهای اخلاقی پیشینیان زندگی می‌کنیم و آینده با نهادهای ما زندگی خواهد کرد و تاریخ سرچشمه‌های این نهادها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قانونها که به صورت کالای وارداتی ترجمه و تصویب می‌شوند و بدون زمینه داخلی و حتی نیاز مردم ، تحمیل می‌شوند محکوم به شکستند و مردم در عمل به هزاران وسیله اثر آنها را خنثی و نقش بر آب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قانون باید به طور کامل با مقتضیات زمان و مکان هماهنگ باشد و کسانی آن را تدوین کنند که ویژگی‌های زندگی دوران خود را بخوبی بشناسند و بر مصلحتهای اجتماعی آگاه باشند</w:t>
      </w:r>
      <w:r>
        <w:rPr>
          <w:rFonts w:eastAsia="IRNazanin" w:cs="IRNazanin"/>
          <w:color w:val="111111"/>
          <w:sz w:val="28"/>
          <w:szCs w:val="28"/>
          <w:rtl w:val="true"/>
          <w:lang w:bidi="fa-IR"/>
        </w:rPr>
        <w:t>.</w:t>
      </w:r>
    </w:p>
    <w:p>
      <w:pPr>
        <w:pStyle w:val="Heading4"/>
        <w:numPr>
          <w:ilvl w:val="3"/>
          <w:numId w:val="1"/>
        </w:numPr>
        <w:rPr/>
      </w:pPr>
      <w:bookmarkStart w:id="451" w:name="__RefHeading___Toc2151049_1051229030"/>
      <w:bookmarkStart w:id="452" w:name="_Toc172"/>
      <w:bookmarkEnd w:id="451"/>
      <w:r>
        <w:rPr/>
        <w:t>3</w:t>
      </w:r>
      <w:r>
        <w:rPr>
          <w:rtl w:val="true"/>
        </w:rPr>
        <w:t xml:space="preserve">- </w:t>
      </w:r>
      <w:r>
        <w:rPr>
          <w:rtl w:val="true"/>
        </w:rPr>
        <w:t>عرف و عادت در فقه اسلامی</w:t>
      </w:r>
      <w:bookmarkEnd w:id="452"/>
    </w:p>
    <w:p>
      <w:pPr>
        <w:pStyle w:val="Heading5"/>
        <w:numPr>
          <w:ilvl w:val="4"/>
          <w:numId w:val="1"/>
        </w:numPr>
        <w:rPr/>
      </w:pPr>
      <w:bookmarkStart w:id="453" w:name="__RefHeading___Toc2151051_1051229030"/>
      <w:bookmarkStart w:id="454" w:name="_Toc173"/>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در فقه اسلام عرف و عادت معمولاً به یک معنی به کار رفته و از آن تعریفهای گوناگونی شده است که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العادة عبارة عمّا یستقرّ فی النفوس من الامورالمتکرّرة المقبولة عندالطباع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عبارت است از امر پی درپی که در جانهای آدمی قرار گیرد و ذوق سلیم آن را پذیرفته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العادة مأخوذةٌ من المعاودة فهی بتکرّرها و معاودتها مرّة بعد اُخری صارَتْ معروفة مستقرّة فی‌النفوس والعُقول متلقاة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از مفهوم بازگشت است که تکرار عمل به تناوب است و سبب می‌شود که آن کار نزد عده‌ای شناخته شود و در جان و خرد آدمی رسوخ یابد و مورد پذیرش عموم یا اکثر مردم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تعریف به لحاظ این که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عادت کرده در حالی که بسیاری از عرفها خلاف عقل است، انتقاد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العادة و العُرف ما استقرّفی النفوس من جهة العقول و تلقته الطباع السلیمة بالقبول</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455" w:name="pg7474_109403"/>
    </w:p>
    <w:p>
      <w:pPr>
        <w:pStyle w:val="BookText"/>
        <w:rPr/>
      </w:pPr>
      <w:bookmarkEnd w:id="455"/>
      <w:r>
        <w:rPr>
          <w:rFonts w:ascii="IRNazanin" w:hAnsi="IRNazanin" w:eastAsia="IRNazanin"/>
          <w:color w:val="111111"/>
          <w:sz w:val="28"/>
          <w:sz w:val="28"/>
          <w:szCs w:val="28"/>
          <w:rtl w:val="true"/>
          <w:lang w:bidi="fa-IR"/>
        </w:rPr>
        <w:t>عادت و عُرف آن چیزی است که به کمک عقل در جان آدمی رسوخ یافته و ذوقهای سلیم آن را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العرف عاده‌جمهور قوم فی قول اوفعل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عادت‌اکثر مردم در گفتار و کردار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مستمر قومی است در گفتار یا کردار، و آن را عادت و تعامل نیز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همه مردم آن روش را داشته باشند تا عُرف محقّق شود بلکه کافی است که اغلب آنان دارای روش مزبور باشند تا عرف تحقّق یابد، صورت اوّل را عُرفِ شایع و صورت اخیر را عرف غالب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خوب و بد دارد، بدیهی است شأن قانونگذاری تأیید عرف بد نیست</w:t>
      </w:r>
      <w:r>
        <w:rPr>
          <w:rFonts w:eastAsia="IRNazanin" w:cs="IRNazanin"/>
          <w:color w:val="111111"/>
          <w:sz w:val="28"/>
          <w:szCs w:val="28"/>
          <w:rtl w:val="true"/>
          <w:lang w:bidi="fa-IR"/>
        </w:rPr>
        <w:t>.</w:t>
      </w:r>
    </w:p>
    <w:p>
      <w:pPr>
        <w:pStyle w:val="Heading5"/>
        <w:numPr>
          <w:ilvl w:val="4"/>
          <w:numId w:val="1"/>
        </w:numPr>
        <w:rPr/>
      </w:pPr>
      <w:bookmarkStart w:id="456" w:name="__RefHeading___Toc2151053_1051229030"/>
      <w:bookmarkStart w:id="457" w:name="_Toc174"/>
      <w:bookmarkEnd w:id="456"/>
      <w:r>
        <w:rPr>
          <w:rtl w:val="true"/>
        </w:rPr>
        <w:t>عناصر عرف</w:t>
      </w:r>
      <w:r>
        <w:rPr>
          <w:rtl w:val="true"/>
        </w:rPr>
        <w:t>:</w:t>
      </w:r>
      <w:bookmarkEnd w:id="457"/>
    </w:p>
    <w:p>
      <w:pPr>
        <w:pStyle w:val="BookText"/>
        <w:rPr/>
      </w:pPr>
      <w:r>
        <w:rPr>
          <w:rFonts w:ascii="IRNazanin" w:hAnsi="IRNazanin" w:eastAsia="IRNazanin"/>
          <w:color w:val="111111"/>
          <w:sz w:val="28"/>
          <w:sz w:val="28"/>
          <w:szCs w:val="28"/>
          <w:rtl w:val="true"/>
          <w:lang w:bidi="fa-IR"/>
        </w:rPr>
        <w:t>درباره اعتبار عرف و عادت دلیلهای زیر را آورده‌اند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 تأمرونَ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ملّتی بودید که برای مردم خروج کردید تا آنان را به معروف وادار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آیه کریمه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دلالتی ندارد بلکه دستوری اخلاقی است تا قاعده‌ای حقوقی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العفو 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عُرف دارد، اما این که آیا منظور از عرف همان است که در این گفتار آمده جای بحث و تأمّل دارد زیرا ظاهراً در آیه به معنی کار نیکو و خصلتِ پسندیده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مارآه المسلمون حسناً فهوعنداللّه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مسلمانان نیک دانند و شمرند، نزد خدا نیز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که اهل سنّت و جماعت درباره اعتبار و حجیت استحسان آورده‌اند، بنظر می‌رسد که از آیات بالا دلالت بیشتری بر اعتبار عرف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زوجه ابوسفیان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اندازه کافی نفقه من و فرزندم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می‌توانی از مال شوهرت با رعایت عرف برای نفقه خود و فرزندت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از همه موارد بالا بیشتر است</w:t>
      </w:r>
      <w:r>
        <w:rPr>
          <w:rFonts w:eastAsia="IRNazanin" w:cs="IRNazanin"/>
          <w:color w:val="111111"/>
          <w:sz w:val="28"/>
          <w:szCs w:val="28"/>
          <w:rtl w:val="true"/>
          <w:lang w:bidi="fa-IR"/>
        </w:rPr>
        <w:t>.</w:t>
      </w:r>
    </w:p>
    <w:p>
      <w:pPr>
        <w:pStyle w:val="Heading5"/>
        <w:numPr>
          <w:ilvl w:val="4"/>
          <w:numId w:val="1"/>
        </w:numPr>
        <w:rPr/>
      </w:pPr>
      <w:bookmarkStart w:id="458" w:name="__RefHeading___Toc2151055_1051229030"/>
      <w:bookmarkStart w:id="459" w:name="_Toc175"/>
      <w:bookmarkEnd w:id="458"/>
      <w:r>
        <w:rPr>
          <w:rtl w:val="true"/>
        </w:rPr>
        <w:t>مصادیق عرف</w:t>
      </w:r>
      <w:r>
        <w:rPr>
          <w:rtl w:val="true"/>
        </w:rPr>
        <w:t>:</w:t>
      </w:r>
      <w:bookmarkEnd w:id="459"/>
    </w:p>
    <w:p>
      <w:pPr>
        <w:pStyle w:val="BookText"/>
        <w:rPr/>
      </w:pPr>
      <w:r>
        <w:rPr>
          <w:rFonts w:ascii="IRNazanin" w:hAnsi="IRNazanin" w:eastAsia="IRNazanin"/>
          <w:color w:val="111111"/>
          <w:sz w:val="28"/>
          <w:sz w:val="28"/>
          <w:szCs w:val="28"/>
          <w:rtl w:val="true"/>
          <w:lang w:bidi="fa-IR"/>
        </w:rPr>
        <w:t>مصادیق عرف از نظر فقیهان فراوان است از جمله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رایگان از آب قنات و نهر و چشمه‌ای که مالک خاص دارد بی اجازه مالک </w:t>
      </w:r>
      <w:bookmarkStart w:id="460" w:name="pg7474_109404"/>
    </w:p>
    <w:p>
      <w:pPr>
        <w:pStyle w:val="BookText"/>
        <w:rPr/>
      </w:pPr>
      <w:bookmarkEnd w:id="460"/>
      <w:r>
        <w:rPr>
          <w:rFonts w:ascii="IRNazanin" w:hAnsi="IRNazanin" w:eastAsia="IRNazanin"/>
          <w:color w:val="111111"/>
          <w:sz w:val="28"/>
          <w:sz w:val="28"/>
          <w:szCs w:val="28"/>
          <w:rtl w:val="true"/>
          <w:lang w:bidi="fa-IR"/>
        </w:rPr>
        <w:t xml:space="preserve">برای مصرفهای جزیی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هدیه‌ها که ظرف آن به دهنده هدیه رد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مهرالمثل از راه مراجعه به 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توالی میان ایجاب و قبول، که منوط به پذیرش 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و عادت نقش شرط ضمن عقد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متعارف بودن امری در عرف و عادت به طوری که عقد بدون تصریح هم منصرف به آن باشد، به منزله ذکر در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لوازم یدکی اتومبیل، لاستیک اضافی، هندل و جک و غیره، که هر چند در مبایعه نامه قید نشده باشد، عرفاً جزو مبیع تلقّی می‌شود،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فروش منزل، عرف ایران هنوز تلفن را جزو مبیع نمی‌داند و بنابراین باید در مبایعه نامه قید شده باشد</w:t>
      </w:r>
      <w:r>
        <w:rPr>
          <w:rFonts w:eastAsia="IRNazanin" w:cs="IRNazanin"/>
          <w:color w:val="111111"/>
          <w:sz w:val="28"/>
          <w:szCs w:val="28"/>
          <w:rtl w:val="true"/>
          <w:lang w:bidi="fa-IR"/>
        </w:rPr>
        <w:t>.</w:t>
      </w:r>
    </w:p>
    <w:p>
      <w:pPr>
        <w:pStyle w:val="Heading5"/>
        <w:numPr>
          <w:ilvl w:val="4"/>
          <w:numId w:val="1"/>
        </w:numPr>
        <w:rPr/>
      </w:pPr>
      <w:bookmarkStart w:id="461" w:name="__RefHeading___Toc2151057_1051229030"/>
      <w:bookmarkStart w:id="462" w:name="_Toc176"/>
      <w:bookmarkEnd w:id="461"/>
      <w:r>
        <w:rPr>
          <w:rtl w:val="true"/>
        </w:rPr>
        <w:t>اقسام عرف</w:t>
      </w:r>
      <w:r>
        <w:rPr>
          <w:rtl w:val="true"/>
        </w:rPr>
        <w:t>: (</w:t>
      </w:r>
      <w:r>
        <w:rPr/>
        <w:t>1</w:t>
      </w:r>
      <w:r>
        <w:rPr>
          <w:rtl w:val="true"/>
        </w:rPr>
        <w:t>-</w:t>
      </w:r>
      <w:r>
        <w:rPr>
          <w:rtl w:val="true"/>
        </w:rPr>
        <w:t>عرف حکمی و عرف محلّی</w:t>
      </w:r>
      <w:r>
        <w:rPr/>
        <w:t>2</w:t>
      </w:r>
      <w:r>
        <w:rPr>
          <w:rtl w:val="true"/>
        </w:rPr>
        <w:t>-</w:t>
      </w:r>
      <w:r>
        <w:rPr>
          <w:rtl w:val="true"/>
        </w:rPr>
        <w:t>عرف لفظی و عملی</w:t>
      </w:r>
      <w:r>
        <w:rPr>
          <w:rtl w:val="true"/>
        </w:rPr>
        <w:t>)</w:t>
      </w:r>
      <w:bookmarkEnd w:id="462"/>
    </w:p>
    <w:p>
      <w:pPr>
        <w:pStyle w:val="BookText"/>
        <w:rPr/>
      </w:pPr>
      <w:r>
        <w:rPr>
          <w:rFonts w:ascii="IRNazanin" w:hAnsi="IRNazanin" w:eastAsia="IRNazanin"/>
          <w:color w:val="111111"/>
          <w:sz w:val="28"/>
          <w:sz w:val="28"/>
          <w:szCs w:val="28"/>
          <w:rtl w:val="true"/>
          <w:lang w:bidi="fa-IR"/>
        </w:rPr>
        <w:t>عرف را به اقسام مختلف تقسیم کرده‌اند که به دو مورد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حکمی و عرف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همه نقاط کشور یکسان باشد و یکنواخت بدان عمل شود بنابراین عرف حکمی از پیش معلوم است و جمع آوری شده است مانند کشور فرانسه، اما اگر عرفها درنقاط مختلف متفاوت باشد و درنتیجه قاضی محلی با محل دیگر با توجه به عرف احکام متفاوتی صادر کنند، عرف محلی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محلی بودن عرف متأثر از 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حقوق مالک و زارع در مازندران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کارافه و تبر تراشی و یا دستارمی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محلی است در حالی که در خوزستان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با یکدیگر متفاوتند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فقه اسلامی بارها قاضی برای حلّ مسائل حقوقی به عرف و عادت بلد ارجاع داده شده است، قانون مدنی ایران که تقریباً ترجمه بدون تصرّف فقه است و شرح لمعه و شرایع و مکاسب از جمله کتابهایی بوده که نویسندگان قانون مدنی پیوسته آنها را مدّ نظر داشته‌اند، صرفنظر از مواردی که بی تصریح قانون، در اثر اختلاف نظر در تفسیر و مراد قانون، عرف و عادت، حلّ مشکل را به عهده دارد، موارد بسیاری در متن قانون مدنی ایران به صراحت ارجاع به عرف و عادت داده شده است و نویسنده شخصاً موارد را احصا کرده و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قانون مدنی ایران این ارجاع به عرف آشکارا به چشم می‌خورد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چند ماده از قانون مدنی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هرچیزی که طبعاً یا بر حسب </w:t>
      </w:r>
    </w:p>
    <w:p>
      <w:pPr>
        <w:pStyle w:val="BookText"/>
        <w:rPr/>
      </w:pPr>
      <w:r>
        <w:rPr>
          <w:rFonts w:ascii="IRNazanin" w:hAnsi="IRNazanin" w:eastAsia="IRNazanin"/>
          <w:color w:val="111111"/>
          <w:sz w:val="28"/>
          <w:sz w:val="28"/>
          <w:szCs w:val="28"/>
          <w:rtl w:val="true"/>
          <w:lang w:bidi="fa-IR"/>
        </w:rPr>
        <w:t>عرف و عادت جزء یا از توابع و متعلقات عین موقوفه محسوب می‌شود داخل در وقف است مگر این که واقف آن را استثنا کند به نحوی که در فصل بیع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اشاره به همان قاعده کلی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در شی‌ء اذن در لوازم آن نیز هست، و در بالا نیز بدان اشاره شده است، و ماده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باز هم در این معنی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که بر حسب عرف و عادت جزء یا تابع مبیع شمرده شود یا قراین دلالت بر دخول آن در مبیع نماید داخل در مبیع و متعلق به مشتری است اگر چه در عقد صریحاً ذکر نشده باشد و اگر چه متعاملین جاهل بر عرف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کنتر آب و برق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که بر حسب عرف و عادت جزء یا تابع مبیع شمرده نشود داخل در مبیع نمی‌شود مگر این که صریحاً در عقد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امتیاز تلفن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عقود نه فقط متعاملین را به اجرای آن چیزی که در آن تصریح شده است ملزم می‌نماید بلکه متعاملین به کلیه نتایجی هم که بموجب عرف و عادت یا بموجب قانون از عقد حاصل می‌شود ملزم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تنظیم سند رسمی انتقال ملک، هر چند در سند مبایعه نامه عادی بدان تعهد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فقه اسلامی برخی از فقیهان در تشخیص مراد و منظور شارع در مباحث کیفری قضیه را موکول به عرف کرده‌اند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اختلاف راجع به مُفاد سند ماده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 عقود محمول است بر معانیِ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الفاظ و واژه‌های بکار رفته در سند که پایه و اساس قرارداد است اگر محمول بر معانی عرفی نباشد، در تشخیص مراد و منظور طرفین ایجاد تزلزل و هرج و مرج می‌کند و عقلایی نیست که دو نفر با بودن الفاظ به حد کافی برای منظور خود الفاظ را در غیر معانی عرفی استعمال کنند و مفاهیمی برای آن از پیش خود جعل نمایند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اقرار به تصرف مورد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رسم القباله درآمده ، اکنون اگر بر قاضی ثابت شود که این اقرار صوری و ظاهری بوده و از روی عرف دفترخانه‌ها این اقرار به تصرف صورت گرفته، اثر اقرار از میان می‌رود، لکن اگر معلوم شود که از روی عرف و عادت محل چنین اقراری واقعیت داشته، اقرار به تصرف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بالا تعارض میان عرف و یکی از دلیلهای اثبات دعوی که اقرار باشد بخوبی آشکار است و حکومت عرف را حتی بر ادلّه اثبات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اقرار که اقوی دلیل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مال تعبیر عرفی از وجود یک حق است و مفهومی جدای از آن ندارد، اما از طرفی حق تألیف و تصنیف و حق پدید آورندگان آثار هنری، علمی، ادبی و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حق عینی منطبق است و نه با حق دینی، زیرا موضوعِ آنها معنوی و مربوط به مفاهیم ذهنی و ابداع و آفرینشِ فکر شخص پدید آورنده است، و دینی هم نیست که میانِ داین و مدیون باشد، معهذا در عرف عام و بنا به مقتضیات عدالت و انصاف در برابر همه مردم دنیا قابل استناد و دفاع است و با عنوان مالکیّت شباهت تام و تمام دارد و به همین اعتبار می‌توان آن را مشروع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قفلی و حق کسب و پیشه که امروز در عمل مورد پذیرش عرف عام مردم و حتی پشتیبانی دادگاههاست، یک رخداد تازه و یک عرف جدید است، اما با این که استفاده بلاجهت در اصول فقه اسلامی ممنوع است و موجب تردید در مشروعیت موضوع می‌شود مع‌ذلک در مورد سرقفلی که بخودی خود مالیت ندارد بلکه مالیت آن تبعی است، نه استقلالی ، حقی است که عارض و طاری بر منافع عین مستأجره است، لذا می‌توان با استناد به عرف عام آن را مشروع دانست، زیرا سرقفلی در واقع حقی است که شخص بر مشتریان دایم خود در اثر حسن سلوک و رفتار و اعتبار و اعتمادی که طی سالیان دراز بدست آورده، پیدا می‌کند و بر خلاف عدالت و انصاف است که او را از حق خود محروم کنیم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لفظی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است که مدلول یک واژه یا یک عبارت را از محاوره یک قوم که مورد پذیرش آنان باشد، به دست آوریم، زیرا گاهی معنی لغوی با معنی محاوره‌ای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 و عبارات طرفین عقد محمول بر معانی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نیازمندیهای زندگی است که وضع لغات و الفاظ را سبب شده است و این واژه‌ها که عبارتهای فنی فقه از آنان ترکیب یافته ریشه در عرف دارد و به همین علت </w:t>
      </w:r>
      <w:bookmarkStart w:id="463" w:name="pg7474_109407"/>
    </w:p>
    <w:p>
      <w:pPr>
        <w:pStyle w:val="BookText"/>
        <w:rPr/>
      </w:pPr>
      <w:bookmarkEnd w:id="463"/>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شارع در احکام به حالت منفی صورت پذیرفته است نه مثبت، یعنی آنچه ممنوع نشده جایز و مباح است و به اعتبار خود باقی است و معنی امضاء و تنفیذ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است که از طرف همه یا اکثریت مردم پیروی شود و باید زمانی دراز و مستمر در عمل رعایت شود تا به صورت قاعده‌ای که موجد حق و تکلیف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 از این 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بالعرف کالیقینِ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حاصل از عرف مانند یقین حاصل از نصّ است و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شناخته شده مانند شرطی است که آورده شده باشد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عرف را به اقسام دیگری نیز تقسیم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عام، عرف خاص، عرف قضایی، عرف مذهبی ، عرف تجاری، عرف صنفی که از تفصیل آنها به لحاظ درازی مطلب خودداری می‌شود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2151059_1051229030"/>
      <w:bookmarkStart w:id="465" w:name="_Toc177"/>
      <w:bookmarkEnd w:id="464"/>
      <w:r>
        <w:rPr>
          <w:rtl w:val="true"/>
        </w:rPr>
        <w:t>آیا عرف، مخصِّص نصّ می‌شود ؟</w:t>
      </w:r>
      <w:bookmarkEnd w:id="465"/>
    </w:p>
    <w:p>
      <w:pPr>
        <w:pStyle w:val="BookText"/>
        <w:rPr/>
      </w:pPr>
      <w:r>
        <w:rPr>
          <w:rFonts w:ascii="IRNazanin" w:hAnsi="IRNazanin" w:eastAsia="IRNazanin"/>
          <w:color w:val="111111"/>
          <w:sz w:val="28"/>
          <w:sz w:val="28"/>
          <w:szCs w:val="28"/>
          <w:rtl w:val="true"/>
          <w:lang w:bidi="fa-IR"/>
        </w:rPr>
        <w:t>حنیفیان عرف عام یا عرف کشوری را مخصّص می‌دانند ولی در عرف محلّی اختلاف نظر وجود دارد</w:t>
      </w:r>
      <w:r>
        <w:rPr>
          <w:rFonts w:eastAsia="IRNazanin" w:cs="IRNazanin"/>
          <w:color w:val="111111"/>
          <w:sz w:val="28"/>
          <w:szCs w:val="28"/>
          <w:rtl w:val="true"/>
          <w:lang w:bidi="fa-IR"/>
        </w:rPr>
        <w:t>.</w:t>
      </w:r>
    </w:p>
    <w:p>
      <w:pPr>
        <w:pStyle w:val="Heading5"/>
        <w:numPr>
          <w:ilvl w:val="4"/>
          <w:numId w:val="1"/>
        </w:numPr>
        <w:rPr/>
      </w:pPr>
      <w:bookmarkStart w:id="466" w:name="__RefHeading___Toc2151061_1051229030"/>
      <w:bookmarkStart w:id="467" w:name="_Toc178"/>
      <w:bookmarkEnd w:id="466"/>
      <w:r>
        <w:rPr>
          <w:rtl w:val="true"/>
        </w:rPr>
        <w:t>ارزیابی عرف</w:t>
      </w:r>
      <w:r>
        <w:rPr>
          <w:rtl w:val="true"/>
        </w:rPr>
        <w:t>:</w:t>
      </w:r>
      <w:bookmarkEnd w:id="467"/>
    </w:p>
    <w:p>
      <w:pPr>
        <w:pStyle w:val="BookText"/>
        <w:rPr/>
      </w:pPr>
      <w:r>
        <w:rPr>
          <w:rFonts w:ascii="IRNazanin" w:hAnsi="IRNazanin" w:eastAsia="IRNazanin"/>
          <w:color w:val="111111"/>
          <w:sz w:val="28"/>
          <w:sz w:val="28"/>
          <w:szCs w:val="28"/>
          <w:rtl w:val="true"/>
          <w:lang w:bidi="fa-IR"/>
        </w:rPr>
        <w:t>گفته شده که ارزش عرف تا آن جااست که در صورت تعارض میان عرف و قیاس، فقهای اهل سنت و جماعت، عرف را مقدم دانسته‌اند باین دلیل که عمل به قیاس مخالف عرف جاری، موجب عسر و حرج است و به مصلحت جامعه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حجّیّت عرف در نزد امامیّه و اهل تسنن مورد اختلاف است، اهل تسنن آن را حجت می‌دانند در حالی که امامیه حجیّت آن را محدود به مواردی، نظیر تفسیر موضوع و بیان اراده طرفین معامله می‌کنند و آن را در عداد دلیلهای استنباط احکام به حساب نمی‌آورند، مواردی را که اهل تسنّن به عرف استناد کرده‌اند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 یک عرف عملی در بلخ و بخارا و نواحی آن شهر بود و در واقع به صورت حیله‌ای برای فرار از ممنوعیت ربا درآمد و مُخَصِّص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تحریم ربا بود، شد</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با دلیلهای دیگر مورد را اثبات کرده‌اند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را عقیده بر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و تنفیذ پاره‌ای از عرفها 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تأیید و امضای عرفهای بعد از زمان شارع نیست، زیرا اولاً رسمیّت آن عرفها وسیله کتاب و سنت بوده و </w:t>
      </w:r>
    </w:p>
    <w:p>
      <w:pPr>
        <w:pStyle w:val="BookText"/>
        <w:rPr/>
      </w:pPr>
      <w:r>
        <w:rPr>
          <w:rFonts w:ascii="IRNazanin" w:hAnsi="IRNazanin" w:eastAsia="IRNazanin"/>
          <w:color w:val="111111"/>
          <w:sz w:val="28"/>
          <w:sz w:val="28"/>
          <w:szCs w:val="28"/>
          <w:rtl w:val="true"/>
          <w:lang w:bidi="fa-IR"/>
        </w:rPr>
        <w:t>با فرض داشتن دلیلی از نصّ نیازی به حجت دانستن همه عرفها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حجت بودن برخی از عرفهای زمان پیامبر دلیل بر حجیّت همه عرفهای بعد از زمان پیامبر نیست زیرا کبرای جزیی در قیاس نتیجه‌اش جزیی است به عبارت دیگر امضای برخی از عرفها همان قدر بعد از پیامبر به حجیت عرف دلالت دارد که بر عدم حجیت آن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در بادی امر دلیل مذکور به نظر قانع کننده می‌رسد لکن به طور قطع و با اعتماد نمی‌توانیم به آن بنگریم زیرا با آنچه از کتاب و سنت در اعتبار عرف به طور کلی بیان کردیم این نظر سازگاری ندارد و از طرفی دلیلی در دست نیست که رسمیّت برخی از عرفها فقط به وسیله نصّ باشد چه بسا به دلایل دیگری از قبیل اجماع یا عقل رسمیّت یافته باشد و یا با قیاس منصوص العلّه اعتبار عرف استنباط شده باشد کما این که برخی اعتبار عقد مضاربه را که نصّی در قرآن و حدیث ندارد و عرف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ناحیه اجماع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اعتبار عرف تا آن جا است که از سویی با نصّ و از سوی دیگر با عقل و ذوق سلیم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پیش از برآمدن اسلام، نکاح شغار مرسوم و متداول بود، دختری می‌دادند و دختری در عوض می‌گرفتند و می‌گفتند مثلاً مهر نکاح خواهر یا دختر تو، نکاح خواهر یا دختر من، اما این نکاح با این که عرف زمانه بود امضا و تأیید نشد، و یا بیع کالی به کالی عرف بود، اما امضا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معاملات رایج رسماً نهی و ممنوع شد مثلاً فروشنده به خریدار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سنگریزه را پرتاب کن، به هر جامه و لباس یا کالایی که برخورد کرد، آن را به فلان مبلغ به تو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به هر یک از چهارپایان این رمه بخورد، همان را به تو به این قیمت واگذار می‌کنم، یا لباس تا شده و پیچیده‌ای را در تاریکی می‌فروختند و فقط خریدار آن را لمس می‌کرد و می‌خرید، یا فروش بچه در شکم گوسفند و شتر قبل از تولّدش، همه اینها، عرفهای جاهلی عرب بود، لکن چون بنیاد آن بر فریب و نیرنگ و تصادف بود بنابراین همه آنها ممنوع شد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عرف معقول و پسندیده از کهنگی و توقف حقوق جلوگیری می‌کند و آن را همواره با نیازهای مردم هماهنگ نگاه می‌دارد و محلهای انعطاف برای پدیده‌های تازه و </w:t>
      </w:r>
    </w:p>
    <w:p>
      <w:pPr>
        <w:pStyle w:val="BookText"/>
        <w:rPr/>
      </w:pPr>
      <w:r>
        <w:rPr>
          <w:rFonts w:ascii="IRNazanin" w:hAnsi="IRNazanin" w:eastAsia="IRNazanin"/>
          <w:color w:val="111111"/>
          <w:sz w:val="28"/>
          <w:sz w:val="28"/>
          <w:szCs w:val="28"/>
          <w:rtl w:val="true"/>
          <w:lang w:bidi="fa-IR"/>
        </w:rPr>
        <w:t>مستحدثه باز می‌گذارد، در واقع عرف به منزله جلو دار و پیشاهنگ قافله است، جلودار باید راه را هموار سازد و نباید مخالف هدف اصلی و اساسی گام بردارد، درست است که حقوق از جمله علم به واقعیتهای اجتماعی است، لکن واقعیتهای اجتماعی دارای عنصر اراده و اختیار است و از جبر و علیت محض پیروی نمی‌کند بلکه در آن عنصر غائیّت و هدف یا آرمان گرایی حکمفرماست و به همین دلیل حقوق مثل علم اخلاق همه اعمال آدمی را صحّه نمی‌گذارد، و هر گاه با نشانه انحطاط و انحراف روبرو شد، بی درنگ راه خود را عوض می‌کند، از سوی دیگر، عرف در برابر قوانین آمره و مربوط به نظم عمومی و اخلاق حسنه، قدرتی ندارد، بلکه قدرتِ عرف در برابر قوانین تفسیری یا تعویضی است، قوانین تفسیری که جانشین اراده طرفین در معاملات است و جایی که میان طرفین در موردی توافق از قبل موجود باشد عرف قدرت خود را نشان می‌دهد و عرف بر حکم تفسیری قانون مقدم خواهد بود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موضوع را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عقد بیع، شرطی ذکر نشده یا برای تسلیم مبیع یا تأدیه قیمت، موعدی معیّن نشده باشد، بیع، قطعی و ثمن ، حال محسوب است مگر این که بر حسب عرف و عادت محل یا عرف و عادت تجارت در معاملاتِ تجاری، وجود شرطی یا موعدی معهود باشد اگر چه در قرارداد بیع ذکری نشده باشد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7474_109411"/>
      <w:bookmarkStart w:id="469" w:name="pg7474_109411"/>
      <w:bookmarkEnd w:id="469"/>
    </w:p>
    <w:p>
      <w:pPr>
        <w:pStyle w:val="Heading3"/>
        <w:numPr>
          <w:ilvl w:val="2"/>
          <w:numId w:val="1"/>
        </w:numPr>
        <w:rPr/>
      </w:pPr>
      <w:bookmarkStart w:id="470" w:name="pg7474_109411"/>
      <w:bookmarkStart w:id="471" w:name="__RefHeading___Toc2151063_1051229030"/>
      <w:bookmarkStart w:id="472" w:name="_Toc179"/>
      <w:bookmarkEnd w:id="470"/>
      <w:bookmarkEnd w:id="471"/>
      <w:r>
        <w:rPr>
          <w:rtl w:val="true"/>
        </w:rPr>
        <w:t xml:space="preserve">گفتار دهم </w:t>
      </w:r>
      <w:r>
        <w:rPr>
          <w:rtl w:val="true"/>
        </w:rPr>
        <w:t>:</w:t>
      </w:r>
      <w:r>
        <w:rPr>
          <w:rtl w:val="true"/>
        </w:rPr>
        <w:t>عدل و انصاف</w:t>
      </w:r>
      <w:bookmarkEnd w:id="472"/>
    </w:p>
    <w:p>
      <w:pPr>
        <w:pStyle w:val="Heading4"/>
        <w:numPr>
          <w:ilvl w:val="3"/>
          <w:numId w:val="1"/>
        </w:numPr>
        <w:rPr/>
      </w:pPr>
      <w:bookmarkStart w:id="473" w:name="__RefHeading___Toc2151065_1051229030"/>
      <w:bookmarkStart w:id="474" w:name="_Toc180"/>
      <w:bookmarkEnd w:id="473"/>
      <w:r>
        <w:rPr>
          <w:rtl w:val="true"/>
        </w:rPr>
        <w:t>اشاره</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کمال عدالت است، و از میان ما آن کس که</w:t>
      </w:r>
    </w:p>
    <w:p>
      <w:pPr>
        <w:pStyle w:val="BookText"/>
        <w:rPr/>
      </w:pPr>
      <w:r>
        <w:rPr>
          <w:rFonts w:ascii="IRNazanin" w:hAnsi="IRNazanin" w:eastAsia="IRNazanin"/>
          <w:color w:val="111111"/>
          <w:sz w:val="28"/>
          <w:sz w:val="28"/>
          <w:szCs w:val="28"/>
          <w:rtl w:val="true"/>
          <w:lang w:bidi="fa-IR"/>
        </w:rPr>
        <w:t>عادلترین مردم است به خدا از همه بیشتر همانند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w:t>
      </w:r>
    </w:p>
    <w:p>
      <w:pPr>
        <w:pStyle w:val="Heading4"/>
        <w:numPr>
          <w:ilvl w:val="3"/>
          <w:numId w:val="1"/>
        </w:numPr>
        <w:rPr/>
      </w:pPr>
      <w:bookmarkStart w:id="475" w:name="__RefHeading___Toc2151067_1051229030"/>
      <w:bookmarkStart w:id="476" w:name="_Toc181"/>
      <w:bookmarkEnd w:id="475"/>
      <w:r>
        <w:rPr/>
        <w:t>1</w:t>
      </w:r>
      <w:r>
        <w:rPr>
          <w:rtl w:val="true"/>
        </w:rPr>
        <w:t xml:space="preserve">- </w:t>
      </w:r>
      <w:r>
        <w:rPr>
          <w:rtl w:val="true"/>
        </w:rPr>
        <w:t>عدالت در فلسفه</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نخستین کتابی است که کوشش اصولی و منظمی برای به دست دادن تعریف عدالت در آن به چشم می‌خورد؛ او عدالت را در جامعه بررسی می‌کند و تحقق آن را به عنوان جزئی از ساختمان جامعه آسانتر می‌داند تا مانند یک صفت فردی و شخصی؛ بنابراین افلاطون اصالت را بیشتر به جامعه می‌دهد تا فرد، و در تعریف عدالت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آنست که هر کس آنچه حق اوست به دست بیاورد و حرفه‌ای در پیش گیرد که استعداد و شایستگی آن را دارد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این تعریف، هر کس برابر آنچه تولید می‌کند مزد باید بگیرد و کاری باید انجام دهد که در آن استعداد و شایستگی دارد و همه چیز باید درست و به جای خود باشد تا هماهنگی در جامعه پدید آید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بیشتر به فرد اهمیت می‌دهد تا جامعه و عدالت را به یک اعتبار شامل همه فضیلتهای </w:t>
      </w:r>
    </w:p>
    <w:p>
      <w:pPr>
        <w:pStyle w:val="BookText"/>
        <w:rPr/>
      </w:pPr>
      <w:r>
        <w:rPr>
          <w:rFonts w:ascii="IRNazanin" w:hAnsi="IRNazanin" w:eastAsia="IRNazanin"/>
          <w:color w:val="111111"/>
          <w:sz w:val="28"/>
          <w:sz w:val="28"/>
          <w:szCs w:val="28"/>
          <w:rtl w:val="true"/>
          <w:lang w:bidi="fa-IR"/>
        </w:rPr>
        <w:t>اخلاقی می‌داند، هر کس مرتکب یکی از رذیلتها شود در واقع ستم کرده و از جاده عدالت بیرون شده است بنابراین عدالت کیفیتی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تعریف عدالت به معنای اخص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داشتن اشخاص و دادن به هر کس آنچه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معنی برابر داشتن و تساوی می‌گوید باید تناسب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چنان شیفته امر عام و کلی است که حاضر است فرد را برای استقرار حکومت کامل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ارسطو به فرد تکیه دارد و عدالت را بر دو گونه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توزیعی و تعویضی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انظلام یا ستم و ستم پذیری هر دو رذیلت است و عدالت حد وسط و میانه این دو است، عادل میان اشخاص استحقاق و شایستگی آنان را در نظر می‌گیرد و تناسب را رعایت میکند یعنی در مقام دادن مزد و منصب و جایزه و مانند آن هماهنگی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صفتی در اساس یک جنبه افراط دارد و یک جنبه تفریط، و حد میانه آن عدالت است، اما این ایراد بر او وارد است که بسیاری از صفتها دارای حد میانه نیستند،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و دروغ، اگر سخنی راست است یعنی هماهنگ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دروغ است یعنی هماهنگ باواقع نیست، دیگر حد میانه‌ای برایش متصور نیست، ستم و ستم پذیری هر دو بد است اما عدالت حد وسط این دو نیست، عدالت اساساً مقوله‌ای بیرون از ستم و ستم پذیری است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باب عدالت تعویضی در مقام حکومت و دادگری می‌گوید برابری باید رعایت شود نه تناسب، و استحقاق و شایستگی را در آن مؤثر نمی‌داند، قاضی به هنگامی که میان دو نفر دراثر ستم، نابرابری پدید آمده باید برابری را برقرار سازد، ظالم را از تمتعی که برده محروم کند و ضرر و زیان طرف را جبران کند و از آنچه که به ستمکار افزوده شده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اینهمه ارسطو اضافه می‌کند که چون دادرسی با قانون انجام می‌پذیرد و احکام قانون کلی است و بر همه کیفیتها احاطه وشمول ندارد بنابراین گاهی، رعایت انصاف از جمود بر قانون یا اجرای عدالت محض بهتر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به نظر ارسطو، عدالت برابری است لکن مقتضای عدالت با تساوی هماهنگ نیست، استاد نباید به همه شاگردانش نمره مساوی بدهد او میزان استحقاق را باید در نظر گیرد، در جامعه هنرمند و بی هنر، با تقوا و بی تقوا، همه به یک چشم نباید نگریسته شوند و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کس بمیزان لیاقت و شایستگی‌اش از حقوق فردی و اجتماعی بهره‌مند شود، بدیهی است باید </w:t>
      </w:r>
    </w:p>
    <w:p>
      <w:pPr>
        <w:pStyle w:val="BookText"/>
        <w:rPr/>
      </w:pPr>
      <w:r>
        <w:rPr>
          <w:rFonts w:ascii="IRNazanin" w:hAnsi="IRNazanin" w:eastAsia="IRNazanin"/>
          <w:color w:val="111111"/>
          <w:sz w:val="28"/>
          <w:sz w:val="28"/>
          <w:szCs w:val="28"/>
          <w:rtl w:val="true"/>
          <w:lang w:bidi="fa-IR"/>
        </w:rPr>
        <w:t>امکانات مساوی و متناسب برای همه فراهم شود تا در مسابقه اجتماعی به میزان کوشش خود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که به اقتضای طبیعت، ظریف و لطیف آفریده شده است به دلیل رعایت تساوی نباید به کارهای سنگین و خشن مثل بنایی و باربری و کندن معادن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تساوی عموم در برابر قانون آنست که ملاحظه‌های شخصی مثل غنی و فقیر، سیاه و سفید، نباید ملاک برخورداری از مزایای قانون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عمومی و سیاست ، هر کشوری باید هماهنگ مقتضیات داخلی خود گام بردارد، جامعه‌ای که اقتصادش خانگی و بر صنایع یدی استوار است نمی‌تواند پیش از این که صنعتی شود، مقررات اقتصادی یک کشور پیشرفته صنعتی را تحمل کند یک کشور پیشرفته صنعتی با یک کشور واپس مانده، اگر هر دو تحت عنوان تساوی، متعهد شوند که از اصل رقابت آزاد پیروی کنند و به وسیله مقررات گمرکی، صنایع خود را حمایت نکنند، تنها این تساوی فرضی در عمل به ضرر کشور عقب مانده تمام خواهد شد زیرا کشور پیشرفته صنعتی نیازی به این حمایت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را گر نان دهی بر جای شیر</w:t>
      </w:r>
    </w:p>
    <w:p>
      <w:pPr>
        <w:pStyle w:val="BookText"/>
        <w:rPr/>
      </w:pPr>
      <w:r>
        <w:rPr>
          <w:rFonts w:ascii="IRNazanin" w:hAnsi="IRNazanin" w:eastAsia="IRNazanin"/>
          <w:color w:val="111111"/>
          <w:sz w:val="28"/>
          <w:sz w:val="28"/>
          <w:szCs w:val="28"/>
          <w:rtl w:val="true"/>
          <w:lang w:bidi="fa-IR"/>
        </w:rPr>
        <w:t>طفل مسکین را از آن نان مرده گیر</w:t>
      </w:r>
    </w:p>
    <w:p>
      <w:pPr>
        <w:pStyle w:val="BookText"/>
        <w:rPr/>
      </w:pPr>
      <w:r>
        <w:rPr>
          <w:rFonts w:ascii="IRNazanin" w:hAnsi="IRNazanin" w:eastAsia="IRNazanin"/>
          <w:color w:val="111111"/>
          <w:sz w:val="28"/>
          <w:sz w:val="28"/>
          <w:szCs w:val="28"/>
          <w:rtl w:val="true"/>
          <w:lang w:bidi="fa-IR"/>
        </w:rPr>
        <w:t xml:space="preserve">رعایت تناسب در اجرای عدالت، به حاکم دادگاه اجازه می‌دهد که به مدیون مهلت عادله یا قرار اقساط برای پرداخت دین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مقام اجرای حکم، توقیف اسباب کار و حرفه و لباس و اشیای ضروری مدیون و خانواده او را ممنوع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اصول محاکمات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حقوق کیفری کسانی را که در اثر عصبانیت مرتکب جرمی شده‌اند به مجازات کمتری محکوم می‌کند و یا آن که در مقام دفاع مشروع به دیگری صدمه زده است، از مجازات معاف می‌سازد، همه اینها از مفهوم رعایت تناسب در عدالت سرچشمه گرفته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عدالت از نظر افلاطون آنست که به هر کس آنچه حق اوست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تعریف ایرادهایی وارد است زیرا مفهوم حق روشن نیست، و شناخت عدالت به شناخت حق بستگی دارد، و اگر حق را خدمتی بدانیم که شخص به جامعه می‌کند، باز در ارزیابی خدمت دچار اشکالهای فراوان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یک نانوا را با یک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می‌کند و می‌گوید شما بدون کار خواننده اپرا می‌توانید زندگی کنید لکن بدون کار نانوا نمی‌توانید، پس به این جهت باید گفت که نانوا به جامعه خدمت بزرگتری می‌کند، لکن بی گمان، هیچیک از دوستداران موسیقی با شما هم عقیده نخواهند بود، اگر مفهوم استحقاق را اساس معنی عدالت قرار دهیم، ممکن نیست قاعده منظمی برای عدالت به دست آید، زیرا خود معنی استحقاق </w:t>
      </w:r>
    </w:p>
    <w:p>
      <w:pPr>
        <w:pStyle w:val="BookText"/>
        <w:rPr/>
      </w:pPr>
      <w:r>
        <w:rPr>
          <w:rFonts w:ascii="IRNazanin" w:hAnsi="IRNazanin" w:eastAsia="IRNazanin"/>
          <w:color w:val="111111"/>
          <w:sz w:val="28"/>
          <w:sz w:val="28"/>
          <w:szCs w:val="28"/>
          <w:rtl w:val="true"/>
          <w:lang w:bidi="fa-IR"/>
        </w:rPr>
        <w:t xml:space="preserve">بسیار پیچیده است بنابراین گفته شده است که تعریف افلاطون از عدالت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راسل می‌گوید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است که درباره آن عقاید اغلب مردم بی اندازه مغشوش و درهم و برهم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غالب مردم نسبت به درجات استثنایی شایستگی یا تقصیر باید عمل استثنایی انجام داد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هر عملی است که بنیادش بر این باشد که آزادی هر کس با آزادی همه کسان سازگار بوده باشد و بنابراین حکم کلی در این باب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عمل کن که آزادی تو بر طبق یک قاعده کلی با آزادی همه مردم سازگار باشد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آلمانی بنیاد اخلاق را بر شفقت استوار می‌داند و می‌گوید ، اگر در دل کسی شفقت نسبت به موجودات دیگر باشد شخصی است اخلاقی؛ بنابراین در واقع شفقت همان عدالت است، و خودخواهی ظلم است، از آن رو که خودخواه منکر وجود یعنی اراده دیگران است، شخص عادل و شفیق، تصدیق دارد که دیگران هم حق حیات دارند و از روی همین بنیاد تمام قواعد اخلاق را که چون به عالم سیاست درآمد حق و عدالت نامیده می‌شود می‌توان استخراج کرد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آلمانی در حالی که ناامید و مأیوس از تحقق عدالت است فریاد بر می‌آورد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بگوییدم، کجا می‌توان یافت آن عدالت را که عشقی است با چشمان باز</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بر خلاف همه بزرگان عالم، خودپرستی را حق دانسته و شفقت را ضعف نفس و عیب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وعقیده دارد که دنیا دار تنازع بقاست و آن که تواناتر است پیروزی با اوست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بررسی همه آرای فیلسوفان درباره عدالت، نیاز به کتابی جداگانه دارد، همین قدر باید گفته شود که اساساً عدالت در نظامهای فلسفی و اقتصادی و اجتماعی گوناگون، تعریفهای ویژه‌ای به خود می‌گیرد که با دیگری متفاوت است و حتی معنی عدالت در ادیان مختلف نیز با هم یکسان نیست، آنچه را بودا و کنفوسیوس و لائوتسه عدالت می‌دانند با آنچه که موسی وعیسی و </w:t>
      </w:r>
    </w:p>
    <w:p>
      <w:pPr>
        <w:pStyle w:val="BookText"/>
        <w:rPr/>
      </w:pPr>
      <w:r>
        <w:rPr>
          <w:rFonts w:ascii="IRNazanin" w:hAnsi="IRNazanin" w:eastAsia="IRNazanin"/>
          <w:color w:val="111111"/>
          <w:sz w:val="28"/>
          <w:sz w:val="28"/>
          <w:szCs w:val="28"/>
          <w:rtl w:val="true"/>
          <w:lang w:bidi="fa-IR"/>
        </w:rPr>
        <w:t xml:space="preserve">زردشت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می‌دانند متفاوتست حتی در فرقه‌های مذهبی داخل در یک مذهب نیز ا ختلاف نظر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ناصر کاتوزیان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قواعد عدالت به صورت نوعی و کلی مبنای حقوق قرار گیرد و از داوریهای فردی ممتاز شود، اشکال مهم، تشخیص راه استنباط و احراز این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دید چگونه می‌توان احکام عادلانه را به دست آورد، و چه مقامی برای این تشخیص صلاحیت دارد؟ در برابر این پرسش پاسخ مسلم و قاطعی وجود ندارد، و شاید بتوان ادعا کرد که از پیچیده‌ترین مسائل فلسفه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گفته‌اند قواعد عدالت باید، به حکم عقل و از راه تحلیل مسائل اجتماعی و هدفهای ذهنی، استخراج شود، و بعض دیگر داوری عقل را در این باب نمی‌پذیرند و معتقدند تنها از راه ایمان و اشراق می‌توان باین قواعد دست یافت ؛ و عواطف انسانی و حکم دل است که مبنای تمیز داد و ستم قرار می‌گیرد، و جمعی نیز اراده خداوند و مذهب را به عنوان ضابطه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جامعه‌شناسان عقیده دارند که عدالت ناشی از وجدان عمومی است، و آنها که نخواسته‌اند مفهوم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 می‌گویند قاعده‌ای عادلانه است که وجدان دسته بزرگی از مردم آن را درست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آنها بسیاری از نویسندگان عدالت را تابع رأی عمومی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همان طور که قواعد طبیعی را به نیروی اکثریت نمی‌توان تغییر داد و حقیقت بسته به نظر عموم نیست، عدالت را نیز نباید با رأی اکثریت مردم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ارسطو در این باب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امری است که انسان عادل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لوفور </w:t>
      </w:r>
      <w:r>
        <w:rPr>
          <w:rFonts w:eastAsia="Times New Roman" w:cs="Times New Roman" w:ascii="Times New Roman" w:hAnsi="Times New Roman"/>
          <w:color w:val="111111"/>
          <w:sz w:val="28"/>
          <w:szCs w:val="28"/>
          <w:lang w:val="en-US" w:bidi="en-US"/>
        </w:rPr>
        <w:t>Le Fur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استاد فرانسوی ، در توضیح آن تأیید کرده است که ، به جای توجه به عده اشخاص، باید نظر بهترین و صالحترین مردم را مبنا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روبیه </w:t>
      </w:r>
      <w:r>
        <w:rPr>
          <w:rFonts w:eastAsia="Times New Roman" w:cs="Times New Roman" w:ascii="Times New Roman" w:hAnsi="Times New Roman"/>
          <w:color w:val="111111"/>
          <w:sz w:val="28"/>
          <w:szCs w:val="28"/>
          <w:lang w:val="en-US" w:bidi="en-US"/>
        </w:rPr>
        <w:t>Roubier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پایان تحلیل خود نتیجه می‌گیرد که برای یافتن قواعد عدالت باید به جامعه حقوقدانان، که در جستجوی این قواعد و در مقام ستایش آن هستند،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عمومی و قوانین دولتی نمی‌تواند ضابطه تشخیص عدالت قرار گیرد، و به همین سبب است که گاه بین قواعد حقوق و عدالت تعارض ایجاد می‌شود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مفهومی است اخلاقی، پس تمام عواملی که در اخلاق هر قوم مؤثر است، در تمیز داد و ستم اثر دارد، قواعد عدالت فطری و ثابت نیست، ولی در تشخیص آنها تنها به نیروی عقل نباید اتکا کرد، زیرا اعتقادهای مذهبی و عواطف نیز در این راه سهم مؤثر دارند</w:t>
      </w:r>
      <w:r>
        <w:rPr>
          <w:rFonts w:eastAsia="IRNazanin" w:cs="IRNazanin"/>
          <w:color w:val="111111"/>
          <w:sz w:val="28"/>
          <w:szCs w:val="28"/>
          <w:rtl w:val="true"/>
          <w:lang w:bidi="fa-IR"/>
        </w:rPr>
        <w:t xml:space="preserve">. </w:t>
      </w:r>
      <w:bookmarkStart w:id="477" w:name="pg7474_109416"/>
    </w:p>
    <w:p>
      <w:pPr>
        <w:pStyle w:val="BookText"/>
        <w:rPr/>
      </w:pPr>
      <w:bookmarkEnd w:id="477"/>
      <w:r>
        <w:rPr>
          <w:rFonts w:ascii="IRNazanin" w:hAnsi="IRNazanin" w:eastAsia="IRNazanin"/>
          <w:color w:val="111111"/>
          <w:sz w:val="28"/>
          <w:sz w:val="28"/>
          <w:szCs w:val="28"/>
          <w:rtl w:val="true"/>
          <w:lang w:bidi="fa-IR"/>
        </w:rPr>
        <w:t>راست است که هر انسان متمدن در برابر حوادث اجتماعی در خود احساس عدالت می‌کند، ونیز درست است که گاه داوریهای اشخاص چنان به هم شبیه است که از مجموع آنها می‌توان قواعد نوعی استخراج کرد، ولی نباید افکار عمومی را میزان تشخیص عدل و ظلم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ساده عرف قادر به تحلیل تمام مسائل اجتماعی نیست و گاه نیز گرفتار احساساتی می‌شود که از عقل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عقل را باید به یاری تجربه و مطالعه آبیاری کرد، و ذهن کسانی قادر به تشخیص عدالت است که در امور اجتماعی بینش و تجربه کافی اندوخته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ارزیابی آثار هنری به کسانی رجوع می‌شود که ذهنشان آماده تمیز زشتی و زیبایی است، در جستجوی عدالت نیز بایستی بدنبال اشخاصی بود که صلاحیت تمیز درست را از نادرست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داوریهای عامیانه ممکن است در پاره‌ای از امور ساده و ابتدایی درست باشد، ولی همیشه به آن اعتماد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روزنامه‌ها می‌نویسند که مردی با کمال بی‌رحمی زن ناتوانی را کشته است؛ احساسات عمومی تحریک می‌شود همه او را در وجدان خود محکوم می‌سازند، ولی دادرسی که اثر محیط را در اراده افراد دریافته و می‌داند که بی‌نظمی اجتماع عامل اساسی وقوع جرم است، همانند مردم بسرعت حکم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که درصدد انتقامجویی و تسکین احساس آنی خود باشد، در پی اصلاح مجرم و درمان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بزهکار، رابطه او با مقتول اوضاع و احوالی که قتل در آن اتفاق افتاده است، سبق تصمیم و درجه بداندیشی مجرم، شخصیت طرفین و دهها مسأله دیگر در تصمیم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او می‌بیند با سایرین متفاوت است، همچنانکه دید یک هنرمند با نظر عوام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باضافه، عدالتی که در جامعه ناپاکان و هرزگان مطرح است، با آنچه در جمع پرهیزکاران و دوراندیشان عدالت نامیده می‌شود یکسان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تشخیص عدالت، ملاک، داوری عموم نیست، بلکه باید از مجموع عقاید علمای اجتماعی و رویه‌های قضایی آنها را در هر دوره‌ای استخراج کرد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2151069_1051229030"/>
      <w:bookmarkStart w:id="479" w:name="_Toc182"/>
      <w:bookmarkEnd w:id="478"/>
      <w:r>
        <w:rPr/>
        <w:t>2</w:t>
      </w:r>
      <w:r>
        <w:rPr>
          <w:rtl w:val="true"/>
        </w:rPr>
        <w:t xml:space="preserve">- </w:t>
      </w:r>
      <w:r>
        <w:rPr>
          <w:rtl w:val="true"/>
        </w:rPr>
        <w:t>عدالت در نصوص دینی</w:t>
      </w:r>
      <w:bookmarkEnd w:id="47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عقل، زیر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اشاره‌هایی شده است، عدالت و انصاف، سرلوحه همه آموزشهای مذاهب و مکتبهای فلسفی و اخلاقی و اجتماعی است، کافی </w:t>
      </w:r>
    </w:p>
    <w:p>
      <w:pPr>
        <w:pStyle w:val="BookText"/>
        <w:rPr/>
      </w:pPr>
      <w:r>
        <w:rPr>
          <w:rFonts w:ascii="IRNazanin" w:hAnsi="IRNazanin" w:eastAsia="IRNazanin"/>
          <w:color w:val="111111"/>
          <w:sz w:val="28"/>
          <w:sz w:val="28"/>
          <w:szCs w:val="28"/>
          <w:rtl w:val="true"/>
          <w:lang w:bidi="fa-IR"/>
        </w:rPr>
        <w:t xml:space="preserve">است که به مشتقات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مراجعه شود،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عدالت و بهره عادلانه است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چند مورد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امانتها را به صاحبان آن بدهید و آن گاه که میان مردم حکم می‌کنید به عدالت حکم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را بپا دارید، گواهی را بی هیچ گونه ملاحظه‌ای فقط به خاطر خدا بدهید، هر چند به ضرر خود یا پدر ومادر و یا خویشاوندان شما باشد، غم این که فلان خویشاوند غنی یا فقیر است مخورید، خدا حال آنان را رعایت می‌کند مبادا به پیروی از هوای نفس از حق انحراف پیدا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ستمکارتر از آن کسی که شهادتی را که از طرف خدا در نزد اوست کتمان کند و از بیان حق و حقیقت خودداری نماید؟ و خدا از آنچه شما مرتکب می‌شوید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به قضاوت بپردازی و در میان مردم حکومت کنی پس میان آنان به عدالت حکم کن که خدا دادگران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آشکارا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لاترکنوا الی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ستمکاران اعتماد مکنید 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فاسقی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 گواهی داد از حال او تحقیق و تجسس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حدیثهای بسیار 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بالعدل قامت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آسمانها و زمین برقرار مانده‌اند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فلکی یکسره بر منهج عدل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در معامله و رفتار با مردم ستم نکند و در گفتار با آنان دروغ نگوید و از وعده تخلف نورزد، عدالت در او پدید آمده است</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دادگری ، قرار دادن امور در جای و محل خود است، شاید فقیهان از همین عبارت اقتباس کرده‌اند که در تعریف عدالت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کل ذی حق حقه، یعنی رساندن هر حقی به صاحبش</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عدل چبود وضع اندر موضعش</w:t>
      </w:r>
    </w:p>
    <w:p>
      <w:pPr>
        <w:pStyle w:val="BookText"/>
        <w:rPr/>
      </w:pPr>
      <w:r>
        <w:rPr>
          <w:rFonts w:ascii="IRNazanin" w:hAnsi="IRNazanin" w:eastAsia="IRNazanin"/>
          <w:color w:val="111111"/>
          <w:sz w:val="28"/>
          <w:sz w:val="28"/>
          <w:szCs w:val="28"/>
          <w:rtl w:val="true"/>
          <w:lang w:bidi="fa-IR"/>
        </w:rPr>
        <w:t>ظلم چبود وضع در ناموقعش</w:t>
      </w:r>
    </w:p>
    <w:p>
      <w:pPr>
        <w:pStyle w:val="BookText"/>
        <w:rPr/>
      </w:pPr>
      <w:r>
        <w:rPr>
          <w:rFonts w:ascii="IRNazanin" w:hAnsi="IRNazanin" w:eastAsia="IRNazanin"/>
          <w:color w:val="111111"/>
          <w:sz w:val="28"/>
          <w:sz w:val="28"/>
          <w:szCs w:val="28"/>
          <w:rtl w:val="true"/>
          <w:lang w:bidi="fa-IR"/>
        </w:rPr>
        <w:t>عدل چبود آب ده اشجار را</w:t>
      </w:r>
    </w:p>
    <w:p>
      <w:pPr>
        <w:pStyle w:val="BookText"/>
        <w:rPr/>
      </w:pPr>
      <w:r>
        <w:rPr>
          <w:rFonts w:ascii="IRNazanin" w:hAnsi="IRNazanin" w:eastAsia="IRNazanin"/>
          <w:color w:val="111111"/>
          <w:sz w:val="28"/>
          <w:sz w:val="28"/>
          <w:szCs w:val="28"/>
          <w:rtl w:val="true"/>
          <w:lang w:bidi="fa-IR"/>
        </w:rPr>
        <w:t>ظلم چبود آب دادن خار را</w:t>
      </w:r>
    </w:p>
    <w:p>
      <w:pPr>
        <w:pStyle w:val="BookText"/>
        <w:rPr/>
      </w:pPr>
      <w:r>
        <w:rPr>
          <w:rFonts w:ascii="IRNazanin" w:hAnsi="IRNazanin" w:eastAsia="IRNazanin"/>
          <w:color w:val="111111"/>
          <w:sz w:val="28"/>
          <w:sz w:val="28"/>
          <w:szCs w:val="28"/>
          <w:rtl w:val="true"/>
          <w:lang w:bidi="fa-IR"/>
        </w:rPr>
        <w:t>نیست باطل هر چه یزدان آفرید</w:t>
      </w:r>
    </w:p>
    <w:p>
      <w:pPr>
        <w:pStyle w:val="BookText"/>
        <w:rPr/>
      </w:pPr>
      <w:r>
        <w:rPr>
          <w:rFonts w:ascii="IRNazanin" w:hAnsi="IRNazanin" w:eastAsia="IRNazanin"/>
          <w:color w:val="111111"/>
          <w:sz w:val="28"/>
          <w:sz w:val="28"/>
          <w:szCs w:val="28"/>
          <w:rtl w:val="true"/>
          <w:lang w:bidi="fa-IR"/>
        </w:rPr>
        <w:t>از غضب وز حلم وز نصح و مکید</w:t>
      </w:r>
    </w:p>
    <w:p>
      <w:pPr>
        <w:pStyle w:val="BookText"/>
        <w:rPr/>
      </w:pPr>
      <w:r>
        <w:rPr>
          <w:rFonts w:ascii="IRNazanin" w:hAnsi="IRNazanin" w:eastAsia="IRNazanin"/>
          <w:color w:val="111111"/>
          <w:sz w:val="28"/>
          <w:sz w:val="28"/>
          <w:szCs w:val="28"/>
          <w:rtl w:val="true"/>
          <w:lang w:bidi="fa-IR"/>
        </w:rPr>
        <w:t>خیر مطلق نیست زینها هیچ چیز</w:t>
      </w:r>
    </w:p>
    <w:p>
      <w:pPr>
        <w:pStyle w:val="BookText"/>
        <w:rPr/>
      </w:pPr>
      <w:r>
        <w:rPr>
          <w:rFonts w:ascii="IRNazanin" w:hAnsi="IRNazanin" w:eastAsia="IRNazanin"/>
          <w:color w:val="111111"/>
          <w:sz w:val="28"/>
          <w:sz w:val="28"/>
          <w:szCs w:val="28"/>
          <w:rtl w:val="true"/>
          <w:lang w:bidi="fa-IR"/>
        </w:rPr>
        <w:t>شر مطلق نیست زینها هیچ چیز</w:t>
      </w:r>
    </w:p>
    <w:p>
      <w:pPr>
        <w:pStyle w:val="BookText"/>
        <w:rPr/>
      </w:pPr>
      <w:r>
        <w:rPr>
          <w:rFonts w:ascii="IRNazanin" w:hAnsi="IRNazanin" w:eastAsia="IRNazanin"/>
          <w:color w:val="111111"/>
          <w:sz w:val="28"/>
          <w:sz w:val="28"/>
          <w:szCs w:val="28"/>
          <w:rtl w:val="true"/>
          <w:lang w:bidi="fa-IR"/>
        </w:rPr>
        <w:t>نفع و ضر هر یکی از موضع است</w:t>
      </w:r>
    </w:p>
    <w:p>
      <w:pPr>
        <w:pStyle w:val="BookText"/>
        <w:rPr/>
      </w:pPr>
      <w:r>
        <w:rPr>
          <w:rFonts w:ascii="IRNazanin" w:hAnsi="IRNazanin" w:eastAsia="IRNazanin"/>
          <w:color w:val="111111"/>
          <w:sz w:val="28"/>
          <w:sz w:val="28"/>
          <w:szCs w:val="28"/>
          <w:rtl w:val="true"/>
          <w:lang w:bidi="fa-IR"/>
        </w:rPr>
        <w:t xml:space="preserve">علم ازین رو واجبست و نافعست در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من امام عادل افضل من عبادة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روز از زندگی پیشوایی دادگر، از عبادت شصت سال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کن زان که در ولایت دل</w:t>
      </w:r>
    </w:p>
    <w:p>
      <w:pPr>
        <w:pStyle w:val="BookText"/>
        <w:rPr/>
      </w:pPr>
      <w:r>
        <w:rPr>
          <w:rFonts w:ascii="IRNazanin" w:hAnsi="IRNazanin" w:eastAsia="IRNazanin"/>
          <w:color w:val="111111"/>
          <w:sz w:val="28"/>
          <w:sz w:val="28"/>
          <w:szCs w:val="28"/>
          <w:rtl w:val="true"/>
          <w:lang w:bidi="fa-IR"/>
        </w:rPr>
        <w:t>در پیغمبری زند عادل</w:t>
      </w:r>
    </w:p>
    <w:p>
      <w:pPr>
        <w:pStyle w:val="BookText"/>
        <w:rPr/>
      </w:pPr>
      <w:r>
        <w:rPr>
          <w:rFonts w:ascii="IRNazanin" w:hAnsi="IRNazanin" w:eastAsia="IRNazanin"/>
          <w:color w:val="111111"/>
          <w:sz w:val="28"/>
          <w:sz w:val="28"/>
          <w:szCs w:val="28"/>
          <w:rtl w:val="true"/>
          <w:lang w:bidi="fa-IR"/>
        </w:rPr>
        <w:t>و بالاخره از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 با کفر می‌پاید و با ظلم نمی‌پاید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ملک الشعراء بهار</w:t>
      </w:r>
    </w:p>
    <w:p>
      <w:pPr>
        <w:pStyle w:val="BookText"/>
        <w:rPr/>
      </w:pPr>
      <w:r>
        <w:rPr>
          <w:rFonts w:ascii="IRNazanin" w:hAnsi="IRNazanin" w:eastAsia="IRNazanin"/>
          <w:color w:val="111111"/>
          <w:sz w:val="28"/>
          <w:sz w:val="28"/>
          <w:szCs w:val="28"/>
          <w:rtl w:val="true"/>
          <w:lang w:bidi="fa-IR"/>
        </w:rPr>
        <w:t>گفت که الملک لا یدوم مع الظلم</w:t>
      </w:r>
    </w:p>
    <w:p>
      <w:pPr>
        <w:pStyle w:val="BookText"/>
        <w:rPr/>
      </w:pPr>
      <w:r>
        <w:rPr>
          <w:rFonts w:ascii="IRNazanin" w:hAnsi="IRNazanin" w:eastAsia="IRNazanin"/>
          <w:color w:val="111111"/>
          <w:sz w:val="28"/>
          <w:sz w:val="28"/>
          <w:szCs w:val="28"/>
          <w:rtl w:val="true"/>
          <w:lang w:bidi="fa-IR"/>
        </w:rPr>
        <w:t>آن که خدایش بسی ستوده ز هر در</w:t>
      </w:r>
    </w:p>
    <w:p>
      <w:pPr>
        <w:pStyle w:val="BookText"/>
        <w:rPr/>
      </w:pPr>
      <w:r>
        <w:rPr>
          <w:rFonts w:ascii="IRNazanin" w:hAnsi="IRNazanin" w:eastAsia="IRNazanin"/>
          <w:color w:val="111111"/>
          <w:sz w:val="28"/>
          <w:sz w:val="28"/>
          <w:szCs w:val="28"/>
          <w:rtl w:val="true"/>
          <w:lang w:bidi="fa-IR"/>
        </w:rPr>
        <w:t>ملک درختی است نغز و ریشه او عدل</w:t>
      </w:r>
    </w:p>
    <w:p>
      <w:pPr>
        <w:pStyle w:val="BookText"/>
        <w:rPr/>
      </w:pPr>
      <w:r>
        <w:rPr>
          <w:rFonts w:ascii="IRNazanin" w:hAnsi="IRNazanin" w:eastAsia="IRNazanin"/>
          <w:color w:val="111111"/>
          <w:sz w:val="28"/>
          <w:sz w:val="28"/>
          <w:szCs w:val="28"/>
          <w:rtl w:val="true"/>
          <w:lang w:bidi="fa-IR"/>
        </w:rPr>
        <w:t>ریشه قوی دار کز درخت خوری بر</w:t>
      </w:r>
    </w:p>
    <w:p>
      <w:pPr>
        <w:pStyle w:val="BookText"/>
        <w:rPr/>
      </w:pPr>
      <w:r>
        <w:rPr>
          <w:rFonts w:ascii="IRNazanin" w:hAnsi="IRNazanin" w:eastAsia="IRNazanin"/>
          <w:color w:val="111111"/>
          <w:sz w:val="28"/>
          <w:sz w:val="28"/>
          <w:szCs w:val="28"/>
          <w:rtl w:val="true"/>
          <w:lang w:bidi="fa-IR"/>
        </w:rPr>
        <w:t>عدالت در لغت بمعنی استقامت نیز آ مده است و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دین است و معنی آن ملکه‌ای است که در آدمی پدید می‌آید و او را به ترک بدیها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معنی عدل و انصاف گفته‌اند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پایه احقاق حق بر مساوات در مقابل قانون واحترام به حقوق افراد و نیز در مقابل قوانین موضوعه به کار می‌رود یعنی نظری که از قوانین موضوعه گرفته نشده باشد و در عین حال عرفاً مصداق عدل و انصاف شمرده شود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مواردی که حس برقراری موازنه حقوق در آدمی تحریک می‌شود آنجاست که هر گاه در حکمیت و داوری میان دو نفر که هر دو مدعی مالکیت ششدانگ ملکی باشند، و فرض آن باشد که دلائل هر دو طرف از هر حیث و هر جهت یکسان باشد بنحوی که نتوان یکی را بر دیگری ترجیح داد و از طرفی ملک هم در تصرف شخص ثالثی بوده باشد، در این حالت در مقام صلح و سازش داور مرضی‌الطرفین با داشتن حق صلح و سازش می‌تواند حکم به تنصیف ملک میان طرفین صادر کند، این قاعده انصاف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قوانین موضوعه ایران از جمله مواردی که دادگاه را به رعایت قاعده عدل و انصاف دعوت </w:t>
      </w:r>
    </w:p>
    <w:p>
      <w:pPr>
        <w:pStyle w:val="BookText"/>
        <w:rPr/>
      </w:pPr>
      <w:r>
        <w:rPr>
          <w:rFonts w:ascii="IRNazanin" w:hAnsi="IRNazanin" w:eastAsia="IRNazanin"/>
          <w:color w:val="111111"/>
          <w:sz w:val="28"/>
          <w:sz w:val="28"/>
          <w:szCs w:val="28"/>
          <w:rtl w:val="true"/>
          <w:lang w:bidi="fa-IR"/>
        </w:rPr>
        <w:t xml:space="preserve">کرده است ماده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است به این عبارت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محکمه اوضاع و احوال را سنجیده به طوری که مقتضی عدل و انصاف بداند حکم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ماده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دیات چنین مقرر داشته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اثر برخورد دو سوار، وسیله نقلیه آنها مانند اتومبیل خسارت ببیند در صورتی که تصادم و برخورد به هر دو نسبت داده شود و هر دو مقصّر باشند و یا هیچ کدام مقصر نباشند هر کدام نصف خسارت وسیله نقلیه دیگری را ضامن خواهد بود خواه آن دو وسیله از یک نوع باشند یانباشند و خواه میزان تقصیر آنها مساوی یا متفاوت باشد واگر یکی از آنها مقصر باشد فقط مقصّر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اعم است از بی احتیاطی، بی مبالاتی، عدم مهارت، عدم رعایت نظامات دولتی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که در ماده فوق نیز حکم به تنصیف داده شده که بر مبنای عدالت و انصاف است</w:t>
      </w:r>
      <w:r>
        <w:rPr>
          <w:rFonts w:eastAsia="IRNazanin" w:cs="IRNazanin"/>
          <w:color w:val="111111"/>
          <w:sz w:val="28"/>
          <w:szCs w:val="28"/>
          <w:rtl w:val="true"/>
          <w:lang w:bidi="fa-IR"/>
        </w:rPr>
        <w:t xml:space="preserve">. </w:t>
      </w:r>
      <w:bookmarkStart w:id="480" w:name="pg7474_109420"/>
    </w:p>
    <w:p>
      <w:pPr>
        <w:pStyle w:val="Heading3"/>
        <w:numPr>
          <w:ilvl w:val="2"/>
          <w:numId w:val="1"/>
        </w:numPr>
        <w:rPr/>
      </w:pPr>
      <w:bookmarkStart w:id="481" w:name="__RefHeading___Toc2151071_1051229030"/>
      <w:bookmarkStart w:id="482" w:name="_Toc183"/>
      <w:bookmarkEnd w:id="480"/>
      <w:bookmarkEnd w:id="481"/>
      <w:r>
        <w:rPr>
          <w:rtl w:val="true"/>
        </w:rPr>
        <w:t>گفتار یازدهم</w:t>
      </w:r>
      <w:r>
        <w:rPr>
          <w:rtl w:val="true"/>
        </w:rPr>
        <w:t>:</w:t>
      </w:r>
      <w:r>
        <w:rPr>
          <w:rtl w:val="true"/>
        </w:rPr>
        <w:t>تأسیس و امضاء</w:t>
      </w:r>
      <w:bookmarkEnd w:id="482"/>
    </w:p>
    <w:p>
      <w:pPr>
        <w:pStyle w:val="BookText"/>
        <w:rPr/>
      </w:pPr>
      <w:r>
        <w:rPr>
          <w:rFonts w:ascii="IRNazanin" w:hAnsi="IRNazanin" w:eastAsia="IRNazanin"/>
          <w:color w:val="111111"/>
          <w:sz w:val="28"/>
          <w:sz w:val="28"/>
          <w:szCs w:val="28"/>
          <w:rtl w:val="true"/>
          <w:lang w:bidi="fa-IR"/>
        </w:rPr>
        <w:t>پیش از برآمدن تمدن درمیان مردم، قانون جنگل یا حکومت زور فرمانروایی می‌کرد لکن با گذشت زمان اندک اندک در روابط خصوصی افراد نیروی الزامی حکومت زور، رو به کاهش نهاد، زیرا بشر هم فردی مستقل و هم عضو جامعه شد و چون هر دو احساس در او ریشه دوانید، قوانین اخلاقی و حقوقی را وضع کرد و جامعه ها تحت اصول و قواعدی درآمدند که سادگی قوانین نخستین را نداشت، و هر چه بر مدنیت گذشت پیچیدگی آنها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جامعه‌ای هماهنگ و منسجم است قانون حکومت می‌کند و امنیت برقرار است، مردم نمی‌توانند بفهمند، که در جامعه قانون است که حکومت دارد اما همین که نظم از هم پاشیده شد و با ستم و بی عدالتی روبرو شدند آن گاه لزوم وجود قانون را احساس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مونتسکیو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گمان برده‌اند که نیک و بد و داد و بیداد بکلی تابع وضع است یعنی در هیأت اجتماع هر چه را منع کنند زشت می‌شود و هر چه را جایز بدانند زیبا خواهد شد ولی البته چنین نیست و این سخن مانند آن است که بگویند متساوی بودن و نبودن شعاعهای دایره به اختیار مهندس است و پیش از آن که کسی دایره رسم کند شعاعها همه متساوی نبوده‌اند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جامعه بی قانون توان ادامه حیات ندارد، همان گونه که در منظومه شمسی، خورشید نقطه مرکزی و سیر ستارگان در مسیر معین است و قانون جاذبه عمومی و دیگر قانونها بر آن حکومت دارد در نظام جامعه قانون است که هماهنگی وتناسب و زیبایی پدید می‌آورد و از فرو ریختن و از </w:t>
      </w:r>
    </w:p>
    <w:p>
      <w:pPr>
        <w:pStyle w:val="BookText"/>
        <w:rPr/>
      </w:pPr>
      <w:r>
        <w:rPr>
          <w:rFonts w:ascii="IRNazanin" w:hAnsi="IRNazanin" w:eastAsia="IRNazanin"/>
          <w:color w:val="111111"/>
          <w:sz w:val="28"/>
          <w:sz w:val="28"/>
          <w:szCs w:val="28"/>
          <w:rtl w:val="true"/>
          <w:lang w:bidi="fa-IR"/>
        </w:rPr>
        <w:t>هم پاشیدن نظام جلوگیری می‌کند و این همه از غایت وضوح و روشنی از نظرها پنهان مانده است، و حتی به عقیده برخی ریشه این نظم در سازمانهای طبیعی مردم بوده است که قبل از تشکیل حکومتها و دولتها باز هم نظم وجود داشته و آن در وابستگی‌ها و منافع متقابل افراد جامعه بوده که همه را مانند سلسله زنجیر به هم پیوند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حقوق پیش از تشکیل دولت و قانون پدید آمده است و چنانچه مدعی شویم که عدالت تنها از قانون سرچشمه می‌گیرد مثل آن است که بگوییم قبل از این که دایره ترسیم شود، شعاعهای دایره با هم برابر نبوده‌اند، قانون وسیله اجرای عدالت است، از این رو اگر قانون با عدالت ناسازگار باشد و نتوان به مدد عقل و علم آن را به نفع عدالت تأویل کرد دیری نخواهد پایید که جای خود را به قوانین جدید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چگونه ممکن است پیچ و مهره اتومبیلی در جای خود بدرستی نصب نشده باشد و بی احساس خطر از آن اتومبیل بتوان استفاده کرد؟ و یا آن که در جامعه‌ای بدون قانون بتوان به حیات خود ادامه داد؟ پس قانون رشته استواری است که از آغاز تمدن پدید آمده و تا انسان باقی است باقی خواهد بود و مانند زندگی بشر حرکت تکاملی و سیر صعودی و نزولی دارد و همین نوسانها و مراتب تدریجی نقص و کمال، آن را به تأسیسی و امضایی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تأسیسی، قانونی است که آدمی آن را بنا به فطرت و عقل خود کشف و درک کرده و یا از سوی پیامبران آمده است و بر پیشینه‌ای استوار نیست مانند قانون رضاع که از تأسیسات اسلام است و پیش از آن نبود و در مقابل فرزند خواندگی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امضایی، قانونی است که چون ریشه‌ای عمیق در جامعه دارد، ناگزیر قانونگذاران آن را تصویب و امضاء می‌کنند و اگر چنین نکنند بیم آن می‌رود که چون مردم بدان علاقه‌مندند نظام اجتماعی دچار نابسامانی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هر نظام تازه‌ای باید هر دو گونه قانون را دارا باشد، تا از طرفی نقصها و کمبودها را با مقررات تازه جبران کند و از سوی دیگر سنتها و عرفها و آداب و رسوم و قوانین منطقی و شایسته قبلی را امضا کند بنابراین اکثر فقیهان اعتقاد دارند که بسیاری از عقود و ایقاعات و حتی برخی از عبادات و یا بعضی از احکام کیفری در فقه امضای سنن قبلی است</w:t>
      </w:r>
      <w:r>
        <w:rPr>
          <w:rStyle w:val="FootnoteAnchor"/>
          <w:rtl w:val="true"/>
        </w:rPr>
        <w:footnoteReference w:id="276"/>
      </w:r>
      <w:r>
        <w:rPr>
          <w:rFonts w:ascii="IRNazanin" w:hAnsi="IRNazanin" w:eastAsia="IRNazanin"/>
          <w:color w:val="111111"/>
          <w:sz w:val="28"/>
          <w:sz w:val="28"/>
          <w:szCs w:val="28"/>
          <w:rtl w:val="true"/>
          <w:lang w:bidi="fa-IR"/>
        </w:rPr>
        <w:t xml:space="preserve">، مثلاً عقد بیع موجود چیزی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همان بیع عرف زمان شارع نیست و در ماهیت آن وضع و ابتکار تازه‌ای به عمل نیامده و چیزی را که قبلاً مشمول عنوان بیع نبوده شامل عنوان بیع قرار نداده‌اند، اگر در عقود و ایقاعات تصرفی از جانب شارع بعمل آمده، منفی است نه مثبت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483" w:name="pg7474_109423"/>
    </w:p>
    <w:p>
      <w:pPr>
        <w:pStyle w:val="Heading3"/>
        <w:numPr>
          <w:ilvl w:val="2"/>
          <w:numId w:val="1"/>
        </w:numPr>
        <w:rPr/>
      </w:pPr>
      <w:bookmarkStart w:id="484" w:name="__RefHeading___Toc2151073_1051229030"/>
      <w:bookmarkStart w:id="485" w:name="_Toc184"/>
      <w:bookmarkEnd w:id="483"/>
      <w:bookmarkEnd w:id="484"/>
      <w:r>
        <w:rPr>
          <w:rtl w:val="true"/>
        </w:rPr>
        <w:t xml:space="preserve">گفتار دوازدهم </w:t>
      </w:r>
      <w:r>
        <w:rPr>
          <w:rtl w:val="true"/>
        </w:rPr>
        <w:t>:</w:t>
      </w:r>
      <w:r>
        <w:rPr>
          <w:rtl w:val="true"/>
        </w:rPr>
        <w:t>اخلاق</w:t>
      </w:r>
      <w:bookmarkEnd w:id="485"/>
    </w:p>
    <w:p>
      <w:pPr>
        <w:pStyle w:val="BookText"/>
        <w:rPr/>
      </w:pPr>
      <w:r>
        <w:rPr>
          <w:rFonts w:ascii="IRNazanin" w:hAnsi="IRNazanin" w:eastAsia="IRNazanin"/>
          <w:color w:val="111111"/>
          <w:sz w:val="28"/>
          <w:sz w:val="28"/>
          <w:szCs w:val="28"/>
          <w:rtl w:val="true"/>
          <w:lang w:bidi="fa-IR"/>
        </w:rPr>
        <w:t>به صدق کوش که خورشید زاید از نفست</w:t>
      </w:r>
    </w:p>
    <w:p>
      <w:pPr>
        <w:pStyle w:val="BookText"/>
        <w:rPr/>
      </w:pPr>
      <w:r>
        <w:rPr>
          <w:rFonts w:ascii="IRNazanin" w:hAnsi="IRNazanin" w:eastAsia="IRNazanin"/>
          <w:color w:val="111111"/>
          <w:sz w:val="28"/>
          <w:sz w:val="28"/>
          <w:szCs w:val="28"/>
          <w:rtl w:val="true"/>
          <w:lang w:bidi="fa-IR"/>
        </w:rPr>
        <w:t>که از دروغ سیه روی گشت صبح نخست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و حوزه عمل حقوق، در دنیای امروز تا آن جاست که ضمانت اجرا داشته باشد، از این رو قواعدی که در زمان و مکان خاص اکثریت مردم، پیروی از آنها را لازم شمرده‌اند، لکن ضمانت اجرای قانونی ندارد، در زمره قواعد اخلاقی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حقوق را مجموعه‌ای از قوانین و مقرراتی بدانیم که نظامی حاکم، آن را بر قرار کرده است، اخلاق در واقع یکی از ارکان تعریف حقوق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فاقد است و به این دلیل است که اگر قوانین از قدرت عمومی دولت پشتیبانی نشوند، سرنوشتی در حدود مسائل اخلاقی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بودن حقوق بین‌الملل به سبب آنست که تا کنون ضمانت اجرای مؤثری نداشته است، تأسیس جامعه ملل و در پی آن سازمان ملل متحد و بنیادهای وابسته به آن، به هیچ وجه نتوانسته است، امنیت و صلح جهانی را تأمین و تضمین کند، زیرا یکی از ارکان حق یعنی قوه اجرایی را فاقد است و حاکمیتی فوق حاکمیت دولتها نیست تا قواعد حقوق بین‌الملل را به اجرا گذارد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حقوق غربی، بیشتر در پی آنست که دعاوی را از میان بردارد؛ فصل خصومت کند؛ احقاق حق واقعی و اجرای عدالت در مرتبه دوم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اصلی آنست که دعاوی بشکلی پایان یابد و در نتیجه این وضع، آنان که توانایی مادی دارند تا وسایل بهره‌برداری </w:t>
      </w:r>
    </w:p>
    <w:p>
      <w:pPr>
        <w:pStyle w:val="BookText"/>
        <w:rPr/>
      </w:pPr>
      <w:r>
        <w:rPr>
          <w:rFonts w:ascii="IRNazanin" w:hAnsi="IRNazanin" w:eastAsia="IRNazanin"/>
          <w:color w:val="111111"/>
          <w:sz w:val="28"/>
          <w:sz w:val="28"/>
          <w:szCs w:val="28"/>
          <w:rtl w:val="true"/>
          <w:lang w:bidi="fa-IR"/>
        </w:rPr>
        <w:t>از قواعد تشریفاتی آئین دادرسی را توسط وکلای مدافع خویش فراهم کنند، همواره موفقیت بیشتری کسب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حقوق‌امروز گفته می‌شود که‌حقوق در خلأیعنی جایی که در آن‌جا کسی‌نباشد، تحقق نمی‌یابد و صورت خارجی به خود نمی‌گیرد، و این اصل زبانزد علمای حقوق رم بوده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زائیده اجتماع و جامعه بشری است</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از جامعه فرض حق و تکلیف بی‌معنی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شخصی در جزیره‌ای مرتکب جرمی شود و سپس افراد آن جزیره از آن‌جا کوچ کنند و کسی نماند جز همان شخص خطاکار،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نفع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مجازات معاف می‌دانند، زیرا می‌گویند مجازات باید برای جامعه سودمند باشد، اما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عدالت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یک لوث اخلاقی در روح پدید می‌آورد که جز با کیفر، پاک نمی‌شود و کیفر کردن تنها برای نفع اجتماع بی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دینی و اخلاقی ما پاکیزگی روح و روان و تهذیب نفس شرط رستگاری است، رستاخیز پیامبران و اولیای خدا برای پدید آوردن عدالت اجتماعی نیز در واقع کمک به ایجاد زمینه مساعد برای تعالی روانی و اخلاقی و پرواز آدمی به ملکوت خداوند است؛ و بنابراین آن کس که در جزیره‌ای خالی از سکنه زندگی می‌کند، دست کم وظایفی برای خود دارد و از این رو حقوق و اخلاق به هم آمیخته است و از هم جدایی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اساساً یکی از امتیازهای روح شرقی توجه به اخلاق فردی است در حالی که غربی به اخلاق اجتماعی و حقوق نظر دارد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حقوق واخلاق یک مرکز دارند، یک محیط ندارند</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اصلی این دو یکی است و آن نیکبختی بشر است، در حالی که قلمرو این دو متعدد است، یکی ضامن اجرا دارد و آن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بنتام بیشتر ناظر به حکومتهای غیر مذهبی است، در حالی که در حکومتهای مذهبی اخلاق نیز فاقد ضمانت اجرا نیست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بااین همه از آن جا که ایمان مردم نسبت به قوانین موضوعه در حسن اجرای آنها مؤثر است در واقع همین احترام واعتبار قوانین در نزد مردم ضمانت اجرای بسیاری از قوانین را به دوش مردم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ذلک قواعد اخلاقی رفته رفته در حقوق اثر می‌گذارد و در بیشتر قوانین دنیا قراردادهایی که بر خلاف اخلاق حسنه باشد از نظر دادگاهها غیر قابل ترتیب اثر اعلام شده‌اند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بسیاری از مسائل اخلاقی وارد حوزه حقوق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بسیاری از قوانین از اصول اخلاقی سرچشمه گرفته‌اند،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کار، بیمه‌های اجتماعی، تعاونیها که همه از اصل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برخاسته‌اند، و بالعکس گاهی قوانین حقوقی موجب ایجاد اخلاق و عادات تازه‌ای در میان مردم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اخلاق در معرض تغییر است بنابراین تحولات آن در حقوق هم تأثیر قطعی دارد، زیرا قوانینی که مربوط به اخلاق حسنه است از قوانین آمره است و اراده افراد نمی‌تواند بر خلاف آن، قراردادی تنظیم کند در حالی که قوانین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عادت نیز از منابعی سرچشمه می‌گیرد که از آن جمله اخلاق است و از آن تعبیر به اصول فوق قانون کرده‌اند زیرا نیروی اخلاق گاه به حدی است که می‌تواند مدرک حکم دادگاه قرار گیرد، تا آن جا که هر چه را مخالف اخلاق حسنه است مخالف نظم عمومی نیز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حقوق مدنی ایران که از فقه امامیه اقتباس شده است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جهت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مفاهیم اخلاقی در تغییرند، زیرا نهادهای جامعه و افکار عمومی در هر زمان و مکان وضع خاصی دارد، در هر عصر، مردم معتقد به مقرراتی هستند، بنابراین مفهوم متغیر اخلاق، حقوق را هم به تبع تغییر می‌دهد زیرا اخلاق از وجدان الهام می‌گیرد و حکم وجدان بسیار متنوع است، گاه به احسان و نیکوکاری دعوت می‌کند، زمانی به عشق و پرستش می‌خواند و وقتی هم به دادخواهی توده‌ها را بر می‌انگیزاند، همین انگیزه‌ها، الهام بخش حقوق می‌توانند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هریک از احکام وجدان، راه و روش ویژه‌ای دارد و با زمان همواره در حال دگرگونی است، لکن این که کمال اخلاقی امری نسبی است، دلیل آن نیست که ما اصول کمال مطلق را وجهه همت خود قرار ندهیم، ما باید در همه امور معتقد به تکامل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گفته‌ایم که قوانین نردبان و وسیله رسیدن به هدفند، هدف استقرار عدالت و اعتلای روح و اخلاق است، اگر برای رسیدن به عدالت از بیراهه ظلم و تجاوز عبور کنیم، بی گمان فرجام کار رضایت بخش نخواهد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برتراند راسل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چینی‌ها در سپیده‌دم تاریخ خود در مسیر رودخانه زرد، خاکریزهایی </w:t>
      </w:r>
    </w:p>
    <w:p>
      <w:pPr>
        <w:pStyle w:val="BookText"/>
        <w:rPr/>
      </w:pPr>
      <w:r>
        <w:rPr>
          <w:rFonts w:ascii="IRNazanin" w:hAnsi="IRNazanin" w:eastAsia="IRNazanin"/>
          <w:color w:val="111111"/>
          <w:sz w:val="28"/>
          <w:sz w:val="28"/>
          <w:szCs w:val="28"/>
          <w:rtl w:val="true"/>
          <w:lang w:bidi="fa-IR"/>
        </w:rPr>
        <w:t xml:space="preserve">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منظور جلوگیری از سیل و طغیان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در آسیای غربی، چنان که در داستان نوح دیده می‌شود، زندگی پرهیزکارانه را درمان شناختند، در مورد آتشفشانیها نیز همین نظر را داشتند و آن را با بیانی ادیبانه در شرح نابودی سدوم والغموره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این دو نوع تئوری، نظریه چین و نظریه آسیای غربی، به همین صورت متناقص به حیات خود ادامه دادند، ولی سلطه نظر چین بتدریج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پیشرفتهای بسیار جدید حاکی است که زندگانی پرهیزکارانه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ملایمتر از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بقای نوع بشر به همان اندازه لازم است که ساختمان خاکریزها ضرورت دارد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آموزشهای همه مذهبها این هر دو شیوه تفکر، ریشه دارد، و بدیهی است که قانون بی پشتوانه اخلاق ناقص است، و هر چه دستگاه قضایی مجهز و بی عیب باشد باز قانون به دستیاری افراد نیاز دارد و روشن است که آن قاضی که به ارزشهای اخلاقی بی توجه است، تا چه حد برای جامعه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خطاها از جانب افرادی که محکوم انگیزه‌ها و منافع مادی خویش، یعنی محکوم حس کینه توزی خویشند، احقاق حق نیست بلکه به خطای تازه‌ای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دادرسی باید بر مبنای عدالت استوار باشد، عدالت، کار کسی است که در اندیشه و عمل، اعتدال را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تعصب و جانبداری سختگیرانه با عدالت سازگار نیست، پیشداوری، علم را از پیشرفت باز می‌دارد، این گونه گرایشها ادراک آدمی را ضعیف و ناتوان می‌سازند، در عین حالی که ریشه‌هایی سخت استوار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همچون درختست ای کرام</w:t>
      </w:r>
    </w:p>
    <w:p>
      <w:pPr>
        <w:pStyle w:val="BookText"/>
        <w:rPr/>
      </w:pPr>
      <w:r>
        <w:rPr>
          <w:rFonts w:ascii="IRNazanin" w:hAnsi="IRNazanin" w:eastAsia="IRNazanin"/>
          <w:color w:val="111111"/>
          <w:sz w:val="28"/>
          <w:sz w:val="28"/>
          <w:szCs w:val="28"/>
          <w:rtl w:val="true"/>
          <w:lang w:bidi="fa-IR"/>
        </w:rPr>
        <w:t>بار او چون میوه های نیم خام</w:t>
      </w:r>
    </w:p>
    <w:p>
      <w:pPr>
        <w:pStyle w:val="BookText"/>
        <w:rPr/>
      </w:pPr>
      <w:r>
        <w:rPr>
          <w:rFonts w:ascii="IRNazanin" w:hAnsi="IRNazanin" w:eastAsia="IRNazanin"/>
          <w:color w:val="111111"/>
          <w:sz w:val="28"/>
          <w:sz w:val="28"/>
          <w:szCs w:val="28"/>
          <w:rtl w:val="true"/>
          <w:lang w:bidi="fa-IR"/>
        </w:rPr>
        <w:t>سخت گیرد خامها مر شاخ را</w:t>
      </w:r>
    </w:p>
    <w:p>
      <w:pPr>
        <w:pStyle w:val="BookText"/>
        <w:rPr/>
      </w:pPr>
      <w:r>
        <w:rPr>
          <w:rFonts w:ascii="IRNazanin" w:hAnsi="IRNazanin" w:eastAsia="IRNazanin"/>
          <w:color w:val="111111"/>
          <w:sz w:val="28"/>
          <w:sz w:val="28"/>
          <w:szCs w:val="28"/>
          <w:rtl w:val="true"/>
          <w:lang w:bidi="fa-IR"/>
        </w:rPr>
        <w:t>زانکه در خامی نشاید کاخ را</w:t>
      </w:r>
    </w:p>
    <w:p>
      <w:pPr>
        <w:pStyle w:val="BookText"/>
        <w:rPr/>
      </w:pPr>
      <w:r>
        <w:rPr>
          <w:rFonts w:ascii="IRNazanin" w:hAnsi="IRNazanin" w:eastAsia="IRNazanin"/>
          <w:color w:val="111111"/>
          <w:sz w:val="28"/>
          <w:sz w:val="28"/>
          <w:szCs w:val="28"/>
          <w:rtl w:val="true"/>
          <w:lang w:bidi="fa-IR"/>
        </w:rPr>
        <w:t>چون بپخت و گشت شیرین لب گزان</w:t>
      </w:r>
    </w:p>
    <w:p>
      <w:pPr>
        <w:pStyle w:val="BookText"/>
        <w:rPr/>
      </w:pPr>
      <w:r>
        <w:rPr>
          <w:rFonts w:ascii="IRNazanin" w:hAnsi="IRNazanin" w:eastAsia="IRNazanin"/>
          <w:color w:val="111111"/>
          <w:sz w:val="28"/>
          <w:sz w:val="28"/>
          <w:szCs w:val="28"/>
          <w:rtl w:val="true"/>
          <w:lang w:bidi="fa-IR"/>
        </w:rPr>
        <w:t>سست گیرد شاخها را بعد از آن</w:t>
      </w:r>
    </w:p>
    <w:p>
      <w:pPr>
        <w:pStyle w:val="BookText"/>
        <w:rPr/>
      </w:pPr>
      <w:r>
        <w:rPr>
          <w:rFonts w:ascii="IRNazanin" w:hAnsi="IRNazanin" w:eastAsia="IRNazanin"/>
          <w:color w:val="111111"/>
          <w:sz w:val="28"/>
          <w:sz w:val="28"/>
          <w:szCs w:val="28"/>
          <w:rtl w:val="true"/>
          <w:lang w:bidi="fa-IR"/>
        </w:rPr>
        <w:t>سختگیری و تعصب خامی است</w:t>
      </w:r>
    </w:p>
    <w:p>
      <w:pPr>
        <w:pStyle w:val="BookText"/>
        <w:rPr/>
      </w:pPr>
      <w:r>
        <w:rPr>
          <w:rFonts w:ascii="IRNazanin" w:hAnsi="IRNazanin" w:eastAsia="IRNazanin"/>
          <w:color w:val="111111"/>
          <w:sz w:val="28"/>
          <w:sz w:val="28"/>
          <w:szCs w:val="28"/>
          <w:rtl w:val="true"/>
          <w:lang w:bidi="fa-IR"/>
        </w:rPr>
        <w:t>تا جنینی کار خون آشامی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این بحث در پیرامون اخلاق به عنوان یکی از مبانی استنباط و حکم دادگاه از موضوع خارج است لذا به همین اندازه بسنده می‌کنیم</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7474_109428"/>
      <w:bookmarkStart w:id="487" w:name="pg7474_109428"/>
      <w:bookmarkEnd w:id="487"/>
    </w:p>
    <w:p>
      <w:pPr>
        <w:pStyle w:val="Heading2"/>
        <w:numPr>
          <w:ilvl w:val="1"/>
          <w:numId w:val="1"/>
        </w:numPr>
        <w:rPr/>
      </w:pPr>
      <w:bookmarkStart w:id="488" w:name="pg7474_109428"/>
      <w:bookmarkStart w:id="489" w:name="__RefHeading___Toc2151075_1051229030"/>
      <w:bookmarkStart w:id="490" w:name="_Toc185"/>
      <w:bookmarkEnd w:id="488"/>
      <w:bookmarkEnd w:id="489"/>
      <w:r>
        <w:rPr>
          <w:rtl w:val="true"/>
        </w:rPr>
        <w:t xml:space="preserve">بخش چهارم </w:t>
      </w:r>
      <w:r>
        <w:rPr>
          <w:rtl w:val="true"/>
        </w:rPr>
        <w:t xml:space="preserve">- </w:t>
      </w:r>
      <w:r>
        <w:rPr>
          <w:rtl w:val="true"/>
        </w:rPr>
        <w:t>کار آیی</w:t>
      </w:r>
      <w:bookmarkEnd w:id="490"/>
    </w:p>
    <w:p>
      <w:pPr>
        <w:pStyle w:val="Heading3"/>
        <w:numPr>
          <w:ilvl w:val="2"/>
          <w:numId w:val="1"/>
        </w:numPr>
        <w:rPr/>
      </w:pPr>
      <w:bookmarkStart w:id="491" w:name="__RefHeading___Toc2151077_1051229030"/>
      <w:bookmarkStart w:id="492" w:name="_Toc186"/>
      <w:bookmarkEnd w:id="491"/>
      <w:r>
        <w:rPr>
          <w:rtl w:val="true"/>
        </w:rPr>
        <w:t>استنباط و استدراک</w:t>
      </w:r>
      <w:bookmarkEnd w:id="492"/>
    </w:p>
    <w:p>
      <w:pPr>
        <w:pStyle w:val="BookText"/>
        <w:rPr/>
      </w:pPr>
      <w:r>
        <w:rPr>
          <w:rFonts w:ascii="IRNazanin" w:hAnsi="IRNazanin" w:eastAsia="IRNazanin"/>
          <w:color w:val="111111"/>
          <w:sz w:val="28"/>
          <w:sz w:val="28"/>
          <w:szCs w:val="28"/>
          <w:rtl w:val="true"/>
          <w:lang w:bidi="fa-IR"/>
        </w:rPr>
        <w:t>مشتمل بر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و اقسام استنباط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اولی و ثانوی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مصلحت نوعی و شخصی </w:t>
      </w:r>
      <w:bookmarkStart w:id="493" w:name="pg7474_109429"/>
    </w:p>
    <w:p>
      <w:pPr>
        <w:pStyle w:val="Heading3"/>
        <w:numPr>
          <w:ilvl w:val="2"/>
          <w:numId w:val="1"/>
        </w:numPr>
        <w:rPr/>
      </w:pPr>
      <w:bookmarkStart w:id="494" w:name="__RefHeading___Toc2151079_1051229030"/>
      <w:bookmarkStart w:id="495" w:name="_Toc187"/>
      <w:bookmarkEnd w:id="493"/>
      <w:bookmarkEnd w:id="494"/>
      <w:r>
        <w:rPr>
          <w:rtl w:val="true"/>
        </w:rPr>
        <w:t>تعریف و اقسام استنباط</w:t>
      </w:r>
      <w:bookmarkEnd w:id="495"/>
    </w:p>
    <w:p>
      <w:pPr>
        <w:pStyle w:val="BookText"/>
        <w:rPr/>
      </w:pPr>
      <w:r>
        <w:rPr>
          <w:rFonts w:ascii="IRNazanin" w:hAnsi="IRNazanin" w:eastAsia="IRNazanin"/>
          <w:color w:val="111111"/>
          <w:sz w:val="28"/>
          <w:sz w:val="28"/>
          <w:szCs w:val="28"/>
          <w:rtl w:val="true"/>
          <w:lang w:bidi="fa-IR"/>
        </w:rPr>
        <w:t xml:space="preserve">در بخش گذشته، مبانی استنباط در دوازده گفتار بیان گردید، و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مبانی اصلی و تغییر ناپذیر است، منابعی که انتظام هیأت و اساس نظام بستگی به اعتبار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سرچشمه‌های دیگر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قیاس، عرف و عادت ، استحسان و استصلاح و فرضهای قانونی همه برای جبران نقص یا سکوت، اجمال و ابهام و یا تعارض نصوص است و در مسیر دگرگونیهای اجتماعی در مسائل تازه حقوق مدنی راه حل نشان داده است، در واقع اگر بدرستی منابع اخیر مورد مطالعه و بهره‌برداری علمی قرار گیرد توان خود را باز هم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اجتهاد به معنی رنج بردن و سختی کشیدن است، و بنا به تعریف 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به کار بردن همه توانایی و طاقت است، در راه دریافت گمان نسبت به حکمی شرعی از روی دلیلهای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اجتهاد و استنباط بیرون کشیدن پاسخهای مسائل قضائی از مآخذ آن است</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حقوق و استنباط قضایی پاسخگویی به پرسشهایی است که جامعه در برابر وی می‌نهد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در طریق ما بکوشند، ایشان را به راههای </w:t>
      </w:r>
    </w:p>
    <w:p>
      <w:pPr>
        <w:pStyle w:val="BookText"/>
        <w:rPr/>
      </w:pPr>
      <w:r>
        <w:rPr>
          <w:rFonts w:ascii="IRNazanin" w:hAnsi="IRNazanin" w:eastAsia="IRNazanin"/>
          <w:color w:val="111111"/>
          <w:sz w:val="28"/>
          <w:sz w:val="28"/>
          <w:szCs w:val="28"/>
          <w:rtl w:val="true"/>
          <w:lang w:bidi="fa-IR"/>
        </w:rPr>
        <w:t>خود رهبری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اندیشه و اصطلاح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این آیه برخاسته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 چاهی می‌کنی هر روز خاک</w:t>
      </w:r>
    </w:p>
    <w:p>
      <w:pPr>
        <w:pStyle w:val="BookText"/>
        <w:rPr/>
      </w:pPr>
      <w:r>
        <w:rPr>
          <w:rFonts w:ascii="IRNazanin" w:hAnsi="IRNazanin" w:eastAsia="IRNazanin"/>
          <w:color w:val="111111"/>
          <w:sz w:val="28"/>
          <w:sz w:val="28"/>
          <w:szCs w:val="28"/>
          <w:rtl w:val="true"/>
          <w:lang w:bidi="fa-IR"/>
        </w:rPr>
        <w:t>لاجرم روزی رسی بر آب پاک</w:t>
      </w:r>
    </w:p>
    <w:p>
      <w:pPr>
        <w:pStyle w:val="BookText"/>
        <w:rPr/>
      </w:pPr>
      <w:r>
        <w:rPr>
          <w:rFonts w:ascii="IRNazanin" w:hAnsi="IRNazanin" w:eastAsia="IRNazanin"/>
          <w:color w:val="111111"/>
          <w:sz w:val="28"/>
          <w:sz w:val="28"/>
          <w:szCs w:val="28"/>
          <w:rtl w:val="true"/>
          <w:lang w:bidi="fa-IR"/>
        </w:rPr>
        <w:t xml:space="preserve">و استنباط در لغت بیرون کشیدن آب از زیر خاک را گویند و نیز به طور مطلق به معنی آشکار ساختن چیز پنهان نیز آمده است،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خبری از امن و بیم به آنها رسد انتشارش دهند و اگر آن را به پیامبر و کارداران وی رجوع می‌کردند هر آینه فرا می‌گرفتند آن را کسانی که قوه استنباط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که واژه استنباط از این آیه گرفته شده باشد 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کشیدن حکم فقهی پنهانی را به وسیله نیروی فهم و کوشش، استنباط گویند و بنابراین استنباط مرادف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استنباط و اجتهاد، صاحب نظر شدن در فقه است و آن کس که این نیرو و درک را دار د مستنبط ، مجتهد، مفتی و یا قاضی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مستنبط با مراجعه به منابع نقلی 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مادام که این فتوا با ضروریات عقل و علم و مصلحت جامعه و عدل و انصاف سازگار باشد، جای خود را در میان مردم باز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جوان مشتق شده و مفتی با فتوایی که می‌دهد در واقع پرسنده فتوا را جوان می‌کند و نیرو می‌بخشد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و کلی، استنباط جزئی هنگامی است که منظور از آن تعیین تکلیف مورد خاص و شخص خاصی است، خواه در مقام قضا باشد و خواه نباشد، و استنباط کلی زمانی است که یک قضیه کلی مورد سؤال قرار گیرد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استنباط عبارت از قوه و استعدادی است باطنی که به شناخت بینجامد و اندیشه‌ای است که موجب فهم دشواریها و راه حل مسائل تازه شود، بنابراین استنباط ، علمی است حصولی که شیئی و موضوع را به ما می‌شناساند بر خلاف علم حضوری که بر پایه کشف و شهود بلاواسطه استوار است، از نوع معرفتی که فاعل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پرورش استعدادی که از اصول علم حقوق و مواد قانونی راه حل مسائل تازه را بیابد و آنها را در جهت تحقق بخشیدن به عدالت اجتماعی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به کسی که دارای چنین استعداد و نیرویی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نیروی استنباط، از عدالت بالقوه در منابع حقوق، عدالت بالفعل پدید می‌آورد، نیازهای زندگی و صور متحول و متجدد آن را با مبانی حق می‌سنجد و راه حل نشان می‌دهد، چرا که غایت و هدف حقوق، فعلیت دادن به عدالت است، بنابراین قریحه استنباط که از مواد قانونی و به کمک اصول علم حقوق، برای صورتها و رفتارهای زندگی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معروض تحول و تجدد دایمند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عادلانه و مناسب می‌یابد، کارآیی استنباط را در گذر زمان و در شیوه حل مسائل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فتاوای مجتهدان، موجب آن است که عمل به همه آنها محال و یا موجب تفرقه و تشتت شود، بنابراین به نظر برخی از صاحبنظران، ضرورت دارد که در این میان فتوای مورد 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بصورت اکثریت آرای نمایندگان مجلس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 قرار گیرد، و از سوی دیگر چون قاضی باید بتواند حکم دعوی و یا واقعه حقوقی یا کیفری را از قوانین مصوبه مجلس که به زبان فارسی است استخراج کند، از این رو منظور مجتهد و اجتهاد، در قانون اساسی جمهوری اسلامی ایران، در همه جا معنای شرعی آن نیست، بلکه منظور آن است که قاضی از اصول کلی فقه اسلامی، آگاه باشد وتوانایی استنباط داشته باشد و بتواند حکم قضیه را از قوانین فارسی مصوب استخراج کند بنابراین بیشتر جاها که به دنبال واژه قاضی صفت مجتهد اضافه شده این معنی مراد است، بویژه که در حال حاضر در دستگاه دادگستری ما استخدام قاضی مجتهد به معنی شرعی آن دشوار بنظر می‌رسد و قضات فعلی به تعبیر شرعی به حکم ضرورت اکثر قریب به اتفاق مأذون از سوی مجتهدند و احکامشان بر طبق قوانین موضوعه کشوری است نه مبانی اصلی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قاضی در عمق ضمیر خویش مایل و علاقمند باشد که کاش در این دعوی حق به جانب فلان کس باشد، و من بتوانم به نفع او رأی دهم، این قاضی هر چند در صدور حکم رعایت بی طرفی را نیز کرده باشد، در برابر خداوند مسؤولیت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بمراتب و مدارک دیگر به نظر می‌رسد که قاضی از عضویت در احزاب و گروههای تندرو باید ممنوع شود، جایی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باید حتی در نگاه و اشاره و جای نشستن طرفین دعوی را به یک چشم نگاه کند و آنها را برابر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باید از آنچه این ویژگی را در او از بین می‌برد و یا حتی تضعیف می‌کند ممنوع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برای تقویت علم خود می‌تواند از دانشمندان برای مشورت دعوت کند، و نظر آنان را در حکم خود دخالت دهد، اصل علن در دادرسی مورد قبول همه حقوقدانان است زیرا قاضی در دادرسی علنی رعایت حق و عدالت را بیشتر از دادرسی سری می‌کند، به این دلیل که در حضور گروهی تماشاچی بسیار بعید بنظر می‌رسد که در انحراف از حق وانصاف اصرار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نظامهای حقوقی دنیا، خردمندی و پارسایی و دادگری را از شرایط عمومی احراز مقام قضا می‌دانند لکن شرایط ویژه، داشتن معلومات کافی و قوه استنباط در قوانین آن نظام است، در نظام اسلامی قاضی چون باید موارد تازه را از مبانی اصلی فقه استنباط کند باید به زبان عرب و تفسیر قرآن و علم حدیث و درایه و رجال و منطق و فقه و اصول آشنا باشد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جمله شرایط ویژه دانسته‌اند</w:t>
      </w:r>
      <w:r>
        <w:rPr>
          <w:rStyle w:val="FootnoteAnchor"/>
          <w:rtl w:val="true"/>
        </w:rPr>
        <w:footnoteReference w:id="286"/>
      </w:r>
      <w:r>
        <w:rPr>
          <w:rFonts w:ascii="IRNazanin" w:hAnsi="IRNazanin" w:eastAsia="IRNazanin"/>
          <w:color w:val="111111"/>
          <w:sz w:val="28"/>
          <w:sz w:val="28"/>
          <w:szCs w:val="28"/>
          <w:rtl w:val="true"/>
          <w:lang w:bidi="fa-IR"/>
        </w:rPr>
        <w:t xml:space="preserve">به نظر می‌رسد هدف هنر استنباط و شم قضایی، پیدا کردن راه حل از مبانی فقه در مسائل تازه و گاه به حکم ضرورت هماهنگی آنها با اوضاع و احوال زمانه است و این به نحو اجمال و یا به نحو تفصیل، گاه ناگزیراز تغییر و تبدیل آرا و احکام شرعی است، حتی گاه ممکن است مخالف نص فتوایی داده شود، و با عنایت به این که در قرآن و سنت آشکارا از حکم دادن به آنچه از سوی خدا نیامده است نهی شده، </w:t>
      </w:r>
      <w:r>
        <w:rPr>
          <w:rStyle w:val="FootnoteAnchor"/>
          <w:rtl w:val="true"/>
        </w:rPr>
        <w:footnoteReference w:id="287"/>
      </w:r>
      <w:r>
        <w:rPr>
          <w:rFonts w:ascii="IRNazanin" w:hAnsi="IRNazanin" w:eastAsia="IRNazanin"/>
          <w:color w:val="111111"/>
          <w:sz w:val="28"/>
          <w:sz w:val="28"/>
          <w:szCs w:val="28"/>
          <w:rtl w:val="true"/>
          <w:lang w:bidi="fa-IR"/>
        </w:rPr>
        <w:t xml:space="preserve">ناسازگاری با نص چگونه توجیه پذیر خواهد بود؟ پاسخ آن است که دگرگونی در محتوای احکام شرعی، به دستور خود شریعت است و از آن سرچشمه گرفته و بنابراین حکم ثانوی در واقع هماهنگ با نص و حرکتی جوهری است؛ خط اصلی اندیشه انبیا همه یکی است ؛ همانها که فطرت و طبیعت هر آدمیزادی وجوب و حرمت آنها را می‌شناسد، همان حقوق فطری و طبیعی آدمی، مثل بدی ظلم و خوبی عدالت و تعاون واحسان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ماندنی و پایدارند و تغییر ناپذیر؛ لکن آنچه خاستگاهش فطرت آدمی نیست، بلکه وضع و قرارداد در آن دخالت دارد، و یا امضای عرفهای مربوط به زمانهای خاصی است، چون از فطرت الهی درنهاد بشر برنخاسته است، ناپایدار و قابل دگرگونی 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از دیدگاهی دیگر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متجزی؛ اجتهاد مطلق در شخصی فراهم می‌آید که در همه ابواب فقه بی استثنا بتواند حکم قضیه را استخراج کند و اجتهاد متجزی در شخصی فراهم می‌شود که قدرت استنباط وی در برخی از ابواب به کمال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bookmarkStart w:id="496" w:name="pg7474_109433"/>
    </w:p>
    <w:p>
      <w:pPr>
        <w:pStyle w:val="BookText"/>
        <w:rPr/>
      </w:pPr>
      <w:bookmarkEnd w:id="496"/>
      <w:r>
        <w:rPr>
          <w:rFonts w:ascii="IRNazanin" w:hAnsi="IRNazanin" w:eastAsia="IRNazanin"/>
          <w:color w:val="111111"/>
          <w:sz w:val="28"/>
          <w:sz w:val="28"/>
          <w:szCs w:val="28"/>
          <w:rtl w:val="true"/>
          <w:lang w:bidi="fa-IR"/>
        </w:rPr>
        <w:t>می‌رسد که رفته‌رفته حوزه‌های فقهی به این نظر نزدیک می‌شوند که حجیت و اعتبار اجتهاد به تجزی را بپذیرند ، و از نظریه اعتبار اجتهاد مطلق که زمانی برای تمرکز رهبری در یک فرد پدید آمده بود،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مجتهد مطلق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 که از متخصصان در شاخه‌های گوناگون حقوقی و اقتصادی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شاید ملاحظه‌های سیاسی امکان انجام چنین تصمیم متهورانه‌ای را تا کنون به تأخیر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اخباریان، با وجود قرآن و سنت که احکام بتفصیل در آنها آمده، نیازی به اجتهاد و استنباط نیست؛ و این سخن مانند آن است که بگویند چون شرح همه داروها در کتابهای پزشکی آمده ، نیازی به پزشک و علم پزشکی نیست، در واقع لزوم و ضرورت اجتهاد از همین نکته برخاسته است؛ و به همین دلیل همه را عقیده بر آن است که اجتهاد آن کس که دانشمند تر است، از آن که پارساتر است معتبرتر است، زیرا وسیله استنباط علم است نه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چون مستنبط، با الهام از پیشرفتهای علمی و حقوقی روز نسبت به مسائل تازه اظهار نظر می‌کند، بنابراین بر استنباط آن که فوت شده، اعتباری نیست؛ زیرا او به هیچ وجه توانایی پیش بینی حوادث پس از مرگش را ندارد، در حالی که اخباریان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مردنی نیست و به تعبیر دیگر حقیقت با مرگ و زندگانی آدمیان تغییر نمی پذیرد و بدیهی است که این سخن به این معنی است که اساساً آنان جامعه را در حالت ثبات و سکون فرض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شناخت معارف دینی، نیاز به اجتهاد دارد، و هر روز در پرتو تغییر و تحول و تکامل معارف بشری، معارف دینی هم دستخوش دگرگونی است، البته معارف دینی، نه اصل دین که همواره ثابت است</w:t>
      </w:r>
      <w:r>
        <w:rPr>
          <w:rFonts w:eastAsia="IRNazanin" w:cs="IRNazanin"/>
          <w:color w:val="111111"/>
          <w:sz w:val="28"/>
          <w:szCs w:val="28"/>
          <w:rtl w:val="true"/>
          <w:lang w:bidi="fa-IR"/>
        </w:rPr>
        <w:t>.</w:t>
      </w:r>
    </w:p>
    <w:p>
      <w:pPr>
        <w:pStyle w:val="Heading3"/>
        <w:numPr>
          <w:ilvl w:val="2"/>
          <w:numId w:val="1"/>
        </w:numPr>
        <w:rPr/>
      </w:pPr>
      <w:bookmarkStart w:id="497" w:name="__RefHeading___Toc2151081_1051229030"/>
      <w:bookmarkStart w:id="498" w:name="_Toc188"/>
      <w:bookmarkEnd w:id="497"/>
      <w:r>
        <w:rPr>
          <w:rtl w:val="true"/>
        </w:rPr>
        <w:t>حکم اولی و ثانوی</w:t>
      </w:r>
      <w:bookmarkEnd w:id="498"/>
    </w:p>
    <w:p>
      <w:pPr>
        <w:pStyle w:val="BookText"/>
        <w:rPr/>
      </w:pPr>
      <w:r>
        <w:rPr>
          <w:rFonts w:ascii="IRNazanin" w:hAnsi="IRNazanin" w:eastAsia="IRNazanin"/>
          <w:color w:val="111111"/>
          <w:sz w:val="28"/>
          <w:sz w:val="28"/>
          <w:szCs w:val="28"/>
          <w:rtl w:val="true"/>
          <w:lang w:bidi="fa-IR"/>
        </w:rPr>
        <w:t>می‌دانیم که احکام مستند به اصلهای عملی یا فرضهای قانونی، مثل استصحاب و برائت که برای رفع سرگردانی وضع شده، همه از احکام ظاهری است نه واقعی؛ بهر تقدیر حکم واقعی نیز از دیدگاهی دیگر به اولی و ثانوی تقسیم می‌شود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واقعی اولی تشریح جسد مرده، حرمت است، لکن چون دانش پزشکی بی تشریح نمی‌تواند به پیشرفتی برسد و یا در برخی موارد در پرونده‌های جنایی که فوت شخصی مشکوک است، به حکم ضرورت و از نظر کشف واقع، تشریح جسد و حتی نبش قبر واجب است، وجوب تشریح در اینجا حکم واقعی ثانوی است و مبنای حکم مصلحت اجتماعی و اصل ضرورت و استلزام عقلی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واقعی اولی، تولید نسل به صورت نامحدود است، اما اگر محدودیت موالید به لحاظ مسائل اقتصادی و اجتماعی و فرهنگی ضرورت پیدا کند، به حکم ثانوی محدودیت زاد و ولد و تنظیم خانواده مجاز است زیرا فرض اینست که جامعه از آزاد گذاشتن آن ضرر می‌بیند، بنابراین تحریم و تجویز هر چیزی در شرع بستگی به شناسایی نسبت حالات آن شی‌ء با انسان دارد، و اگر ما به فلسفه نسبیت توجه کنیم، روشن خواهد شد که عملی واحد در زمانهای گوناگون احکام گوناگون پیدا خواهد کرد و این همانانسبت حال به فعل و فعل به حال است و یا همان است که ما آن را زیر عنوان اولی و ثانوی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حرمت فعلی بالذات نیست بلکه حرمت و یا اباحه آن اعتباری و نسبت به حال فاعل آن است، و این امر به آگاهی و بصیرت از زمان و جامعه نیاز دارد تا مستنبط بتواند از اصول کلی هدف عقلانی موارد را تمیز دهد زیرا هر فعل وقتی به غایت عقلانی خود برسد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ثانوی دائر مدار عسر و حرج و یا ضرورت اجتماعی و یا قاعده لاضرر است و مادام که آن عسر و حرج یا ضرورت باقی است حکم ثانوی هم معتبر است والا قضیه به اصل خود که نص است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برای زمانی محدود و در اوضاع و احوالی خاص به عنوان حکم ثانوی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اکثر قوانین شرعی نسبی است، نسبیت و عدم اطلاق احکام شرعی به نحوی است که برخی شریعت را مختلف الاصول دانسته و آن را به دانش اصلها و استثناها تعریف کرده‌اند</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تأیید مراتب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مشکوه‌المصابیح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عهدی زندگی می‌کنید که اگر تنها یک عشر از احکام را متروک بدارید به هلاکت خواهید رسید، ولی عهدی خواهد آمد که اگر به یک عشر آن احکام عمل نمایند رستگار خواهند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حدیث را به گونه دیگر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روزگاری بیاید که هر که ده یک این احتیاطها بکند که شما می‌کنید، وی را کفایت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که شما یاور دارید بر خیرات، از آن سبب بر شما آسان بود و ایشان یاور ندارند و غریب باشند میان غافلان</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امامیه نیز حدیثهای مؤید این معنی و حتی به همین مضمون آمده است، به نظر می‌رسد که </w:t>
      </w:r>
      <w:bookmarkStart w:id="499" w:name="pg7474_109435"/>
    </w:p>
    <w:p>
      <w:pPr>
        <w:pStyle w:val="BookText"/>
        <w:rPr/>
      </w:pPr>
      <w:bookmarkEnd w:id="499"/>
      <w:r>
        <w:rPr>
          <w:rFonts w:ascii="IRNazanin" w:hAnsi="IRNazanin" w:eastAsia="IRNazanin"/>
          <w:color w:val="111111"/>
          <w:sz w:val="28"/>
          <w:sz w:val="28"/>
          <w:szCs w:val="28"/>
          <w:rtl w:val="true"/>
          <w:lang w:bidi="fa-IR"/>
        </w:rPr>
        <w:t>همه اینها نشان دهنده آن است که عنوانهای ثانوی در زمانهای پس از پیامبر خواهد آمد که احکام ثانوی زیر آن عنوانها مصداق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اولی موسیقی و هنر اباحه است، لکن این هدف است که گاهی آن را حرام و زمانی واجب می‌نماید و در واقع به اعتبارهای گوناگون احکام ثانوی متفاوت دارد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2151083_1051229030"/>
      <w:bookmarkStart w:id="501" w:name="_Toc189"/>
      <w:bookmarkEnd w:id="500"/>
      <w:r>
        <w:rPr>
          <w:rtl w:val="true"/>
        </w:rPr>
        <w:t>مصلحت شخصی و نوعی</w:t>
      </w:r>
      <w:bookmarkEnd w:id="501"/>
    </w:p>
    <w:p>
      <w:pPr>
        <w:pStyle w:val="BookText"/>
        <w:rPr/>
      </w:pPr>
      <w:r>
        <w:rPr>
          <w:rFonts w:ascii="IRNazanin" w:hAnsi="IRNazanin" w:eastAsia="IRNazanin"/>
          <w:color w:val="111111"/>
          <w:sz w:val="28"/>
          <w:sz w:val="28"/>
          <w:szCs w:val="28"/>
          <w:rtl w:val="true"/>
          <w:lang w:bidi="fa-IR"/>
        </w:rPr>
        <w:t>هر گاه شخصی کالای خود را از بیم غرق شدن کشتی در دریا اندازد، بدیهی است که حکم اولی این عمل، حرمت است، زیرا اتلاف مال حرام است، لکن چون مصلحت نوعی و بیم جان ایجاب کرده است، تحریم مبدل به وجوب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عادی کسی حق ندارد، اشجار باغ دیگری را قطع کند، لکن اگر سیل آمد و مهار کردن سیل به چوب اشجار نیاز پیدا کرد، مصلحت نوعی اقتضا دارد که بی درنگ و بی جلب رضایت مالک، درختها را قطع کنند و برای دفع سیل مورد بهره‌برداری قرار دهند، بدیهی است پس از رفع خطر، باید از مالک جبران خسارت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به وفای به عهد و پیمان تأکید بسیار شده لکن اگراز وفای به عهد جامعه آسیب ببیند، آن پیمان باطل است، در قرآن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خیانت قومی بیمناک شدی، پیمانشان را بایشان باز گردان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این که از آزادی قراردادها حق فرد و جامعه تضییع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تا در اثر اشتباه یا اکراه یا خدعه و نیرنگ ، مردم در برابر امری قرار نگیرند که نتوانند آن را جبران 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مصلحت مشخصی که موجب وضع قانون بوده، تغییر می‌یابد در آن جا آیا قانون را باید با مصلحت قدیم تفسیر کرد یا مصلحت جدید؟ مثلاً در حدیث آمده است که سکوت دختر در امر ازدواج مبین رضایت 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اذنها صماتها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وضع این حدیث، عرف زمان پیامبر بوده، لکن امروز این عرف تغییر کرده </w:t>
      </w:r>
    </w:p>
    <w:p>
      <w:pPr>
        <w:pStyle w:val="BookText"/>
        <w:rPr/>
      </w:pPr>
      <w:r>
        <w:rPr>
          <w:rFonts w:ascii="IRNazanin" w:hAnsi="IRNazanin" w:eastAsia="IRNazanin"/>
          <w:color w:val="111111"/>
          <w:sz w:val="28"/>
          <w:sz w:val="28"/>
          <w:szCs w:val="28"/>
          <w:rtl w:val="true"/>
          <w:lang w:bidi="fa-IR"/>
        </w:rPr>
        <w:t>است، آیا باز هم سکوت، علامت رضا است؟ برخی از فقیهان و از جمله قاضی ابویوسف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عرف تغییر کند قانون هم که بر مبنای آن وضع شده باید تغییر کند</w:t>
      </w:r>
      <w:r>
        <w:rPr>
          <w:rStyle w:val="FootnoteAnchor"/>
          <w:rtl w:val="true"/>
        </w:rPr>
        <w:footnoteReference w:id="292"/>
      </w:r>
      <w:r>
        <w:rPr>
          <w:rFonts w:ascii="IRNazanin" w:hAnsi="IRNazanin" w:eastAsia="IRNazanin"/>
          <w:color w:val="111111"/>
          <w:sz w:val="28"/>
          <w:sz w:val="28"/>
          <w:szCs w:val="28"/>
          <w:rtl w:val="true"/>
          <w:lang w:bidi="fa-IR"/>
        </w:rPr>
        <w:t>، زیرا قانون تابع مصلحت اجتماعی است نه مصلحت پیرو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گواهانی در تأیید این ادعا دارد، از جمله نماز که واجبی در همه احکام، به پای آن نمی‌رسد، به هنگام ضرورت ، به تأخیر می‌افتد، آنهم مردم نماز عصر را بعد از نماز عشا گزاردند و پیامبر نیز آنان را نکوهش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تقریری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مورد، بر فرض تأیید منابع تاریخی امامیه، کلیت نمی‌تواند داشته باشد، 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وچون پیغمبر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قریظه رسید بر چاهی که بنام چاه انا شهره بود فرود آمد و مردم پیوسته می رسیدند، کسانی به وقت نماز عشا رسیدند و نماز عصر نکرده بودند از آن رو که پیغمبر گفته بود نماز عصر را در محل بنی قریظه بگزارند و به گرفتاریهای جنگ اشتغال داشته بودند و خواسته بودند به رعایت گفتار پیغمبر در بنی قریظه نماز کنند نماز عصر را پس از عشا کردند و خدای در کتاب خویش این را عیب نگرفت و پیغمبر خدا توبیخشان نکرد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استنباط یک مسأله قضایی و راه حل یک واقعه اجتماعی بستگی به آگاهی و بصیرت کافی از اوضاع زمان دارد، بینشی فلسفی و عرفانی و اجتماعی می‌خواهد و دوراندیشی و فراست فراوان و ژرف، و این کار بدون آگاهی از دانشهای مرتبط با حقوق، مثل فلسفه و اقتصاد و جامعه شناسی امکان پذیر نیست زیرا حقوق با این دانشها خویشاوندی نزدیک دارد و این جا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می‌شود که گفته ا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اگر بدرستی مورد مطالعه و استفاده قرار گیرد، دوست و در واقع خواهر رضاعی شریعت است</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گفته شد، مستنبط باید دنیایی از خودگذشتگی و پارسایی و مروت و انصاف داشته باشد، تا اصل فدای فرع نشود و جامعه زیان نبیند و نابود نگردد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هنگام که بپایان دفتر رسیده ایم، برای تبرک و حسن ختام کلام مولوی را در شکایت قاضی از آفات قضا و دادرسی و پاسخ نایب وی می‌آوریم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ای بنشسته با خود می‌گریست</w:t>
      </w:r>
    </w:p>
    <w:p>
      <w:pPr>
        <w:pStyle w:val="BookText"/>
        <w:rPr/>
      </w:pPr>
      <w:r>
        <w:rPr>
          <w:rFonts w:ascii="IRNazanin" w:hAnsi="IRNazanin" w:eastAsia="IRNazanin"/>
          <w:color w:val="111111"/>
          <w:sz w:val="28"/>
          <w:sz w:val="28"/>
          <w:szCs w:val="28"/>
          <w:rtl w:val="true"/>
          <w:lang w:bidi="fa-IR"/>
        </w:rPr>
        <w:t>گفت 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 گریه ز چیست؟</w:t>
      </w:r>
    </w:p>
    <w:p>
      <w:pPr>
        <w:pStyle w:val="BookText"/>
        <w:rPr/>
      </w:pPr>
      <w:r>
        <w:rPr>
          <w:rFonts w:ascii="IRNazanin" w:hAnsi="IRNazanin" w:eastAsia="IRNazanin"/>
          <w:color w:val="111111"/>
          <w:sz w:val="28"/>
          <w:sz w:val="28"/>
          <w:szCs w:val="28"/>
          <w:rtl w:val="true"/>
          <w:lang w:bidi="fa-IR"/>
        </w:rPr>
        <w:t>این نه وقت گریه و فریاد تست</w:t>
      </w:r>
    </w:p>
    <w:p>
      <w:pPr>
        <w:pStyle w:val="BookText"/>
        <w:rPr/>
      </w:pPr>
      <w:r>
        <w:rPr>
          <w:rFonts w:ascii="IRNazanin" w:hAnsi="IRNazanin" w:eastAsia="IRNazanin"/>
          <w:color w:val="111111"/>
          <w:sz w:val="28"/>
          <w:sz w:val="28"/>
          <w:szCs w:val="28"/>
          <w:rtl w:val="true"/>
          <w:lang w:bidi="fa-IR"/>
        </w:rPr>
        <w:t>گاه شادی و مبارکباد تست</w:t>
      </w:r>
    </w:p>
    <w:p>
      <w:pPr>
        <w:pStyle w:val="BookText"/>
        <w:rPr/>
      </w:pPr>
      <w:r>
        <w:rPr>
          <w:rFonts w:ascii="IRNazanin" w:hAnsi="IRNazanin" w:eastAsia="IRNazanin"/>
          <w:color w:val="111111"/>
          <w:sz w:val="28"/>
          <w:sz w:val="28"/>
          <w:szCs w:val="28"/>
          <w:rtl w:val="true"/>
          <w:lang w:bidi="fa-IR"/>
        </w:rPr>
        <w:t>گفت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راند بیدلی</w:t>
      </w:r>
    </w:p>
    <w:p>
      <w:pPr>
        <w:pStyle w:val="BookText"/>
        <w:rPr/>
      </w:pPr>
      <w:r>
        <w:rPr>
          <w:rFonts w:ascii="IRNazanin" w:hAnsi="IRNazanin" w:eastAsia="IRNazanin"/>
          <w:color w:val="111111"/>
          <w:sz w:val="28"/>
          <w:sz w:val="28"/>
          <w:szCs w:val="28"/>
          <w:rtl w:val="true"/>
          <w:lang w:bidi="fa-IR"/>
        </w:rPr>
        <w:t>در میان آن دو عالم جاهلی</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آن دو خصم از واقعه خود واقفند</w:t>
      </w:r>
    </w:p>
    <w:p>
      <w:pPr>
        <w:pStyle w:val="BookText"/>
        <w:rPr/>
      </w:pPr>
      <w:r>
        <w:rPr>
          <w:rFonts w:ascii="IRNazanin" w:hAnsi="IRNazanin" w:eastAsia="IRNazanin"/>
          <w:color w:val="111111"/>
          <w:sz w:val="28"/>
          <w:sz w:val="28"/>
          <w:szCs w:val="28"/>
          <w:rtl w:val="true"/>
          <w:lang w:bidi="fa-IR"/>
        </w:rPr>
        <w:t>قاضی مسکین چه داند زین دو بند</w:t>
      </w:r>
    </w:p>
    <w:p>
      <w:pPr>
        <w:pStyle w:val="BookText"/>
        <w:rPr/>
      </w:pPr>
      <w:r>
        <w:rPr>
          <w:rFonts w:ascii="IRNazanin" w:hAnsi="IRNazanin" w:eastAsia="IRNazanin"/>
          <w:color w:val="111111"/>
          <w:sz w:val="28"/>
          <w:sz w:val="28"/>
          <w:szCs w:val="28"/>
          <w:rtl w:val="true"/>
          <w:lang w:bidi="fa-IR"/>
        </w:rPr>
        <w:t>جاهلست و غافلست از حالشان</w:t>
      </w:r>
    </w:p>
    <w:p>
      <w:pPr>
        <w:pStyle w:val="BookText"/>
        <w:rPr/>
      </w:pPr>
      <w:r>
        <w:rPr>
          <w:rFonts w:ascii="IRNazanin" w:hAnsi="IRNazanin" w:eastAsia="IRNazanin"/>
          <w:color w:val="111111"/>
          <w:sz w:val="28"/>
          <w:sz w:val="28"/>
          <w:szCs w:val="28"/>
          <w:rtl w:val="true"/>
          <w:lang w:bidi="fa-IR"/>
        </w:rPr>
        <w:t>چون رود در خونشان و مالشان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عالمند و علتی</w:t>
      </w:r>
    </w:p>
    <w:p>
      <w:pPr>
        <w:pStyle w:val="BookText"/>
        <w:rPr/>
      </w:pPr>
      <w:r>
        <w:rPr>
          <w:rFonts w:ascii="IRNazanin" w:hAnsi="IRNazanin" w:eastAsia="IRNazanin"/>
          <w:color w:val="111111"/>
          <w:sz w:val="28"/>
          <w:sz w:val="28"/>
          <w:szCs w:val="28"/>
          <w:rtl w:val="true"/>
          <w:lang w:bidi="fa-IR"/>
        </w:rPr>
        <w:t>جاهلی تو لیک شمع ملتی</w:t>
      </w:r>
    </w:p>
    <w:p>
      <w:pPr>
        <w:pStyle w:val="BookText"/>
        <w:rPr/>
      </w:pPr>
      <w:r>
        <w:rPr>
          <w:rFonts w:ascii="IRNazanin" w:hAnsi="IRNazanin" w:eastAsia="IRNazanin"/>
          <w:color w:val="111111"/>
          <w:sz w:val="28"/>
          <w:sz w:val="28"/>
          <w:szCs w:val="28"/>
          <w:rtl w:val="true"/>
          <w:lang w:bidi="fa-IR"/>
        </w:rPr>
        <w:t>زانکه تو علت نداری در میان</w:t>
      </w:r>
    </w:p>
    <w:p>
      <w:pPr>
        <w:pStyle w:val="BookText"/>
        <w:rPr/>
      </w:pPr>
      <w:r>
        <w:rPr>
          <w:rFonts w:ascii="IRNazanin" w:hAnsi="IRNazanin" w:eastAsia="IRNazanin"/>
          <w:color w:val="111111"/>
          <w:sz w:val="28"/>
          <w:sz w:val="28"/>
          <w:szCs w:val="28"/>
          <w:rtl w:val="true"/>
          <w:lang w:bidi="fa-IR"/>
        </w:rPr>
        <w:t>نور شد بی علتی در دیدگان</w:t>
      </w:r>
    </w:p>
    <w:p>
      <w:pPr>
        <w:pStyle w:val="BookText"/>
        <w:rPr/>
      </w:pPr>
      <w:r>
        <w:rPr>
          <w:rFonts w:ascii="IRNazanin" w:hAnsi="IRNazanin" w:eastAsia="IRNazanin"/>
          <w:color w:val="111111"/>
          <w:sz w:val="28"/>
          <w:sz w:val="28"/>
          <w:szCs w:val="28"/>
          <w:rtl w:val="true"/>
          <w:lang w:bidi="fa-IR"/>
        </w:rPr>
        <w:t>وان دو عالم را غرضشان کور کرد</w:t>
      </w:r>
    </w:p>
    <w:p>
      <w:pPr>
        <w:pStyle w:val="BookText"/>
        <w:rPr/>
      </w:pPr>
      <w:r>
        <w:rPr>
          <w:rFonts w:ascii="IRNazanin" w:hAnsi="IRNazanin" w:eastAsia="IRNazanin"/>
          <w:color w:val="111111"/>
          <w:sz w:val="28"/>
          <w:sz w:val="28"/>
          <w:szCs w:val="28"/>
          <w:rtl w:val="true"/>
          <w:lang w:bidi="fa-IR"/>
        </w:rPr>
        <w:t>علمشان را علت اندر گور کرد</w:t>
      </w:r>
    </w:p>
    <w:p>
      <w:pPr>
        <w:pStyle w:val="BookText"/>
        <w:rPr/>
      </w:pPr>
      <w:r>
        <w:rPr>
          <w:rFonts w:ascii="IRNazanin" w:hAnsi="IRNazanin" w:eastAsia="IRNazanin"/>
          <w:color w:val="111111"/>
          <w:sz w:val="28"/>
          <w:sz w:val="28"/>
          <w:szCs w:val="28"/>
          <w:rtl w:val="true"/>
          <w:lang w:bidi="fa-IR"/>
        </w:rPr>
        <w:t>جهل را بی علتی عالم کند</w:t>
      </w:r>
    </w:p>
    <w:p>
      <w:pPr>
        <w:pStyle w:val="BookText"/>
        <w:rPr/>
      </w:pPr>
      <w:r>
        <w:rPr>
          <w:rFonts w:ascii="IRNazanin" w:hAnsi="IRNazanin" w:eastAsia="IRNazanin"/>
          <w:color w:val="111111"/>
          <w:sz w:val="28"/>
          <w:sz w:val="28"/>
          <w:szCs w:val="28"/>
          <w:rtl w:val="true"/>
          <w:lang w:bidi="fa-IR"/>
        </w:rPr>
        <w:t>علم را علت کژ و ظالم کند</w:t>
      </w:r>
    </w:p>
    <w:p>
      <w:pPr>
        <w:pStyle w:val="BookText"/>
        <w:rPr/>
      </w:pPr>
      <w:r>
        <w:rPr>
          <w:rFonts w:ascii="IRNazanin" w:hAnsi="IRNazanin" w:eastAsia="IRNazanin"/>
          <w:color w:val="111111"/>
          <w:sz w:val="28"/>
          <w:sz w:val="28"/>
          <w:szCs w:val="28"/>
          <w:rtl w:val="true"/>
          <w:lang w:bidi="fa-IR"/>
        </w:rPr>
        <w:t>علم اگر بر تن زند باری شود</w:t>
      </w:r>
    </w:p>
    <w:p>
      <w:pPr>
        <w:pStyle w:val="BookText"/>
        <w:rPr/>
      </w:pPr>
      <w:r>
        <w:rPr>
          <w:rFonts w:ascii="IRNazanin" w:hAnsi="IRNazanin" w:eastAsia="IRNazanin"/>
          <w:color w:val="111111"/>
          <w:sz w:val="28"/>
          <w:sz w:val="28"/>
          <w:szCs w:val="28"/>
          <w:rtl w:val="true"/>
          <w:lang w:bidi="fa-IR"/>
        </w:rPr>
        <w:t>علم اگر بر جان زند یاری شود</w:t>
      </w:r>
    </w:p>
    <w:p>
      <w:pPr>
        <w:pStyle w:val="BookText"/>
        <w:rPr/>
      </w:pPr>
      <w:r>
        <w:rPr>
          <w:rFonts w:ascii="IRNazanin" w:hAnsi="IRNazanin" w:eastAsia="IRNazanin"/>
          <w:color w:val="111111"/>
          <w:sz w:val="28"/>
          <w:sz w:val="28"/>
          <w:szCs w:val="28"/>
          <w:rtl w:val="true"/>
          <w:lang w:bidi="fa-IR"/>
        </w:rPr>
        <w:t>علمهای اهل تن احمالشان</w:t>
      </w:r>
    </w:p>
    <w:p>
      <w:pPr>
        <w:pStyle w:val="BookText"/>
        <w:rPr/>
      </w:pPr>
      <w:r>
        <w:rPr>
          <w:rFonts w:ascii="IRNazanin" w:hAnsi="IRNazanin" w:eastAsia="IRNazanin"/>
          <w:color w:val="111111"/>
          <w:sz w:val="28"/>
          <w:sz w:val="28"/>
          <w:szCs w:val="28"/>
          <w:rtl w:val="true"/>
          <w:lang w:bidi="fa-IR"/>
        </w:rPr>
        <w:t>علمهای اهل دل حمالشان</w:t>
      </w:r>
    </w:p>
    <w:p>
      <w:pPr>
        <w:pStyle w:val="BookText"/>
        <w:rPr/>
      </w:pPr>
      <w:r>
        <w:rPr>
          <w:rFonts w:ascii="IRNazanin" w:hAnsi="IRNazanin" w:eastAsia="IRNazanin"/>
          <w:color w:val="111111"/>
          <w:sz w:val="28"/>
          <w:sz w:val="28"/>
          <w:szCs w:val="28"/>
          <w:rtl w:val="true"/>
          <w:lang w:bidi="fa-IR"/>
        </w:rPr>
        <w:t>تا تو رشوت نستدی بیننده‌ای</w:t>
      </w:r>
    </w:p>
    <w:p>
      <w:pPr>
        <w:pStyle w:val="BookText"/>
        <w:rPr/>
      </w:pPr>
      <w:r>
        <w:rPr>
          <w:rFonts w:ascii="IRNazanin" w:hAnsi="IRNazanin" w:eastAsia="IRNazanin"/>
          <w:color w:val="111111"/>
          <w:sz w:val="28"/>
          <w:sz w:val="28"/>
          <w:szCs w:val="28"/>
          <w:rtl w:val="true"/>
          <w:lang w:bidi="fa-IR"/>
        </w:rPr>
        <w:t>چون طمع کردی ضریر و بنده‌ای</w:t>
      </w:r>
    </w:p>
    <w:p>
      <w:pPr>
        <w:pStyle w:val="BookText"/>
        <w:rPr/>
      </w:pPr>
      <w:r>
        <w:rPr>
          <w:rFonts w:ascii="IRNazanin" w:hAnsi="IRNazanin" w:eastAsia="IRNazanin"/>
          <w:color w:val="111111"/>
          <w:sz w:val="28"/>
          <w:sz w:val="28"/>
          <w:szCs w:val="28"/>
          <w:rtl w:val="true"/>
          <w:lang w:bidi="fa-IR"/>
        </w:rPr>
        <w:t>چون دهد قاضی بر شوت دل قرار</w:t>
      </w:r>
    </w:p>
    <w:p>
      <w:pPr>
        <w:pStyle w:val="BookText"/>
        <w:rPr/>
      </w:pPr>
      <w:r>
        <w:rPr>
          <w:rFonts w:ascii="IRNazanin" w:hAnsi="IRNazanin" w:eastAsia="IRNazanin"/>
          <w:color w:val="111111"/>
          <w:sz w:val="28"/>
          <w:sz w:val="28"/>
          <w:szCs w:val="28"/>
          <w:rtl w:val="true"/>
          <w:lang w:bidi="fa-IR"/>
        </w:rPr>
        <w:t>کی شناسد ظالم از مظلوم زار</w:t>
      </w:r>
    </w:p>
    <w:p>
      <w:pPr>
        <w:pStyle w:val="BookText"/>
        <w:rPr/>
      </w:pPr>
      <w:r>
        <w:rPr>
          <w:rFonts w:ascii="IRNazanin" w:hAnsi="IRNazanin" w:eastAsia="IRNazanin"/>
          <w:color w:val="111111"/>
          <w:sz w:val="28"/>
          <w:sz w:val="28"/>
          <w:szCs w:val="28"/>
          <w:rtl w:val="true"/>
          <w:lang w:bidi="fa-IR"/>
        </w:rPr>
        <w:t>ظالم از مظلوم کی داند کسی</w:t>
      </w:r>
    </w:p>
    <w:p>
      <w:pPr>
        <w:pStyle w:val="BookText"/>
        <w:rPr/>
      </w:pPr>
      <w:r>
        <w:rPr>
          <w:rFonts w:ascii="IRNazanin" w:hAnsi="IRNazanin" w:eastAsia="IRNazanin"/>
          <w:color w:val="111111"/>
          <w:sz w:val="28"/>
          <w:sz w:val="28"/>
          <w:szCs w:val="28"/>
          <w:rtl w:val="true"/>
          <w:lang w:bidi="fa-IR"/>
        </w:rPr>
        <w:t>کو بود سخره هوا همچون خسی</w:t>
      </w:r>
    </w:p>
    <w:p>
      <w:pPr>
        <w:pStyle w:val="BookText"/>
        <w:rPr/>
      </w:pPr>
      <w:r>
        <w:rPr>
          <w:rFonts w:ascii="IRNazanin" w:hAnsi="IRNazanin" w:eastAsia="IRNazanin"/>
          <w:color w:val="111111"/>
          <w:sz w:val="28"/>
          <w:sz w:val="28"/>
          <w:szCs w:val="28"/>
          <w:rtl w:val="true"/>
          <w:lang w:bidi="fa-IR"/>
        </w:rPr>
        <w:t>ظالم از مظلوم آن کس پی برد</w:t>
      </w:r>
    </w:p>
    <w:p>
      <w:pPr>
        <w:pStyle w:val="BookText"/>
        <w:rPr/>
      </w:pPr>
      <w:r>
        <w:rPr>
          <w:rFonts w:ascii="IRNazanin" w:hAnsi="IRNazanin" w:eastAsia="IRNazanin"/>
          <w:color w:val="111111"/>
          <w:sz w:val="28"/>
          <w:sz w:val="28"/>
          <w:szCs w:val="28"/>
          <w:rtl w:val="true"/>
          <w:lang w:bidi="fa-IR"/>
        </w:rPr>
        <w:t>که سر نفس ظلوم خود برد</w:t>
      </w:r>
    </w:p>
    <w:p>
      <w:pPr>
        <w:pStyle w:val="BookText"/>
        <w:rPr/>
      </w:pPr>
      <w:r>
        <w:rPr>
          <w:rFonts w:ascii="IRNazanin" w:hAnsi="IRNazanin" w:eastAsia="IRNazanin"/>
          <w:color w:val="111111"/>
          <w:sz w:val="28"/>
          <w:sz w:val="28"/>
          <w:szCs w:val="28"/>
          <w:rtl w:val="true"/>
          <w:lang w:bidi="fa-IR"/>
        </w:rPr>
        <w:t>خشم و شهوت مرد را احول کند</w:t>
      </w:r>
    </w:p>
    <w:p>
      <w:pPr>
        <w:pStyle w:val="BookText"/>
        <w:rPr/>
      </w:pPr>
      <w:r>
        <w:rPr>
          <w:rFonts w:ascii="IRNazanin" w:hAnsi="IRNazanin" w:eastAsia="IRNazanin"/>
          <w:color w:val="111111"/>
          <w:sz w:val="28"/>
          <w:sz w:val="28"/>
          <w:szCs w:val="28"/>
          <w:rtl w:val="true"/>
          <w:lang w:bidi="fa-IR"/>
        </w:rPr>
        <w:t>ز استقامت روح را مبدل کند</w:t>
      </w:r>
    </w:p>
    <w:p>
      <w:pPr>
        <w:pStyle w:val="BookText"/>
        <w:rPr/>
      </w:pPr>
      <w:r>
        <w:rPr>
          <w:rFonts w:ascii="IRNazanin" w:hAnsi="IRNazanin" w:eastAsia="IRNazanin"/>
          <w:color w:val="111111"/>
          <w:sz w:val="28"/>
          <w:sz w:val="28"/>
          <w:szCs w:val="28"/>
          <w:rtl w:val="true"/>
          <w:lang w:bidi="fa-IR"/>
        </w:rPr>
        <w:t>چون غرض آمد هنر پوشیده شد</w:t>
      </w:r>
    </w:p>
    <w:p>
      <w:pPr>
        <w:pStyle w:val="BookText"/>
        <w:rPr/>
      </w:pPr>
      <w:r>
        <w:rPr>
          <w:rFonts w:ascii="IRNazanin" w:hAnsi="IRNazanin" w:eastAsia="IRNazanin"/>
          <w:color w:val="111111"/>
          <w:sz w:val="28"/>
          <w:sz w:val="28"/>
          <w:szCs w:val="28"/>
          <w:rtl w:val="true"/>
          <w:lang w:bidi="fa-IR"/>
        </w:rPr>
        <w:t>صد حجاب از دل بسوی دیده شد</w:t>
      </w:r>
    </w:p>
    <w:p>
      <w:pPr>
        <w:pStyle w:val="BookText"/>
        <w:rPr/>
      </w:pPr>
      <w:r>
        <w:rPr>
          <w:rFonts w:ascii="IRNazanin" w:hAnsi="IRNazanin" w:eastAsia="IRNazanin"/>
          <w:color w:val="111111"/>
          <w:sz w:val="28"/>
          <w:sz w:val="28"/>
          <w:szCs w:val="28"/>
          <w:rtl w:val="true"/>
          <w:lang w:bidi="fa-IR"/>
        </w:rPr>
        <w:t>رحم فرما بر قصور فهمها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ورای عقلها و وهمها</w:t>
      </w:r>
      <w:r>
        <w:rPr>
          <w:rStyle w:val="FootnoteAnchor"/>
          <w:rtl w:val="true"/>
        </w:rPr>
        <w:footnoteReference w:id="296"/>
      </w:r>
      <w:bookmarkStart w:id="502" w:name="pg7474_109438"/>
    </w:p>
    <w:p>
      <w:pPr>
        <w:pStyle w:val="Heading2"/>
        <w:numPr>
          <w:ilvl w:val="1"/>
          <w:numId w:val="1"/>
        </w:numPr>
        <w:rPr/>
      </w:pPr>
      <w:bookmarkStart w:id="503" w:name="__RefHeading___Toc2151085_1051229030"/>
      <w:bookmarkStart w:id="504" w:name="_Toc190"/>
      <w:bookmarkEnd w:id="502"/>
      <w:bookmarkEnd w:id="503"/>
      <w:r>
        <w:rPr>
          <w:rtl w:val="true"/>
        </w:rPr>
        <w:t>منابع و مراجع</w:t>
      </w:r>
      <w:bookmarkEnd w:id="504"/>
    </w:p>
    <w:p>
      <w:pPr>
        <w:pStyle w:val="BookText"/>
        <w:rPr/>
      </w:pPr>
      <w:r>
        <w:rPr>
          <w:rFonts w:ascii="IRNazanin" w:hAnsi="IRNazanin" w:eastAsia="IRNazanin"/>
          <w:color w:val="111111"/>
          <w:sz w:val="28"/>
          <w:sz w:val="28"/>
          <w:szCs w:val="28"/>
          <w:rtl w:val="true"/>
          <w:lang w:bidi="fa-IR"/>
        </w:rPr>
        <w:t>آربری،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وحی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حسن جوادی، تهران، 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 برن و نیم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دکتر امیرحسین آریانپور، تهران، جیبی،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کاشف الغطا،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آئین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ناصر مکارم شیرازی، تهران، غدیر،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الخطیب، محمدبن عبداللّه الخطیب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المکتب الاسلامی،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عبدالرحمن 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ابن خلدون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پروین گنابادی، تهران، بنگاه ترجمه و نشر کتاب،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ابی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محمد ابراهیم آیتی، تهران، بنگاه ترجمه و نشر کتاب،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دکتر حمید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جیبی،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حقوق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کیهان،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لطفی، دکتر کاویانی، تهران، ابن سینا،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فؤاد روحانی، تهران، بنگاه ترجمه و نشر کتاب،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فلسفه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امیر حسین آریانپور، تهران، مؤسسه فرهنگی منطقه‌ای،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اگوستین، سنت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تقی بهرامی و دیگران، تهران، بنگاه ترجمه و نشر کتاب،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ابوریحان، </w:t>
      </w:r>
      <w:r>
        <w:rPr>
          <w:rFonts w:eastAsia="IRNazanin" w:cs="IRNazanin"/>
          <w:color w:val="111111"/>
          <w:sz w:val="28"/>
          <w:szCs w:val="28"/>
          <w:lang w:bidi="fa-IR"/>
        </w:rPr>
        <w:t>13461335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سنگی،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 امیر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و 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احمد آرام، تهران، شرکت انتشار،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 عبده،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حقوق اسلامی مختلف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بستانی،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منجدالطلاب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دارالمشرق،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بورژن وریمبر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منصور مصلحی، تهران، جیبی،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پلانک، ماکس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کجا می‌رود؟ ترجمه احمد آرام، تهران، شرکت انتشار، </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پورداود،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مینوی آیین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دوستخواه، تهران، مروارید،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پورداود، ابراهیم یشتها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محمد صادق، مقالات الغریه فی المباحث 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چاپ سنگی،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تنک، آندره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ایالات‌متحده‌آمریکا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سید حسین صفایی، تهران، 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عربلو،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اصطلاحات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لنگرودی،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ترمینولوژی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ابن سینا،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لنگرودی،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حقوقی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ابن سینا، امیرکبیر، </w:t>
      </w:r>
      <w:r>
        <w:rPr>
          <w:rFonts w:eastAsia="IRNazanin" w:cs="IRNazanin"/>
          <w:color w:val="111111"/>
          <w:sz w:val="28"/>
          <w:szCs w:val="28"/>
          <w:lang w:bidi="fa-IR"/>
        </w:rPr>
        <w:t>13481358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لنگرودی،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عمومی علم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لنگرودی،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مکتبهای حقوقی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ابن سینا،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حقوق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13261329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قاعده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گنج دانش،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ابومحمد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بصیرتی،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اسلامیه،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بصیرتی،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اسلامیه،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خوزوئه دوکاسترو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سیاه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خلیل ملکی و پرویز مهرگان، تهران، انتشارات گام ،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دونویی، لوکنت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عبداللّه انتظام،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 برتراند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 آینده‌ای هم دارد؟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تهران، مروارید،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 برتراند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علی شایگان،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برتراند، تاریخ فلسفه غرب ترجمه نجف دریابندری،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جیبی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رحیمی ، مصطفی، هنرمند و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نیل،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چاپخانه بانک بازرگانی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روزبهان، بقلی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شطحیات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طهوری،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زین العابدین، پیامبر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جیبی ،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زرین کوب،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علمی،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زرین کوب، عبدالحسین، با کاروان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زیگفرید، آندره، روح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احمد آرام، تهران، شرکت انتشار،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سارتر، ژان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چیست؟ ترجمه ابوالحسن نجفی، مصطفی رحیمی، تهران، کتاب زمان،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دکتر حمید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جیبی،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سلجوقی،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حقوق مدنی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چاپخانه بانک ملی،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سنگلجی،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سنگلجی، محمد، قضا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شهاب الدین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دکتر سید حسین نصر، تهران، انجمن اسلامی حکمت و فلسفه ایران،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عملی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کتابهای درسی،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سیاسی، علی اکبر، مبانی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کتابهای درسی،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شریف رضی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فیض الاسلام، تهران، احمدی،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کتابفروشی حقیقت،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شایگان،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مدنی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چاپخانه مجلس،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اصول استنباط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اسلامیه ،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فقه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13291354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حسن بن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مهدی محقق، تهران، انتشارات علمی و فرهنگی،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علی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محمد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دارالکتب الاسلامیه،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ذبیح‌اللّه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شرکت مؤلفان و مترجمان،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 عبدالصاحب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از نظر فقه اسلامی،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علیشاه، میرزاحسن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مطبوعاتی صفی علیشاه،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صناعی،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فرد و قدرت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 خواجه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خوارزمی،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محمدبن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ابوالقاسم پاینده،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اساطیر،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و مطلع النیرین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کتابفروشی مرتضوی،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فلسفه و روش رئالیسم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پاورقی از مرتضی مطهری، قم، دارالعلم، </w:t>
      </w:r>
      <w:r>
        <w:rPr>
          <w:rFonts w:eastAsia="IRNazanin" w:cs="IRNazanin"/>
          <w:color w:val="111111"/>
          <w:sz w:val="28"/>
          <w:szCs w:val="28"/>
          <w:lang w:bidi="fa-IR"/>
        </w:rPr>
        <w:t>13321335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موسوی همدانی،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تهران، انتشارات محمدی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بهاءالدین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چاپ سنگی،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القضات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عفیف عسیران، تهران، انتشارات منوچهری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ابوحامدمحمد غزالی، ابوحامدمحمد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به‌اهتمام حسین‌خدیوجم، تهران، جیبی،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المستصفی من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الرضی،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حکمت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فروم، 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عزت اللّه فولادوند، تهران، جیبی،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فولکیه، دیاللتیک، ترجمه مصطفی رحیمی، انتشارات آگاه،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قرایی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طرز فکر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کیهان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سنایی،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کاتوزیان،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معاملات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تملیکی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بهنشر،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کاتوزیان،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مقدماتی 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دانشکده علوم اداری و مدیریت بازرگانی،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کاتوزیان،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کاتوزیان، ناصر، فلسفه حقوق،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بهنشر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کاتوزیان، ناصر، مقدمه علم حقوق، تهران، شرکت انتشار،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زاده ایرانشهر،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اساسی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اقبال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هانری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سیدضیاءالدین دهشیری، تهران، مرکزایرانی‌مطالعه‌فرهنگها،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بنیاد رسالت،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کیمن، دوشن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و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مسعود رجب نیا، تهران، مروارید،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نیا،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مقدماتی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جامعه شناسی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عبدالحسین نیک گهر،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صدر نبوی، مشهد، چاپخانه طوس،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الاعجاز فی 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کتابفروشی محمودی،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 نرمان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محمود ساعتچی، تهران، امیرکبیر،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متین دفتری،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دادرسی مدنی و بازرگانی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دارالکتب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استنباط حقوق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شانه چی،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درایه‌الحدیث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بانضمام 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مشکوة،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تقی دانش پژوه، تهران، دانشگاه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 دکتر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دائره‌المعارف فارسی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فرانکلین،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شیخ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دارالنعمان،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مدرسه عالی حسابداری،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جلال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بدیع الزمان فروزانفر، تهران، 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جلال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نیکلسون، تهران، انتشارات مولی،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علی اکبر مهتدی، تهران،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میردال، گونار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اقتصادی و کشورهای کم‌رشد، ترجمه محمد سعیدی،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جان استوارت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محمود صناعی، تهران، جیبی،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الامه و تنزیه 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چاپخانه فردوسی،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نسفی، عزیزالدین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ماریژان موله، تهران، طهوری،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نسفی، عزیزالدین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دکتر مهدوی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بنگاه‌ترجمه و نشرکتاب،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فردریک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داریوش آشوری ، تهران، نیل،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عباس زریاب خویی، تهران، فرانکلین،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لذات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عباس زریاب خویی، تهران، نشر اندیشه،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دادرسی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هومن ، محمود،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اسماعیل خویی، تهران، طهوری،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در شماره‌های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زمستان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جمهور افلاطون، سیاست ارسطو، لویاتان تامس هابز، آثار اسپینوزا، لاک و روسو؛ و در ایران، مدینه فاضله فارابی، رسالة فی‌السیاسة ابن سینا، اخلاق ناصری خواجه نصیر، و کیمیای سعادت غزالی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العبر و دیوان المبتداء والخبر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دو جلد با عنوان مقدمه ابن‌خلدون به وسیله محمد پروین گنابادی به فارسی برگردانده شده‌است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روح‌القوانین،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حقوق تطبیقی،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جامعه‌شناسی،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نظری،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طرز فکر حقوقی،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هگل،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شایگان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ایران،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کلیات مقدماتی حقوق،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مسائل جامعه‌شناسی،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انسان‌شناسی فلسفی،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تاریخ فلسفه، ویل دورانت،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فلسفه در ایران،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مجموعه مصنفات شیخ اشراق،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زرتشت و جهان غرب،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یونانیان و بربرها،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فلسفه،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کجا می‌رود؟،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لذات فلسفه،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اساسی روانشناسی،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سیاه گرسنگی،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بخش نظرات اپیکور و بوترو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کجا می‌رود؟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انسان‌شناسی فلسفی،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 مولانا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حقوق تطبیقی،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جامعه‌شناسی،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ملاک اصول استنباط،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معتقدالامامیه،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قانون اساسی ایران، مصوب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خبرگان، اصول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قانون اساسی ایران، اصل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آیین دادرسی مدنی،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قانون اساسی ایران، 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حقوق،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علی هدایتی، آیین دادرسی کیفری،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بند ب ماده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عمومی ایران مصوب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اختلال نسبی شعور یا قوه تمیز و اراده پیش‌بینی شده بود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جعفری لنگرودی در اثر نفیس و بی‌نظیر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مکتبهای حقوقی در حقوق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بیست و هشت مکتب فقهی پرداخته‌اند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هرچیز که به کمال خود رسید، ختم آن چیز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 اذا جاوز عن حده انعکس ضده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فرد و قدرت دولت،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نقل به اختصار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تاریخ ادبیات در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بخش یکم،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تنبیه‌الامة و تنزیه الملة،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 این جا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ظنون خارج از علم 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می‌کنیم، علم در لغت به معنی دانستن و دانش است و در اصطلاح فقهی به معنی اطمینان است که آن را علم عادی هم 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عادی درمقابل علم به معنی فلسفی کلمه است که عبارت است از حالتی نفسانی که تحمل احتمال مخالف را نمی‌نماید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امور قضایی و علم حقوق رسم این است که علم عادی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ترمینولوژی حقوق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ظنون و 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حالتی است نفسانی بین قطع و شک متساوی الطرفین یعنی از شک بالاتر است و از یقین و قطع فروتر گاهی ظن بقدری به قطع نزدیک می‌شود که حالت جذب در آن است یعنی وجدان شخص را به اظهارنظر می‌کشاند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چنین ظنی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نامیده‌اند و در بعضی از تعبیرات متنافر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 متآخم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بحث را مراجعه کنید به ترمینولوژی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کشف‌الحقایق،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الانسان الکامل،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نامه مینوی آئین زردشت،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سرشتی و دانش آموزشی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چهارم این کتاب باز هم پیرامون این گفتار بررسی خواهد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برابر علم،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گفت زردشت،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شناسی فلسفی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را خوب بیان کرده‌است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مافیه،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تصرف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هگل،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حقوق،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 جامعه‌شناسی، مقدمه اول، شناخت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حقوق تطبیقی، صفحه‌های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صفحه‌های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حقوق، صفحه‌های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حقوق، صفحه‌های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حقوق،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امیدهای نو،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هنرمند و زمان او،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فولکیه، دیالکتیک،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هنرمند و زمان او،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طرز فکر حقوقی،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حقوق،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ایالات متحده،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حقوق تطبیقی،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آزادی،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حقوق تطبیقی،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حقوق تطبیقی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طرز فکر حقوقی،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در اسلام،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حقوق تطبیقی،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حقوق تطبیقی،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طرز فکر حقوقی،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فرد و قدرت دولت،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حقوق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حقوق تطبیقی،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طرز فکر حقوقی،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حقوق تطبیقی،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حقوق،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یادداشتهای شخصی نویسنده در کلاس درس استاد دکتر حسن افشار، دانشکده حقوق دانشگاه تهران،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مورخه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مصاحبه با دکتر پیروز مجتهدزاده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آزادی،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اول این بخش، در 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بهار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گفتار نهم عرف و عادت در مجله وقف میراث جاویدان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پائیز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عمومی علم حقوق،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دانشنامه حقوقی،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و کشف‌الحقایق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استاد دکتر احمد مهدوی دامغانی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شطحیات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جامعه شناسی،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چیست؟،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 از آزادی،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ویژگیهای عقیده عمومی، از یادداشتهای شخصی مؤلف از کلاس درس دکتر عبدالحسین علی‌آبادی، دانشکده حقوق دانشگاه تهران، جامعه‌شناسی جنایی،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سوسیالیسم،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ترمینولوژی حقوق،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درایة الحدیث،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درایه‌الحدیث،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معتقدالامامیه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دراسلام،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تنزیه الملة،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نبوی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منزلت، سقیفه، ثقلین، و غدیر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نامه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خطبه‌ها، خطبه شقشقیه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دکتر زرین کوب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کاروان اندیشه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فیصل التفرقه طبع مصطفی القبانی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در 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معتقد الامامیه،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ترمینولوژی حقوق، لغت شهرت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ترمینولوژی حقوق، لغت اجماع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فقه،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فیض‌الاسلام،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لایزال الناس بخیر ماتفاوتوا فاذا استووا هلکوا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اختلاف حدیث، حدیث پنجم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الناس کیف خلق‌اللّه هذا الخلق لم یلم احد 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اختلاف ایمان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محمود هومن، حافظ،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کوشش اسماعیل خویی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یدرک الخیر کله بالعقل و لا دین لمن لا عقل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تمهیدات،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السین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سلمان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یدرک الخیر کله بالعقل و لا دین لمن لا عقل له، تحف‌العقول،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یداق اللّه العباد فی‌الحساب یوم‌القیامة علی قدر ما آتیهم من العقول فی‌الدنیا،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لغت عقل، ارض ملکوت،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تنبیه‌الامة و تنزیه الملة،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حسنه اللّه فهو حسن و ما قبحه فهو 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کشف‌الحقایق،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سر نی،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استنباط،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تقریرات اصول،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طبع جدید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کانون وکلا، شماره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مقاله دکتر احمدی واستائی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معنی از مصاحبه آیه‌اللّه محمدهادی معرفت، اطلاعات </w:t>
      </w:r>
      <w:r>
        <w:rPr>
          <w:rFonts w:eastAsia="IRNazanin" w:cs="IRNazanin"/>
          <w:b w:val="false"/>
          <w:bCs w:val="false"/>
          <w:i w:val="false"/>
          <w:iCs w:val="false"/>
          <w:color w:val="333333"/>
          <w:sz w:val="20"/>
          <w:szCs w:val="20"/>
        </w:rPr>
        <w:t>29/2/75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چهار ساله،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در نهج‌البلاغه حضرت مولی علی ع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است که بخشی از آن بدین قرار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وسکت عن اشیاء لم یسکت عنها نسیانا فلا تتکلفوها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ملاک اصول استنباط،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حقوقی،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معالم،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اصول الفقه،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مبانی حقوق اسلامی،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چهار رساله،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قاعده ید مالکیت،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مطلق حتی یرد فیه نهی،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لک حلال حتی تعرف انه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حجباللّه علمه عن‌العباد فهو موضوع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حدیث رفع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اشتبه الامر علیکم فقفوا عنده وردوه الینا حتی نشرح لکم من ذلک ما شرح لنا، 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الامور ثلاثه امر بین رشده فیتبع و امر بین غیه فیجتنب و امر مشکل یرد علمه الی اللّه و الی رسوله تحف‌العقول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عند الشبهات خیر من الاقتحام فی الهلکات،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اصول فقه،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ملامحمد کاظم خراسانی صاحب کفایه و میرزای نائینی در تقریرات است، اما شیخ طوسی، شیخ بهائی، محقق و بسیاری دیگر بتفصیل به بحث قیاس پرداخته‌اند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حقوقی،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صفحه‌های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 در اسلام،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حقوقی،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ترمینولوژی حقوق، صفحه‌های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عمومی علم حقوق، صفحه‌های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مکتبهای حقوقی در اسلام،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استنباط حقوق اسلامی،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السنة لا تقاس الا تری ان المرئة تقضی صومها و لا تقضی صلواتها یا ابان ان السنة اذا قیست محق الدین،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اصول استنباط، صفحه های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جزء دوم،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نقل از مبانی استنباط،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استنباط حقوق اسلامی،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مبانی حقوق اسلامی ، صفحه های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حقوقی،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مجله کانون وکلا، سال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مقاله سید علیمحمد مدرس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معالم‌الاصول، مبحث قیاس،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اصول الفقه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معتقدالامامیه،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استنباط،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حقوقی،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های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اجرت وصی در مواد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بدون اعمال قیاس تعیین شده است؛ منظور ما ذکر مثال بوده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منجدالطلاب،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حقوقی،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فارسی، لغت استحسان؛ و نیز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ماده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ایران در باب استیفاء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مکتبهای حقوقی در اسلام،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 ینقدح فی نفس المجتهد لا یقتدر علی اظهاره لعدم ماعدة العبارة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مأخذ،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فرهنگ اصطلاحات فقه،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استنباط حقوق اسلامی،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فقه،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دادرسی مدنی و بازرگانی،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هگل،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دادرسی مدنی و بازرگانی،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 نقل از رساله مرور زمان از نظر فقه اسلامی، چهار رساله، صفحه های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استنباط ، با تلخیص و تصرف،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در اسلام،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فقه اسلامی،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حقوق تطبیقی،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کانون وکلا،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 تعذر الجمع بینهما قدمت المصلحة علی غیرها لقوله ص لا ضرر و لاضرار و هو خاص فی نفی الضرر المستلزم لرعایة المصلحة فیجب تقدیمه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قیل حاصل ما ذهبتم الیه تعطیل الشرع بقیاس مجرد و هو کقیاس ابلیس فاسد الوضع و الاعتبار قلنا هذا وهْم و اشتباه من نائم بعید الانتباه و انما هو تقدیم دلیل شرعی علی اقوی منه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کانون وکلا،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مقاله دکتر محمد علی موحد، زیر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طوفی و نظر تهورآمیز او در نص شرعی و مصلحت اجتماعی؛ مختصر حقوق مدنی،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در اسلام،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اریک فروم، گریز از آزادی، ترجمه عزّت اللّه فولادوند،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فعالیت غریزه </w:t>
      </w:r>
      <w:r>
        <w:rPr>
          <w:rFonts w:eastAsia="IRNazanin" w:cs="IRNazanin"/>
          <w:b w:val="false"/>
          <w:bCs w:val="false"/>
          <w:i w:val="false"/>
          <w:iCs w:val="false"/>
          <w:color w:val="333333"/>
          <w:sz w:val="20"/>
          <w:szCs w:val="20"/>
        </w:rPr>
        <w:t>instinct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برای تدبیر عملی زندگی حیوان است اما عقل </w:t>
      </w:r>
      <w:r>
        <w:rPr>
          <w:rFonts w:eastAsia="IRNazanin" w:cs="IRNazanin"/>
          <w:b w:val="false"/>
          <w:bCs w:val="false"/>
          <w:i w:val="false"/>
          <w:iCs w:val="false"/>
          <w:color w:val="333333"/>
          <w:sz w:val="20"/>
          <w:szCs w:val="20"/>
        </w:rPr>
        <w:t>intelligence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تدبیر عملی زندگی انسان است که بر خلاف غریزه به تصرف امور که لازمه اختیار و آزادی است منجر می‌شود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 برن ونیم کف، زمینه جامعه‌شناسی،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نرمان، مان، اصول روانشناسی، ترجمه دکتر محمود ساعتچی،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علی‌اکبر سیاسی، مبانی فلسفه،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 جامعه‌شناسی،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ناصر کاتوزیان، مقدمه علم حقوق،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 جامعه‌شناسی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ویژگیهای مُد و فرقِ آن با عادت از یادداشتهایِ نویسنده از درس مرحوم دکتر عبدالحسین علی آبادی است، دانشکده حقوق، تهران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علم حقوق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محمود صناعی، آزادی فرد و قدرت دولت،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عقاید هابز در مورد حکومت مراجعه شود به برتراند راسل، تاریخ فلسفه غرب، ترجمه نجف دریابندری،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باره عقاید لاک، مراجعه شود 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جعفر جعفری لنگرودی، دانشنامه حقوقی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عمومی علم حقوق، تهران،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حسن امامی، حقوق مدنی،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موارد ارجاع به عرف در مورد رفع ابهام و اجمال و غیره، دکتر امامی، حقوق مدنی،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گونارمیردال، تئوری اقتصادی و کشورهای کم رشد، ترجمه محمّد سعیدی،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موسی جوان، مبانی حقوق،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حقوقی،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مکتبهای حقوقی در حقوق اسلام،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کانون وکلاء، شماره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آقای خاقانی و شماره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آقای پارسی‌پور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عبدالعزیز بن محمّد 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الحقایق تصحیح دکتر احمد مهدوی دامغانی،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بهجه‌المرضیّه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تشخیص این که گناهی کبیره یا صغیره یا متوسطه است موکول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همین عقیده و مبنی به مفهوم اخبار و احادیث وارده در این باب نزدیکتر است ولی می‌توان کبایر را چنین تفسیر کرد که گناهیست که ارتکاب آن صریحا در قرآن مجید نهی و تحریم شده و یا از طرق قاطع دیگری حُرمت آن به ثبوت رسیده و وعید دوزخ برای مرتکب آن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بهجه‌المرضیّه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حسن امامی، حقوق مدنی،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دانشنامه حقوقی،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حقوقی،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دکتر ناصر کاتوزیان، حقوق مدنی معاملات معوض عقود تملیکی،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دوره مقدماتی حقوق مدنی،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محمود سلجوقی، عرف در حقوق مدنی ایران رساله دکتری،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مکتبهای حقوقی در اسلام،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استنباط حقوق اسلامی،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نقل به اختصار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زین‌العابدین رهنما، پیامبر،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اصطلاحات فقه،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واژه‌های بیع مضامین، بیع ملاقیح، بیع ملامسه، بیع منابذه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علی موحّد، مختصر حقوق مدنی،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عقیده میانه روی ارسطو و اینکه بنظر می‌رسد که این نظریه حد وسط به کار بردن آن در فضایل عملی است نه عقلی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فلسفه غرب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امیدهای نو در زندگی متغیر،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گفت زرتشت،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حقوق،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عامل الناس فلم یظلمهم و حدثهم فلم یکذبهم و وعدهم فلم یخلفهم کان ممن ظهر عدله،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ترمینولوژی حقوق، لغت عدل وانصاف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قاعده استصحاب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الغریه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تبریزی در باب حقیقت شرعیه، و نیز قواعد فقه،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اساسی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ملتها،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شایگان، حقوق مدنی ایران،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مقدماتی حقوق، صفحه‌های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علم اخلاق نظری و عملی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ایران و 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دادرسی مدنی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بشر آینده‌ای هم دارد؟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روح القوانین، کتاب نوزدهم، صفحه‌های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الاجتهاد رد الفروع الی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از سخن حضرت صادق ع اقتباس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علینا ان نلقی الیکم الاصول و علیکم ان تفرعوا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 شباهت به تعریف قیاس نیست، مبانی حقوق اسلامی،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معالم الاصول،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حقوقی،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قضا در اسلام،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ترمینولوژی حقوق، لغت استنباط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Inference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دریافت </w:t>
      </w:r>
      <w:r>
        <w:rPr>
          <w:rFonts w:eastAsia="IRNazanin" w:cs="IRNazanin"/>
          <w:b w:val="false"/>
          <w:bCs w:val="false"/>
          <w:i w:val="false"/>
          <w:iCs w:val="false"/>
          <w:color w:val="333333"/>
          <w:sz w:val="20"/>
          <w:szCs w:val="20"/>
        </w:rPr>
        <w:t>Percept</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لایحل الفتیا لمن لایستفتی من اللّه بصفاء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قوه قدسیه یا صفای سر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 ایزدی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زامیادیشت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و مقایسه کنید با یشتها،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حقوق اسلامی مختلف الاصول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سید علی مولانا در کتاب ، ملاحم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 انکم فی زمان من ترک عشر ما امر به هلک وسیأتی علی الناس زمان، من عمل بعشر ما امر به 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فقه،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فتوای محدث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غنا مخصوص است به جایی که با حرام دیگر توأم باشد والا غنا فی نفسه حرام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در آداب سماع و وجد صفحه‌های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مثنوی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بیتهای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نیکلسون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عمومی علم حقوق،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ابویوسف از فقیهان مشهور حنفی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زمان مهدی و هادی و هارون الرشید قاضی‌القضاة بغداد بود؛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معروف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وحی در اسلام،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نبوی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القاضی جاهل بین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قاضی جاهلی است میان دو عالم با این توضیح که مدعی و مدعی علیه هر دو به حقیقت قضیه آگاهند و قاضی را از آن آگاهی نیست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دفتر دوم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71754</Words>
  <Characters>281369</Characters>
  <CharactersWithSpaces>351434</CharactersWithSpaces>
  <Paragraphs>1906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2026-08-27T09:40:53Z</dcterms:created>
  <dc:creator>ghaemiyeh.com</dc:creator>
  <dc:description/>
  <dc:language>en-US</dc:language>
  <cp:lastModifiedBy/>
  <dcterms:modified xsi:type="dcterms:W3CDTF">2026-08-27T13:11:00Z</dcterms:modified>
  <cp:revision>1</cp:revision>
  <dc:subject/>
  <dc:title>مبانی حقوق در ایران</dc:title>
</cp:coreProperties>
</file>

<file path=docProps/custom.xml><?xml version="1.0" encoding="utf-8"?>
<Properties xmlns="http://schemas.openxmlformats.org/officeDocument/2006/custom-properties" xmlns:vt="http://schemas.openxmlformats.org/officeDocument/2006/docPropsVTypes"/>
</file>