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غیبت و دروغ به انضمام بررسی دشنام به مؤمن سخن چینی و غناء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277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8278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82782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82784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682786_1051229030">
            <w:r>
              <w:rPr>
                <w:webHidden/>
                <w:rStyle w:val="IndexLink"/>
                <w:rtl w:val="true"/>
              </w:rPr>
              <w:t>فصل اوّل</w:t>
            </w:r>
            <w:r>
              <w:rPr>
                <w:rStyle w:val="IndexLink"/>
                <w:rtl w:val="true"/>
              </w:rPr>
              <w:t xml:space="preserve">: </w:t>
            </w:r>
            <w:r>
              <w:rPr>
                <w:rStyle w:val="IndexLink"/>
                <w:rtl w:val="true"/>
              </w:rPr>
              <w:t>دشنام به مؤمن</w:t>
            </w:r>
            <w:r>
              <w:rPr>
                <w:rStyle w:val="IndexLink"/>
                <w:rtl w:val="true"/>
              </w:rPr>
              <w:tab/>
            </w:r>
            <w:r>
              <w:rPr>
                <w:rStyle w:val="IndexLink"/>
              </w:rPr>
              <w:t>15</w:t>
            </w:r>
          </w:hyperlink>
        </w:p>
        <w:p>
          <w:pPr>
            <w:pStyle w:val="Contents3"/>
            <w:tabs>
              <w:tab w:val="clear" w:pos="8459"/>
              <w:tab w:val="right" w:pos="9026" w:leader="dot"/>
            </w:tabs>
            <w:rPr/>
          </w:pPr>
          <w:hyperlink w:anchor="__RefHeading___Toc1682788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82790_1051229030">
            <w:r>
              <w:rPr>
                <w:webHidden/>
                <w:rStyle w:val="IndexLink"/>
                <w:rtl w:val="true"/>
              </w:rPr>
              <w:t>ادله حرمت دشنام به مؤمن</w:t>
            </w:r>
            <w:r>
              <w:rPr>
                <w:rStyle w:val="IndexLink"/>
                <w:rtl w:val="true"/>
              </w:rPr>
              <w:tab/>
            </w:r>
            <w:r>
              <w:rPr>
                <w:rStyle w:val="IndexLink"/>
              </w:rPr>
              <w:t>17</w:t>
            </w:r>
          </w:hyperlink>
        </w:p>
        <w:p>
          <w:pPr>
            <w:pStyle w:val="Contents3"/>
            <w:tabs>
              <w:tab w:val="clear" w:pos="8459"/>
              <w:tab w:val="right" w:pos="9026" w:leader="dot"/>
            </w:tabs>
            <w:rPr/>
          </w:pPr>
          <w:hyperlink w:anchor="__RefHeading___Toc1682792_1051229030">
            <w:r>
              <w:rPr>
                <w:webHidden/>
                <w:rStyle w:val="IndexLink"/>
                <w:rtl w:val="true"/>
              </w:rPr>
              <w:t>مستثنيات</w:t>
            </w:r>
            <w:r>
              <w:rPr>
                <w:rStyle w:val="IndexLink"/>
                <w:rtl w:val="true"/>
              </w:rPr>
              <w:tab/>
            </w:r>
            <w:r>
              <w:rPr>
                <w:rStyle w:val="IndexLink"/>
              </w:rPr>
              <w:t>24</w:t>
            </w:r>
          </w:hyperlink>
        </w:p>
        <w:p>
          <w:pPr>
            <w:pStyle w:val="Contents2"/>
            <w:tabs>
              <w:tab w:val="clear" w:pos="8743"/>
              <w:tab w:val="right" w:pos="9026" w:leader="dot"/>
            </w:tabs>
            <w:rPr/>
          </w:pPr>
          <w:hyperlink w:anchor="__RefHeading___Toc1682794_1051229030">
            <w:r>
              <w:rPr>
                <w:webHidden/>
                <w:rStyle w:val="IndexLink"/>
                <w:rtl w:val="true"/>
              </w:rPr>
              <w:t>فصل دوم</w:t>
            </w:r>
            <w:r>
              <w:rPr>
                <w:rStyle w:val="IndexLink"/>
                <w:rtl w:val="true"/>
              </w:rPr>
              <w:t xml:space="preserve">: </w:t>
            </w:r>
            <w:r>
              <w:rPr>
                <w:rStyle w:val="IndexLink"/>
                <w:rtl w:val="true"/>
              </w:rPr>
              <w:t>غيبت</w:t>
            </w:r>
            <w:r>
              <w:rPr>
                <w:rStyle w:val="IndexLink"/>
                <w:rtl w:val="true"/>
              </w:rPr>
              <w:tab/>
            </w:r>
            <w:r>
              <w:rPr>
                <w:rStyle w:val="IndexLink"/>
              </w:rPr>
              <w:t>29</w:t>
            </w:r>
          </w:hyperlink>
        </w:p>
        <w:p>
          <w:pPr>
            <w:pStyle w:val="Contents3"/>
            <w:tabs>
              <w:tab w:val="clear" w:pos="8459"/>
              <w:tab w:val="right" w:pos="9026" w:leader="dot"/>
            </w:tabs>
            <w:rPr/>
          </w:pPr>
          <w:hyperlink w:anchor="__RefHeading___Toc1682796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682798_1051229030">
            <w:r>
              <w:rPr>
                <w:webHidden/>
                <w:rStyle w:val="IndexLink"/>
                <w:rtl w:val="true"/>
              </w:rPr>
              <w:t>تعريف غيبت</w:t>
            </w:r>
            <w:r>
              <w:rPr>
                <w:rStyle w:val="IndexLink"/>
                <w:rtl w:val="true"/>
              </w:rPr>
              <w:tab/>
            </w:r>
            <w:r>
              <w:rPr>
                <w:rStyle w:val="IndexLink"/>
              </w:rPr>
              <w:t>31</w:t>
            </w:r>
          </w:hyperlink>
        </w:p>
        <w:p>
          <w:pPr>
            <w:pStyle w:val="Contents3"/>
            <w:tabs>
              <w:tab w:val="clear" w:pos="8459"/>
              <w:tab w:val="right" w:pos="9026" w:leader="dot"/>
            </w:tabs>
            <w:rPr/>
          </w:pPr>
          <w:hyperlink w:anchor="__RefHeading___Toc1682800_1051229030">
            <w:r>
              <w:rPr>
                <w:webHidden/>
                <w:rStyle w:val="IndexLink"/>
                <w:rtl w:val="true"/>
              </w:rPr>
              <w:t>تذكر اول</w:t>
            </w:r>
            <w:r>
              <w:rPr>
                <w:rStyle w:val="IndexLink"/>
                <w:rtl w:val="true"/>
              </w:rPr>
              <w:t xml:space="preserve">: </w:t>
            </w:r>
            <w:r>
              <w:rPr>
                <w:rStyle w:val="IndexLink"/>
                <w:rtl w:val="true"/>
              </w:rPr>
              <w:t>در تعريف غيبت؛</w:t>
            </w:r>
            <w:r>
              <w:rPr>
                <w:rStyle w:val="IndexLink"/>
                <w:rtl w:val="true"/>
              </w:rPr>
              <w:tab/>
            </w:r>
            <w:r>
              <w:rPr>
                <w:rStyle w:val="IndexLink"/>
              </w:rPr>
              <w:t>31</w:t>
            </w:r>
          </w:hyperlink>
        </w:p>
        <w:p>
          <w:pPr>
            <w:pStyle w:val="Contents3"/>
            <w:tabs>
              <w:tab w:val="clear" w:pos="8459"/>
              <w:tab w:val="right" w:pos="9026" w:leader="dot"/>
            </w:tabs>
            <w:rPr/>
          </w:pPr>
          <w:hyperlink w:anchor="__RefHeading___Toc1682802_1051229030">
            <w:r>
              <w:rPr>
                <w:webHidden/>
                <w:rStyle w:val="IndexLink"/>
                <w:rtl w:val="true"/>
              </w:rPr>
              <w:t>تقريب</w:t>
            </w:r>
            <w:r>
              <w:rPr>
                <w:rStyle w:val="IndexLink"/>
                <w:rtl w:val="true"/>
              </w:rPr>
              <w:t>:</w:t>
              <w:tab/>
            </w:r>
            <w:r>
              <w:rPr>
                <w:rStyle w:val="IndexLink"/>
              </w:rPr>
              <w:t>42</w:t>
            </w:r>
          </w:hyperlink>
        </w:p>
        <w:p>
          <w:pPr>
            <w:pStyle w:val="Contents3"/>
            <w:tabs>
              <w:tab w:val="clear" w:pos="8459"/>
              <w:tab w:val="right" w:pos="9026" w:leader="dot"/>
            </w:tabs>
            <w:rPr/>
          </w:pPr>
          <w:hyperlink w:anchor="__RefHeading___Toc1682804_1051229030">
            <w:r>
              <w:rPr>
                <w:webHidden/>
                <w:rStyle w:val="IndexLink"/>
                <w:rtl w:val="true"/>
              </w:rPr>
              <w:t>حكم غيبت</w:t>
            </w:r>
            <w:r>
              <w:rPr>
                <w:rStyle w:val="IndexLink"/>
                <w:rtl w:val="true"/>
              </w:rPr>
              <w:tab/>
            </w:r>
            <w:r>
              <w:rPr>
                <w:rStyle w:val="IndexLink"/>
              </w:rPr>
              <w:t>44</w:t>
            </w:r>
          </w:hyperlink>
        </w:p>
        <w:p>
          <w:pPr>
            <w:pStyle w:val="Contents3"/>
            <w:tabs>
              <w:tab w:val="clear" w:pos="8459"/>
              <w:tab w:val="right" w:pos="9026" w:leader="dot"/>
            </w:tabs>
            <w:rPr/>
          </w:pPr>
          <w:hyperlink w:anchor="__RefHeading___Toc1682806_1051229030">
            <w:r>
              <w:rPr>
                <w:webHidden/>
                <w:rStyle w:val="IndexLink"/>
                <w:rtl w:val="true"/>
              </w:rPr>
              <w:t>غيبت، گناه كبيره</w:t>
            </w:r>
            <w:r>
              <w:rPr>
                <w:rStyle w:val="IndexLink"/>
                <w:rtl w:val="true"/>
              </w:rPr>
              <w:tab/>
            </w:r>
            <w:r>
              <w:rPr>
                <w:rStyle w:val="IndexLink"/>
              </w:rPr>
              <w:t>50</w:t>
            </w:r>
          </w:hyperlink>
        </w:p>
        <w:p>
          <w:pPr>
            <w:pStyle w:val="Contents3"/>
            <w:tabs>
              <w:tab w:val="clear" w:pos="8459"/>
              <w:tab w:val="right" w:pos="9026" w:leader="dot"/>
            </w:tabs>
            <w:rPr/>
          </w:pPr>
          <w:hyperlink w:anchor="__RefHeading___Toc1682808_1051229030">
            <w:r>
              <w:rPr>
                <w:webHidden/>
                <w:rStyle w:val="IndexLink"/>
                <w:rtl w:val="true"/>
              </w:rPr>
              <w:t>شرط ايمان در حرمت غيبت</w:t>
            </w:r>
            <w:r>
              <w:rPr>
                <w:rStyle w:val="IndexLink"/>
                <w:rtl w:val="true"/>
              </w:rPr>
              <w:tab/>
            </w:r>
            <w:r>
              <w:rPr>
                <w:rStyle w:val="IndexLink"/>
              </w:rPr>
              <w:t>53</w:t>
            </w:r>
          </w:hyperlink>
        </w:p>
        <w:p>
          <w:pPr>
            <w:pStyle w:val="Contents3"/>
            <w:tabs>
              <w:tab w:val="clear" w:pos="8459"/>
              <w:tab w:val="right" w:pos="9026" w:leader="dot"/>
            </w:tabs>
            <w:rPr/>
          </w:pPr>
          <w:hyperlink w:anchor="__RefHeading___Toc1682810_1051229030">
            <w:r>
              <w:rPr>
                <w:webHidden/>
                <w:rStyle w:val="IndexLink"/>
                <w:rtl w:val="true"/>
              </w:rPr>
              <w:t>غيبت كودك</w:t>
            </w:r>
            <w:r>
              <w:rPr>
                <w:rStyle w:val="IndexLink"/>
                <w:rtl w:val="true"/>
              </w:rPr>
              <w:tab/>
            </w:r>
            <w:r>
              <w:rPr>
                <w:rStyle w:val="IndexLink"/>
              </w:rPr>
              <w:t>57</w:t>
            </w:r>
          </w:hyperlink>
        </w:p>
        <w:p>
          <w:pPr>
            <w:pStyle w:val="Contents3"/>
            <w:tabs>
              <w:tab w:val="clear" w:pos="8459"/>
              <w:tab w:val="right" w:pos="9026" w:leader="dot"/>
            </w:tabs>
            <w:rPr/>
          </w:pPr>
          <w:hyperlink w:anchor="__RefHeading___Toc1682812_1051229030">
            <w:r>
              <w:rPr>
                <w:webHidden/>
                <w:rStyle w:val="IndexLink"/>
                <w:rtl w:val="true"/>
              </w:rPr>
              <w:t>كفاره غيبت</w:t>
            </w:r>
            <w:r>
              <w:rPr>
                <w:rStyle w:val="IndexLink"/>
                <w:rtl w:val="true"/>
              </w:rPr>
              <w:tab/>
            </w:r>
            <w:r>
              <w:rPr>
                <w:rStyle w:val="IndexLink"/>
              </w:rPr>
              <w:t>60</w:t>
            </w:r>
          </w:hyperlink>
        </w:p>
        <w:p>
          <w:pPr>
            <w:pStyle w:val="Contents3"/>
            <w:tabs>
              <w:tab w:val="clear" w:pos="8459"/>
              <w:tab w:val="right" w:pos="9026" w:leader="dot"/>
            </w:tabs>
            <w:rPr/>
          </w:pPr>
          <w:hyperlink w:anchor="__RefHeading___Toc1682814_1051229030">
            <w:r>
              <w:rPr>
                <w:webHidden/>
                <w:rStyle w:val="IndexLink"/>
                <w:rtl w:val="true"/>
              </w:rPr>
              <w:t>مستثنيات غيبت</w:t>
            </w:r>
            <w:r>
              <w:rPr>
                <w:rStyle w:val="IndexLink"/>
                <w:rtl w:val="true"/>
              </w:rPr>
              <w:tab/>
            </w:r>
            <w:r>
              <w:rPr>
                <w:rStyle w:val="IndexLink"/>
              </w:rPr>
              <w:t>68</w:t>
            </w:r>
          </w:hyperlink>
        </w:p>
        <w:p>
          <w:pPr>
            <w:pStyle w:val="Contents3"/>
            <w:tabs>
              <w:tab w:val="clear" w:pos="8459"/>
              <w:tab w:val="right" w:pos="9026" w:leader="dot"/>
            </w:tabs>
            <w:rPr/>
          </w:pPr>
          <w:hyperlink w:anchor="__RefHeading___Toc1682816_1051229030">
            <w:r>
              <w:rPr>
                <w:webHidden/>
                <w:rStyle w:val="IndexLink"/>
                <w:rtl w:val="true"/>
              </w:rPr>
              <w:t>غيبت متجاهر به فسق</w:t>
            </w:r>
            <w:r>
              <w:rPr>
                <w:rStyle w:val="IndexLink"/>
                <w:rtl w:val="true"/>
              </w:rPr>
              <w:tab/>
            </w:r>
            <w:r>
              <w:rPr>
                <w:rStyle w:val="IndexLink"/>
              </w:rPr>
              <w:t>71</w:t>
            </w:r>
          </w:hyperlink>
        </w:p>
        <w:p>
          <w:pPr>
            <w:pStyle w:val="Contents3"/>
            <w:tabs>
              <w:tab w:val="clear" w:pos="8459"/>
              <w:tab w:val="right" w:pos="9026" w:leader="dot"/>
            </w:tabs>
            <w:rPr/>
          </w:pPr>
          <w:hyperlink w:anchor="__RefHeading___Toc1682818_1051229030">
            <w:r>
              <w:rPr>
                <w:webHidden/>
                <w:rStyle w:val="IndexLink"/>
                <w:rtl w:val="true"/>
              </w:rPr>
              <w:t>فروع مسأله غيبت</w:t>
            </w:r>
            <w:r>
              <w:rPr>
                <w:rStyle w:val="IndexLink"/>
                <w:rtl w:val="true"/>
              </w:rPr>
              <w:tab/>
            </w:r>
            <w:r>
              <w:rPr>
                <w:rStyle w:val="IndexLink"/>
              </w:rPr>
              <w:t>79</w:t>
            </w:r>
          </w:hyperlink>
        </w:p>
        <w:p>
          <w:pPr>
            <w:pStyle w:val="Contents3"/>
            <w:tabs>
              <w:tab w:val="clear" w:pos="8459"/>
              <w:tab w:val="right" w:pos="9026" w:leader="dot"/>
            </w:tabs>
            <w:rPr/>
          </w:pPr>
          <w:hyperlink w:anchor="__RefHeading___Toc1682820_1051229030">
            <w:r>
              <w:rPr>
                <w:webHidden/>
                <w:rStyle w:val="IndexLink"/>
                <w:rtl w:val="true"/>
              </w:rPr>
              <w:t>استدلال قول اول</w:t>
            </w:r>
            <w:r>
              <w:rPr>
                <w:rStyle w:val="IndexLink"/>
                <w:rtl w:val="true"/>
              </w:rPr>
              <w:t>:</w:t>
              <w:tab/>
            </w:r>
            <w:r>
              <w:rPr>
                <w:rStyle w:val="IndexLink"/>
              </w:rPr>
              <w:t>81</w:t>
            </w:r>
          </w:hyperlink>
        </w:p>
        <w:p>
          <w:pPr>
            <w:pStyle w:val="Contents3"/>
            <w:tabs>
              <w:tab w:val="clear" w:pos="8459"/>
              <w:tab w:val="right" w:pos="9026" w:leader="dot"/>
            </w:tabs>
            <w:rPr/>
          </w:pPr>
          <w:hyperlink w:anchor="__RefHeading___Toc1682822_1051229030">
            <w:r>
              <w:rPr>
                <w:webHidden/>
                <w:rStyle w:val="IndexLink"/>
                <w:rtl w:val="true"/>
              </w:rPr>
              <w:t>استدلال به دو قول آخر</w:t>
            </w:r>
            <w:r>
              <w:rPr>
                <w:rStyle w:val="IndexLink"/>
                <w:rtl w:val="true"/>
              </w:rPr>
              <w:t>:</w:t>
              <w:tab/>
            </w:r>
            <w:r>
              <w:rPr>
                <w:rStyle w:val="IndexLink"/>
              </w:rPr>
              <w:t>82</w:t>
            </w:r>
          </w:hyperlink>
        </w:p>
        <w:p>
          <w:pPr>
            <w:pStyle w:val="Contents3"/>
            <w:tabs>
              <w:tab w:val="clear" w:pos="8459"/>
              <w:tab w:val="right" w:pos="9026" w:leader="dot"/>
            </w:tabs>
            <w:rPr/>
          </w:pPr>
          <w:hyperlink w:anchor="__RefHeading___Toc1682824_1051229030">
            <w:r>
              <w:rPr>
                <w:webHidden/>
                <w:rStyle w:val="IndexLink"/>
                <w:rtl w:val="true"/>
              </w:rPr>
              <w:t>دادخواهى مظلوم</w:t>
            </w:r>
            <w:r>
              <w:rPr>
                <w:rStyle w:val="IndexLink"/>
                <w:rtl w:val="true"/>
              </w:rPr>
              <w:tab/>
            </w:r>
            <w:r>
              <w:rPr>
                <w:rStyle w:val="IndexLink"/>
              </w:rPr>
              <w:t>85</w:t>
            </w:r>
          </w:hyperlink>
        </w:p>
        <w:p>
          <w:pPr>
            <w:pStyle w:val="Contents3"/>
            <w:tabs>
              <w:tab w:val="clear" w:pos="8459"/>
              <w:tab w:val="right" w:pos="9026" w:leader="dot"/>
            </w:tabs>
            <w:rPr/>
          </w:pPr>
          <w:hyperlink w:anchor="__RefHeading___Toc1682826_1051229030">
            <w:r>
              <w:rPr>
                <w:webHidden/>
                <w:rStyle w:val="IndexLink"/>
                <w:rtl w:val="true"/>
              </w:rPr>
              <w:t>حكم غيبت تارك اولى</w:t>
            </w:r>
            <w:r>
              <w:rPr>
                <w:rStyle w:val="IndexLink"/>
                <w:rtl w:val="true"/>
              </w:rPr>
              <w:tab/>
            </w:r>
            <w:r>
              <w:rPr>
                <w:rStyle w:val="IndexLink"/>
              </w:rPr>
              <w:t>92</w:t>
            </w:r>
          </w:hyperlink>
        </w:p>
        <w:p>
          <w:pPr>
            <w:pStyle w:val="Contents3"/>
            <w:tabs>
              <w:tab w:val="clear" w:pos="8459"/>
              <w:tab w:val="right" w:pos="9026" w:leader="dot"/>
            </w:tabs>
            <w:rPr/>
          </w:pPr>
          <w:hyperlink w:anchor="__RefHeading___Toc1682828_1051229030">
            <w:r>
              <w:rPr>
                <w:webHidden/>
                <w:rStyle w:val="IndexLink"/>
                <w:rtl w:val="true"/>
              </w:rPr>
              <w:t>ضابطه غيبت جايز</w:t>
            </w:r>
            <w:r>
              <w:rPr>
                <w:rStyle w:val="IndexLink"/>
                <w:rtl w:val="true"/>
              </w:rPr>
              <w:tab/>
            </w:r>
            <w:r>
              <w:rPr>
                <w:rStyle w:val="IndexLink"/>
              </w:rPr>
              <w:t>96</w:t>
            </w:r>
          </w:hyperlink>
        </w:p>
        <w:p>
          <w:pPr>
            <w:pStyle w:val="Contents4"/>
            <w:tabs>
              <w:tab w:val="clear" w:pos="8176"/>
              <w:tab w:val="right" w:pos="9026" w:leader="dot"/>
            </w:tabs>
            <w:rPr/>
          </w:pPr>
          <w:hyperlink w:anchor="__RefHeading___Toc1682830_105122903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82832_1051229030">
            <w:r>
              <w:rPr>
                <w:webHidden/>
                <w:rStyle w:val="IndexLink"/>
              </w:rPr>
              <w:t>1</w:t>
            </w:r>
            <w:r>
              <w:rPr>
                <w:rStyle w:val="IndexLink"/>
                <w:rtl w:val="true"/>
              </w:rPr>
              <w:t xml:space="preserve">: </w:t>
            </w:r>
            <w:r>
              <w:rPr>
                <w:rStyle w:val="IndexLink"/>
                <w:rtl w:val="true"/>
              </w:rPr>
              <w:t>نصيحت مشورت‌گيرنده</w:t>
            </w:r>
            <w:r>
              <w:rPr>
                <w:rStyle w:val="IndexLink"/>
                <w:rtl w:val="true"/>
              </w:rPr>
              <w:tab/>
            </w:r>
            <w:r>
              <w:rPr>
                <w:rStyle w:val="IndexLink"/>
              </w:rPr>
              <w:t>97</w:t>
            </w:r>
          </w:hyperlink>
        </w:p>
        <w:p>
          <w:pPr>
            <w:pStyle w:val="Contents4"/>
            <w:tabs>
              <w:tab w:val="clear" w:pos="8176"/>
              <w:tab w:val="right" w:pos="9026" w:leader="dot"/>
            </w:tabs>
            <w:rPr/>
          </w:pPr>
          <w:hyperlink w:anchor="__RefHeading___Toc1682834_1051229030">
            <w:r>
              <w:rPr>
                <w:webHidden/>
                <w:rStyle w:val="IndexLink"/>
              </w:rPr>
              <w:t>2</w:t>
            </w:r>
            <w:r>
              <w:rPr>
                <w:rStyle w:val="IndexLink"/>
                <w:rtl w:val="true"/>
              </w:rPr>
              <w:t xml:space="preserve">: </w:t>
            </w:r>
            <w:r>
              <w:rPr>
                <w:rStyle w:val="IndexLink"/>
                <w:rtl w:val="true"/>
              </w:rPr>
              <w:t>هنگام فتوا گرفتن</w:t>
            </w:r>
            <w:r>
              <w:rPr>
                <w:rStyle w:val="IndexLink"/>
                <w:rtl w:val="true"/>
              </w:rPr>
              <w:tab/>
            </w:r>
            <w:r>
              <w:rPr>
                <w:rStyle w:val="IndexLink"/>
              </w:rPr>
              <w:t>100</w:t>
            </w:r>
          </w:hyperlink>
        </w:p>
        <w:p>
          <w:pPr>
            <w:pStyle w:val="Contents4"/>
            <w:tabs>
              <w:tab w:val="clear" w:pos="8176"/>
              <w:tab w:val="right" w:pos="9026" w:leader="dot"/>
            </w:tabs>
            <w:rPr/>
          </w:pPr>
          <w:hyperlink w:anchor="__RefHeading___Toc1682836_1051229030">
            <w:r>
              <w:rPr>
                <w:webHidden/>
                <w:rStyle w:val="IndexLink"/>
              </w:rPr>
              <w:t>3</w:t>
            </w:r>
            <w:r>
              <w:rPr>
                <w:rStyle w:val="IndexLink"/>
                <w:rtl w:val="true"/>
              </w:rPr>
              <w:t xml:space="preserve">: </w:t>
            </w:r>
            <w:r>
              <w:rPr>
                <w:rStyle w:val="IndexLink"/>
                <w:rtl w:val="true"/>
              </w:rPr>
              <w:t>منع غيبت‌شونده از انجام منكر</w:t>
            </w:r>
            <w:r>
              <w:rPr>
                <w:rStyle w:val="IndexLink"/>
                <w:rtl w:val="true"/>
              </w:rPr>
              <w:tab/>
            </w:r>
            <w:r>
              <w:rPr>
                <w:rStyle w:val="IndexLink"/>
              </w:rPr>
              <w:t>103</w:t>
            </w:r>
          </w:hyperlink>
        </w:p>
        <w:p>
          <w:pPr>
            <w:pStyle w:val="Contents4"/>
            <w:tabs>
              <w:tab w:val="clear" w:pos="8176"/>
              <w:tab w:val="right" w:pos="9026" w:leader="dot"/>
            </w:tabs>
            <w:rPr/>
          </w:pPr>
          <w:hyperlink w:anchor="__RefHeading___Toc1682838_1051229030">
            <w:r>
              <w:rPr>
                <w:webHidden/>
                <w:rStyle w:val="IndexLink"/>
              </w:rPr>
              <w:t>4</w:t>
            </w:r>
            <w:r>
              <w:rPr>
                <w:rStyle w:val="IndexLink"/>
                <w:rtl w:val="true"/>
              </w:rPr>
              <w:t xml:space="preserve">: </w:t>
            </w:r>
            <w:r>
              <w:rPr>
                <w:rStyle w:val="IndexLink"/>
                <w:rtl w:val="true"/>
              </w:rPr>
              <w:t>متوقف نمودن فساد و جرح شهود</w:t>
            </w:r>
            <w:r>
              <w:rPr>
                <w:rStyle w:val="IndexLink"/>
                <w:rtl w:val="true"/>
              </w:rPr>
              <w:tab/>
            </w:r>
            <w:r>
              <w:rPr>
                <w:rStyle w:val="IndexLink"/>
              </w:rPr>
              <w:t>104</w:t>
            </w:r>
          </w:hyperlink>
        </w:p>
        <w:p>
          <w:pPr>
            <w:pStyle w:val="Contents4"/>
            <w:tabs>
              <w:tab w:val="clear" w:pos="8176"/>
              <w:tab w:val="right" w:pos="9026" w:leader="dot"/>
            </w:tabs>
            <w:rPr/>
          </w:pPr>
          <w:hyperlink w:anchor="__RefHeading___Toc1682840_1051229030">
            <w:r>
              <w:rPr>
                <w:webHidden/>
                <w:rStyle w:val="IndexLink"/>
              </w:rPr>
              <w:t>5</w:t>
            </w:r>
            <w:r>
              <w:rPr>
                <w:rStyle w:val="IndexLink"/>
                <w:rtl w:val="true"/>
              </w:rPr>
              <w:t xml:space="preserve">. </w:t>
            </w:r>
            <w:r>
              <w:rPr>
                <w:rStyle w:val="IndexLink"/>
                <w:rtl w:val="true"/>
              </w:rPr>
              <w:t>دفع ضرر از مقول فيه</w:t>
            </w:r>
            <w:r>
              <w:rPr>
                <w:rStyle w:val="IndexLink"/>
                <w:rtl w:val="true"/>
              </w:rPr>
              <w:tab/>
            </w:r>
            <w:r>
              <w:rPr>
                <w:rStyle w:val="IndexLink"/>
              </w:rPr>
              <w:t>106</w:t>
            </w:r>
          </w:hyperlink>
        </w:p>
        <w:p>
          <w:pPr>
            <w:pStyle w:val="Contents4"/>
            <w:tabs>
              <w:tab w:val="clear" w:pos="8176"/>
              <w:tab w:val="right" w:pos="9026" w:leader="dot"/>
            </w:tabs>
            <w:rPr/>
          </w:pPr>
          <w:hyperlink w:anchor="__RefHeading___Toc1682842_1051229030">
            <w:r>
              <w:rPr>
                <w:webHidden/>
                <w:rStyle w:val="IndexLink"/>
              </w:rPr>
              <w:t>6</w:t>
            </w:r>
            <w:r>
              <w:rPr>
                <w:rStyle w:val="IndexLink"/>
                <w:rtl w:val="true"/>
              </w:rPr>
              <w:t xml:space="preserve">: </w:t>
            </w:r>
            <w:r>
              <w:rPr>
                <w:rStyle w:val="IndexLink"/>
                <w:rtl w:val="true"/>
              </w:rPr>
              <w:t>ذكر اوصاف ظاهرى</w:t>
            </w:r>
            <w:r>
              <w:rPr>
                <w:rStyle w:val="IndexLink"/>
                <w:rtl w:val="true"/>
              </w:rPr>
              <w:tab/>
            </w:r>
            <w:r>
              <w:rPr>
                <w:rStyle w:val="IndexLink"/>
              </w:rPr>
              <w:t>107</w:t>
            </w:r>
          </w:hyperlink>
        </w:p>
        <w:p>
          <w:pPr>
            <w:pStyle w:val="Contents4"/>
            <w:tabs>
              <w:tab w:val="clear" w:pos="8176"/>
              <w:tab w:val="right" w:pos="9026" w:leader="dot"/>
            </w:tabs>
            <w:rPr/>
          </w:pPr>
          <w:hyperlink w:anchor="__RefHeading___Toc1682844_1051229030">
            <w:r>
              <w:rPr>
                <w:webHidden/>
                <w:rStyle w:val="IndexLink"/>
              </w:rPr>
              <w:t>7</w:t>
            </w:r>
            <w:r>
              <w:rPr>
                <w:rStyle w:val="IndexLink"/>
                <w:rtl w:val="true"/>
              </w:rPr>
              <w:t xml:space="preserve">: </w:t>
            </w:r>
            <w:r>
              <w:rPr>
                <w:rStyle w:val="IndexLink"/>
                <w:rtl w:val="true"/>
              </w:rPr>
              <w:t>رد ادعاى نسب نادرست</w:t>
            </w:r>
            <w:r>
              <w:rPr>
                <w:rStyle w:val="IndexLink"/>
                <w:rtl w:val="true"/>
              </w:rPr>
              <w:tab/>
            </w:r>
            <w:r>
              <w:rPr>
                <w:rStyle w:val="IndexLink"/>
              </w:rPr>
              <w:t>108</w:t>
            </w:r>
          </w:hyperlink>
        </w:p>
        <w:p>
          <w:pPr>
            <w:pStyle w:val="Contents3"/>
            <w:tabs>
              <w:tab w:val="clear" w:pos="8459"/>
              <w:tab w:val="right" w:pos="9026" w:leader="dot"/>
            </w:tabs>
            <w:rPr/>
          </w:pPr>
          <w:hyperlink w:anchor="__RefHeading___Toc1682846_1051229030">
            <w:r>
              <w:rPr>
                <w:webHidden/>
                <w:rStyle w:val="IndexLink"/>
                <w:rtl w:val="true"/>
              </w:rPr>
              <w:t>حرمت استماع غيبت</w:t>
            </w:r>
            <w:r>
              <w:rPr>
                <w:rStyle w:val="IndexLink"/>
                <w:rtl w:val="true"/>
              </w:rPr>
              <w:tab/>
            </w:r>
            <w:r>
              <w:rPr>
                <w:rStyle w:val="IndexLink"/>
              </w:rPr>
              <w:t>109</w:t>
            </w:r>
          </w:hyperlink>
        </w:p>
        <w:p>
          <w:pPr>
            <w:pStyle w:val="Contents3"/>
            <w:tabs>
              <w:tab w:val="clear" w:pos="8459"/>
              <w:tab w:val="right" w:pos="9026" w:leader="dot"/>
            </w:tabs>
            <w:rPr/>
          </w:pPr>
          <w:hyperlink w:anchor="__RefHeading___Toc1682848_1051229030">
            <w:r>
              <w:rPr>
                <w:webHidden/>
                <w:rStyle w:val="IndexLink"/>
                <w:rtl w:val="true"/>
              </w:rPr>
              <w:t>عدم ملازمت جواز غيبت با جواز شنيدن آن</w:t>
            </w:r>
            <w:r>
              <w:rPr>
                <w:rStyle w:val="IndexLink"/>
                <w:rtl w:val="true"/>
              </w:rPr>
              <w:tab/>
            </w:r>
            <w:r>
              <w:rPr>
                <w:rStyle w:val="IndexLink"/>
              </w:rPr>
              <w:t>114</w:t>
            </w:r>
          </w:hyperlink>
        </w:p>
        <w:p>
          <w:pPr>
            <w:pStyle w:val="Contents3"/>
            <w:tabs>
              <w:tab w:val="clear" w:pos="8459"/>
              <w:tab w:val="right" w:pos="9026" w:leader="dot"/>
            </w:tabs>
            <w:rPr/>
          </w:pPr>
          <w:hyperlink w:anchor="__RefHeading___Toc1682850_1051229030">
            <w:r>
              <w:rPr>
                <w:webHidden/>
                <w:rStyle w:val="IndexLink"/>
                <w:rtl w:val="true"/>
              </w:rPr>
              <w:t>حرمت دورويه حرف زدن</w:t>
            </w:r>
            <w:r>
              <w:rPr>
                <w:rStyle w:val="IndexLink"/>
                <w:rtl w:val="true"/>
              </w:rPr>
              <w:tab/>
            </w:r>
            <w:r>
              <w:rPr>
                <w:rStyle w:val="IndexLink"/>
              </w:rPr>
              <w:t>120</w:t>
            </w:r>
          </w:hyperlink>
        </w:p>
        <w:p>
          <w:pPr>
            <w:pStyle w:val="Contents2"/>
            <w:tabs>
              <w:tab w:val="clear" w:pos="8743"/>
              <w:tab w:val="right" w:pos="9026" w:leader="dot"/>
            </w:tabs>
            <w:rPr/>
          </w:pPr>
          <w:hyperlink w:anchor="__RefHeading___Toc1682852_1051229030">
            <w:r>
              <w:rPr>
                <w:webHidden/>
                <w:rStyle w:val="IndexLink"/>
                <w:rtl w:val="true"/>
              </w:rPr>
              <w:t>فصل سوم</w:t>
            </w:r>
            <w:r>
              <w:rPr>
                <w:rStyle w:val="IndexLink"/>
                <w:rtl w:val="true"/>
              </w:rPr>
              <w:t xml:space="preserve">: </w:t>
            </w:r>
            <w:r>
              <w:rPr>
                <w:rStyle w:val="IndexLink"/>
                <w:rtl w:val="true"/>
              </w:rPr>
              <w:t>دروغ</w:t>
            </w:r>
            <w:r>
              <w:rPr>
                <w:rStyle w:val="IndexLink"/>
                <w:rtl w:val="true"/>
              </w:rPr>
              <w:tab/>
            </w:r>
            <w:r>
              <w:rPr>
                <w:rStyle w:val="IndexLink"/>
              </w:rPr>
              <w:t>123</w:t>
            </w:r>
          </w:hyperlink>
        </w:p>
        <w:p>
          <w:pPr>
            <w:pStyle w:val="Contents3"/>
            <w:tabs>
              <w:tab w:val="clear" w:pos="8459"/>
              <w:tab w:val="right" w:pos="9026" w:leader="dot"/>
            </w:tabs>
            <w:rPr/>
          </w:pPr>
          <w:hyperlink w:anchor="__RefHeading___Toc1682854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682856_1051229030">
            <w:r>
              <w:rPr>
                <w:webHidden/>
                <w:rStyle w:val="IndexLink"/>
                <w:rtl w:val="true"/>
              </w:rPr>
              <w:t>حكم دروغ</w:t>
            </w:r>
            <w:r>
              <w:rPr>
                <w:rStyle w:val="IndexLink"/>
                <w:rtl w:val="true"/>
              </w:rPr>
              <w:tab/>
            </w:r>
            <w:r>
              <w:rPr>
                <w:rStyle w:val="IndexLink"/>
              </w:rPr>
              <w:t>125</w:t>
            </w:r>
          </w:hyperlink>
        </w:p>
        <w:p>
          <w:pPr>
            <w:pStyle w:val="Contents3"/>
            <w:tabs>
              <w:tab w:val="clear" w:pos="8459"/>
              <w:tab w:val="right" w:pos="9026" w:leader="dot"/>
            </w:tabs>
            <w:rPr/>
          </w:pPr>
          <w:hyperlink w:anchor="__RefHeading___Toc1682858_1051229030">
            <w:r>
              <w:rPr>
                <w:webHidden/>
                <w:rStyle w:val="IndexLink"/>
                <w:rtl w:val="true"/>
              </w:rPr>
              <w:t>دروغ گناه كبيره</w:t>
            </w:r>
            <w:r>
              <w:rPr>
                <w:rStyle w:val="IndexLink"/>
                <w:rtl w:val="true"/>
              </w:rPr>
              <w:tab/>
            </w:r>
            <w:r>
              <w:rPr>
                <w:rStyle w:val="IndexLink"/>
              </w:rPr>
              <w:t>125</w:t>
            </w:r>
          </w:hyperlink>
        </w:p>
        <w:p>
          <w:pPr>
            <w:pStyle w:val="Contents3"/>
            <w:tabs>
              <w:tab w:val="clear" w:pos="8459"/>
              <w:tab w:val="right" w:pos="9026" w:leader="dot"/>
            </w:tabs>
            <w:rPr/>
          </w:pPr>
          <w:hyperlink w:anchor="__RefHeading___Toc1682860_1051229030">
            <w:r>
              <w:rPr>
                <w:webHidden/>
                <w:rStyle w:val="IndexLink"/>
                <w:rtl w:val="true"/>
              </w:rPr>
              <w:t>روايات</w:t>
            </w:r>
            <w:r>
              <w:rPr>
                <w:rStyle w:val="IndexLink"/>
                <w:rtl w:val="true"/>
              </w:rPr>
              <w:tab/>
            </w:r>
            <w:r>
              <w:rPr>
                <w:rStyle w:val="IndexLink"/>
              </w:rPr>
              <w:t>126</w:t>
            </w:r>
          </w:hyperlink>
        </w:p>
        <w:p>
          <w:pPr>
            <w:pStyle w:val="Contents3"/>
            <w:tabs>
              <w:tab w:val="clear" w:pos="8459"/>
              <w:tab w:val="right" w:pos="9026" w:leader="dot"/>
            </w:tabs>
            <w:rPr/>
          </w:pPr>
          <w:hyperlink w:anchor="__RefHeading___Toc1682862_1051229030">
            <w:r>
              <w:rPr>
                <w:webHidden/>
                <w:rStyle w:val="IndexLink"/>
                <w:rtl w:val="true"/>
              </w:rPr>
              <w:t>قرآن</w:t>
            </w:r>
            <w:r>
              <w:rPr>
                <w:rStyle w:val="IndexLink"/>
                <w:rtl w:val="true"/>
              </w:rPr>
              <w:tab/>
            </w:r>
            <w:r>
              <w:rPr>
                <w:rStyle w:val="IndexLink"/>
              </w:rPr>
              <w:t>131</w:t>
            </w:r>
          </w:hyperlink>
        </w:p>
        <w:p>
          <w:pPr>
            <w:pStyle w:val="Contents3"/>
            <w:tabs>
              <w:tab w:val="clear" w:pos="8459"/>
              <w:tab w:val="right" w:pos="9026" w:leader="dot"/>
            </w:tabs>
            <w:rPr/>
          </w:pPr>
          <w:hyperlink w:anchor="__RefHeading___Toc1682864_1051229030">
            <w:r>
              <w:rPr>
                <w:webHidden/>
                <w:rStyle w:val="IndexLink"/>
                <w:rtl w:val="true"/>
              </w:rPr>
              <w:t>وعده و حكم آن</w:t>
            </w:r>
            <w:r>
              <w:rPr>
                <w:rStyle w:val="IndexLink"/>
                <w:rtl w:val="true"/>
              </w:rPr>
              <w:tab/>
            </w:r>
            <w:r>
              <w:rPr>
                <w:rStyle w:val="IndexLink"/>
              </w:rPr>
              <w:t>137</w:t>
            </w:r>
          </w:hyperlink>
        </w:p>
        <w:p>
          <w:pPr>
            <w:pStyle w:val="Contents3"/>
            <w:tabs>
              <w:tab w:val="clear" w:pos="8459"/>
              <w:tab w:val="right" w:pos="9026" w:leader="dot"/>
            </w:tabs>
            <w:rPr/>
          </w:pPr>
          <w:hyperlink w:anchor="__RefHeading___Toc1682866_1051229030">
            <w:r>
              <w:rPr>
                <w:webHidden/>
                <w:rStyle w:val="IndexLink"/>
                <w:rtl w:val="true"/>
              </w:rPr>
              <w:t>تحقيق و تنقيح</w:t>
            </w:r>
            <w:r>
              <w:rPr>
                <w:rStyle w:val="IndexLink"/>
                <w:rtl w:val="true"/>
              </w:rPr>
              <w:t>:</w:t>
              <w:tab/>
            </w:r>
            <w:r>
              <w:rPr>
                <w:rStyle w:val="IndexLink"/>
              </w:rPr>
              <w:t>137</w:t>
            </w:r>
          </w:hyperlink>
        </w:p>
        <w:p>
          <w:pPr>
            <w:pStyle w:val="Contents3"/>
            <w:tabs>
              <w:tab w:val="clear" w:pos="8459"/>
              <w:tab w:val="right" w:pos="9026" w:leader="dot"/>
            </w:tabs>
            <w:rPr/>
          </w:pPr>
          <w:hyperlink w:anchor="__RefHeading___Toc1682868_1051229030">
            <w:r>
              <w:rPr>
                <w:webHidden/>
                <w:rStyle w:val="IndexLink"/>
                <w:rtl w:val="true"/>
              </w:rPr>
              <w:t>حقيقت و اقسام وعده</w:t>
            </w:r>
            <w:r>
              <w:rPr>
                <w:rStyle w:val="IndexLink"/>
                <w:rtl w:val="true"/>
              </w:rPr>
              <w:t>:</w:t>
              <w:tab/>
            </w:r>
            <w:r>
              <w:rPr>
                <w:rStyle w:val="IndexLink"/>
              </w:rPr>
              <w:t>137</w:t>
            </w:r>
          </w:hyperlink>
        </w:p>
        <w:p>
          <w:pPr>
            <w:pStyle w:val="Contents3"/>
            <w:tabs>
              <w:tab w:val="clear" w:pos="8459"/>
              <w:tab w:val="right" w:pos="9026" w:leader="dot"/>
            </w:tabs>
            <w:rPr/>
          </w:pPr>
          <w:hyperlink w:anchor="__RefHeading___Toc1682870_1051229030">
            <w:r>
              <w:rPr>
                <w:webHidden/>
                <w:rStyle w:val="IndexLink"/>
                <w:rtl w:val="true"/>
              </w:rPr>
              <w:t>حكم وعده</w:t>
            </w:r>
            <w:r>
              <w:rPr>
                <w:rStyle w:val="IndexLink"/>
                <w:rtl w:val="true"/>
              </w:rPr>
              <w:t>:</w:t>
              <w:tab/>
            </w:r>
            <w:r>
              <w:rPr>
                <w:rStyle w:val="IndexLink"/>
              </w:rPr>
              <w:t>138</w:t>
            </w:r>
          </w:hyperlink>
        </w:p>
        <w:p>
          <w:pPr>
            <w:pStyle w:val="Contents3"/>
            <w:tabs>
              <w:tab w:val="clear" w:pos="8459"/>
              <w:tab w:val="right" w:pos="9026" w:leader="dot"/>
            </w:tabs>
            <w:rPr/>
          </w:pPr>
          <w:hyperlink w:anchor="__RefHeading___Toc1682872_1051229030">
            <w:r>
              <w:rPr>
                <w:webHidden/>
                <w:rStyle w:val="IndexLink"/>
                <w:rtl w:val="true"/>
              </w:rPr>
              <w:t>حكم خلف وعده</w:t>
            </w:r>
            <w:r>
              <w:rPr>
                <w:rStyle w:val="IndexLink"/>
                <w:rtl w:val="true"/>
              </w:rPr>
              <w:tab/>
            </w:r>
            <w:r>
              <w:rPr>
                <w:rStyle w:val="IndexLink"/>
              </w:rPr>
              <w:t>139</w:t>
            </w:r>
          </w:hyperlink>
        </w:p>
        <w:p>
          <w:pPr>
            <w:pStyle w:val="Contents3"/>
            <w:tabs>
              <w:tab w:val="clear" w:pos="8459"/>
              <w:tab w:val="right" w:pos="9026" w:leader="dot"/>
            </w:tabs>
            <w:rPr/>
          </w:pPr>
          <w:hyperlink w:anchor="__RefHeading___Toc1682874_1051229030">
            <w:r>
              <w:rPr>
                <w:webHidden/>
                <w:rStyle w:val="IndexLink"/>
                <w:rtl w:val="true"/>
              </w:rPr>
              <w:t>فروع</w:t>
            </w:r>
            <w:r>
              <w:rPr>
                <w:rStyle w:val="IndexLink"/>
                <w:rtl w:val="true"/>
              </w:rPr>
              <w:tab/>
            </w:r>
            <w:r>
              <w:rPr>
                <w:rStyle w:val="IndexLink"/>
              </w:rPr>
              <w:t>143</w:t>
            </w:r>
          </w:hyperlink>
        </w:p>
        <w:p>
          <w:pPr>
            <w:pStyle w:val="Contents4"/>
            <w:tabs>
              <w:tab w:val="clear" w:pos="8176"/>
              <w:tab w:val="right" w:pos="9026" w:leader="dot"/>
            </w:tabs>
            <w:rPr/>
          </w:pPr>
          <w:hyperlink w:anchor="__RefHeading___Toc1682876_105122903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682878_1051229030">
            <w:r>
              <w:rPr>
                <w:webHidden/>
                <w:rStyle w:val="IndexLink"/>
              </w:rPr>
              <w:t>1</w:t>
            </w:r>
            <w:r>
              <w:rPr>
                <w:rStyle w:val="IndexLink"/>
                <w:rtl w:val="true"/>
              </w:rPr>
              <w:t xml:space="preserve">: </w:t>
            </w:r>
            <w:r>
              <w:rPr>
                <w:rStyle w:val="IndexLink"/>
                <w:rtl w:val="true"/>
              </w:rPr>
              <w:t>دروغ هنگام شوخى</w:t>
            </w:r>
            <w:r>
              <w:rPr>
                <w:rStyle w:val="IndexLink"/>
                <w:rtl w:val="true"/>
              </w:rPr>
              <w:tab/>
            </w:r>
            <w:r>
              <w:rPr>
                <w:rStyle w:val="IndexLink"/>
              </w:rPr>
              <w:t>143</w:t>
            </w:r>
          </w:hyperlink>
        </w:p>
        <w:p>
          <w:pPr>
            <w:pStyle w:val="Contents4"/>
            <w:tabs>
              <w:tab w:val="clear" w:pos="8176"/>
              <w:tab w:val="right" w:pos="9026" w:leader="dot"/>
            </w:tabs>
            <w:rPr/>
          </w:pPr>
          <w:hyperlink w:anchor="__RefHeading___Toc1682880_1051229030">
            <w:r>
              <w:rPr>
                <w:webHidden/>
                <w:rStyle w:val="IndexLink"/>
              </w:rPr>
              <w:t>2</w:t>
            </w:r>
            <w:r>
              <w:rPr>
                <w:rStyle w:val="IndexLink"/>
                <w:rtl w:val="true"/>
              </w:rPr>
              <w:t xml:space="preserve">: </w:t>
            </w:r>
            <w:r>
              <w:rPr>
                <w:rStyle w:val="IndexLink"/>
                <w:rtl w:val="true"/>
              </w:rPr>
              <w:t>مبالغه</w:t>
            </w:r>
            <w:r>
              <w:rPr>
                <w:rStyle w:val="IndexLink"/>
                <w:rtl w:val="true"/>
              </w:rPr>
              <w:tab/>
            </w:r>
            <w:r>
              <w:rPr>
                <w:rStyle w:val="IndexLink"/>
              </w:rPr>
              <w:t>147</w:t>
            </w:r>
          </w:hyperlink>
        </w:p>
        <w:p>
          <w:pPr>
            <w:pStyle w:val="Contents4"/>
            <w:tabs>
              <w:tab w:val="clear" w:pos="8176"/>
              <w:tab w:val="right" w:pos="9026" w:leader="dot"/>
            </w:tabs>
            <w:rPr/>
          </w:pPr>
          <w:hyperlink w:anchor="__RefHeading___Toc1682882_1051229030">
            <w:r>
              <w:rPr>
                <w:webHidden/>
                <w:rStyle w:val="IndexLink"/>
              </w:rPr>
              <w:t>3</w:t>
            </w:r>
            <w:r>
              <w:rPr>
                <w:rStyle w:val="IndexLink"/>
                <w:rtl w:val="true"/>
              </w:rPr>
              <w:t xml:space="preserve">: </w:t>
            </w:r>
            <w:r>
              <w:rPr>
                <w:rStyle w:val="IndexLink"/>
                <w:rtl w:val="true"/>
              </w:rPr>
              <w:t>توريه</w:t>
            </w:r>
            <w:r>
              <w:rPr>
                <w:rStyle w:val="IndexLink"/>
                <w:rtl w:val="true"/>
              </w:rPr>
              <w:tab/>
            </w:r>
            <w:r>
              <w:rPr>
                <w:rStyle w:val="IndexLink"/>
              </w:rPr>
              <w:t>148</w:t>
            </w:r>
          </w:hyperlink>
        </w:p>
        <w:p>
          <w:pPr>
            <w:pStyle w:val="Contents3"/>
            <w:tabs>
              <w:tab w:val="clear" w:pos="8459"/>
              <w:tab w:val="right" w:pos="9026" w:leader="dot"/>
            </w:tabs>
            <w:rPr/>
          </w:pPr>
          <w:hyperlink w:anchor="__RefHeading___Toc1682884_1051229030">
            <w:r>
              <w:rPr>
                <w:webHidden/>
                <w:rStyle w:val="IndexLink"/>
                <w:rtl w:val="true"/>
              </w:rPr>
              <w:t>مسوغات دروغ</w:t>
            </w:r>
            <w:r>
              <w:rPr>
                <w:rStyle w:val="IndexLink"/>
                <w:rtl w:val="true"/>
              </w:rPr>
              <w:tab/>
            </w:r>
            <w:r>
              <w:rPr>
                <w:rStyle w:val="IndexLink"/>
              </w:rPr>
              <w:t>155</w:t>
            </w:r>
          </w:hyperlink>
        </w:p>
        <w:p>
          <w:pPr>
            <w:pStyle w:val="Contents4"/>
            <w:tabs>
              <w:tab w:val="clear" w:pos="8176"/>
              <w:tab w:val="right" w:pos="9026" w:leader="dot"/>
            </w:tabs>
            <w:rPr/>
          </w:pPr>
          <w:hyperlink w:anchor="__RefHeading___Toc1682886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682888_1051229030">
            <w:r>
              <w:rPr>
                <w:webHidden/>
                <w:rStyle w:val="IndexLink"/>
              </w:rPr>
              <w:t>1</w:t>
            </w:r>
            <w:r>
              <w:rPr>
                <w:rStyle w:val="IndexLink"/>
                <w:rtl w:val="true"/>
              </w:rPr>
              <w:t xml:space="preserve">: </w:t>
            </w:r>
            <w:r>
              <w:rPr>
                <w:rStyle w:val="IndexLink"/>
                <w:rtl w:val="true"/>
              </w:rPr>
              <w:t>دروغ در جهت دفع ضرورت</w:t>
            </w:r>
            <w:r>
              <w:rPr>
                <w:rStyle w:val="IndexLink"/>
                <w:rtl w:val="true"/>
              </w:rPr>
              <w:tab/>
            </w:r>
            <w:r>
              <w:rPr>
                <w:rStyle w:val="IndexLink"/>
              </w:rPr>
              <w:t>156</w:t>
            </w:r>
          </w:hyperlink>
        </w:p>
        <w:p>
          <w:pPr>
            <w:pStyle w:val="Contents5"/>
            <w:tabs>
              <w:tab w:val="clear" w:pos="7892"/>
              <w:tab w:val="right" w:pos="9026" w:leader="dot"/>
            </w:tabs>
            <w:rPr/>
          </w:pPr>
          <w:hyperlink w:anchor="__RefHeading___Toc1682890_105122903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682892_1051229030">
            <w:r>
              <w:rPr>
                <w:webHidden/>
                <w:rStyle w:val="IndexLink"/>
                <w:rtl w:val="true"/>
              </w:rPr>
              <w:t>دليل اول</w:t>
            </w:r>
            <w:r>
              <w:rPr>
                <w:rStyle w:val="IndexLink"/>
                <w:rtl w:val="true"/>
              </w:rPr>
              <w:t xml:space="preserve">: </w:t>
            </w:r>
            <w:r>
              <w:rPr>
                <w:rStyle w:val="IndexLink"/>
                <w:rtl w:val="true"/>
              </w:rPr>
              <w:t>اجماع</w:t>
            </w:r>
            <w:r>
              <w:rPr>
                <w:rStyle w:val="IndexLink"/>
                <w:rtl w:val="true"/>
              </w:rPr>
              <w:tab/>
            </w:r>
            <w:r>
              <w:rPr>
                <w:rStyle w:val="IndexLink"/>
              </w:rPr>
              <w:t>156</w:t>
            </w:r>
          </w:hyperlink>
        </w:p>
        <w:p>
          <w:pPr>
            <w:pStyle w:val="Contents5"/>
            <w:tabs>
              <w:tab w:val="clear" w:pos="7892"/>
              <w:tab w:val="right" w:pos="9026" w:leader="dot"/>
            </w:tabs>
            <w:rPr/>
          </w:pPr>
          <w:hyperlink w:anchor="__RefHeading___Toc1682894_1051229030">
            <w:r>
              <w:rPr>
                <w:webHidden/>
                <w:rStyle w:val="IndexLink"/>
                <w:rtl w:val="true"/>
              </w:rPr>
              <w:t>دليل دوم</w:t>
            </w:r>
            <w:r>
              <w:rPr>
                <w:rStyle w:val="IndexLink"/>
                <w:rtl w:val="true"/>
              </w:rPr>
              <w:t xml:space="preserve">: </w:t>
            </w:r>
            <w:r>
              <w:rPr>
                <w:rStyle w:val="IndexLink"/>
                <w:rtl w:val="true"/>
              </w:rPr>
              <w:t>عقل</w:t>
            </w:r>
            <w:r>
              <w:rPr>
                <w:rStyle w:val="IndexLink"/>
                <w:rtl w:val="true"/>
              </w:rPr>
              <w:tab/>
            </w:r>
            <w:r>
              <w:rPr>
                <w:rStyle w:val="IndexLink"/>
              </w:rPr>
              <w:t>156</w:t>
            </w:r>
          </w:hyperlink>
        </w:p>
        <w:p>
          <w:pPr>
            <w:pStyle w:val="Contents5"/>
            <w:tabs>
              <w:tab w:val="clear" w:pos="7892"/>
              <w:tab w:val="right" w:pos="9026" w:leader="dot"/>
            </w:tabs>
            <w:rPr/>
          </w:pPr>
          <w:hyperlink w:anchor="__RefHeading___Toc1682896_1051229030">
            <w:r>
              <w:rPr>
                <w:webHidden/>
                <w:rStyle w:val="IndexLink"/>
                <w:rtl w:val="true"/>
              </w:rPr>
              <w:t>دليل سوم</w:t>
            </w:r>
            <w:r>
              <w:rPr>
                <w:rStyle w:val="IndexLink"/>
                <w:rtl w:val="true"/>
              </w:rPr>
              <w:t xml:space="preserve">: </w:t>
            </w:r>
            <w:r>
              <w:rPr>
                <w:rStyle w:val="IndexLink"/>
                <w:rtl w:val="true"/>
              </w:rPr>
              <w:t>قرآن</w:t>
            </w:r>
            <w:r>
              <w:rPr>
                <w:rStyle w:val="IndexLink"/>
                <w:rtl w:val="true"/>
              </w:rPr>
              <w:tab/>
            </w:r>
            <w:r>
              <w:rPr>
                <w:rStyle w:val="IndexLink"/>
              </w:rPr>
              <w:t>157</w:t>
            </w:r>
          </w:hyperlink>
        </w:p>
        <w:p>
          <w:pPr>
            <w:pStyle w:val="Contents5"/>
            <w:tabs>
              <w:tab w:val="clear" w:pos="7892"/>
              <w:tab w:val="right" w:pos="9026" w:leader="dot"/>
            </w:tabs>
            <w:rPr/>
          </w:pPr>
          <w:hyperlink w:anchor="__RefHeading___Toc1682898_1051229030">
            <w:r>
              <w:rPr>
                <w:webHidden/>
                <w:rStyle w:val="IndexLink"/>
                <w:rtl w:val="true"/>
              </w:rPr>
              <w:t>دليل چهارم</w:t>
            </w:r>
            <w:r>
              <w:rPr>
                <w:rStyle w:val="IndexLink"/>
                <w:rtl w:val="true"/>
              </w:rPr>
              <w:t xml:space="preserve">: </w:t>
            </w:r>
            <w:r>
              <w:rPr>
                <w:rStyle w:val="IndexLink"/>
                <w:rtl w:val="true"/>
              </w:rPr>
              <w:t>سنت</w:t>
            </w:r>
            <w:r>
              <w:rPr>
                <w:rStyle w:val="IndexLink"/>
                <w:rtl w:val="true"/>
              </w:rPr>
              <w:tab/>
            </w:r>
            <w:r>
              <w:rPr>
                <w:rStyle w:val="IndexLink"/>
              </w:rPr>
              <w:t>158</w:t>
            </w:r>
          </w:hyperlink>
        </w:p>
        <w:p>
          <w:pPr>
            <w:pStyle w:val="Contents4"/>
            <w:tabs>
              <w:tab w:val="clear" w:pos="8176"/>
              <w:tab w:val="right" w:pos="9026" w:leader="dot"/>
            </w:tabs>
            <w:rPr/>
          </w:pPr>
          <w:hyperlink w:anchor="__RefHeading___Toc1682900_1051229030">
            <w:r>
              <w:rPr>
                <w:webHidden/>
                <w:rStyle w:val="IndexLink"/>
              </w:rPr>
              <w:t>2</w:t>
            </w:r>
            <w:r>
              <w:rPr>
                <w:rStyle w:val="IndexLink"/>
                <w:rtl w:val="true"/>
              </w:rPr>
              <w:t xml:space="preserve">: </w:t>
            </w:r>
            <w:r>
              <w:rPr>
                <w:rStyle w:val="IndexLink"/>
                <w:rtl w:val="true"/>
              </w:rPr>
              <w:t>دروغ در جهت اصلاح</w:t>
            </w:r>
            <w:r>
              <w:rPr>
                <w:rStyle w:val="IndexLink"/>
                <w:rtl w:val="true"/>
              </w:rPr>
              <w:tab/>
            </w:r>
            <w:r>
              <w:rPr>
                <w:rStyle w:val="IndexLink"/>
              </w:rPr>
              <w:t>174</w:t>
            </w:r>
          </w:hyperlink>
        </w:p>
        <w:p>
          <w:pPr>
            <w:pStyle w:val="Contents2"/>
            <w:tabs>
              <w:tab w:val="clear" w:pos="8743"/>
              <w:tab w:val="right" w:pos="9026" w:leader="dot"/>
            </w:tabs>
            <w:rPr/>
          </w:pPr>
          <w:hyperlink w:anchor="__RefHeading___Toc1682902_1051229030">
            <w:r>
              <w:rPr>
                <w:webHidden/>
                <w:rStyle w:val="IndexLink"/>
                <w:rtl w:val="true"/>
              </w:rPr>
              <w:t>فصل چهارم</w:t>
            </w:r>
            <w:r>
              <w:rPr>
                <w:rStyle w:val="IndexLink"/>
                <w:rtl w:val="true"/>
              </w:rPr>
              <w:t xml:space="preserve">: </w:t>
            </w:r>
            <w:r>
              <w:rPr>
                <w:rStyle w:val="IndexLink"/>
                <w:rtl w:val="true"/>
              </w:rPr>
              <w:t>مدح كسى كه شايسته آن نيست</w:t>
            </w:r>
            <w:r>
              <w:rPr>
                <w:rStyle w:val="IndexLink"/>
                <w:rtl w:val="true"/>
              </w:rPr>
              <w:tab/>
            </w:r>
            <w:r>
              <w:rPr>
                <w:rStyle w:val="IndexLink"/>
              </w:rPr>
              <w:t>179</w:t>
            </w:r>
          </w:hyperlink>
        </w:p>
        <w:p>
          <w:pPr>
            <w:pStyle w:val="Contents3"/>
            <w:tabs>
              <w:tab w:val="clear" w:pos="8459"/>
              <w:tab w:val="right" w:pos="9026" w:leader="dot"/>
            </w:tabs>
            <w:rPr/>
          </w:pPr>
          <w:hyperlink w:anchor="__RefHeading___Toc1682904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682906_1051229030">
            <w:r>
              <w:rPr>
                <w:webHidden/>
                <w:rStyle w:val="IndexLink"/>
                <w:rtl w:val="true"/>
              </w:rPr>
              <w:t>حكم مدح كسى كه شايسته مدح نيست</w:t>
            </w:r>
            <w:r>
              <w:rPr>
                <w:rStyle w:val="IndexLink"/>
                <w:rtl w:val="true"/>
              </w:rPr>
              <w:tab/>
            </w:r>
            <w:r>
              <w:rPr>
                <w:rStyle w:val="IndexLink"/>
              </w:rPr>
              <w:t>181</w:t>
            </w:r>
          </w:hyperlink>
        </w:p>
        <w:p>
          <w:pPr>
            <w:pStyle w:val="Contents3"/>
            <w:tabs>
              <w:tab w:val="clear" w:pos="8459"/>
              <w:tab w:val="right" w:pos="9026" w:leader="dot"/>
            </w:tabs>
            <w:rPr/>
          </w:pPr>
          <w:hyperlink w:anchor="__RefHeading___Toc1682908_1051229030">
            <w:r>
              <w:rPr>
                <w:webHidden/>
                <w:rStyle w:val="IndexLink"/>
                <w:rtl w:val="true"/>
              </w:rPr>
              <w:t>حرمت كمك به ظالمان</w:t>
            </w:r>
            <w:r>
              <w:rPr>
                <w:rStyle w:val="IndexLink"/>
                <w:rtl w:val="true"/>
              </w:rPr>
              <w:tab/>
            </w:r>
            <w:r>
              <w:rPr>
                <w:rStyle w:val="IndexLink"/>
              </w:rPr>
              <w:t>184</w:t>
            </w:r>
          </w:hyperlink>
        </w:p>
        <w:p>
          <w:pPr>
            <w:pStyle w:val="Contents2"/>
            <w:tabs>
              <w:tab w:val="clear" w:pos="8743"/>
              <w:tab w:val="right" w:pos="9026" w:leader="dot"/>
            </w:tabs>
            <w:rPr/>
          </w:pPr>
          <w:hyperlink w:anchor="__RefHeading___Toc1682910_1051229030">
            <w:r>
              <w:rPr>
                <w:webHidden/>
                <w:rStyle w:val="IndexLink"/>
                <w:rtl w:val="true"/>
              </w:rPr>
              <w:t>فصل پنجم</w:t>
            </w:r>
            <w:r>
              <w:rPr>
                <w:rStyle w:val="IndexLink"/>
                <w:rtl w:val="true"/>
              </w:rPr>
              <w:t xml:space="preserve">: </w:t>
            </w:r>
            <w:r>
              <w:rPr>
                <w:rStyle w:val="IndexLink"/>
                <w:rtl w:val="true"/>
              </w:rPr>
              <w:t>سخن‌چينى</w:t>
            </w:r>
            <w:r>
              <w:rPr>
                <w:rStyle w:val="IndexLink"/>
                <w:rtl w:val="true"/>
              </w:rPr>
              <w:tab/>
            </w:r>
            <w:r>
              <w:rPr>
                <w:rStyle w:val="IndexLink"/>
              </w:rPr>
              <w:t>189</w:t>
            </w:r>
          </w:hyperlink>
        </w:p>
        <w:p>
          <w:pPr>
            <w:pStyle w:val="Contents3"/>
            <w:tabs>
              <w:tab w:val="clear" w:pos="8459"/>
              <w:tab w:val="right" w:pos="9026" w:leader="dot"/>
            </w:tabs>
            <w:rPr/>
          </w:pPr>
          <w:hyperlink w:anchor="__RefHeading___Toc1682912_105122903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682914_1051229030">
            <w:r>
              <w:rPr>
                <w:webHidden/>
                <w:rStyle w:val="IndexLink"/>
                <w:rtl w:val="true"/>
              </w:rPr>
              <w:t>حكم سخن‌چينى</w:t>
            </w:r>
            <w:r>
              <w:rPr>
                <w:rStyle w:val="IndexLink"/>
                <w:rtl w:val="true"/>
              </w:rPr>
              <w:tab/>
            </w:r>
            <w:r>
              <w:rPr>
                <w:rStyle w:val="IndexLink"/>
              </w:rPr>
              <w:t>191</w:t>
            </w:r>
          </w:hyperlink>
        </w:p>
        <w:p>
          <w:pPr>
            <w:pStyle w:val="Contents3"/>
            <w:tabs>
              <w:tab w:val="clear" w:pos="8459"/>
              <w:tab w:val="right" w:pos="9026" w:leader="dot"/>
            </w:tabs>
            <w:rPr/>
          </w:pPr>
          <w:hyperlink w:anchor="__RefHeading___Toc1682916_1051229030">
            <w:r>
              <w:rPr>
                <w:webHidden/>
                <w:rStyle w:val="IndexLink"/>
                <w:rtl w:val="true"/>
              </w:rPr>
              <w:t>ادله حرمت سخن‌چينى</w:t>
            </w:r>
            <w:r>
              <w:rPr>
                <w:rStyle w:val="IndexLink"/>
                <w:rtl w:val="true"/>
              </w:rPr>
              <w:tab/>
            </w:r>
            <w:r>
              <w:rPr>
                <w:rStyle w:val="IndexLink"/>
              </w:rPr>
              <w:t>191</w:t>
            </w:r>
          </w:hyperlink>
        </w:p>
        <w:p>
          <w:pPr>
            <w:pStyle w:val="Contents3"/>
            <w:tabs>
              <w:tab w:val="clear" w:pos="8459"/>
              <w:tab w:val="right" w:pos="9026" w:leader="dot"/>
            </w:tabs>
            <w:rPr/>
          </w:pPr>
          <w:hyperlink w:anchor="__RefHeading___Toc1682918_1051229030">
            <w:r>
              <w:rPr>
                <w:webHidden/>
                <w:rStyle w:val="IndexLink"/>
                <w:rtl w:val="true"/>
              </w:rPr>
              <w:t>قرآن</w:t>
            </w:r>
            <w:r>
              <w:rPr>
                <w:rStyle w:val="IndexLink"/>
                <w:rtl w:val="true"/>
              </w:rPr>
              <w:tab/>
            </w:r>
            <w:r>
              <w:rPr>
                <w:rStyle w:val="IndexLink"/>
              </w:rPr>
              <w:t>191</w:t>
            </w:r>
          </w:hyperlink>
        </w:p>
        <w:p>
          <w:pPr>
            <w:pStyle w:val="Contents3"/>
            <w:tabs>
              <w:tab w:val="clear" w:pos="8459"/>
              <w:tab w:val="right" w:pos="9026" w:leader="dot"/>
            </w:tabs>
            <w:rPr/>
          </w:pPr>
          <w:hyperlink w:anchor="__RefHeading___Toc1682920_1051229030">
            <w:r>
              <w:rPr>
                <w:webHidden/>
                <w:rStyle w:val="IndexLink"/>
                <w:rtl w:val="true"/>
              </w:rPr>
              <w:t>روايات</w:t>
            </w:r>
            <w:r>
              <w:rPr>
                <w:rStyle w:val="IndexLink"/>
                <w:rtl w:val="true"/>
              </w:rPr>
              <w:tab/>
            </w:r>
            <w:r>
              <w:rPr>
                <w:rStyle w:val="IndexLink"/>
              </w:rPr>
              <w:t>192</w:t>
            </w:r>
          </w:hyperlink>
        </w:p>
        <w:p>
          <w:pPr>
            <w:pStyle w:val="Contents2"/>
            <w:tabs>
              <w:tab w:val="clear" w:pos="8743"/>
              <w:tab w:val="right" w:pos="9026" w:leader="dot"/>
            </w:tabs>
            <w:rPr/>
          </w:pPr>
          <w:hyperlink w:anchor="__RefHeading___Toc1682922_1051229030">
            <w:r>
              <w:rPr>
                <w:webHidden/>
                <w:rStyle w:val="IndexLink"/>
                <w:rtl w:val="true"/>
              </w:rPr>
              <w:t>فصل ششم</w:t>
            </w:r>
            <w:r>
              <w:rPr>
                <w:rStyle w:val="IndexLink"/>
                <w:rtl w:val="true"/>
              </w:rPr>
              <w:t xml:space="preserve">: </w:t>
            </w:r>
            <w:r>
              <w:rPr>
                <w:rStyle w:val="IndexLink"/>
                <w:rtl w:val="true"/>
              </w:rPr>
              <w:t>غناء</w:t>
            </w:r>
            <w:r>
              <w:rPr>
                <w:rStyle w:val="IndexLink"/>
                <w:rtl w:val="true"/>
              </w:rPr>
              <w:tab/>
            </w:r>
            <w:r>
              <w:rPr>
                <w:rStyle w:val="IndexLink"/>
              </w:rPr>
              <w:t>197</w:t>
            </w:r>
          </w:hyperlink>
        </w:p>
        <w:p>
          <w:pPr>
            <w:pStyle w:val="Contents3"/>
            <w:tabs>
              <w:tab w:val="clear" w:pos="8459"/>
              <w:tab w:val="right" w:pos="9026" w:leader="dot"/>
            </w:tabs>
            <w:rPr/>
          </w:pPr>
          <w:hyperlink w:anchor="__RefHeading___Toc1682924_105122903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682926_1051229030">
            <w:r>
              <w:rPr>
                <w:webHidden/>
                <w:rStyle w:val="IndexLink"/>
                <w:rtl w:val="true"/>
              </w:rPr>
              <w:t>مقام اول</w:t>
            </w:r>
            <w:r>
              <w:rPr>
                <w:rStyle w:val="IndexLink"/>
                <w:rtl w:val="true"/>
              </w:rPr>
              <w:t xml:space="preserve">: </w:t>
            </w:r>
            <w:r>
              <w:rPr>
                <w:rStyle w:val="IndexLink"/>
                <w:rtl w:val="true"/>
              </w:rPr>
              <w:t>تعريف موضوع غناء</w:t>
            </w:r>
            <w:r>
              <w:rPr>
                <w:rStyle w:val="IndexLink"/>
                <w:rtl w:val="true"/>
              </w:rPr>
              <w:tab/>
            </w:r>
            <w:r>
              <w:rPr>
                <w:rStyle w:val="IndexLink"/>
              </w:rPr>
              <w:t>199</w:t>
            </w:r>
          </w:hyperlink>
        </w:p>
        <w:p>
          <w:pPr>
            <w:pStyle w:val="Contents4"/>
            <w:tabs>
              <w:tab w:val="clear" w:pos="8176"/>
              <w:tab w:val="right" w:pos="9026" w:leader="dot"/>
            </w:tabs>
            <w:rPr/>
          </w:pPr>
          <w:hyperlink w:anchor="__RefHeading___Toc1682928_105122903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682930_1051229030">
            <w:r>
              <w:rPr>
                <w:webHidden/>
                <w:rStyle w:val="IndexLink"/>
                <w:rtl w:val="true"/>
              </w:rPr>
              <w:t>عقيده من</w:t>
            </w:r>
            <w:r>
              <w:rPr>
                <w:rStyle w:val="IndexLink"/>
                <w:rtl w:val="true"/>
              </w:rPr>
              <w:t xml:space="preserve">: </w:t>
            </w:r>
            <w:r>
              <w:rPr>
                <w:rStyle w:val="IndexLink"/>
                <w:rtl w:val="true"/>
              </w:rPr>
              <w:t>كيفيت كلام؛</w:t>
            </w:r>
            <w:r>
              <w:rPr>
                <w:rStyle w:val="IndexLink"/>
                <w:rtl w:val="true"/>
              </w:rPr>
              <w:tab/>
            </w:r>
            <w:r>
              <w:rPr>
                <w:rStyle w:val="IndexLink"/>
              </w:rPr>
              <w:t>203</w:t>
            </w:r>
          </w:hyperlink>
        </w:p>
        <w:p>
          <w:pPr>
            <w:pStyle w:val="Contents3"/>
            <w:tabs>
              <w:tab w:val="clear" w:pos="8459"/>
              <w:tab w:val="right" w:pos="9026" w:leader="dot"/>
            </w:tabs>
            <w:rPr/>
          </w:pPr>
          <w:hyperlink w:anchor="__RefHeading___Toc1682932_1051229030">
            <w:r>
              <w:rPr>
                <w:webHidden/>
                <w:rStyle w:val="IndexLink"/>
                <w:rtl w:val="true"/>
              </w:rPr>
              <w:t>مقام دوم</w:t>
            </w:r>
            <w:r>
              <w:rPr>
                <w:rStyle w:val="IndexLink"/>
                <w:rtl w:val="true"/>
              </w:rPr>
              <w:t xml:space="preserve">: </w:t>
            </w:r>
            <w:r>
              <w:rPr>
                <w:rStyle w:val="IndexLink"/>
                <w:rtl w:val="true"/>
              </w:rPr>
              <w:t>حكم غناء</w:t>
            </w:r>
            <w:r>
              <w:rPr>
                <w:rStyle w:val="IndexLink"/>
                <w:rtl w:val="true"/>
              </w:rPr>
              <w:tab/>
            </w:r>
            <w:r>
              <w:rPr>
                <w:rStyle w:val="IndexLink"/>
              </w:rPr>
              <w:t>204</w:t>
            </w:r>
          </w:hyperlink>
        </w:p>
        <w:p>
          <w:pPr>
            <w:pStyle w:val="Contents4"/>
            <w:tabs>
              <w:tab w:val="clear" w:pos="8176"/>
              <w:tab w:val="right" w:pos="9026" w:leader="dot"/>
            </w:tabs>
            <w:rPr/>
          </w:pPr>
          <w:hyperlink w:anchor="__RefHeading___Toc1682934_105122903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682936_1051229030">
            <w:r>
              <w:rPr>
                <w:webHidden/>
                <w:rStyle w:val="IndexLink"/>
                <w:rtl w:val="true"/>
              </w:rPr>
              <w:t>وجه اول</w:t>
            </w:r>
            <w:r>
              <w:rPr>
                <w:rStyle w:val="IndexLink"/>
                <w:rtl w:val="true"/>
              </w:rPr>
              <w:t xml:space="preserve">: </w:t>
            </w:r>
            <w:r>
              <w:rPr>
                <w:rStyle w:val="IndexLink"/>
                <w:rtl w:val="true"/>
              </w:rPr>
              <w:t>اجماع</w:t>
            </w:r>
            <w:r>
              <w:rPr>
                <w:rStyle w:val="IndexLink"/>
                <w:rtl w:val="true"/>
              </w:rPr>
              <w:t>.</w:t>
              <w:tab/>
            </w:r>
            <w:r>
              <w:rPr>
                <w:rStyle w:val="IndexLink"/>
              </w:rPr>
              <w:t>204</w:t>
            </w:r>
          </w:hyperlink>
        </w:p>
        <w:p>
          <w:pPr>
            <w:pStyle w:val="Contents3"/>
            <w:tabs>
              <w:tab w:val="clear" w:pos="8459"/>
              <w:tab w:val="right" w:pos="9026" w:leader="dot"/>
            </w:tabs>
            <w:rPr/>
          </w:pPr>
          <w:hyperlink w:anchor="__RefHeading___Toc1682938_1051229030">
            <w:r>
              <w:rPr>
                <w:webHidden/>
                <w:rStyle w:val="IndexLink"/>
                <w:rtl w:val="true"/>
              </w:rPr>
              <w:t>مقام سوم</w:t>
            </w:r>
            <w:r>
              <w:rPr>
                <w:rStyle w:val="IndexLink"/>
                <w:rtl w:val="true"/>
              </w:rPr>
              <w:t xml:space="preserve">: </w:t>
            </w:r>
            <w:r>
              <w:rPr>
                <w:rStyle w:val="IndexLink"/>
                <w:rtl w:val="true"/>
              </w:rPr>
              <w:t>مستثنيات حرمت غناء</w:t>
            </w:r>
            <w:r>
              <w:rPr>
                <w:rStyle w:val="IndexLink"/>
                <w:rtl w:val="true"/>
              </w:rPr>
              <w:tab/>
            </w:r>
            <w:r>
              <w:rPr>
                <w:rStyle w:val="IndexLink"/>
              </w:rPr>
              <w:t>215</w:t>
            </w:r>
          </w:hyperlink>
        </w:p>
        <w:p>
          <w:pPr>
            <w:pStyle w:val="Contents4"/>
            <w:tabs>
              <w:tab w:val="clear" w:pos="8176"/>
              <w:tab w:val="right" w:pos="9026" w:leader="dot"/>
            </w:tabs>
            <w:rPr/>
          </w:pPr>
          <w:hyperlink w:anchor="__RefHeading___Toc1682940_105122903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682942_1051229030">
            <w:r>
              <w:rPr>
                <w:webHidden/>
                <w:rStyle w:val="IndexLink"/>
                <w:rtl w:val="true"/>
              </w:rPr>
              <w:t>مورد اول</w:t>
            </w:r>
            <w:r>
              <w:rPr>
                <w:rStyle w:val="IndexLink"/>
                <w:rtl w:val="true"/>
              </w:rPr>
              <w:t xml:space="preserve">: </w:t>
            </w:r>
            <w:r>
              <w:rPr>
                <w:rStyle w:val="IndexLink"/>
                <w:rtl w:val="true"/>
              </w:rPr>
              <w:t>مراثى</w:t>
            </w:r>
            <w:r>
              <w:rPr>
                <w:rStyle w:val="IndexLink"/>
                <w:rtl w:val="true"/>
              </w:rPr>
              <w:tab/>
            </w:r>
            <w:r>
              <w:rPr>
                <w:rStyle w:val="IndexLink"/>
              </w:rPr>
              <w:t>215</w:t>
            </w:r>
          </w:hyperlink>
        </w:p>
        <w:p>
          <w:pPr>
            <w:pStyle w:val="Contents4"/>
            <w:tabs>
              <w:tab w:val="clear" w:pos="8176"/>
              <w:tab w:val="right" w:pos="9026" w:leader="dot"/>
            </w:tabs>
            <w:rPr/>
          </w:pPr>
          <w:hyperlink w:anchor="__RefHeading___Toc1682944_1051229030">
            <w:r>
              <w:rPr>
                <w:webHidden/>
                <w:rStyle w:val="IndexLink"/>
                <w:rtl w:val="true"/>
              </w:rPr>
              <w:t>مورد دوم</w:t>
            </w:r>
            <w:r>
              <w:rPr>
                <w:rStyle w:val="IndexLink"/>
                <w:rtl w:val="true"/>
              </w:rPr>
              <w:t xml:space="preserve">: </w:t>
            </w:r>
            <w:r>
              <w:rPr>
                <w:rStyle w:val="IndexLink"/>
                <w:rtl w:val="true"/>
              </w:rPr>
              <w:t>تلاوت قرآن</w:t>
            </w:r>
            <w:r>
              <w:rPr>
                <w:rStyle w:val="IndexLink"/>
                <w:rtl w:val="true"/>
              </w:rPr>
              <w:tab/>
            </w:r>
            <w:r>
              <w:rPr>
                <w:rStyle w:val="IndexLink"/>
              </w:rPr>
              <w:t>219</w:t>
            </w:r>
          </w:hyperlink>
        </w:p>
        <w:p>
          <w:pPr>
            <w:pStyle w:val="Contents4"/>
            <w:tabs>
              <w:tab w:val="clear" w:pos="8176"/>
              <w:tab w:val="right" w:pos="9026" w:leader="dot"/>
            </w:tabs>
            <w:rPr/>
          </w:pPr>
          <w:hyperlink w:anchor="__RefHeading___Toc1682946_1051229030">
            <w:r>
              <w:rPr>
                <w:webHidden/>
                <w:rStyle w:val="IndexLink"/>
                <w:rtl w:val="true"/>
              </w:rPr>
              <w:t>مورد سوم</w:t>
            </w:r>
            <w:r>
              <w:rPr>
                <w:rStyle w:val="IndexLink"/>
                <w:rtl w:val="true"/>
              </w:rPr>
              <w:t xml:space="preserve">: </w:t>
            </w:r>
            <w:r>
              <w:rPr>
                <w:rStyle w:val="IndexLink"/>
                <w:rtl w:val="true"/>
              </w:rPr>
              <w:t>حداء براى راندن شتران</w:t>
            </w:r>
            <w:r>
              <w:rPr>
                <w:rStyle w:val="IndexLink"/>
                <w:rtl w:val="true"/>
              </w:rPr>
              <w:tab/>
            </w:r>
            <w:r>
              <w:rPr>
                <w:rStyle w:val="IndexLink"/>
              </w:rPr>
              <w:t>222</w:t>
            </w:r>
          </w:hyperlink>
        </w:p>
        <w:p>
          <w:pPr>
            <w:pStyle w:val="Contents4"/>
            <w:tabs>
              <w:tab w:val="clear" w:pos="8176"/>
              <w:tab w:val="right" w:pos="9026" w:leader="dot"/>
            </w:tabs>
            <w:rPr/>
          </w:pPr>
          <w:hyperlink w:anchor="__RefHeading___Toc1682948_1051229030">
            <w:r>
              <w:rPr>
                <w:webHidden/>
                <w:rStyle w:val="IndexLink"/>
                <w:rtl w:val="true"/>
              </w:rPr>
              <w:t>مورد چهارم</w:t>
            </w:r>
            <w:r>
              <w:rPr>
                <w:rStyle w:val="IndexLink"/>
                <w:rtl w:val="true"/>
              </w:rPr>
              <w:t xml:space="preserve">: </w:t>
            </w:r>
            <w:r>
              <w:rPr>
                <w:rStyle w:val="IndexLink"/>
                <w:rtl w:val="true"/>
              </w:rPr>
              <w:t>عروسى‌ها</w:t>
            </w:r>
            <w:r>
              <w:rPr>
                <w:rStyle w:val="IndexLink"/>
                <w:rtl w:val="true"/>
              </w:rPr>
              <w:tab/>
            </w:r>
            <w:r>
              <w:rPr>
                <w:rStyle w:val="IndexLink"/>
              </w:rPr>
              <w:t>223</w:t>
            </w:r>
          </w:hyperlink>
        </w:p>
        <w:p>
          <w:pPr>
            <w:pStyle w:val="Contents2"/>
            <w:tabs>
              <w:tab w:val="clear" w:pos="8743"/>
              <w:tab w:val="right" w:pos="9026" w:leader="dot"/>
            </w:tabs>
            <w:rPr/>
          </w:pPr>
          <w:hyperlink w:anchor="__RefHeading___Toc1682950_1051229030">
            <w:r>
              <w:rPr>
                <w:webHidden/>
                <w:rStyle w:val="IndexLink"/>
                <w:rtl w:val="true"/>
              </w:rPr>
              <w:t>فصل هفتم</w:t>
            </w:r>
            <w:r>
              <w:rPr>
                <w:rStyle w:val="IndexLink"/>
                <w:rtl w:val="true"/>
              </w:rPr>
              <w:t xml:space="preserve">: </w:t>
            </w:r>
            <w:r>
              <w:rPr>
                <w:rStyle w:val="IndexLink"/>
                <w:rtl w:val="true"/>
              </w:rPr>
              <w:t>سوگوارى و نوحه‌سرايى</w:t>
            </w:r>
            <w:r>
              <w:rPr>
                <w:rStyle w:val="IndexLink"/>
                <w:rtl w:val="true"/>
              </w:rPr>
              <w:tab/>
            </w:r>
            <w:r>
              <w:rPr>
                <w:rStyle w:val="IndexLink"/>
              </w:rPr>
              <w:t>225</w:t>
            </w:r>
          </w:hyperlink>
        </w:p>
        <w:p>
          <w:pPr>
            <w:pStyle w:val="Contents3"/>
            <w:tabs>
              <w:tab w:val="clear" w:pos="8459"/>
              <w:tab w:val="right" w:pos="9026" w:leader="dot"/>
            </w:tabs>
            <w:rPr/>
          </w:pPr>
          <w:hyperlink w:anchor="__RefHeading___Toc1682952_105122903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682954_1051229030">
            <w:r>
              <w:rPr>
                <w:webHidden/>
                <w:rStyle w:val="IndexLink"/>
                <w:rtl w:val="true"/>
              </w:rPr>
              <w:t>سوگوارى و نوحه‌سرايى</w:t>
            </w:r>
            <w:r>
              <w:rPr>
                <w:rStyle w:val="IndexLink"/>
                <w:rtl w:val="true"/>
              </w:rPr>
              <w:tab/>
            </w:r>
            <w:r>
              <w:rPr>
                <w:rStyle w:val="IndexLink"/>
              </w:rPr>
              <w:t>227</w:t>
            </w:r>
          </w:hyperlink>
        </w:p>
        <w:p>
          <w:pPr>
            <w:pStyle w:val="Contents3"/>
            <w:tabs>
              <w:tab w:val="clear" w:pos="8459"/>
              <w:tab w:val="right" w:pos="9026" w:leader="dot"/>
            </w:tabs>
            <w:rPr/>
          </w:pPr>
          <w:hyperlink w:anchor="__RefHeading___Toc1682956_1051229030">
            <w:r>
              <w:rPr>
                <w:webHidden/>
                <w:rStyle w:val="IndexLink"/>
                <w:rtl w:val="true"/>
              </w:rPr>
              <w:t>مورد اول</w:t>
            </w:r>
            <w:r>
              <w:rPr>
                <w:rStyle w:val="IndexLink"/>
                <w:rtl w:val="true"/>
              </w:rPr>
              <w:t xml:space="preserve">: </w:t>
            </w:r>
            <w:r>
              <w:rPr>
                <w:rStyle w:val="IndexLink"/>
                <w:rtl w:val="true"/>
              </w:rPr>
              <w:t>حكم تكليفى</w:t>
            </w:r>
            <w:r>
              <w:rPr>
                <w:rStyle w:val="IndexLink"/>
                <w:rtl w:val="true"/>
              </w:rPr>
              <w:tab/>
            </w:r>
            <w:r>
              <w:rPr>
                <w:rStyle w:val="IndexLink"/>
              </w:rPr>
              <w:t>227</w:t>
            </w:r>
          </w:hyperlink>
        </w:p>
        <w:p>
          <w:pPr>
            <w:pStyle w:val="Contents4"/>
            <w:tabs>
              <w:tab w:val="clear" w:pos="8176"/>
              <w:tab w:val="right" w:pos="9026" w:leader="dot"/>
            </w:tabs>
            <w:rPr/>
          </w:pPr>
          <w:hyperlink w:anchor="__RefHeading___Toc1682958_105122903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682960_1051229030">
            <w:r>
              <w:rPr>
                <w:webHidden/>
                <w:rStyle w:val="IndexLink"/>
                <w:rtl w:val="true"/>
              </w:rPr>
              <w:t>روايات</w:t>
            </w:r>
            <w:r>
              <w:rPr>
                <w:rStyle w:val="IndexLink"/>
                <w:rtl w:val="true"/>
              </w:rPr>
              <w:tab/>
            </w:r>
            <w:r>
              <w:rPr>
                <w:rStyle w:val="IndexLink"/>
              </w:rPr>
              <w:t>228</w:t>
            </w:r>
          </w:hyperlink>
        </w:p>
        <w:p>
          <w:pPr>
            <w:pStyle w:val="Contents3"/>
            <w:tabs>
              <w:tab w:val="clear" w:pos="8459"/>
              <w:tab w:val="right" w:pos="9026" w:leader="dot"/>
            </w:tabs>
            <w:rPr/>
          </w:pPr>
          <w:hyperlink w:anchor="__RefHeading___Toc1682962_1051229030">
            <w:r>
              <w:rPr>
                <w:webHidden/>
                <w:rStyle w:val="IndexLink"/>
                <w:rtl w:val="true"/>
              </w:rPr>
              <w:t>مورد دوم</w:t>
            </w:r>
            <w:r>
              <w:rPr>
                <w:rStyle w:val="IndexLink"/>
                <w:rtl w:val="true"/>
              </w:rPr>
              <w:t xml:space="preserve">: </w:t>
            </w:r>
            <w:r>
              <w:rPr>
                <w:rStyle w:val="IndexLink"/>
                <w:rtl w:val="true"/>
              </w:rPr>
              <w:t>حكم وضعى</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3_74222"/>
      <w:bookmarkStart w:id="1" w:name="pg7423_74222"/>
      <w:bookmarkEnd w:id="1"/>
    </w:p>
    <w:p>
      <w:pPr>
        <w:pStyle w:val="Heading2"/>
        <w:numPr>
          <w:ilvl w:val="1"/>
          <w:numId w:val="1"/>
        </w:numPr>
        <w:rPr/>
      </w:pPr>
      <w:bookmarkStart w:id="2" w:name="pg7423_74222"/>
      <w:bookmarkStart w:id="3" w:name="__RefHeading___Toc168277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بررسى فقهى غيبت و دروغ به انضمام بررسى دشنام به مؤمن، سخن‌چينى و غناء</w:t>
      </w:r>
    </w:p>
    <w:p>
      <w:pPr>
        <w:pStyle w:val="BookText"/>
        <w:rPr/>
      </w:pPr>
      <w:r>
        <w:rPr>
          <w:rFonts w:ascii="IRNazanin" w:hAnsi="IRNazanin" w:eastAsia="IRNazanin"/>
          <w:color w:val="111111"/>
          <w:sz w:val="28"/>
          <w:sz w:val="28"/>
          <w:szCs w:val="28"/>
          <w:rtl w:val="true"/>
          <w:lang w:bidi="fa-IR"/>
        </w:rPr>
        <w:t xml:space="preserve">برگرفته از كتاب ارزشمند فقه الصادق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زاده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 شروق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مركزپخش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ابتداى خيابان صفائيه، پلاك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كلبه شروق</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37741423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37838144</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278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بررسى فقهى غيبت و دروغ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بررسى دشنام به مؤمن، سخن‌چينى و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كتاب ارزشمند فقه الصادق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bookmarkStart w:id="7" w:name="pg7423_74229"/>
    </w:p>
    <w:p>
      <w:pPr>
        <w:pStyle w:val="Heading2"/>
        <w:numPr>
          <w:ilvl w:val="1"/>
          <w:numId w:val="1"/>
        </w:numPr>
        <w:rPr/>
      </w:pPr>
      <w:bookmarkStart w:id="8" w:name="__RefHeading___Toc168278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به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ادله حرمت دشنام به مؤمن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مستثنيات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تعريف غيبت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تذكر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تعريف غيبت؛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حكم غيبت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غيبت، گناه كبيره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شرط ايمان در حرمت غيبت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غيبت كودك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كفاره غيبت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مستثنيات غيبت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غيبت متجاهر به فسق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فروع مسأله غيبت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استدلال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استدلال به دو قول آخر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دادخواهى مظلوم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غيبت تارك اولى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ضابطه غيبت جايز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مشورت‌گيرنده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فتوا گرفتن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غيبت‌شونده از انجام منكر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نمودن فساد و جرح شهود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ضرر از مقول فيه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اوصاف ظاهرى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ادعاى نسب نادرست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حرمت استماع غيبت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عدم ملازمت جواز غيبت با جواز شنيدن آن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حرمت دورويه حرف زدن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حكم دروغ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دروغ گناه كبيره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وعده و حكم آن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تحقيق و 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حقيقت و اقسام وعده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حكم وعده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حكم خلف وعده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هنگام شوخى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توريه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مسوغات دروغ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در جهت دفع ضرورت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lang w:bidi="ar-SA"/>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در جهت اصلاح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كسى كه شايسته آن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حكم مدح كسى كه شايسته مدح نيست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حرمت كمك به ظالمان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سخن‌چينى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حكم سخن‌چينى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ادله حرمت سخن‌چينى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موضوع غناء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كلام؛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غناء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مقام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مستثنيات حرمت غناء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حداء براى راندن شتران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و نوحه‌سرايى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سوگوارى و نوحه‌سرايى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تكليفى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وضعى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23_74237"/>
      <w:bookmarkStart w:id="11" w:name="pg7423_74237"/>
      <w:bookmarkEnd w:id="11"/>
    </w:p>
    <w:p>
      <w:pPr>
        <w:pStyle w:val="Heading2"/>
        <w:numPr>
          <w:ilvl w:val="1"/>
          <w:numId w:val="1"/>
        </w:numPr>
        <w:rPr/>
      </w:pPr>
      <w:bookmarkStart w:id="12" w:name="pg7423_74237"/>
      <w:bookmarkStart w:id="13" w:name="__RefHeading___Toc1682784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زبان، ترجمان دل، نماينده عقل، كليد شخصيت و مهم‌ترين دريچه روح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صفحه زبان و در لابه‌لاى سخنان انسان ظاهر مى‌شود، نمودى از آن چيزى است كه بر صفحه روح او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عين حال كه يكى از بزرگ‌ترين نعمت‌هاى خداوند و ابزارى براى رشد و روابط با ديگران است، مفاسد وآفاتى فراوان نيز دارد كه مى‌تواند سرچشمه گناهان بى‌شمارى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مفاسد و آفات به انسان كمك مى‌كند تا با كنترل آنها خود را از ابتلاى به آفات مواظبت نموده و از مفاسد آن اجتناب نمايد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تحقيقى ارزشمند پيرامون برخى از گناهان زبان و گوش در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استناد به منابع مهم حديثى و فقه امام صادق عليه السلام، به بحث پيرامون غيبت، دروغ، سخن‌چينى، غناء و چند مبحث ضرورى ديگر پرداخته‌اند، و احكام آن را مطابق با فقه جعفرى به طور مستند تبيين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ديدگاه‌هاى عالمان بزرگ شيعه، از آغاز تا عصر حاضر را نيز در تبيين و توضيح اين مباحث استفاده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اين مباحث، در جلد بيست و يكم از مجموعه گران‌سنگ فقه الصادق به زبان عربى به رشته تحرير در آمده است؛ و اكنون، با توجه به ضرورت و اهميت مباحث آن در جامعه اسلامى، ترجمه فارسى آنها در اختيار علاقمندان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در سايه توجهات حضرت حق، و با بهره‌گيرى از بيانات راه‌گشا و راه‌نماى پيشوايان دين عليه السلام بتوانيم گامى در راستاى زدودن پرده‌هاى جهل و غفلت از اين گناهان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bookmarkStart w:id="15" w:name="pg7423_74240"/>
    </w:p>
    <w:p>
      <w:pPr>
        <w:pStyle w:val="Heading2"/>
        <w:numPr>
          <w:ilvl w:val="1"/>
          <w:numId w:val="1"/>
        </w:numPr>
        <w:rPr/>
      </w:pPr>
      <w:bookmarkStart w:id="16" w:name="__RefHeading___Toc1682786_1051229030"/>
      <w:bookmarkStart w:id="17" w:name="_Toc5"/>
      <w:bookmarkEnd w:id="15"/>
      <w:bookmarkEnd w:id="16"/>
      <w:r>
        <w:rPr>
          <w:rtl w:val="true"/>
        </w:rPr>
        <w:t>فصل اوّل</w:t>
      </w:r>
      <w:r>
        <w:rPr>
          <w:rtl w:val="true"/>
        </w:rPr>
        <w:t xml:space="preserve">: </w:t>
      </w:r>
      <w:r>
        <w:rPr>
          <w:rtl w:val="true"/>
        </w:rPr>
        <w:t>دشنام به مؤمن</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82788_1051229030"/>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23_74244"/>
      <w:bookmarkStart w:id="21" w:name="pg7423_74244"/>
      <w:bookmarkEnd w:id="21"/>
    </w:p>
    <w:p>
      <w:pPr>
        <w:pStyle w:val="Heading3"/>
        <w:numPr>
          <w:ilvl w:val="2"/>
          <w:numId w:val="1"/>
        </w:numPr>
        <w:rPr/>
      </w:pPr>
      <w:bookmarkStart w:id="22" w:name="pg7423_74244"/>
      <w:bookmarkStart w:id="23" w:name="__RefHeading___Toc1682790_1051229030"/>
      <w:bookmarkStart w:id="24" w:name="_Toc7"/>
      <w:bookmarkEnd w:id="22"/>
      <w:bookmarkEnd w:id="23"/>
      <w:r>
        <w:rPr>
          <w:rtl w:val="true"/>
        </w:rPr>
        <w:t>ادله حرمت دشنام به مؤمن</w:t>
      </w:r>
      <w:bookmarkEnd w:id="24"/>
    </w:p>
    <w:p>
      <w:pPr>
        <w:pStyle w:val="BookText"/>
        <w:rPr/>
      </w:pPr>
      <w:r>
        <w:rPr>
          <w:rFonts w:ascii="Amiri" w:hAnsi="Amiri" w:eastAsia="Amiri" w:cs="Amiri"/>
          <w:color w:val="111111"/>
          <w:sz w:val="28"/>
          <w:sz w:val="28"/>
          <w:szCs w:val="28"/>
          <w:rtl w:val="true"/>
          <w:lang w:bidi="ar-SA"/>
        </w:rPr>
        <w:t xml:space="preserve">به طور كلى دشنام به مؤمنين حرام است، و دليل اين حرمت، ادله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عقل، اجماع، سنت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قرآن كريم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اجْتَنِبُوا قَوْلَ الزُّورِ ؛ و نيز از گفتار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 و شهادت ناحق و سخنان لهو و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گزينيد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كه دشنام از واضح‌ترين مصاديق قول زور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در تشخيص حرمت دشنام به مؤمنين مستقل است، زيرا سبّ، ظلم واذيت و تحقير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مسلمانان بر حرمت اجماع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فراوانى بر حرمت دشنام به مؤمن دلالت مى‌كند؛ مانند نصوصى كه در ذيل به آنها اشاره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ابوبصير از 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دشنام‌گويى به مؤمن فسق است، و جنگيدن با او كفر است،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است، و احترام مال مؤمن </w:t>
      </w:r>
    </w:p>
    <w:p>
      <w:pPr>
        <w:pStyle w:val="BookText"/>
        <w:rPr/>
      </w:pPr>
      <w:r>
        <w:rPr>
          <w:rFonts w:ascii="IRNazanin" w:hAnsi="IRNazanin" w:eastAsia="IRNazanin"/>
          <w:color w:val="111111"/>
          <w:sz w:val="28"/>
          <w:sz w:val="28"/>
          <w:szCs w:val="28"/>
          <w:rtl w:val="true"/>
          <w:lang w:bidi="fa-IR"/>
        </w:rPr>
        <w:t>مانند احترام خون اوست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سِبَابُ الْمُؤْمِنِ فُسُوقٌ وَ قِتَالُهُ كُفْرٌ وَ أَكْلُ لَحْمِهِ مَعْصِيَةٌ وَ حُرْمَةُ مَالِهِ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16308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موثق است، و احتمال دارد بيان روايت در تعبير فسوق و در خوردن گوشت مؤمن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متضمن اصطلاحات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عبارت‌پردازى باشد، و چه بسا گفته شود دلالت روايت بر مطلب ضعيف است، زيرا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مطلق سب را شامل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سكونى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دشنام‌دهنده به مؤمن مانند كسى است كه در پرتگاه هلاكت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اعظم اين روايت را به دليل حضور نوفلى در سند ضعيف دانسته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حسين بن يزيد نوفلى را ضعيف دانسته و عده‌اى ديگر از او در كتب رجال يادى نكرده‌اند، اما با در نظر داشتن اين مطلب كه هيچ يك از بزرگان رجال خدشه‌اى به او وارد نكرده‌اند، و گروهى از بزرگان مانند محقق در المعتبر</w:t>
      </w:r>
      <w:r>
        <w:rPr>
          <w:rStyle w:val="FootnoteAnchor"/>
          <w:rtl w:val="true"/>
        </w:rPr>
        <w:footnoteReference w:id="7"/>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سايرين به اخبار و رواياتش عمل كرده‌اند، و حتى به آنها تكيه كرده و آنها را جزء روايات موثق برشمرده‌اند؛ و نيز، روايت گسترده گروهى از قمى‌ها از او، و مدايحى كه در حق او گفته‌اند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روايت‌گر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نگوييم روايات او موثقه‌اند، با توجه به اين كه اين مرد قطعاً شيعه امامى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جزء افراد حسن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برخى قمى‌ها او را در پايان عمر جزء غلوكنندگان برشمرده‌اند، اما اين سخن موجب ردّ روايات او نمى‌شود، زيرا علاوه بر اينكه به نسبت دادن قدما به غلو توجهى نمى‌شود، غلو در پايان عمرش ضررى به رواياتى كه پيش از آن نقل كرده نمى‌زند، و موجب طعن درباره او نمى‌شود، همان‌گونه كه درباره بسيارى از فقهاى ثقه و تأييدشده مانند يونس بن عبدالرحمن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محقق داماد به آن تصريح كرده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به استدلال به اين روايت وارد است، اين است كه دلالت اين حديث بر اين مطلب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كه رسول خدا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پرتگاه هلاكت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معلوم است ظهور در حرمت ندارد، و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بلكه اين احتمال با قرينه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است؛ و ضعيف‌تر از استدلال به اين موثقه، استدلال به خبر ابوبصير از امام باقر عليه السلام از رسول </w:t>
      </w:r>
    </w:p>
    <w:p>
      <w:pPr>
        <w:pStyle w:val="BookText"/>
        <w:rPr/>
      </w:pPr>
      <w:r>
        <w:rPr>
          <w:rFonts w:ascii="Amiri" w:hAnsi="Amiri" w:eastAsia="Amiri" w:cs="Amiri"/>
          <w:color w:val="111111"/>
          <w:sz w:val="28"/>
          <w:sz w:val="28"/>
          <w:szCs w:val="28"/>
          <w:rtl w:val="true"/>
          <w:lang w:bidi="ar-SA"/>
        </w:rPr>
        <w:t>خدا صلى الله عليه و آله و 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مردم دشنام مدهيد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آنان كسب عداوت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16348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چون ظاهر خبر اين است كه نهى از دشنام ارشادى است به مفسده‌اى كه گاهى و نه هميشه، بر دشنام مترتب مى‌شود كه عبارت است از توليد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مطلق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دشمنى با مؤمن و دشمنى غيرمؤمن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صاحب الاحتجاج از اباالحسن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دو مردى كه به 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آغاز به دشنام كرد ستمكارتر است، و گناهش به گردن رفيق اوست تا زمانى كه از ستم‌كشيده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نخواسته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بعد از نقل اين خبر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ضماير گمراه‌كننده است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اين روايت در كتاب‌هاى معتبر به اين شكل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دو مردى كه به 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آغاز به دشنام كرد ستمكارتر است، و گناه او و گناه رفيقش به گردن اوست تا زمانى كه از ستم‌كشيده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نخواسته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و در روايت ديگرى با اختلاف در صدر </w:t>
      </w:r>
    </w:p>
    <w:p>
      <w:pPr>
        <w:pStyle w:val="BookText"/>
        <w:rPr/>
      </w:pPr>
      <w:r>
        <w:rPr>
          <w:rFonts w:ascii="Amiri" w:hAnsi="Amiri" w:eastAsia="Amiri" w:cs="Amiri"/>
          <w:color w:val="111111"/>
          <w:sz w:val="28"/>
          <w:sz w:val="28"/>
          <w:szCs w:val="28"/>
          <w:rtl w:val="true"/>
          <w:lang w:bidi="ar-SA"/>
        </w:rPr>
        <w:t>سند و ذيل متن به اين شكل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زمانى كه تعدى به مظلوم نكرده باشد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يتَعَدّ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20883</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خبر اولى صحيح، و دومى حسن است، بنابراين گمراهى در مرجع ضماير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ابتدايى از اين دو روايت چنين به نظر مى‌رسد كه هر دو گناه بر كسى كه آغاز به دشنام كرده است، ثابت است و جواب‌دهنده گناهى ندارد؛ نهايت امر آن است كه روايت اول بر برائت از دو گناه با عذرخواستن از مظلوم و همراه با توبه دلالت دارد، و روايت دوم دلالت مى‌كند بر اين كه دو گناه بر عهده كسى است كه آغاز به دشنام كرده است و بر جواب‌دهنده گناهى نيست مگر اينكه از اعتدا به مثل تجاوز كند و در صورت تجاوز، او در خصوص مقدار زائد آغازكننده است، چنانچه جمعى از بزرگان درباره اين مسأله فتوا داده‌اند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تدبر در دو خبر، ناتمام بودن اين نظر روشن مى‌شود، چون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ثبوت گناه بر جواب‌دهنده دارد، و حمل آن بر اراده مقدار گناه دوستش اگر او آغازكننده مى‌بود؛ از حمل آن بر اراده مثل همان گناه دوستش بدون اينكه از گناه خودش چيزى كم شود، اولى نيست، و چه بسا دومى اظهر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اين كه همانند گناه كسى كه جواب مى‌دهد بر كسى ثابت باشد كه دشنام را شروع كرده است، فقط هنگامى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نكرده باشد؛ و در غير اين صورت، اگر </w:t>
      </w:r>
    </w:p>
    <w:p>
      <w:pPr>
        <w:pStyle w:val="BookText"/>
        <w:rPr/>
      </w:pPr>
      <w:r>
        <w:rPr>
          <w:rFonts w:ascii="IRNazanin" w:hAnsi="IRNazanin" w:eastAsia="IRNazanin"/>
          <w:color w:val="111111"/>
          <w:sz w:val="28"/>
          <w:sz w:val="28"/>
          <w:szCs w:val="28"/>
          <w:rtl w:val="true"/>
          <w:lang w:bidi="fa-IR"/>
        </w:rPr>
        <w:t>تجاوز كند، به اندازه گناهش بر كسى كه شروع كرده است،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اين مطلب، سخن امام عليه السلام در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يتعد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همان‌طور كه پيداست هر دو خبر روايت واحدى بودند كه به دو طريق نقل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بعيد است كه حجاج اين مسأله را دو بار از اباالحسن عليه السلام پرسيده باشد، و سپس آن را براى راوى آن نقل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است وجهى وجود ندارد كه به آن قسمت از جمله كه محل اختلاف است، استدلال نمود؛ بلكه دليل آن اين است كه پاسخ‌دهنده در مقدار زائد ديگر پاسخ‌دهنده نبوده و در آن مقدار شروع‌كننده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عدم حرمت جواب دادن، و عدم ثبوت گناه بر جواب دهنده بعيد نيست؛ دليل آن آياتى است كه ظهور در اعتداء به مثل دارد، كه دلالت مى‌كنند كسى كه دشنام شنيده، به اندازه‌اى كه دشنام شنيده، جايز است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محقق اردبيلى</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مطلب اشاره كرده است؛ و هيچ وجهى براى حمل خبر بر احتمال اول وجود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خبر در مكاسب به نحو مذكور آمده است، مى‌توان گفت كه در مرجع ضمير گمراه‌كنندگى ديده نمى‌شود،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دشنام داده، دشنامى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مفاد خبر به اين 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هر دشنامى براى هتك هر كدام از آن دو نسبت به رفيق خود، بر عهده كسى است </w:t>
      </w:r>
    </w:p>
    <w:p>
      <w:pPr>
        <w:pStyle w:val="BookText"/>
        <w:rPr/>
      </w:pPr>
      <w:r>
        <w:rPr>
          <w:rFonts w:ascii="Amiri" w:hAnsi="Amiri" w:eastAsia="Amiri" w:cs="Amiri"/>
          <w:color w:val="111111"/>
          <w:sz w:val="28"/>
          <w:sz w:val="28"/>
          <w:szCs w:val="28"/>
          <w:rtl w:val="true"/>
          <w:lang w:bidi="ar-SA"/>
        </w:rPr>
        <w:t>كه دشنام مى‌دهد، و تنها با عذرخواهى از مظلوم مرتفع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دشنام، عرف است، و ظاهر از عرف و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دستِكم در شرايطى كه مفهوم دشنام مجمل باشد، يقينى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سب و شتم به هم پيوسته است، و كاستن، خوارشمردن، و معتبردانستن نكوهش و اهانت در مفهوم آن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مفهومش قصد هتك معتبر است، نه رودررويى با كسى كه سب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دليلى بر معتبر دانستن قصد انشاء وجود ندارد، بلكه ظاهر آن است كه با قصد إخبار نيز دشنام صدق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سخن محقق ايروانى كه مى‌گويد از اين جهت كه در دشنام قصد انشاء لحاظ مى‌شود اما غيبت جمله خبرى است، پس نسبت ميان دشنام و غيبت نسبت تباين است</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ايروانى،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سخنى نادرست است، و قول صحيح، سخن شيخ است كه نسبت ميان آنها را عموم من وجه مى‌داند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گاهى تنها دشنام صدق مى‌كند، نه غيبت؛ مثلاً در صورتى كه دشنام‌شنيده را به قصد اهانت با صفت مشهورى 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او را با مذمت و خوارشمردن خطاب كند، در صورتى كه در حضور هم باشند، غيبت صدق نمى‌كند، پس تدبر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تنها غيبت صدق مى‌كند، نه دشنام؛ مثلاً در صورتى كه عيوب او را بدون قصد اهانت و خوارشمردن آشكار كند</w:t>
      </w:r>
      <w:r>
        <w:rPr>
          <w:rFonts w:eastAsia="IRNazanin" w:cs="IRNazanin"/>
          <w:color w:val="111111"/>
          <w:sz w:val="28"/>
          <w:szCs w:val="28"/>
          <w:rtl w:val="true"/>
          <w:lang w:bidi="fa-IR"/>
        </w:rPr>
        <w:t xml:space="preserve">. </w:t>
      </w:r>
      <w:bookmarkStart w:id="25" w:name="pg7423_74257"/>
    </w:p>
    <w:p>
      <w:pPr>
        <w:pStyle w:val="BookText"/>
        <w:rPr/>
      </w:pPr>
      <w:bookmarkEnd w:id="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دشنام و غيبت با هم صدق مى‌كند، كه در صورت اجتماع، عقاب متعدد مى‌شود</w:t>
      </w:r>
      <w:r>
        <w:rPr>
          <w:rFonts w:eastAsia="IRNazanin" w:cs="IRNazanin"/>
          <w:color w:val="111111"/>
          <w:sz w:val="28"/>
          <w:szCs w:val="28"/>
          <w:rtl w:val="true"/>
          <w:lang w:bidi="fa-IR"/>
        </w:rPr>
        <w:t>.</w:t>
      </w:r>
    </w:p>
    <w:p>
      <w:pPr>
        <w:pStyle w:val="Heading3"/>
        <w:numPr>
          <w:ilvl w:val="2"/>
          <w:numId w:val="1"/>
        </w:numPr>
        <w:rPr/>
      </w:pPr>
      <w:bookmarkStart w:id="26" w:name="__RefHeading___Toc1682792_1051229030"/>
      <w:bookmarkStart w:id="27" w:name="_Toc8"/>
      <w:bookmarkEnd w:id="26"/>
      <w:r>
        <w:rPr>
          <w:rtl w:val="true"/>
        </w:rPr>
        <w:t>مستثنيات</w:t>
      </w:r>
      <w:bookmarkEnd w:id="27"/>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از حكم حرمت دشنام استثناء مى‌شود؛ كه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متظاهر به فسق؛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نصوصى كه دلالت مى‌كنند فاسق در صورت تجاهر به فسق، حرمت و احترام ندارد، فى الجمله بر جواز سبّ متجاهر به فسق دلالت دارند، و در بخش غيبت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دال بر اين هستند كه تظاهر به فسق موجب سلب احترام فاسق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درباره معصيتى است كه در آن تجاهر شده است، اما جواز دشنام يا عدم دشنام درباره گناهانى كه در آن‌ها تجاهر نشده است، نيز مبتنى بر مواردى است كه در همان بخش ذكر خواهد شد؛ مانند اينكه آيا فرمايش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اين است كه احترام به طور مطلق از بين مى‌رود يا نسبت به خصوصِ آن معصيت؟</w:t>
      </w:r>
    </w:p>
    <w:p>
      <w:pPr>
        <w:pStyle w:val="BookText"/>
        <w:rPr/>
      </w:pPr>
      <w:r>
        <w:rPr>
          <w:rFonts w:ascii="IRNazanin" w:hAnsi="IRNazanin" w:eastAsia="IRNazanin"/>
          <w:color w:val="111111"/>
          <w:sz w:val="28"/>
          <w:sz w:val="28"/>
          <w:szCs w:val="28"/>
          <w:rtl w:val="true"/>
          <w:lang w:bidi="fa-IR"/>
        </w:rPr>
        <w:t>به اين ترتيب، حكم دشنام درباره غير مواردى كه در شخص سبّ شده وجود ندارد، روشن مى‌شود، كه معصيت نبوده است؛ اما دشنام گفتن به چيزهايى كه در او وجود ندارد، افتراء است و بلاكلام حرام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 و منظور كسى است كه در احكام شرعى بدعتى بنا گذارد، چون كسى كه در اصول عقايدى بدعت گذاشته </w:t>
      </w:r>
    </w:p>
    <w:p>
      <w:pPr>
        <w:pStyle w:val="BookText"/>
        <w:rPr/>
      </w:pPr>
      <w:r>
        <w:rPr>
          <w:rFonts w:ascii="IRNazanin" w:hAnsi="IRNazanin" w:eastAsia="IRNazanin"/>
          <w:color w:val="111111"/>
          <w:sz w:val="28"/>
          <w:sz w:val="28"/>
          <w:szCs w:val="28"/>
          <w:rtl w:val="true"/>
          <w:lang w:bidi="fa-IR"/>
        </w:rPr>
        <w:t>باشد، كافر است و آنچه دلالت بر حرمت دشنام مى‌كند شامل او نمى‌شود، و خروج او تنها استثناء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استثناى بدعت‌گذار به معناى مذكور، برخى روايات است؛ مانند صحيح داود بن سرحان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اهل ريب و بدعت را ديديد بيزارى خود را از آنان آشكار كنيد، و بسيار به آنان دشنام دهيد، و درباره آنان بد گوييد، و آنان را با برهان و دليل خفه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فساد در اسلام طمع كنند، و در نتيجه مردم از آنان دورى كنند و بدعت‌هاى آنها را ياد نگيرند، و خداوند در برابر اين كار براى شما حسنات بنويسد و درجات بنويسد و درجات شما را در آخرت بالا برد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إِذَا رَأَيْتُمْ أَهْلَ الرَّيْبِ وَ الْبِدَعِ مِنْ بَعْدِى فَأَظْهِرُوا الْبَرَاءَةَ مِنْهُمْ وَ أَكْثِرُوا مِنْ سَبِّهِمْ وَ الْقَوْلَ فِيهِمْ وَ الْوَقِيعَةَ وَ بَاهِتُوهُمْ كَيْلَا يَطْمَعُوا فِى الْفَسَادِ فِى الْإِسْلَامِ وَ يَحْذَرَهُمُ النَّاسُ وَ لَا يَتَعَلَّمُوا مِنْ بِدَعِهِمْ يَكْتُبِ اللَّهُ لَكُمْ بِذَلِكَ الْحَسَنَاتِ وَ يَرْفَعْ لَكُمْ بِهِ الدَّرَجَاتِ فِى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21531</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اطلاق اين فرمايش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أكثروا من سبهم و القول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صريح آن نيست، و صريح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دشنام در مواردى است كه بدعت در آن اظهار نكرده و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روشن مى‌شود كه اين با مستثناى متقدم فرق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سخن استاد اعظم</w:t>
      </w:r>
      <w:r>
        <w:rPr>
          <w:rStyle w:val="FootnoteAnchor"/>
          <w:rtl w:val="true"/>
        </w:rPr>
        <w:footnoteReference w:id="18"/>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وجهى وجود ندارد </w:t>
      </w:r>
    </w:p>
    <w:p>
      <w:pPr>
        <w:pStyle w:val="BookText"/>
        <w:rPr/>
      </w:pPr>
      <w:r>
        <w:rPr>
          <w:rFonts w:ascii="IRNazanin" w:hAnsi="IRNazanin" w:eastAsia="IRNazanin"/>
          <w:color w:val="111111"/>
          <w:sz w:val="28"/>
          <w:sz w:val="28"/>
          <w:szCs w:val="28"/>
          <w:rtl w:val="true"/>
          <w:lang w:bidi="fa-IR"/>
        </w:rPr>
        <w:t>كه آن را به شكل مستقل در شمار مستثنيات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اين است كه بدعت‌گذار در احكام شرعى متجاهر به فسق است؛ سخنى به 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مى‌گويد</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مى‌توان صورتى را كه فرد دشنام‌شنيده تحت تأثير قرار نگرفته باشد، از آن استثنا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اثرنپذيرفتن فرد دشنام‌شنيده به معناى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دشنام از نظر عرف اهانت به دشنام‌شنيده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كه ناسزا بر آن صدق نكند، در نتيجه از اين جهت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نيست كه آن را استثناى بر حرمت دشنام قرار داد مگر به شكل استثناى منقطع؛ اما اگر ناسزا موجب اهانت به فرد دشنام‌شنيده باشد، حرام است، چه كسى كه دشنام داده، پدر فرد دشنام‌شنيده باشد، چه ارباب او، چه معلمش چه ديگران، و دليل آن اطلاق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دليل جواز دشنام گفتنِ پدر به فرزند، معلم به شاگرد، و ارباب به برده خود؛ گفته‌اند كه دشنام از سوى آنان براى فردى كه دشنام را شنيده افتخار است و باعث تأديب او مى‌شود، و در سيره نيز در موارد مذكور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اينها اشكال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تأديب و افتخار با عنوان دشنام منافات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دشنام، هتك و اهانت در يك مورد قابل جمع نيستند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سيره‌اى كه تا زمان معصوم عليه السلام ادامه داشته </w:t>
      </w:r>
    </w:p>
    <w:p>
      <w:pPr>
        <w:pStyle w:val="BookText"/>
        <w:rPr/>
      </w:pPr>
      <w:r>
        <w:rPr>
          <w:rFonts w:ascii="Amiri" w:hAnsi="Amiri" w:eastAsia="Amiri" w:cs="Amiri"/>
          <w:color w:val="111111"/>
          <w:sz w:val="28"/>
          <w:sz w:val="28"/>
          <w:szCs w:val="28"/>
          <w:rtl w:val="true"/>
          <w:lang w:bidi="ar-SA"/>
        </w:rPr>
        <w:t>است، تهتك و ظلم ممنوع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دشنام گفتن ارباب به برده خود به فحواى آنچه دلالت بر جواز ضرب او دارد، استدلال شده است</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34196</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دشنام اگر بعينه مناط حرمت ضرب و ايذاء باشد، استدلال مزبور درست است؛ اگر چه مى‌توان از جهت اينكه آزار زبانى از آزار زدنى سخت‌تر است آن را منع نمود؛، اما اگر مناط آن، اين باشد، و حرمت دشنام هم از جهت انطباق عنوان محرّمى بر آن، بر ضرب صادق نباشد، بلكه خود دشنام خصوصيتى داشته باشد، چنانكه از ادله ظاهر است؛ اصلاً وجهى براى استدلال مزبور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دشنام گفتن پدر به فرزندش، با ضميمه نمودن عبارتى كه در نصوص صحيح آمده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اموالت متعلق به پدرت است</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به موارد ذيل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مضمونى كه درباره مملوك به آن استدلال شده است؛ كه از آن جواز دشنام گفتن پدر به فرزندش به دست مى‌آيد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آنچه دلالت بر جواز تأديب فرزند كوچك با زدن او دارد</w:t>
      </w:r>
      <w:r>
        <w:rPr>
          <w:rStyle w:val="FootnoteAnchor"/>
          <w:rtl w:val="true"/>
        </w:rPr>
        <w:footnoteReference w:id="22"/>
      </w:r>
      <w:r>
        <w:rPr>
          <w:rFonts w:ascii="IRNazanin" w:hAnsi="IRNazanin" w:eastAsia="IRNazanin"/>
          <w:color w:val="111111"/>
          <w:sz w:val="28"/>
          <w:sz w:val="28"/>
          <w:szCs w:val="28"/>
          <w:rtl w:val="true"/>
          <w:lang w:bidi="fa-IR"/>
        </w:rPr>
        <w:t>؛ كه اين مسأله به طريق اولى بر جواز دشنام به او دلالت مى‌كند؛ كه با ضميمه استصحاب جواز در حال بزرگ بودن فرزند، مطلوب ثابت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مطلب دو اشكال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آنكه جمله ناظر به جهات اخلاقى است، و نه دال بر ملكيت حقيقى كه از مصاديق ارباب و برده باشد، و نه دال بر ملكيت تنزيلى كه به دليل اطلاق تنزيل در حكم ارباب و برده باشد؛ زيرا هيچ ترديدى نيست كه پدر بدون اجازه فرزند، نمى‌تواند در اموال او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نصوص آمده است كه پدر مى‌تواند از اموال پسرش قرض بگيرد</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22484</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حال آنكه اگر پدر مالك فرزند و اموالش بود، احتياج به قرض گرفتن نداشت، بنابراين دانستى كه فحواى مزبور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منع اولويت،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اين مطلب به خاطر دليلى كه دال بر جواز تأديب به ضرب داشت، دلالت بر جواز آن به دشنام مى‌نمايد، نه دلالت بر جواز دشنام بنفسه، كه دانستيم عنوانى متضاد با عنوان تأديب است، و هم‌چنين ما به دفعات در اين كتاب اشاره كرديم كه از نظر ما اظهر عدم جريان استصحاب در احكام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اين موارد درست نيست</w:t>
      </w:r>
      <w:r>
        <w:rPr>
          <w:rFonts w:eastAsia="Amiri" w:cs="Amiri" w:ascii="Amiri" w:hAnsi="Amiri"/>
          <w:color w:val="111111"/>
          <w:sz w:val="28"/>
          <w:szCs w:val="28"/>
          <w:rtl w:val="true"/>
          <w:lang w:bidi="ar-SA"/>
        </w:rPr>
        <w:t xml:space="preserve">. </w:t>
      </w:r>
      <w:bookmarkStart w:id="28" w:name="pg7423_74267"/>
    </w:p>
    <w:p>
      <w:pPr>
        <w:pStyle w:val="Heading2"/>
        <w:numPr>
          <w:ilvl w:val="1"/>
          <w:numId w:val="1"/>
        </w:numPr>
        <w:rPr/>
      </w:pPr>
      <w:bookmarkStart w:id="29" w:name="__RefHeading___Toc1682794_1051229030"/>
      <w:bookmarkStart w:id="30" w:name="_Toc9"/>
      <w:bookmarkEnd w:id="28"/>
      <w:bookmarkEnd w:id="29"/>
      <w:r>
        <w:rPr>
          <w:rtl w:val="true"/>
        </w:rPr>
        <w:t>فصل دوم</w:t>
      </w:r>
      <w:r>
        <w:rPr>
          <w:rtl w:val="true"/>
        </w:rPr>
        <w:t xml:space="preserve">: </w:t>
      </w:r>
      <w:r>
        <w:rPr>
          <w:rtl w:val="true"/>
        </w:rPr>
        <w:t>غيبت</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682796_1051229030"/>
      <w:bookmarkStart w:id="32" w:name="_Toc10"/>
      <w:bookmarkEnd w:id="31"/>
      <w:r>
        <w:rPr>
          <w:rtl w:val="true"/>
        </w:rPr>
        <w:t>اشاره</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423_74272"/>
      <w:bookmarkStart w:id="34" w:name="pg7423_74272"/>
      <w:bookmarkEnd w:id="34"/>
    </w:p>
    <w:p>
      <w:pPr>
        <w:pStyle w:val="Heading3"/>
        <w:numPr>
          <w:ilvl w:val="2"/>
          <w:numId w:val="1"/>
        </w:numPr>
        <w:rPr/>
      </w:pPr>
      <w:bookmarkStart w:id="35" w:name="pg7423_74272"/>
      <w:bookmarkStart w:id="36" w:name="__RefHeading___Toc1682798_1051229030"/>
      <w:bookmarkStart w:id="37" w:name="_Toc11"/>
      <w:bookmarkEnd w:id="35"/>
      <w:bookmarkEnd w:id="36"/>
      <w:r>
        <w:rPr>
          <w:rtl w:val="true"/>
        </w:rPr>
        <w:t>تعريف غيبت</w:t>
      </w:r>
      <w:bookmarkEnd w:id="37"/>
    </w:p>
    <w:p>
      <w:pPr>
        <w:pStyle w:val="BookText"/>
        <w:rPr/>
      </w:pPr>
      <w:r>
        <w:rPr>
          <w:rFonts w:ascii="IRNazanin" w:hAnsi="IRNazanin" w:eastAsia="IRNazanin"/>
          <w:color w:val="111111"/>
          <w:sz w:val="28"/>
          <w:sz w:val="28"/>
          <w:szCs w:val="28"/>
          <w:rtl w:val="true"/>
          <w:lang w:bidi="fa-IR"/>
        </w:rPr>
        <w:t>پيش از تعريف غيبت، بايد چند مسأله را متذكر شوم</w:t>
      </w:r>
      <w:r>
        <w:rPr>
          <w:rFonts w:eastAsia="IRNazanin" w:cs="IRNazanin"/>
          <w:color w:val="111111"/>
          <w:sz w:val="28"/>
          <w:szCs w:val="28"/>
          <w:rtl w:val="true"/>
          <w:lang w:bidi="fa-IR"/>
        </w:rPr>
        <w:t>.</w:t>
      </w:r>
    </w:p>
    <w:p>
      <w:pPr>
        <w:pStyle w:val="Heading3"/>
        <w:numPr>
          <w:ilvl w:val="2"/>
          <w:numId w:val="1"/>
        </w:numPr>
        <w:rPr/>
      </w:pPr>
      <w:bookmarkStart w:id="38" w:name="__RefHeading___Toc1682800_1051229030"/>
      <w:bookmarkStart w:id="39" w:name="_Toc12"/>
      <w:bookmarkEnd w:id="38"/>
      <w:r>
        <w:rPr>
          <w:rtl w:val="true"/>
        </w:rPr>
        <w:t>تذكر اول</w:t>
      </w:r>
      <w:r>
        <w:rPr>
          <w:rtl w:val="true"/>
        </w:rPr>
        <w:t xml:space="preserve">: </w:t>
      </w:r>
      <w:r>
        <w:rPr>
          <w:rtl w:val="true"/>
        </w:rPr>
        <w:t>در تعريف غيبت؛</w:t>
      </w:r>
      <w:bookmarkEnd w:id="39"/>
    </w:p>
    <w:p>
      <w:pPr>
        <w:pStyle w:val="BookText"/>
        <w:rPr/>
      </w:pPr>
      <w:r>
        <w:rPr>
          <w:rFonts w:ascii="IRNazanin" w:hAnsi="IRNazanin" w:eastAsia="IRNazanin"/>
          <w:color w:val="111111"/>
          <w:sz w:val="28"/>
          <w:sz w:val="28"/>
          <w:szCs w:val="28"/>
          <w:rtl w:val="true"/>
          <w:lang w:bidi="fa-IR"/>
        </w:rPr>
        <w:t>لغوى‌ها و فقها در مفهوم غيبت با يكديگر اختلاف دارند، و همه آنچه گفته شده مفهوم غيبت جزء قيود است، از اخبار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نيست جز اينكه درباره هر كدام از اين قيود به طور جداگانه بحث شود تا مسأله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تعيين آن به شكل جامع و مانع امكان‌پذير بود، كه خوب است؛ در غير اين صورت، تنها نسبت به يقينى‌هاى آن حكم به تحريم داده مى‌شود، و در ساير موارد به اصالت برائت رجوع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گفتار، با بيان ضابطه، قول صحيح از نظر ما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درباره همه آنچه در خصوص اعتبار آن گفته شده و مى‌توان گفت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غيبت‌شونده به منزله برادر دينى عنوان شده است، و برخى از روايات بر اين امر دلالت مى‌كنند، مانند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حسن بن عبدالرحمن بن سيابه از امام صادق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آن است كه درباره برادرت چيزى بگويى كه خداوند آن را پوشيده نگه داشته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خصلت‌هاى آشكارى چون تندخويى و شتاب‌زدگى غيبت نيست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16325</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حسن بن داود بن سرحان،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آنچه را برادرت در دينش انجام نمى‌دهد بگوئى، و امرى را كه خداوند بر ديگران پنهان داشته، و براى آن حدّى قرار نداده، آشكار نمائى</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رواياتى كه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اين در بحث غيبت مخالف گفتيم كه برادرى به معناى اخص تنها به مؤمنين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مى‌شود از اوصاف بد يا افعال قبيح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را به چيزى ياد كند كه موجب احترام او در ميان مردم باشد، مانند خصلت‌هاى خوب، يا كارهاى مستحبى از قبيل برآوردن نياز مؤمن، مراقبت بر انجام نوافل، و مانند آن؛ يا او را به اوصافى ياد كند كه متعارف است و موجب مدح و ذم نيست اگر چه به استلزام؛ و يا از او به افعال مباح ذكر كند؛ اينها جزء غيبت محسوب نمى‌شود، حتى اگر شخص براى ياد كردن آنها اكراه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اين قيد مى‌تواند اتفاقى باشد، و از دو روايت سابق‌الذكر چنين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مسائلى كه احترام‌برانگيز هستند يا جزء مسائل عادى محسوب مى‌شوند، جزء امورى نيستند كه خدا پنهان </w:t>
      </w:r>
    </w:p>
    <w:p>
      <w:pPr>
        <w:pStyle w:val="BookText"/>
        <w:rPr/>
      </w:pPr>
      <w:r>
        <w:rPr>
          <w:rFonts w:ascii="Amiri" w:hAnsi="Amiri" w:eastAsia="Amiri" w:cs="Amiri"/>
          <w:color w:val="111111"/>
          <w:sz w:val="28"/>
          <w:sz w:val="28"/>
          <w:szCs w:val="28"/>
          <w:rtl w:val="true"/>
          <w:lang w:bidi="ar-SA"/>
        </w:rPr>
        <w:t>داشته باشد، و ياد كردن از آنها نقص يا رسوايى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كه موجب نقص در او مى‌شود تفاوتى وجود ندارد؛ كه اين گفتار، موجب نقص در دين او، يا جسم، نسب، اخلاق، اعمال، سخن گفتن، عشيره، لباس، خانه، حيوان يا چيزهاى ديگرى باشد؛ و بيش از يك نفر به اين امر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سخن، علاوه بر خبرى كه از امام صادق عليه السلام روايت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انسان عيوب برادر مسلمان را در مورد اندام، اعمال، معاشرت رفتار، مذهب و راجع به نادانى او و مانند آن، براى ديگران بازگو 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10407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مطلق بودن روايت حسن بن سيابه است كه قبلاً آن را 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 در مورد اينكه غيبت شامل بيان نقص دينى نيز مى‌شود، روايت سابق الذكر ابن سرحان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آنچه را برادرت در دينش انجام نمى‌دهد بگوئى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برادرى كه برادرى‌اش به سبب دين او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عيبى كه به اختيارش نيست و خدا آن را در او قرار داده، مانند عيوب جسمانى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اين نيز بر نظر منتخب دلالت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عيب‌جويى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معتبر بودن اين مسأله در </w:t>
      </w:r>
    </w:p>
    <w:p>
      <w:pPr>
        <w:pStyle w:val="BookText"/>
        <w:rPr/>
      </w:pPr>
      <w:r>
        <w:rPr>
          <w:rFonts w:ascii="Amiri" w:hAnsi="Amiri" w:eastAsia="Amiri" w:cs="Amiri"/>
          <w:color w:val="111111"/>
          <w:sz w:val="28"/>
          <w:sz w:val="28"/>
          <w:szCs w:val="28"/>
          <w:rtl w:val="true"/>
          <w:lang w:bidi="ar-SA"/>
        </w:rPr>
        <w:t>صدق غيبت را به مشهور نسبت داده است</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شهيد،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اظهر عدم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رواياتى كه در باب تعيين موضوع غيبت وارد شده‌اند، به معتبر بودن اين مسأله متعرض نشده‌اند، و در سخنان لغوى‌ها نيز حرفى از آن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قصد عيب‌جويى نيست، چون لطمه زدن از امور قصدى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دليل اطلاق ادله قيد زده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 بر آن؛ در معتبر دانستن عيب‌جويى به موارد ذيل استدلال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غيبت‌كنندگان در مقام عيب‌جويى هستند، و اين به خودى خود به منزله تقييد است، پس اطلاق در مورد غالب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ميان حكم و موضوع اقتضا مى‌كند كه عيب‌جويى معتبر دانسته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آيه درباره اينكه غيبت‌كننده گويى گوشت برادر مرده خود را مى‌خورد عيب‌جويى به دست مى‌آيد، چون اگر در مقام عيب‌جويى نبود، نيازى به اين تشبيه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اين نظرات اشكال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داشتن وجود، باعث انصراف و موجب تقييد اطلاق ادله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ميان حكم و موضوع اقتضاى آن را دارد كه آنچه گفته شده عيب باشد، نه شخصى كه آن را بيان مى‌كند در </w:t>
      </w:r>
    </w:p>
    <w:p>
      <w:pPr>
        <w:pStyle w:val="BookText"/>
        <w:rPr/>
      </w:pPr>
      <w:r>
        <w:rPr>
          <w:rFonts w:ascii="Amiri" w:hAnsi="Amiri" w:eastAsia="Amiri" w:cs="Amiri"/>
          <w:color w:val="111111"/>
          <w:sz w:val="28"/>
          <w:sz w:val="28"/>
          <w:szCs w:val="28"/>
          <w:rtl w:val="true"/>
          <w:lang w:bidi="ar-SA"/>
        </w:rPr>
        <w:t>مقام عيب‌جويى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آنچه گفته شده، عيب باشد تشبيه درست انجام شده است، اگرچه فردى كه آن را بيان مى‌كند، در مقام عيب‌جويى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حرف خود آبروى مؤمن را كم مى‌كند، مانند گوشت كه با خوردن از آن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در صورتى كه چيزى از اين وجوه انجام شود، قيد براى حكم خواهد بود نه موضوع؛ در نتيجه اظهر آن است كه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مى‌شود، از چيزهايى باشد كه غيبت‌شونده آن را دوست ندارد و از آن اكراه دارد؛ پس اگر از چيزهايى باشد كه از نظر او بد نيست، جزء غيبت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لغوى‌ها به اين حرف، و ذكر آن در دو روايت نبوى كه در مكاسب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اينكه آنچه گفته مى‌شود لزوما عيب يا نقصى درباره مقول‌فيه است كه او از آن كراهت دارد، چون طبع‌هاى سليم از عيوب، صفات بد، و افعال قبيح اكراه دارند، و اين، بنفسه، براى آنها ناپسند هست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كراهت به علم مردم درباره اتصاف خود به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خود از وجود آن صفت كراهت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مى‌گيرد؟ يا متعلق كراهت صرف وجود داشتن آن صفت در او است؟ از اين لحاظ كه ظاهر آن است كه اين دو كراهت با هم تلازم دارند، چون براى يك مورد، در صورتى كه از آنچه بيان مى‌شود كراهت نداشته باشد، گفته نمى‌شود كه براى بيان كردن كراهت دارد، مگر در صورتى كه از او با ارتكاب معصيتى كه </w:t>
      </w:r>
    </w:p>
    <w:p>
      <w:pPr>
        <w:pStyle w:val="BookText"/>
        <w:rPr/>
      </w:pPr>
      <w:r>
        <w:rPr>
          <w:rFonts w:ascii="Amiri" w:hAnsi="Amiri" w:eastAsia="Amiri" w:cs="Amiri"/>
          <w:color w:val="111111"/>
          <w:sz w:val="28"/>
          <w:sz w:val="28"/>
          <w:szCs w:val="28"/>
          <w:rtl w:val="true"/>
          <w:lang w:bidi="ar-SA"/>
        </w:rPr>
        <w:t>اختيارا از روى ميل و رغبت انجام داده 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ادعا كه فرض مى‌شود آن شخص از آشكارشدن معصيت كراهت دارد و به خود معصيت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كامل نيست، چون نمى‌توان تصور كرد مؤمن، از آن جهت كه مؤمن است، تمايل به معصيت داشته باشد، زيرا خود ايمان او جزء بازدارنده‌هاى او، و موجب كراهتش از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قوه عاقله و درك‌كننده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معصيت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دارد، و تمايلش به معصيت به دليل يك مسأله خارجى و عارضى مانند غلبه هوى و شهوت است؛ بنابراين اختلاف در اينكه منظور از كراهت، كراهت از گفتن است يا آنچه گفته مى‌شود، بى‌فايده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 احتمال ديگرى هم هست كه شيخ</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بيان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كراهت از گفتن است، اما نه از آن نظر كه آشكاركردن عيب باشد از اين لحاظ كه خودش آشكار است؛ بلكه از اين لحاظ كه به جهت مذمت و كوچك شمردن بيان شده است، و يا از اين لحاظ كه مذمت از آن دريافت مى‌شود، حتى اگر قصد متكلم از آن مذمت نباشد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بسيار ضعيف است، چون اگر فرض كنيم آنچه گفته شده عيب نباشد، يا عيب باشد اما به دليل اينكه خودش آشكار است، انسان از اين لحاظ كه عيبى را آشكار كرده باشد، از اظهار آن اكراه ندارد؛ بر گفتن آن غيبت صدق نمى‌كند يا به دليل </w:t>
      </w:r>
    </w:p>
    <w:p>
      <w:pPr>
        <w:pStyle w:val="BookText"/>
        <w:rPr/>
      </w:pPr>
      <w:r>
        <w:rPr>
          <w:rFonts w:ascii="IRNazanin" w:hAnsi="IRNazanin" w:eastAsia="IRNazanin"/>
          <w:color w:val="111111"/>
          <w:sz w:val="28"/>
          <w:sz w:val="28"/>
          <w:szCs w:val="28"/>
          <w:rtl w:val="true"/>
          <w:lang w:bidi="fa-IR"/>
        </w:rPr>
        <w:t>اينكه آن سخن، بد نيست، يا به دليل اينكه از چيزهايى كه خدا آن را پنهان داشته، نيست، حال آنكه اگر عيب او مخفى باشد، حتماً از آشكار كردن آن اكراه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كلام پيامبر صلى الله عليه و آله و سلم و سخن لغوى‌ها ظاهر است، اعتبار كراهت در آن چيزى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از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از اينكه معلوم شد طبع‌هاى سليم از عيوب اكراه دارند، و بعد از در نظر داشتن حرفى كه در المصباح آمده است و عيوب را بيانى براى موصول عنوان مى‌كند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فى غريب الشرح،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منظور، عيب است نه كلام؛ پس ظاهر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عيب برمى‌گردد، با اين حال ظاهر از آن‌چيزى كه گفته شده، كه اخبار و اجماع در اين مسأله كه غيبت به معناى ذكر كردن ديگرى به آن چيزى است كه اگر بشنود، آن را ناپسند مى‌داند؛ با يكديگر مطابق هستند؛ اين است كه منظور از موصول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پنهان و غيرآشكار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معتبر بودن آن موارد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روايت حسن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حسن بن عبدالرحمن بن سيابه و حسن داود بن سرحان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ابان، از كسى كه تنها يحيى ازرق او را مى‌شناسد، از ابى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پشت سر مردى چيزى را بگويد كه در او هست و مردم هم مى‌دانند غيبت نكرده، و هر كس پشت سر كسى </w:t>
      </w:r>
    </w:p>
    <w:p>
      <w:pPr>
        <w:pStyle w:val="BookText"/>
        <w:rPr/>
      </w:pPr>
      <w:r>
        <w:rPr>
          <w:rFonts w:ascii="IRNazanin" w:hAnsi="IRNazanin" w:eastAsia="IRNazanin"/>
          <w:color w:val="111111"/>
          <w:sz w:val="28"/>
          <w:sz w:val="28"/>
          <w:szCs w:val="28"/>
          <w:rtl w:val="true"/>
          <w:lang w:bidi="fa-IR"/>
        </w:rPr>
        <w:t>چيزى را بگويد كه در او هست ولى مردم نمى‌دانند غيبتش را كرده، و هر كه پشت سر كسى چيزى بگويد كه در او نيست به او بهتان زده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16326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وثاقت يحيى ازرق محل ترديد است، با اين حال به دليل روايت ابان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از اصحاب اجماع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معتبر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سنان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در باره برادر مسلمانت چيزى را بگويى كه خداوند پنهان داشته 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براى همان مخاطب آشكار باشد، اشكالى در جواز ذكر آن نيست و غيبت محسوب نمى‌شود، چون آشكار كردن چيزى كه خدا پنهان داشته،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برخى بزرگان كه در اين مسأله ترديد كرده‌اند،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او آشكار نباشد، اما براى مردم آشكار باشد، از خبر سابق الذكر ازرق چنين برمى‌آيد كه در اين صورت نيز غيبت نيست، چنانچه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مردم در سخن امام عليه السلام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هم مى‌دانند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 خود مخاطب است هم؛ خلاف ظاهر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عيب ظاهر نباشد، نه براى مخاطب و نه براى مردم، اما </w:t>
      </w:r>
    </w:p>
    <w:p>
      <w:pPr>
        <w:pStyle w:val="BookText"/>
        <w:rPr/>
      </w:pPr>
      <w:r>
        <w:rPr>
          <w:rFonts w:ascii="IRNazanin" w:hAnsi="IRNazanin" w:eastAsia="IRNazanin"/>
          <w:color w:val="111111"/>
          <w:sz w:val="28"/>
          <w:sz w:val="28"/>
          <w:szCs w:val="28"/>
          <w:rtl w:val="true"/>
          <w:lang w:bidi="fa-IR"/>
        </w:rPr>
        <w:t>ظهور شأنى داشته باشد، يعنى عيب با كوچك‌ترين كارى آشكارشدنى باشد نيز، ظاهر عدم صدق غيبت بر ذكر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سخن امام عليه السلام در روايت سابق الذكر حسن بن سيابه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خصلت‌هاى آشكارى چون تندخويى و شتاب‌زدگى غيبت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تشبيه امر ظاهر به تندخويى و شتاب‌زدگى، در خصوص اراده آنچه ظهور شأنى را دربرمى‌گيرد به مثابه صريح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غيبت زمانى است كه آنچه خدا پنهان داشته را به كلام آشكار كند، و آنچه با اشاره و نوشتن و انجام دادن آشكار شود غيبت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پيش از اين ذكر شد و شامل خصوصِ حرف زدن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كه مقصود را برساند، از نظر عرف حرفى بر زبان آمده به حساب مى آيد و عرف همان اثر كلام را بر آن مترتب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نوشتن هم كلام است و به همين دليل گفته‌اند كه قلم يكى از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اينكه آنچه در خبر ازرق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شامل همه آن چيزهايى مى‌شود كه ذكر مى‌شود، 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موجب تذكر مخاطب شده، و او را به مقصود و منظور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 نبوى</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خرائطى و ابن مردويه و بيقهى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محكى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قصه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گفته مى‌شود ربطى ندارد، و مذكورات در اين</w:t>
      </w:r>
    </w:p>
    <w:p>
      <w:pPr>
        <w:pStyle w:val="BookText"/>
        <w:rPr/>
      </w:pPr>
      <w:r>
        <w:rPr>
          <w:rFonts w:ascii="IRNazanin" w:hAnsi="IRNazanin" w:eastAsia="IRNazanin"/>
          <w:color w:val="111111"/>
          <w:sz w:val="28"/>
          <w:sz w:val="28"/>
          <w:szCs w:val="28"/>
          <w:rtl w:val="true"/>
          <w:lang w:bidi="fa-IR"/>
        </w:rPr>
        <w:t xml:space="preserve">حكم را در برنمى‌گيرد، بلكه از باب مثال ذكر شده است، و گرنه ميزان، آشكار كردن چيزى است كه خدا پنهان داشته است و اين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تصور به وجود آمده است كه در صدق غيبت، غيبت‌شونده نبايد حضور داشته باشد، و دليلى كه بر آن استفاده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در آيه شريفه، كه غيبت‌شونده را به مردار تشبيه كرده است؛ البته از اين جهت كه او آنچه گفته مى‌شود را احساس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تعريف مشهور از غيبت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برادرت چيزى بگويى كه اگر بشنود،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سابق الذكر ازرق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پشت سر مردى چيزى را بگويد كه در او هست ولى مردم نمى‌دانند غيبتش را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اقوال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ممكن است غيبت‌كننده از اين جهت كه در آخرت مردار مى‌خورد، يا از اين جهت كه در تعدادى از روايات به درندگان و سگان تشبيه شده است، به خوردن مردار تشبيه شده باشد، چنانچه در برخى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جامع و مانع نبودن تعريف مشهور معلوم شد و ديگر نمى‌توان به آن استدلال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مفهومى ندارد، چون در مقام بيان اين است كه چنين امرى جزء غيبت شمرده مى‌شود، نه اين كه بخواهد بگويد غيبت منحصر در اين مسأله است، و اين براى هر كسى كه </w:t>
      </w:r>
    </w:p>
    <w:p>
      <w:pPr>
        <w:pStyle w:val="BookText"/>
        <w:rPr/>
      </w:pPr>
      <w:r>
        <w:rPr>
          <w:rFonts w:ascii="Amiri" w:hAnsi="Amiri" w:eastAsia="Amiri" w:cs="Amiri"/>
          <w:color w:val="111111"/>
          <w:sz w:val="28"/>
          <w:sz w:val="28"/>
          <w:szCs w:val="28"/>
          <w:rtl w:val="true"/>
          <w:lang w:bidi="ar-SA"/>
        </w:rPr>
        <w:t>در آن تدبر نمايد روشن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 دليل اطلاق رواياتى كه پيش از اين بيان كرديم، اظهر عدم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عدم حضور غيبت‌شونده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صدق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كه مفهوم غيبت به حسب متفاهم عرفى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بعيد نيست، و اگر چنين باشد، يا اين مسأله دليلى براى ترديد در صدق غيبت در صورت حضور غيبت‌شونده باشد، چنانكه روشن است خاستگاهى براى اينكه بنا را بر عدم حرمت غيبت در صورت حضور غيبت‌شونده گذاشت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مخاطبى نزد غيبت‌كننده حضور داشته باشد؛ چون در صورتى كه مخاطبى نباشد، بر اينكه عيبى را براى خود بيان كند، اظهار آنچه خدا پنهان داشته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مفاد روايات و آيه شريفه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عيب، آشكاركننده عورت برادر مؤمن، و موجب ريختن آبروى غيبت 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صورتى كه مخاطبى حضور نداشته باشد، اين بيان، هتك و كشف عورت او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متكلم در حال حديث نفس، عيب برادر مؤمنش را ذكر كند، و قصدش رساندن منظورش به شنونده‌اى نباشد، با اين حال ديگرى سخنان او را مى‌شنود؛ آيا اين غيبت محسوب مى‌شود يا خير؟ پاسخش دو وجه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صدق غيبت بر آن است، چون اظهار چيزى است كه خدا پنهان داشته است، و در صدق غيبت، قصد رساندن منظور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متوجه آن نباشد كه ديگرى به حرفش گوش مى‌دهد، جزء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نمى‌شود، </w:t>
      </w:r>
      <w:bookmarkStart w:id="40" w:name="pg7423_74284"/>
    </w:p>
    <w:p>
      <w:pPr>
        <w:pStyle w:val="BookText"/>
        <w:rPr/>
      </w:pPr>
      <w:bookmarkEnd w:id="40"/>
      <w:r>
        <w:rPr>
          <w:rFonts w:ascii="IRNazanin" w:hAnsi="IRNazanin" w:eastAsia="IRNazanin"/>
          <w:color w:val="111111"/>
          <w:sz w:val="28"/>
          <w:sz w:val="28"/>
          <w:szCs w:val="28"/>
          <w:rtl w:val="true"/>
          <w:lang w:bidi="fa-IR"/>
        </w:rPr>
        <w:t>چون از اينكه حرفى كه مى‌زند غيبت است، غافل است،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كاملاً غيبت‌شونده را بشناسد؛ در غير اين صورت ذكر او غيبت محسوب نمى‌شود، چون ديگر اظهار آنچه خدا پنهان داشته، نيست</w:t>
      </w:r>
      <w:r>
        <w:rPr>
          <w:rFonts w:eastAsia="IRNazanin" w:cs="IRNazanin"/>
          <w:color w:val="111111"/>
          <w:sz w:val="28"/>
          <w:szCs w:val="28"/>
          <w:rtl w:val="true"/>
          <w:lang w:bidi="fa-IR"/>
        </w:rPr>
        <w:t>.</w:t>
      </w:r>
    </w:p>
    <w:p>
      <w:pPr>
        <w:pStyle w:val="Heading3"/>
        <w:numPr>
          <w:ilvl w:val="2"/>
          <w:numId w:val="1"/>
        </w:numPr>
        <w:rPr/>
      </w:pPr>
      <w:bookmarkStart w:id="41" w:name="__RefHeading___Toc1682802_1051229030"/>
      <w:bookmarkStart w:id="42" w:name="_Toc13"/>
      <w:bookmarkEnd w:id="41"/>
      <w:r>
        <w:rPr>
          <w:rtl w:val="true"/>
        </w:rPr>
        <w:t>تقريب</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غيبت‌شونده كاملاً براى مخاطب آشنا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غيبت‌شونده براى مخاطب آشنا نيست، و بين چند نفر غيرمحصور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غيبت‌شونده، بين چند نفر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در صدق غيبت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 عدم صدق غيبت بر ذكر او به بدى ترديد كرد؛ چون اظهار آنچه خدا پنهان داشته،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مخاطب به شخص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در حال نام بردن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نمى‌شود، غيبت‌شونده در حكم فرد غايب است كه عدم صدق غيبت درباره او را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همه آنان از ذكر يك نفر نامعلوم از خودشان اكراه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مطلبى است كه درباره معتبر بودن كراهت غيبت‌شونده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از ذكر يك نفر نامعلوم از خودشان اكراه داشته باشند، چند وجه متصور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هر يك از طرف‌هاى شبهه باشد؛ به دليل اينكه </w:t>
      </w:r>
    </w:p>
    <w:p>
      <w:pPr>
        <w:pStyle w:val="BookText"/>
        <w:rPr/>
      </w:pPr>
      <w:r>
        <w:rPr>
          <w:rFonts w:ascii="IRNazanin" w:hAnsi="IRNazanin" w:eastAsia="IRNazanin"/>
          <w:color w:val="111111"/>
          <w:sz w:val="28"/>
          <w:sz w:val="28"/>
          <w:szCs w:val="28"/>
          <w:rtl w:val="true"/>
          <w:lang w:bidi="fa-IR"/>
        </w:rPr>
        <w:t>به چيزى كه از ارائه آن اكراه دارد از او ياد شده است، و احتمال دارد كه او است كه آن عيب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طرفى از آنان باشد كه واقعاً عيب در او وجود دارد؛ به دليل اينكه اين بيان، به طور كلى، با كاهش سهم مشاركين او در احتمال عيب، آشكار كردن عيب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غيبت محسوب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وجه سوم است، به دلايل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ذكر عيب برادر است نه ذكر مطلق آنچه از آن اكراه دارد، و آنچه ذكر كرده است، همان‌طور كه معلوم است ذكر عيب هر كدام از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ذكر برادر، مشمول ادله نمى‌شود و براى مخاطب نامعلوم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صورتى كه از او به بدى ياد كند و آنچه خدا پنهان داشته را آشكار كند، غيبت بر آن صدق مى‌كند، و اين عنوان نسبت به كسى كه نامعلوم است و درباره‌اش حرفى زده شده،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سخن گفتن از آنچه خدا پنهان داشته است درباره برادر، هرچند موجب اظهار آن نباشد، غيبت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موضوع را مدنظر قرار داده است از جهت اين كه از مصاديق اظهارنمودن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وجه سوم متعين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 فرد كه بين چند نفر مردد است،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اشكالى در صدق غيبت بر آن وجود ندارد، </w:t>
      </w:r>
      <w:bookmarkStart w:id="43" w:name="pg7423_74286"/>
    </w:p>
    <w:p>
      <w:pPr>
        <w:pStyle w:val="BookText"/>
        <w:rPr/>
      </w:pPr>
      <w:bookmarkEnd w:id="43"/>
      <w:r>
        <w:rPr>
          <w:rFonts w:ascii="IRNazanin" w:hAnsi="IRNazanin" w:eastAsia="IRNazanin"/>
          <w:color w:val="111111"/>
          <w:sz w:val="28"/>
          <w:sz w:val="28"/>
          <w:szCs w:val="28"/>
          <w:rtl w:val="true"/>
          <w:lang w:bidi="fa-IR"/>
        </w:rPr>
        <w:t>زيرا نسبت به هر فرد از آن نوع اظهار آن چيزى است كه خدا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آن اراده اكثر بشود، يا همه آن افراد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عيب نسبت به فرد مردد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برخى سادات مؤمنين نقل شده است كه اهل يك شهر را به بدى ياد مى‌كردند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جهت ديگرى در آن موارد گفته شود كه باعث شود حتى در صورتى كه همه آن افراد اراده شوند، غيبت نباشد،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آشكار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تعريف غيبت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درباره برادرت عيبى را بگويى كه خداوند آن را پوشيده نگه داشته است</w:t>
      </w:r>
      <w:r>
        <w:rPr>
          <w:rFonts w:eastAsia="IRNazanin" w:cs="IRNazanin"/>
          <w:color w:val="111111"/>
          <w:sz w:val="28"/>
          <w:szCs w:val="28"/>
          <w:rtl w:val="true"/>
          <w:lang w:bidi="fa-IR"/>
        </w:rPr>
        <w:t>».</w:t>
      </w:r>
    </w:p>
    <w:p>
      <w:pPr>
        <w:pStyle w:val="Heading3"/>
        <w:numPr>
          <w:ilvl w:val="2"/>
          <w:numId w:val="1"/>
        </w:numPr>
        <w:rPr/>
      </w:pPr>
      <w:bookmarkStart w:id="44" w:name="__RefHeading___Toc1682804_1051229030"/>
      <w:bookmarkStart w:id="45" w:name="_Toc14"/>
      <w:bookmarkEnd w:id="44"/>
      <w:r>
        <w:rPr>
          <w:rtl w:val="true"/>
        </w:rPr>
        <w:t>حكم غيبت</w:t>
      </w:r>
      <w:bookmarkEnd w:id="45"/>
    </w:p>
    <w:p>
      <w:pPr>
        <w:pStyle w:val="BookText"/>
        <w:rPr/>
      </w:pPr>
      <w:r>
        <w:rPr>
          <w:rFonts w:ascii="Amiri" w:hAnsi="Amiri" w:eastAsia="Amiri" w:cs="Amiri"/>
          <w:color w:val="111111"/>
          <w:sz w:val="28"/>
          <w:sz w:val="28"/>
          <w:szCs w:val="28"/>
          <w:rtl w:val="true"/>
          <w:lang w:bidi="ar-SA"/>
        </w:rPr>
        <w:t>غيبت حرام است، و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يَغْتَبْ بَعْضُكُمْ بَعْضاً أَ يُحِبُّ أَحَدُكُمْ أَنْ يَأْكُلَ لَحْمَ أَخِيهِ مَيْتاً فَكَرِهْتُمُوهُ ؛ و غيبت يكديگر روا مداريد، آيا هيچ يك از شما دوست مى‌دارد كه گوشت برادر مرده خود را بخورد؟ البته كراهت و نفرت از آن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بدانيد كه مثل غيبت مؤمن به حقيقت همين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 حرمت غيبت دلالت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استدلال به آيه شريفه فوق، از چند وجه </w:t>
      </w:r>
    </w:p>
    <w:p>
      <w:pPr>
        <w:pStyle w:val="BookText"/>
        <w:rPr/>
      </w:pP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مشتمل بر نهى از غيبت كردن است، و نهى ظهور در حرمت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مؤمن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زيرا مؤمنين با يكديگر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مؤمن را هم به گوشت بدنش تشبيه كرده است، زيرا با لذت بردن از غيبت، از آبروى او كاسته مى‌شود؛ چنان‌چه گوشت، با خوردنش از آن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كاستى آبروى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خوردن تشبيه كرده، يعنى هتك آبروى مؤمن همانند خوردن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يا به دليل آن است كه طبق برخى روايات، غيبت‌كننده در آخرت مردار مى‌خورد، و يا به دليل آن است كه طبق برخى روايات ديگر غيبت‌كننده به سگان و درندگان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تشبيه با توجه به حكم، يعنى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استفاده از استفهام انكارى در بيان اين تشبيه، دلالت بر قبح صدور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بيانگر آن است كه طبع انسان همان‌طور كه از خوردن گوشت برادر مرده‌اش اكراه دارد، مى‌بايست از غيبت كردن او هم اكراه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برخى آيات قرآن كريم، مانند؛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آيه شريفه 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فَكَرِهْتُمُوهُ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به اين معنا است كه همان‌طور كه شما از خوردن گوشت برادرتان اكراه داريد، بايد از غيبت كردن او هم اكراه داشته </w:t>
      </w:r>
    </w:p>
    <w:p>
      <w:pPr>
        <w:pStyle w:val="BookText"/>
        <w:rPr/>
      </w:pPr>
      <w:r>
        <w:rPr>
          <w:rFonts w:ascii="Amiri" w:hAnsi="Amiri" w:eastAsia="Amiri" w:cs="Amiri"/>
          <w:color w:val="111111"/>
          <w:sz w:val="28"/>
          <w:sz w:val="28"/>
          <w:szCs w:val="28"/>
          <w:rtl w:val="true"/>
          <w:lang w:bidi="ar-SA"/>
        </w:rPr>
        <w:t>باشيد، يعنى از آن اجتناب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را به عنوان تتمه وجه دوم قرار دادن بهتر از قراردادن آن به عنوان يك وجه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لُمَزَةٍ ؛ واى بر هر عيب‌جوى بدگوى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غيبت‌كننده،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غيبت‌كننده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دلالت اين تعبير بر وعيد غيبت‌كننده به عذاب، ظاهر و آشكار است و چون ثبوت مجازات مستلزم آن است كه فعل، حرام باشد، لذا با ثبوت مجازات بر غيبت بر حرمت آن استدلال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در معناى كلمات فوق گفته شده است؛ مانند 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با بدزبانى همنشين خود را بيازارد،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نگاه چشمانش را به همنشينش كج كند و با گوشه چشم يا با سر به همنشين خود اشاره كند و باعث خجالت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به مردم افترا مى‌زند و با دست خود آنان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با چشم و زبان خود از مردم خرده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زبان يا غيرزبان، به مردم طعنه و كنايه مى‌زند؛ چه آنان حضور داشته باشند، چه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معانى يادشده، آيه مبهم و مجمل مى‌شود، لذا نه تنها بر حرمت غيبت دلالت نمى‌كند، بلكه استدلال به آن نيز درست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دوم، فقط غيبت‌كننده نيست، بلكه منظور كسى است كه پشت سر فرد، عيب او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اين دو عموم و خصوص من وجه است، چون طبق اين معنا، شامل يادكردن برادرش به چيزى كه در او نيست، مى‌شود، و غيبت هم اعم از اين معنى است به جهت اينكه غيبت اختصاص به اين ندارد كه غيبت‌كننده در مقام بيان عيوب برادرش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يُحِبُّ اللّهُ الْجَهْرَ بِالسُّوءِ مِنَ الْقَوْلِ إِلاّ مَنْ ظُلِمَ ؛ خدا دوست نمى‌دارد كه كسى به گفتار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كند مگر آن كه ظلمى به او رسيده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عبارت است از آن كه انسان درباره برادر مؤمن خود با صداى بلند سخن زشت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كه خداوند دوست ندارد كسى كه مظلوم واقع نشده است، غيبت كند؛ و لازمه اين امر ثبوت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نداشتن، اعم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ملازم حرمت است، دوست داشتن و اراده نيست، بلكه اراده عدم تحقق فعل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دلالتى بر اين كه غيبت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 سخن 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ادعا نيز بعيد نيست كه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بلند كردن به گفتار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سخنى است كه گفتار زشت پديدآورنده آن است نه حكايت‌كننده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منظور از با صداى بلند سخن زشت گفتن، </w:t>
      </w:r>
    </w:p>
    <w:p>
      <w:pPr>
        <w:pStyle w:val="BookText"/>
        <w:rPr/>
      </w:pPr>
      <w:r>
        <w:rPr>
          <w:rFonts w:ascii="IRNazanin" w:hAnsi="IRNazanin" w:eastAsia="IRNazanin"/>
          <w:color w:val="111111"/>
          <w:sz w:val="28"/>
          <w:sz w:val="28"/>
          <w:szCs w:val="28"/>
          <w:rtl w:val="true"/>
          <w:lang w:bidi="fa-IR"/>
        </w:rPr>
        <w:t>بدگويى از كسى يا لعنت فرستادن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روايتى از امام محمدباقر عليه السلام است كه در كتاب مجمع البيان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ضمن تفسير آيه نقل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بدگويى را دوست نمى‌دارد مگر از كسى كه مورد ظلم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تنها در صورتى صحيح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 سخن 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شكل بنا بر سخنى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پديدآورده است، گذاشته مى‌شود و در نتيجه غيبت اظهار نمودن عيوبى كه خدا پنهان داشته و اين عيوب موجب هتك صاحب آن و اهانت به او مى‌گردد،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خبر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دلالتى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 سخن 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بدگويى داشته باشد، بلكه دلالت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 سخن 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بدگويى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همان كلام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ابى سلول و منافقان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مى‌دارند كه در ميان اهل ايمان كار منكرى اشاعه و شهرت يابد آنها را در دنيا و آخرت عذابى دردناك خواهد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چيزى است كه به انجام فعل </w:t>
      </w:r>
    </w:p>
    <w:p>
      <w:pPr>
        <w:pStyle w:val="BookText"/>
        <w:rPr/>
      </w:pPr>
      <w:r>
        <w:rPr>
          <w:rFonts w:ascii="Amiri" w:hAnsi="Amiri" w:eastAsia="Amiri" w:cs="Amiri"/>
          <w:color w:val="111111"/>
          <w:sz w:val="28"/>
          <w:sz w:val="28"/>
          <w:szCs w:val="28"/>
          <w:rtl w:val="true"/>
          <w:lang w:bidi="ar-SA"/>
        </w:rPr>
        <w:t>محبوب منجر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دلالت دارد كه بر اشاعه فحشا، عقاب مترتب مى‌شود، و از آنجا كه غيبت يكى از مصاديق اشاعه فحشا است، آيه با دلالت التزامى بر حرمت غيبت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استدلال به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ظهور در اين دارد كه اشاعه فحشا در ميان مردم از طريق انجام محرمات جزء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آيه، ارتباطى با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اعلام فحشاء و عيب پنهان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برخى از روايات تفسير اشاعه فحشا شامل چيزهايى است كه غيبت را دربرمى‌گيرد؛ مثلاً در مرسل ابن ابى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مثابه روايات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درباره مؤمنى بگويد آنچه را كه دو چشمش ديده و دو گوشش شنيده، پس او از كسانى است كه خداى عزوجل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دوست مى‌دارند كه در ميان اهل ايمان كار منكرى اشاعه و شهرت يابد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آيه بر حرمت غيبت دلالت مى‌كند، اما چنانچه معلوم است آيه اخص از مدعى است و به همين دليل تنها در صورتى مى‌توان به آن استدلال نمود كه عدم قول به فصل را ضميمه آن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فراوانى بر اين عقيده دلالت مى‌كنند؛ مانند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از زنا سخت‌تر است، چون شخص زناكار مى‌تواند توبه كند و خداوند متعال توبه او را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46" w:name="pg7423_74292"/>
    </w:p>
    <w:p>
      <w:pPr>
        <w:pStyle w:val="BookText"/>
        <w:rPr/>
      </w:pPr>
      <w:bookmarkEnd w:id="46"/>
      <w:r>
        <w:rPr>
          <w:rFonts w:ascii="Amiri" w:hAnsi="Amiri" w:eastAsia="Amiri" w:cs="Amiri"/>
          <w:color w:val="111111"/>
          <w:sz w:val="28"/>
          <w:sz w:val="28"/>
          <w:szCs w:val="28"/>
          <w:rtl w:val="true"/>
          <w:lang w:bidi="ar-SA"/>
        </w:rPr>
        <w:t>در غيبت تا زمانى كه شخصى كه از او غيبت شده، از شخص غيبت‌كننده راضى نشود و وى را نبخشد، قابل بخشش نيست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16308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صلى الله عليه و آله و سلم در ضمن خطبه‌اى از ربا سخن گفتند و آن را بزرگ شمردند و فرمودند يك درهم از آن از سى و شش زنا بزرگ‌تر است، و از ربا بالاتر آبروى مسلمان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مرد يا زن مسلمانى غيبت كند، خداوند تا چهل شبانه روز نماز و روزه او را نپذيرد مگر اين كه غيبت‌شونده او را ببخشد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بر هر مسلمانى حرام است و هر آينه نيكى‌ها را مى‌سوزاند چنان كه آتش هيزم را مى‌سوزاند</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و ساير روايات متواترى كه در اين باب روايت شده است</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682806_1051229030"/>
      <w:bookmarkStart w:id="48" w:name="_Toc15"/>
      <w:bookmarkEnd w:id="47"/>
      <w:r>
        <w:rPr>
          <w:rtl w:val="true"/>
        </w:rPr>
        <w:t>غيبت، گناه كبيره</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اين اخبار آشكار است كه غيبت جزء گناهان كبيره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كه گناهان به كبيره و صغيره تقسيم مى‌شوند، و تفاوت اين دو قسم در اين است كه گناهان كبيره به عدالت ضرر مى‌رسانند و گناهان صغيره چنين ويژگى ندارند؛ در جاى خود سخن گفته‌ام، و چكيده آن بحث اين است كه تمام گناهان كبيره‌اند با اين تفاوت كه گناه برخى بيشتر از ساير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اين كه گناهان به صغيره و كبيره تقسيم شوند، اظهر اين است كه گناه صغيره نيز به عدالت ضرر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اين گفتار آن است كه در فرض تقسيم گناهان به صغيره و كبيره، آيا غيبت جزء گناهان كبيره است؟ پاسخ به اين سوال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گناه كبيره، گناهى است كه از نظر شارع بسيار بزرگ است، اقوى آن است كه غيبت جزء گناهان كبيره است، و علتش آن است كه قرآن، سنت معتبر، و نص يا درباره غيبت وعيده داده و تهديد كرده‌اند، و يا به اين دليل كه غيبت را شديدتر از مواردى قرار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گناهان كبيره هستند، يا مانند گناهان كبيره هستند يا آثار كبيره بر آنها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وجوهى بر كبيره بودن غيبت دلالت مى‌كنند كه اين وجوه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اشاعه فحشا</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نصوص 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شامل وعيد و تهديد درباره غيبت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شديدتر و عظيم‌تر عنوان شدن غيبت از زنا و ربا</w:t>
      </w:r>
      <w:r>
        <w:rPr>
          <w:rStyle w:val="FootnoteAnchor"/>
          <w:rtl w:val="true"/>
        </w:rPr>
        <w:footnoteReference w:id="4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اينكه زنا و ربا جزء گناهان كبيره هستند، هيچ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مى‌توان به اين دليل كه سند اين روايات همگى ضعيف هستند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اينكه روايتى كه غيبت را شديدتر از زنا معرفى مى‌كند، در بيان دليل شديدتر بودن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زانى توبه مى‌كند و خداوند او را مى‌بخشد، اما كسى كه غيبت كرده تا وقتى شخص غيبت‌شونده او را نبخشد، بخشيده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نشان مى‌دهد كه منظور از شديدتر بودن، شديدتر بودن در حكم نيست بلكه منظور از آن شديدتر بودن از لحاظ چيزى است كه موجب دفع اثر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اشديتى كه منى نسبت به بول دارد، زيرا منى بايد پاك شود در صورتى كه بول اينطور نيست، حال آنكه بول از لحاظ نجاست، نجس‌تر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روايتى كه گمان كرده‌اند در خصوص شديدتر قرار دادن غيبت از ربا است دلالت بر اين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وجه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20660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دلالت دارند خيانت جزء گناهان كبيره است و غيبت جزء خيانت است؛ چون چه خيانتى بزرگ‌تر از اين است كه انسان از خوردن گوشت برادرش در غفلت او، لذت ببرد؟ با وجودى كه سخن پيامبر صلى الله عليه و آله و سلم در وصيتش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طريق ضعيف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غيبت جزء خيانت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من براى اين كه غيبت جزء گناهان كبيره </w:t>
      </w:r>
      <w:bookmarkStart w:id="49" w:name="pg7423_74295"/>
    </w:p>
    <w:p>
      <w:pPr>
        <w:pStyle w:val="BookText"/>
        <w:rPr/>
      </w:pPr>
      <w:bookmarkEnd w:id="49"/>
      <w:r>
        <w:rPr>
          <w:rFonts w:ascii="IRNazanin" w:hAnsi="IRNazanin" w:eastAsia="IRNazanin"/>
          <w:color w:val="111111"/>
          <w:sz w:val="28"/>
          <w:sz w:val="28"/>
          <w:szCs w:val="28"/>
          <w:rtl w:val="true"/>
          <w:lang w:bidi="fa-IR"/>
        </w:rPr>
        <w:t>نيست، رواياتى است كه گناهان كبيره را برمى‌شمارد، و غيبت در بين آنها ديده نمى‌شود</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20660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اطلاق مفهوم حصر به آنچه گفته شد و دلالت داشتند كه غيبت جزء گناهان كبيره باشد رفع يد مى‌كند</w:t>
      </w:r>
      <w:r>
        <w:rPr>
          <w:rFonts w:eastAsia="IRNazanin" w:cs="IRNazanin"/>
          <w:color w:val="111111"/>
          <w:sz w:val="28"/>
          <w:szCs w:val="28"/>
          <w:rtl w:val="true"/>
          <w:lang w:bidi="fa-IR"/>
        </w:rPr>
        <w:t>.</w:t>
      </w:r>
    </w:p>
    <w:p>
      <w:pPr>
        <w:pStyle w:val="Heading3"/>
        <w:numPr>
          <w:ilvl w:val="2"/>
          <w:numId w:val="1"/>
        </w:numPr>
        <w:rPr/>
      </w:pPr>
      <w:bookmarkStart w:id="50" w:name="__RefHeading___Toc1682808_1051229030"/>
      <w:bookmarkStart w:id="51" w:name="_Toc16"/>
      <w:bookmarkEnd w:id="50"/>
      <w:r>
        <w:rPr>
          <w:rtl w:val="true"/>
        </w:rPr>
        <w:t>شرط ايمان در حرمت غيبت</w:t>
      </w:r>
      <w:bookmarkEnd w:id="51"/>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يك نفر</w:t>
      </w:r>
      <w:r>
        <w:rPr>
          <w:rStyle w:val="FootnoteAnchor"/>
          <w:rtl w:val="true"/>
        </w:rPr>
        <w:footnoteReference w:id="48"/>
      </w:r>
      <w:r>
        <w:rPr>
          <w:rFonts w:ascii="IRNazanin" w:hAnsi="IRNazanin" w:eastAsia="IRNazanin"/>
          <w:color w:val="111111"/>
          <w:sz w:val="28"/>
          <w:sz w:val="28"/>
          <w:szCs w:val="28"/>
          <w:rtl w:val="true"/>
          <w:lang w:bidi="fa-IR"/>
        </w:rPr>
        <w:t>تصريح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ظهور در اين دارند كه حرمت غيبت به مؤمن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اردبيلى مى‌گويد</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 شدن به حرمت غيبت مخالفان به دليل اطلاق ادله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استدلال جواز به غيبت مخالفان وجوهى ذكر شده كه عبارت‌اند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استاد اعظم</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و روايات برمى‌آيد كه غيبت برادر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ميان ما و مخالفان برادرى و پيوندى وجود ندارد، و مطلقات، با لحاظ حكم و موضوع همين را در نظر داشته‌اند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صدر آيه شريفه از ايمان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ضمير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مؤمنين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پيش از عرضه ولايت بر مردم در </w:t>
      </w:r>
    </w:p>
    <w:p>
      <w:pPr>
        <w:pStyle w:val="BookText"/>
        <w:rPr/>
      </w:pPr>
      <w:r>
        <w:rPr>
          <w:rFonts w:ascii="Amiri" w:hAnsi="Amiri" w:eastAsia="Amiri" w:cs="Amiri"/>
          <w:color w:val="111111"/>
          <w:sz w:val="28"/>
          <w:sz w:val="28"/>
          <w:szCs w:val="28"/>
          <w:rtl w:val="true"/>
          <w:lang w:bidi="ar-SA"/>
        </w:rPr>
        <w:t>سال حجة الوداع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زمان ايمان و اسلام به واسطه آن از هم جدا نشده بود، بنابراين منظور از ايمانى كه در آيه ذكر شده، ولايت نيست، و به همين دليل آيه مانند بسيارى از اخبار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اين كه آيه براى تناسب حكم و موضوع بر غير مخالف حمل مى‌شود، آن چنان است كه ديديد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با روايت مختص به حرمت غيبت برادر مؤمن قيد خورده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زمانى بر مقيد حمل مى‌شود كه آن دو با هم منافات داشته باشند، و در غير اين صورت حمل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چنان كه معلوم است منافاتى بين مطلق و مقيد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نمى‌توان به عموم آيه و برخى روايات تمسك كرد، زيرا مذهب به جز در اندكى از احكام، آنان را محترم نمى‌دارد و احكام اسلام را درباره آنان جارى نمى‌كند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 كه نشان دهد تمام خاستگاه حرمت غيبت،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برخى روايات بعد كه دلالت دارند غيبت كسى كه آشكارا فساد مى‌كند حرام نيست، و چنين شخصى حرمت ندارد و لذا غيبت او جايز است؛ اما سند اين روايات ضعيف است و به آنها تكيه نمى‌شود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جريان احكام اسلام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عدم جريانى، اطلاق است، ممنوع؛ و اگر دليل عدم جريانى اطلاق ندارد مسلّم است، با اين حال چنان‌كه معلوم است مفيد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استاد اعظم و ديگران</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همگى متجاهر به فسق هستند، زيرا اعمال آنان از اصل باطل است حتى آنان به چيزى بيش از فسق التزام دارند، و در ادامه خواهيم گفت كه غيبت متجاهر به فسق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 كه متجاهر به فسق شامل كسانى كه نمى‌دانند آنچه انجام مى‌دهند، فسق است،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عدم جواز غيبت متجاهر به فسق در غير آنچه به آن تجاهر مى‌كند است، و مطلوب در اين بحث، اثبات جواز غيبتِ آنان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ديگرى از استاد اعظم</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ادعيه و زيارات، جواز لعن مخالفان، وجوب برائت از ايشان، سب فراوان آنان، اتهام آنان، و مبارزه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غيبتشان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چون آنان اهل بدعت و شبهه هستند؛ حتى شبهه‌اى در كفر آنان وجود ندارد و بخشى از روايات و ادعيه بر كفر آنان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بديهى است كه جواز غيبت آنان آسان‌تر از امور مذكور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روايات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شهادتين؛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شهادتين؛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در اين سه نقطه روياروى كفر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اين نيست كه غيبت كافر در مقابل مسلمان به معناى اول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غيبت كافر در مقابل مسلمان به معناى آخر، همين بحث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به دليل اينكه روايات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حكم به جواز غيبت كافى نيست؛ و جواز لعن، وجوب برائت از آنان و سب فراوان ايشان اعمّ از جواز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 جواز غيبت آسان‌تر از اين امور است، چنانچه مى‌بينيد، به دليل عدم ثبوت خاستگاه حرمت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نصوصى كه شامل جواز مبارزه با آنان هستند، درباره بدعت‌گذاران و گمراه‌كنندگان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رهبران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هر كه به آنها مراجعه كند اين امر برايش روشن مى‌شود؛ و شامل همه مخالفان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كه گفتيم، جواز غيبت مخالف نزد اصحاب از مسلّمات است، و برخى از آنان ادعا كرده‌اند كه سيره مستمره مبتنى بر غيبت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صاحب جواهر</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آن از ضروريات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در تأييد اين سخن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غيبت را تفسير مى‌كنند گوياى آن است كه در صدق غيبت عنوان برادر نقش دارد، و خاصيت برادرى اين است كه ميان آنان علاقه و محبت وجود داشته باشد، و شارع، مؤمن را به منزله برادر مؤمن قرار مى‌دهد تا او دوستدار و دوست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درباره </w:t>
      </w:r>
      <w:bookmarkStart w:id="52" w:name="pg7423_74299"/>
    </w:p>
    <w:p>
      <w:pPr>
        <w:pStyle w:val="BookText"/>
        <w:rPr/>
      </w:pPr>
      <w:bookmarkEnd w:id="52"/>
      <w:r>
        <w:rPr>
          <w:rFonts w:ascii="IRNazanin" w:hAnsi="IRNazanin" w:eastAsia="IRNazanin"/>
          <w:color w:val="111111"/>
          <w:sz w:val="28"/>
          <w:sz w:val="28"/>
          <w:szCs w:val="28"/>
          <w:rtl w:val="true"/>
          <w:lang w:bidi="fa-IR"/>
        </w:rPr>
        <w:t>كسانى است كه شارع مقدس دستور اجتناب و كناره‌گيرى از آنان، دوست نگرفتن و دوست نشدن با آنان و حتى دشمن گرفتنشان را صادر نكرده است؛ لذا برادرى به معناى اخص تنها در انحصار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به منظور حفظ جان، دستور كناره‌گيرى از مخالفان و تقيه از آنان در دين را صادر كرده است، و مرجع آن اين است كه به مسلمانان دستور داده مخالفان را دشمن جان و آبروى خود بشمارند و لعنشان را جايز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مخالف حرام نيست، زيرا موضوع غيبت بر آنان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خارج 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موضوعى است، و مى‌توان برخى از آنچه گفتيم را به عنوان تأييد در خصوص جوازى كه آن اطمينان را حاصل مى‌كند، در كنار ساير مواردى كه گفتيم به حكم ضميمه كرد</w:t>
      </w:r>
      <w:r>
        <w:rPr>
          <w:rFonts w:eastAsia="IRNazanin" w:cs="IRNazanin"/>
          <w:color w:val="111111"/>
          <w:sz w:val="28"/>
          <w:szCs w:val="28"/>
          <w:rtl w:val="true"/>
          <w:lang w:bidi="fa-IR"/>
        </w:rPr>
        <w:t>.</w:t>
      </w:r>
    </w:p>
    <w:p>
      <w:pPr>
        <w:pStyle w:val="Heading3"/>
        <w:numPr>
          <w:ilvl w:val="2"/>
          <w:numId w:val="1"/>
        </w:numPr>
        <w:rPr/>
      </w:pPr>
      <w:bookmarkStart w:id="53" w:name="__RefHeading___Toc1682810_1051229030"/>
      <w:bookmarkStart w:id="54" w:name="_Toc17"/>
      <w:bookmarkEnd w:id="53"/>
      <w:r>
        <w:rPr>
          <w:rtl w:val="true"/>
        </w:rPr>
        <w:t>غيبت كودك</w:t>
      </w:r>
      <w:bookmarkEnd w:id="54"/>
    </w:p>
    <w:p>
      <w:pPr>
        <w:pStyle w:val="BookText"/>
        <w:rPr/>
      </w:pPr>
      <w:r>
        <w:rPr>
          <w:rFonts w:ascii="Amiri" w:hAnsi="Amiri" w:eastAsia="Amiri" w:cs="Amiri"/>
          <w:color w:val="111111"/>
          <w:sz w:val="28"/>
          <w:sz w:val="28"/>
          <w:szCs w:val="28"/>
          <w:rtl w:val="true"/>
          <w:lang w:bidi="ar-SA"/>
        </w:rPr>
        <w:t>صاحب مكاسب</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ورود كودك مميزى است كه اگر غيبت را بشنود از آن متأثر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 دو مورد درباره اين حرف تجديدنظر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درباره كودك و مجنون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كودك و مجنون غيرمميز</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كودك و مجنون مميز اگر به چيزى كه بتوان پذيرش اسلامشان را معتبر دانست، اقرار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جاى خود از آن سخن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حقيقتاً يا حكماً يا </w:t>
      </w:r>
    </w:p>
    <w:p>
      <w:pPr>
        <w:pStyle w:val="BookText"/>
        <w:rPr/>
      </w:pPr>
      <w:r>
        <w:rPr>
          <w:rFonts w:ascii="IRNazanin" w:hAnsi="IRNazanin" w:eastAsia="IRNazanin"/>
          <w:color w:val="111111"/>
          <w:sz w:val="28"/>
          <w:sz w:val="28"/>
          <w:szCs w:val="28"/>
          <w:rtl w:val="true"/>
          <w:lang w:bidi="fa-IR"/>
        </w:rPr>
        <w:t>تنزيلاً مؤمن به آنان صدق مى‌كند، و به اين ترتيب ميان اين دو و ساير مؤمنين برادرى برقرار مى‌شود؛ به همين دليل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تُخالِطُوهُمْ فَإِخْوانُكُمْ ؛ و اگر با آنان هم‌زيستى كنيد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عنوان برادرى بر كودكان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 بر آن، شكى نيست كه انجام برخى كارها از كودكان براى آنان عيب شمرده مى‌شود، به اين ترتيب به اينكه كار آنان كه خدا پنهان داشته و عيب ايشان است فاش شود غيبت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بخشى از نصوص دال بر حرمت غيبت مؤمن شامل آنان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مكاسب به دو شكل ديگر به اين مطلب استدلال شده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كسى از شما دوست دارد كه گوشت برادر مرده‌اش را بخورد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اينكه برادر به كودك صدق مى‌كند، و دلالت دارد كه تماميت موضوع حرمت غيبت، ذكر بدى برادر در غياب او است؛ لذا مقتضاى عموم اين امر حرمت غيبت كودك است اگر چه ابتداى آيه شريفه شامل آن نشود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ابتداى آيه شريفه؛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مؤمنين تغليباً يا حقيقتاً جزء مؤمنين به شمار مى‌آيند، و عده دومى كه منظور از آن، غيبت‌شونده است، آنان را نيز </w:t>
      </w:r>
    </w:p>
    <w:p>
      <w:pPr>
        <w:pStyle w:val="BookText"/>
        <w:rPr/>
      </w:pPr>
      <w:r>
        <w:rPr>
          <w:rFonts w:ascii="IRNazanin" w:hAnsi="IRNazanin" w:eastAsia="IRNazanin"/>
          <w:color w:val="111111"/>
          <w:sz w:val="28"/>
          <w:sz w:val="28"/>
          <w:szCs w:val="28"/>
          <w:rtl w:val="true"/>
          <w:lang w:bidi="fa-IR"/>
        </w:rPr>
        <w:t>دربرمى‌گيرد، اگرچه عده اول به دليل حديث رفع قلم جزء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به شمار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فرض عدم شمول بعض اول، بعض دوم هم جزء مؤمنين به شمار نمى‌آيند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عدم صدق غيبت در غيبت از آنان است، به دو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عيب شمرده نمى‌شود، تا بيان آن فاش كردن چيزى باشد كه خداوند متعال پنهان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اين سخنان را بشنوند از آن متأثر نمى‌شوند، حال آنكه طبق روايات و سخنان لغوى‌ها در حقيقتِ غيبت، كرامت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مسامحه در عبارت اين كتاب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اينكه اطلاقات به كسى معطوف است كه اگر بشنود از آن متاثر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نادرست بودن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نداشتن صغير با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و ظاهر اين است كه غير مميز را هم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ابتداى بحث گفت است</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با توجه به ادله اربعه حرام است آنگاه از قرآن آيات، و از سنت رواياتى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عقل و اجماع چيزى نمى‌گويد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 درباره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ظلم بر غيبت صدق كند بحثى در قبح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عقل در قبح آن مستقل نيست</w:t>
      </w:r>
      <w:r>
        <w:rPr>
          <w:rFonts w:eastAsia="IRNazanin" w:cs="IRNazanin"/>
          <w:color w:val="111111"/>
          <w:sz w:val="28"/>
          <w:szCs w:val="28"/>
          <w:rtl w:val="true"/>
          <w:lang w:bidi="fa-IR"/>
        </w:rPr>
        <w:t xml:space="preserve">. </w:t>
      </w:r>
      <w:bookmarkStart w:id="55" w:name="pg7423_74302"/>
    </w:p>
    <w:p>
      <w:pPr>
        <w:pStyle w:val="BookText"/>
        <w:rPr/>
      </w:pPr>
      <w:bookmarkEnd w:id="55"/>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اين كه امرى كه خدا آن را پنهان كرده آشكار كند، جزء قبح عقلى شمرده نمى‌شود، و ادعاى ملازمت آن با عنوان ظلم چنان است كه مى‌بينيد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در مبتنى بودن آن بر حرمت وجود ندارد، بلكه اين از ضروريات دين است</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682812_1051229030"/>
      <w:bookmarkStart w:id="57" w:name="_Toc18"/>
      <w:bookmarkEnd w:id="56"/>
      <w:r>
        <w:rPr>
          <w:rtl w:val="true"/>
        </w:rPr>
        <w:t>كفاره غيبت</w:t>
      </w:r>
      <w:bookmarkEnd w:id="57"/>
    </w:p>
    <w:p>
      <w:pPr>
        <w:pStyle w:val="BookText"/>
        <w:rPr/>
      </w:pPr>
      <w:r>
        <w:rPr>
          <w:rFonts w:ascii="IRNazanin" w:hAnsi="IRNazanin" w:eastAsia="IRNazanin"/>
          <w:color w:val="111111"/>
          <w:sz w:val="28"/>
          <w:sz w:val="28"/>
          <w:szCs w:val="28"/>
          <w:rtl w:val="true"/>
          <w:lang w:bidi="fa-IR"/>
        </w:rPr>
        <w:t>تذكر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درباره كفاره غيبت و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اقوال و وجوه متعددى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حلاليت طلبيدن از غيبت شونده؛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براى او؛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حلاليت طلبيدن از او و استغفار براى او؛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هر كدام از اين دو كه خواست؛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رسيدن غيبت به غيبت‌شونده و طلب حلاليت از او، و بين عدم رسيدن غيبت به غيبت‌شونده و طلب استغفار براى او؛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بين امكان حلاليت گرفتن كه در اين صورت طلب حلاليت واجب است، و بين امكان نداشتن آن كه در اين صورت استغفار واجب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كفاره ندارد، بلكه بر غيبت‌كننده واجب است از گناهان خود استغفار كند و از آنها توبه نمايد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بحث درباره ادله‌اى كه براى اين وجوه اقامه شده است، </w:t>
      </w:r>
    </w:p>
    <w:p>
      <w:pPr>
        <w:pStyle w:val="BookText"/>
        <w:rPr/>
      </w:pPr>
      <w:r>
        <w:rPr>
          <w:rFonts w:ascii="IRNazanin" w:hAnsi="IRNazanin" w:eastAsia="IRNazanin"/>
          <w:color w:val="111111"/>
          <w:sz w:val="28"/>
          <w:sz w:val="28"/>
          <w:szCs w:val="28"/>
          <w:rtl w:val="true"/>
          <w:lang w:bidi="fa-IR"/>
        </w:rPr>
        <w:t>به اين مطلب خواهيم پرداخت كه در صورت شك در وجوب چيزى، اقتضاى اصل عملى چيست؟ جواب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اصالت برائت اقتضا مى‌كند به حكم عدم وجوب استغفار و عدم طلب حلاليت؛ اما اين قول نيز وجود دارد كه اصل در اين مسأله، احتياط است؛ و در استدلال به آن دو وجه را ذكر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مكاسب</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اصالت بقاى حقى كه غيبت‌شونده بر غيبت‌كننده دارد، اقتضا دارد كه تنها راه خروج از آن فقط حلاليت طلبيدن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حق ثابت است، آن حق، حق غيبت نكردن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با غيبت از بين رفته است و بقاى آن معنايى ندارد؛ و اگر منظور از حق ثابت، بعد از غيبت باشد، حدوث آن معلوم نيست، و استصحاب بقاى جنس حق، متوقف بر اين است كه جريان آن را در كلى قسم سوم بپذيريم؛ و ما به چنين چيزى عقيده نداريم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محقق ايروانى</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عقاب ثابت شده باشد، عقل تحصيل قطع به برائت از آن را ضرورى مى‌داند، بنابراين انجام هر چيزى كه احتمال دارد در رفع عقاب نقش داشته باشد، طلب حلاليت باشد يا غير آن،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در اين مسأله احتياط است، اگر چه شك در آن شك در خصوص تكليف است نه برائت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چيزى غير از توبه، در رفع عقاب تأثير دارد، بايد به آيات و روايات متواتر رجوع كند و آنها دلالت دارند كه توبه موجب محو گناهان مى‌شود، و كسى كه از گناه توبه كرده، مانند كسى است كه گناه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دليلى بر لزوم طلب حلاليت و استغفار براى او نباشد، اقوى اكتفا به توبه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آنچه گفته شد، در استدلال به قول اول به تعدادى از روايات استدلال مى‌شود؛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نبوى كه به چندين طريق مسند و مرسل روايت شده و شامل وصيت پيامبر صلى الله عليه و آله و سلم به ابوذر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 از غيبت بپرهيز كه گناه غيبت از زنا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فداى تو، به چه علت؟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زنا مى‌كند و توبه كند خداوند توبه او را قبول مى‌كند و حال اينكه گناه غيبت بخشيده نمى‌شود مگر اينكه كسى كه غيبت او شده است او را ببخشد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16308</w:t>
      </w:r>
      <w:r>
        <w:rPr>
          <w:rFonts w:ascii="Amiri" w:hAnsi="Amiri" w:eastAsia="Amiri" w:cs="Amiri"/>
          <w:color w:val="111111"/>
          <w:sz w:val="28"/>
          <w:sz w:val="28"/>
          <w:szCs w:val="28"/>
          <w:rtl w:val="true"/>
          <w:lang w:bidi="ar-SA"/>
        </w:rPr>
        <w:t xml:space="preserve">؛ امالى طوسى،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شيخ مفيد از پيامبر صلى الله عليه و آله و سلم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از زنا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توبه غيبت‌كننده را نمى‌پذيرد تا اينكه غيبت‌شونده او را حلال كند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چندين نفر از كراجكى با سند متصل به على بن حسين عليه السلام از پدرش از امام على عليه السلام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مسلمانى سى حق بر برادر دينى‌اش دارد كه از آنها مبرّى نمى‌شود مگر اينكه </w:t>
      </w:r>
    </w:p>
    <w:p>
      <w:pPr>
        <w:pStyle w:val="BookText"/>
        <w:rPr/>
      </w:pPr>
      <w:r>
        <w:rPr>
          <w:rFonts w:ascii="IRNazanin" w:hAnsi="IRNazanin" w:eastAsia="IRNazanin"/>
          <w:color w:val="111111"/>
          <w:sz w:val="28"/>
          <w:sz w:val="28"/>
          <w:szCs w:val="28"/>
          <w:rtl w:val="true"/>
          <w:lang w:bidi="fa-IR"/>
        </w:rPr>
        <w:t xml:space="preserve">آنها را به جاى آورد،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به 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از آنها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حقى از حقوق برادر مؤمن خويش را وامى‌گذارد و در روز قيامت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طلب مى‌كند، در نتيجه به نفع صاحب حق و به ضرر آن كه حق را به جاى نياورده حكم مى‌گردد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16114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نسبت به برادر مسلمان خود ستمى در مورد آبرو يا مال او كرده باشد بايد از او حلاليت بطلبد پيش از آن كه فرا رسد روزى كه در آن روز درهم ودينارى نيست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كه از جامع الاخبار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مرد يا زن مسلمانى غيبت كند، خداوند تا چهل شبانه روز نماز و روزه او را نپذيرد مگر اين كه غيبت‌شونده او را ببخشد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جامع الاخبار روايت شده و دال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حسنه با غيبت مردم به غيبت‌شونده منتقل مى‌شود، و اگر حلاليت بطلبد آن اعمال به صاحبش برمى‌گردد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دعاى سى و نهم ادعيه صحيفه سجاديه، و هم‌چنين در ملحقات آن از دعاى روز دوشنبه،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روايات ضعيف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ابن ميمون و رجاء و ديگران در طريق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مرسل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حسين بن محمد بن على الصيرفى بغدادى در طريق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مرسل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مستفيضه هستند و در نتيجه جايى براى بحث درباره سند آنها باقى نمى‌ماند؛ رد مى‌شود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مستفيض با متواتر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متواتر، بر خلاف خبر مستفيض،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تنها اولى و دومى و چهارمى بر اين سخن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مشتمل بر حقوقى است كه كسى قائل به وجوب برائت از آنها به واسطه طلب حلاليت از صاحب حق قائل نيست؛ مثل عيادت بيمار و قضاى حاجت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چنان‌كه شيخ مى‌گويد</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معناى قضاء ذى حق در روز قيامت، نسبت به كسى كه حقى بر او دارد؛ از قبيل معامله با كسى است كه حقوق مؤمن را مراعات نكرده است، نه كيفر به سبب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روشن است قبول كردن با جزادادن مغايرت دارد، دلالت نمى‌كند كه اثر حرمت تا وقتى صاحبش آن را نبخشيده،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تعيينى كه در روايت آمده و مى‌گويد چهل روز و شب، مؤيد اين حرف است، چون بر فرض وجوب طلب حلاليت، ديگر وجهى براى اين تعيين وجود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ندارد كه تا وقتى طلب حلاليت نشده است، </w:t>
      </w:r>
    </w:p>
    <w:p>
      <w:pPr>
        <w:pStyle w:val="BookText"/>
        <w:rPr/>
      </w:pPr>
      <w:r>
        <w:rPr>
          <w:rFonts w:ascii="IRNazanin" w:hAnsi="IRNazanin" w:eastAsia="IRNazanin"/>
          <w:color w:val="111111"/>
          <w:sz w:val="28"/>
          <w:sz w:val="28"/>
          <w:szCs w:val="28"/>
          <w:rtl w:val="true"/>
          <w:lang w:bidi="fa-IR"/>
        </w:rPr>
        <w:t>اثر حرمت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دو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از ادعيه ملحقات صحيفه است، و هرچند خود صحيفه سجاديه با سند معتبر به دست ما رسيده است، ملحقاتش چنين ويژگى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دو دعا دلالتى بر مطلب ندارند، زيرا دعاى اول دو جمله دارد، كه يكى شامل طلب بخشش و رحمت براى ظالمان از خدا است، كسانى كه حرمت‌هاى او را هتك كرده‌اند؛ و دعاى دوم شامل رضايت طلبيدن و اداى حق خداوند متعال از سوى كسى است كه ظلمى به او كرده است؛ و چيزى از اين دو مطلب ربطى به اين سخن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ربطى ندارد، چون استغفار و طلب بخشش براى ظالمين از او مانند استغفار ايشان عليه السلام براى ساير گناهكاران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ربطى ندارد، چون علاوه بر اينكه با پايين‌ترين مراتب عدالت منافات دارد، چه رسد به بالاترين مراتب عصمت، طلب بخشش و عفو براى ذى حق و مظلمه، اعم از وجوب طلب حلاليت، در صورت امكان‌پذير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آنچه در دعاى دوم بود روشن مى‌شود، چون به طلب مغفرت براى ذى حق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وجوب طلب حلاليت وجود ندارد،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سخن دوم استدلال شده است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دعاى روز دوشنبه، از ملحقات صحيفه سجاديه؛ كه آن حضرت براى ذوى الحقوق و مظلمه طلب مغفرت مى‌كند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عمير از امام صادق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پيغمبر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غيبت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كس كه </w:t>
      </w:r>
    </w:p>
    <w:p>
      <w:pPr>
        <w:pStyle w:val="BookText"/>
        <w:rPr/>
      </w:pPr>
      <w:r>
        <w:rPr>
          <w:rFonts w:ascii="Amiri" w:hAnsi="Amiri" w:eastAsia="Amiri" w:cs="Amiri"/>
          <w:color w:val="111111"/>
          <w:sz w:val="28"/>
          <w:sz w:val="28"/>
          <w:szCs w:val="28"/>
          <w:rtl w:val="true"/>
          <w:lang w:bidi="ar-SA"/>
        </w:rPr>
        <w:t>غيبتش كردى هر زمان به يادش افتادى از خدا طلب آمرزش كنى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16331</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سكونى از امام صادق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كسى ستمى كند و او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به او دسترسى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آن مظلوم از خداوند طلب مغفرت و بخشايش كند و همين طلب مغفرت كفاره ستمى كه بر او نموده مى‌گردد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كه از جعفريات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كسى ستمى كند و از او عيب‌جويى كند، پس بايد هر زمان به يادش افتاد، براى آن مظلوم از خداوند طلب مغفرت و بخشايش كند و اين مغفرت كفاره ستمى كه بر او نموده مى‌گردد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اينها اشكال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اين گفتيم كه ضعف سند 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دليل حضور حفص به عمير مجهول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ظاهرش 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برمى‌گردد، بنابراين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او دسترسى ندارد تا از او برائت بجويد و او را نسبت به حرفى كه درباره‌اش زده است راضى كند، بايد براى او از خدا طلب بخشش كند؛ كه دلالت مى‌كند در صورتى كه نتواند از او طلب حلاليت </w:t>
      </w:r>
    </w:p>
    <w:p>
      <w:pPr>
        <w:pStyle w:val="BookText"/>
        <w:rPr/>
      </w:pPr>
      <w:r>
        <w:rPr>
          <w:rFonts w:ascii="Amiri" w:hAnsi="Amiri" w:eastAsia="Amiri" w:cs="Amiri"/>
          <w:color w:val="111111"/>
          <w:sz w:val="28"/>
          <w:sz w:val="28"/>
          <w:szCs w:val="28"/>
          <w:rtl w:val="true"/>
          <w:lang w:bidi="ar-SA"/>
        </w:rPr>
        <w:t>كند استغفار مى‌كند، نه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حرف، در صورتى كه آن حق مالى باشد، موجب وجوب صدقه نمى‌شود؛ بلكه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نيز نوعى طلب مغفرت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مفادش اينگونه است، چون از دست دادن ظلم عبارت ديگرى درباره عدم امكان دسترسى پيدا كردن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وجوب استغفار وجود ندارد، مطلقاً؛ و به طور كلى با توجه به آنچه گفتيم، روشن مى‌شود كه دو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چهارمى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وجوب هر دو با هم و تخيير ميان آنها،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آن را پذيرفته، و در استدلالش چنين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ميان دو گروه سابق الذكر را اقتضا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برخى از كسانى كه به عصر شيخ اعظم نزديك بوده‌اند از امام صادق عليه السلام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از كسى غيبت كردى و غيبت تو به گوش آن شخص رسيد از او طلب حليت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حلال كند و از تقصير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گوش او نرسيد و نشنيد كه تو غيبت او كرده‌اى، بايد براى آن شخص طلب آمرزش كنى</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10407</w:t>
      </w:r>
      <w:r>
        <w:rPr>
          <w:rFonts w:ascii="Amiri" w:hAnsi="Amiri" w:eastAsia="Amiri" w:cs="Amiri"/>
          <w:color w:val="111111"/>
          <w:sz w:val="28"/>
          <w:sz w:val="28"/>
          <w:szCs w:val="28"/>
          <w:rtl w:val="true"/>
          <w:lang w:bidi="ar-SA"/>
        </w:rPr>
        <w:t xml:space="preserve">؛ مصباح الشريعه،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وجه جمع تبرعى است و وجهى براى آنگونه شدن ندارد</w:t>
      </w:r>
      <w:r>
        <w:rPr>
          <w:rFonts w:eastAsia="IRNazanin" w:cs="IRNazanin"/>
          <w:color w:val="111111"/>
          <w:sz w:val="28"/>
          <w:szCs w:val="28"/>
          <w:rtl w:val="true"/>
          <w:lang w:bidi="fa-IR"/>
        </w:rPr>
        <w:t xml:space="preserve">. </w:t>
      </w:r>
      <w:bookmarkStart w:id="58" w:name="pg7423_74310"/>
    </w:p>
    <w:p>
      <w:pPr>
        <w:pStyle w:val="BookText"/>
        <w:rPr/>
      </w:pPr>
      <w:bookmarkEnd w:id="58"/>
      <w:r>
        <w:rPr>
          <w:rFonts w:ascii="Amiri" w:hAnsi="Amiri" w:eastAsia="Amiri" w:cs="Amiri"/>
          <w:color w:val="111111"/>
          <w:sz w:val="28"/>
          <w:sz w:val="28"/>
          <w:szCs w:val="28"/>
          <w:rtl w:val="true"/>
          <w:lang w:bidi="ar-SA"/>
        </w:rPr>
        <w:t>رد 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مرسل بودن سندش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سابق الذكر سكونى با تقريبى كه درباره آن گفتيم، بر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اعظم گفته است</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دليل حضور نوفلى سندش ضعيف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حسين بن يزيد است، خصوصاً وقتى به نقل از سكونى باشد، و چنانچه در خبر آمده است ابراهيم بن هاشم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حسين مقبول است، و جمعى از بزرگان رجال به آن تصريح كرده‌اند، و آنچه در دعاى سابق الذكر امام سجاد در روز دوشنبه آمده است، اين مطلب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كه كفاره غيبت، در صورتى كه امكان‌پذير باشد، طلب حلاليت، و در غير اين صورت، استغفار براى او است</w:t>
      </w:r>
      <w:r>
        <w:rPr>
          <w:rFonts w:eastAsia="IRNazanin" w:cs="IRNazanin"/>
          <w:color w:val="111111"/>
          <w:sz w:val="28"/>
          <w:szCs w:val="28"/>
          <w:rtl w:val="true"/>
          <w:lang w:bidi="fa-IR"/>
        </w:rPr>
        <w:t>.</w:t>
      </w:r>
    </w:p>
    <w:p>
      <w:pPr>
        <w:pStyle w:val="Heading3"/>
        <w:numPr>
          <w:ilvl w:val="2"/>
          <w:numId w:val="1"/>
        </w:numPr>
        <w:rPr/>
      </w:pPr>
      <w:bookmarkStart w:id="59" w:name="__RefHeading___Toc1682814_1051229030"/>
      <w:bookmarkStart w:id="60" w:name="_Toc19"/>
      <w:bookmarkEnd w:id="59"/>
      <w:r>
        <w:rPr>
          <w:rtl w:val="true"/>
        </w:rPr>
        <w:t>مستثنيات غيبت</w:t>
      </w:r>
      <w:bookmarkEnd w:id="60"/>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از غيبت استثناء شده و حكم به جواز آنها داده شده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نقل گروهى</w:t>
      </w:r>
      <w:r>
        <w:rPr>
          <w:rStyle w:val="FootnoteAnchor"/>
          <w:rtl w:val="true"/>
        </w:rPr>
        <w:footnoteReference w:id="74"/>
      </w:r>
      <w:r>
        <w:rPr>
          <w:rFonts w:ascii="Amiri" w:hAnsi="Amiri" w:eastAsia="Amiri" w:cs="Amiri"/>
          <w:color w:val="111111"/>
          <w:sz w:val="28"/>
          <w:sz w:val="28"/>
          <w:szCs w:val="28"/>
          <w:rtl w:val="true"/>
          <w:lang w:bidi="ar-SA"/>
        </w:rPr>
        <w:t>كه شيخ</w:t>
      </w:r>
      <w:r>
        <w:rPr>
          <w:rStyle w:val="FootnoteAnchor"/>
          <w:rtl w:val="true"/>
        </w:rPr>
        <w:footnoteReference w:id="75"/>
      </w:r>
      <w:r>
        <w:rPr>
          <w:rFonts w:ascii="IRNazanin" w:hAnsi="IRNazanin" w:eastAsia="IRNazanin"/>
          <w:color w:val="111111"/>
          <w:sz w:val="28"/>
          <w:sz w:val="28"/>
          <w:szCs w:val="28"/>
          <w:rtl w:val="true"/>
          <w:lang w:bidi="fa-IR"/>
        </w:rPr>
        <w:t xml:space="preserve">از جمله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غيبت به منظور هدف صحيحى مانند نصيحت مشورت‌گيرنده، دادخواهى و مانند آن باشد، حرام نيست، و ضابطه </w:t>
      </w:r>
    </w:p>
    <w:p>
      <w:pPr>
        <w:pStyle w:val="BookText"/>
        <w:rPr/>
      </w:pPr>
      <w:r>
        <w:rPr>
          <w:rFonts w:ascii="Amiri" w:hAnsi="Amiri" w:eastAsia="Amiri" w:cs="Amiri"/>
          <w:color w:val="111111"/>
          <w:sz w:val="28"/>
          <w:sz w:val="28"/>
          <w:szCs w:val="28"/>
          <w:rtl w:val="true"/>
          <w:lang w:bidi="ar-SA"/>
        </w:rPr>
        <w:t>غيبت حرام هر فعلى است كه منظور از آن، ريختن آبروى مؤمن يا كم كردن آن يا خنداندن مردم از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شيخ بر اين سخن</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و غير آن به دست مى‌آيد اين است كه حرمت غيبت به جهت عيب‌جويى از مؤمن و اذيت شدن او از آن عيب‌جويى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مصلحتى وجود داشته باشد كه به غيبت شونده يا غيبت‌كننده يا شخص ثالثى برگردد، و عقل يا شرع دلالت كند كه آن مصلحت بزرگ‌تر از اين مصلحت است كه احترام مؤمن رعايت شود و آن حرف گفته نشود، واجب است كه حكم طبق هركدام از اين دو مصلحت كه قوى‌تر است، باشد؛ همان‌طور كه نسبت به هر معصيتى كه در حقوق الهى و حقوق مردم انجام مى‌شود، چنين است، و استاد اعظم اين قول را پذيرفته‌اند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احراز نشده است كه تمام خاستگاه حرمت غيبت، عيب‌جويى يا اذيت شدن باشد، زيرا احتمال دارد چيز ديگرى مانند حفظ زبان از تعرض به آبروى مؤمن يا غير آن در آن وارد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اهميت مصلحت ضرورى نصى وارد نشده است، لذا احراز آن اهميت كاملاً اشكال دارد، زيرا ميزان مصلحت‌ها براى ما معلوم نيست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مستثنيات غناء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اهميت زمانى است كه بين دو دليل در مرحله امتثال تزاحمى به وجود بيايد </w:t>
      </w:r>
    </w:p>
    <w:p>
      <w:pPr>
        <w:pStyle w:val="BookText"/>
        <w:rPr/>
      </w:pPr>
      <w:r>
        <w:rPr>
          <w:rFonts w:ascii="IRNazanin" w:hAnsi="IRNazanin" w:eastAsia="IRNazanin"/>
          <w:color w:val="111111"/>
          <w:sz w:val="28"/>
          <w:sz w:val="28"/>
          <w:szCs w:val="28"/>
          <w:rtl w:val="true"/>
          <w:lang w:bidi="fa-IR"/>
        </w:rPr>
        <w:t>بدون اينكه يكى از آن دو در مقام جعل به ديگرى مربوط باشد، و وقتى رابطه دو دليل متعارض با هم عموم و خصوص من وجه بود، و هر دو دليل به طور مطلق جعل شده بودند، و در خارج بر مورد واحدى صادق بودند، چاره اى جز رجوع به مرجحات باب تعارض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مبحث كه ميان دو دليل حرمت غيبت تعارض وجود دارد، و دليلى متكفل بيان حكم آن عنوان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نصيحت‌گيرنده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موردى براى رجوع به مرجحات باب مزاحمت نيست، بلكه بايد به مرجحات يكى از دو روايت بر ديگرى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استاد اعظم با پذيرش همه آنچه در آن مبحث ذكر كرديم، سخن شيخ را در اين مقام نيكو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منظور آن دو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مصلحتى بزرگ‌تر از مفسده غيبت در يك فعل ديگر متوقف بر غيبت باشد، نه اينكه در يك عنوانى بر غيبت منطبق باشد؛ كبراى كليه‌اى كه ذكر كرده‌اند درست است، و ما در جاى خود به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خلاف ظاهر كلام شيخ اعظم است، چون از آن چنين برمى‌آيد كه منظور، بيان حكم صورت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جواز، در صورتى كه عنوانى كه مصلحت دارد بر غيبت اتفاق بيفتد، استدلال كرده‌اند كه موضوعا غيبت به آن صدق نمى‌كند، از جهت اينكه قصد عيب‌جويى در مفهوم غيبت لحاظ شده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درست نبودن اين مبنا سخن گفتيم، لذا اظهر اين است كه اين كليت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صورتى كه از </w:t>
      </w:r>
      <w:bookmarkStart w:id="61" w:name="pg7423_74313"/>
    </w:p>
    <w:p>
      <w:pPr>
        <w:pStyle w:val="BookText"/>
        <w:rPr/>
      </w:pPr>
      <w:bookmarkEnd w:id="61"/>
      <w:r>
        <w:rPr>
          <w:rFonts w:ascii="Amiri" w:hAnsi="Amiri" w:eastAsia="Amiri" w:cs="Amiri"/>
          <w:color w:val="111111"/>
          <w:sz w:val="28"/>
          <w:sz w:val="28"/>
          <w:szCs w:val="28"/>
          <w:rtl w:val="true"/>
          <w:lang w:bidi="ar-SA"/>
        </w:rPr>
        <w:t xml:space="preserve">خارج، ملاك عنوان در مجمع و اهميت آن احراز شود، حتماً غيبت جايز است، مثلاً در صورتى كه حفظ نفس محترمه‌اى متوقف بر غيبت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در اين صورت واجب مى‌شود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82816_1051229030"/>
      <w:bookmarkStart w:id="63" w:name="_Toc20"/>
      <w:bookmarkEnd w:id="62"/>
      <w:r>
        <w:rPr>
          <w:rtl w:val="true"/>
        </w:rPr>
        <w:t>غيبت متجاهر به فسق</w:t>
      </w:r>
      <w:bookmarkEnd w:id="63"/>
    </w:p>
    <w:p>
      <w:pPr>
        <w:pStyle w:val="BookText"/>
        <w:rPr/>
      </w:pPr>
      <w:r>
        <w:rPr>
          <w:rFonts w:ascii="IRNazanin" w:hAnsi="IRNazanin" w:eastAsia="IRNazanin"/>
          <w:color w:val="111111"/>
          <w:sz w:val="28"/>
          <w:sz w:val="28"/>
          <w:szCs w:val="28"/>
          <w:rtl w:val="true"/>
          <w:lang w:bidi="fa-IR"/>
        </w:rPr>
        <w:t>اصحاب</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الاحكام،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مورد براى جواز غيبتى كه مصلحتى در آن نيست 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غيبت‌شونده متجاهر به فسق باشد؛ و در استثناشدن آن به وجوهى استدلال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آشكار كردن فسق خود توجهى ندارد، از بيان آن اكراهى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غيبت چنين فهميده مى‌شود كه غيبت گفتارى درباره يك مسأله پنهان است، پس در اين صورت كه فاسق فسق خود را آشكار مى‌كند، به بيان كارى كه او انجام مى‌دهد غيبت صدق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روايات،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هارون بن جهم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فاسق به فسق خود تظاهر كند احترامى ندارد و غيبت او جايز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آن بر ادعا،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w:t>
      </w:r>
      <w:r>
        <w:rPr>
          <w:rStyle w:val="FootnoteAnchor"/>
          <w:rtl w:val="true"/>
        </w:rPr>
        <w:footnoteReference w:id="79"/>
      </w:r>
      <w:r>
        <w:rPr>
          <w:rFonts w:ascii="Amiri" w:hAnsi="Amiri" w:eastAsia="Amiri" w:cs="Amiri"/>
          <w:color w:val="111111"/>
          <w:sz w:val="28"/>
          <w:sz w:val="28"/>
          <w:szCs w:val="28"/>
          <w:rtl w:val="true"/>
          <w:lang w:bidi="ar-SA"/>
        </w:rPr>
        <w:t xml:space="preserve">درباره اين حديث </w:t>
      </w:r>
    </w:p>
    <w:p>
      <w:pPr>
        <w:pStyle w:val="BookText"/>
        <w:rPr/>
      </w:pPr>
      <w:r>
        <w:rPr>
          <w:rFonts w:ascii="Amiri" w:hAnsi="Amiri" w:eastAsia="Amiri" w:cs="Amiri"/>
          <w:color w:val="111111"/>
          <w:sz w:val="28"/>
          <w:sz w:val="28"/>
          <w:szCs w:val="28"/>
          <w:rtl w:val="true"/>
          <w:lang w:bidi="ar-SA"/>
        </w:rPr>
        <w:t>بحث كرده است كه سندش به دليل حضور احمد بن هارون ضعيف است</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هارون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بن بابويه از او روايت كرده است، رجال الشيخ، درباره كسانى كه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برخى نسخه‌ها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بابويه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مترضيا در الخصال، باب دوم، معرفة التوحيد بخصلتين،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در العيون،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ابراهيم بن هارون الفامى در مسجد كوفه براى ما حديث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تصريح كرده‌اند كه او از مشايخ صدوق است</w:t>
      </w:r>
      <w:r>
        <w:rPr>
          <w:rStyle w:val="FootnoteAnchor"/>
          <w:rtl w:val="true"/>
        </w:rPr>
        <w:footnoteReference w:id="81"/>
      </w:r>
      <w:r>
        <w:rPr>
          <w:rFonts w:ascii="Amiri" w:hAnsi="Amiri" w:eastAsia="Amiri" w:cs="Amiri"/>
          <w:color w:val="111111"/>
          <w:sz w:val="28"/>
          <w:sz w:val="28"/>
          <w:szCs w:val="28"/>
          <w:rtl w:val="true"/>
          <w:lang w:bidi="ar-SA"/>
        </w:rPr>
        <w:t>، و بيش از يك روايت از او مترضيا نقل كرده؛ بنابراين خبر او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نقاب حيا را از چهره برافكند غيبت ندارد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حديث، انداختن نقاب حيا در مسائل عادى كه شايسته شأن او نيست مانند خوردن در بازار و مانند آن يا انداختن نقاب حيا ميان خود و خدايش نيست، بلكه منظور از آن اين است كه فاسق فسق خود را آشكار كند، و علناً مرتكب فحشا شود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روايت ضعيف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ابوالبخترى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نفرند كه احترام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منحرف بدعت‌گذار است؛ و ديگر پيشواى ظالم؛ و ديگر فاسق متجاهر به فسق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 صاحب هوى مبتدع و الامام الجائر و الفاسق المعلن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16327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مطلبى كه در برخى مراسيل آمده، نزديك به اين مضمون است، با اين تفاوت كه آنها همگى سندشان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ضعف مراسيل،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خبر ابوالبخترى نيز به اين دليل است كه چنين برمى‌آيد كه او وهب بن وهب است، كه هر كسى به او پرداخته او را ضعيف دانسته است</w:t>
      </w:r>
      <w:r>
        <w:rPr>
          <w:rStyle w:val="FootnoteAnchor"/>
          <w:rtl w:val="true"/>
        </w:rPr>
        <w:footnoteReference w:id="84"/>
      </w:r>
      <w:r>
        <w:rPr>
          <w:rFonts w:ascii="IRNazanin" w:hAnsi="IRNazanin" w:eastAsia="IRNazanin"/>
          <w:color w:val="111111"/>
          <w:sz w:val="28"/>
          <w:sz w:val="28"/>
          <w:szCs w:val="28"/>
          <w:rtl w:val="true"/>
          <w:lang w:bidi="fa-IR"/>
        </w:rPr>
        <w:t>، و حداقل اين است كه احتمال دارد در اين بحث، او مورد نظر باشد، حال آنكه گفته شد عدم حرمت اعم از جواز غيبت است، چون ثابت نيست كه مناط حرمت غيبت احترام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بن مهران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معاشرت با مردم به آنان ظلم نكند، دروغ نگويد، خلف وعده ننمايد، جوانمرديش كامل، عدالتش آشكار، برادرى با او واجب و غيبتش حرام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اين روايت را در اسانيد، و طبرسى در صحيفة الرضا </w:t>
      </w:r>
    </w:p>
    <w:p>
      <w:pPr>
        <w:pStyle w:val="BookText"/>
        <w:rPr/>
      </w:pPr>
      <w:r>
        <w:rPr>
          <w:rFonts w:ascii="Amiri" w:hAnsi="Amiri" w:eastAsia="Amiri" w:cs="Amiri"/>
          <w:color w:val="111111"/>
          <w:sz w:val="28"/>
          <w:sz w:val="28"/>
          <w:szCs w:val="28"/>
          <w:rtl w:val="true"/>
          <w:lang w:bidi="ar-SA"/>
        </w:rPr>
        <w:t>روايت كرده است</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سخن 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رفتار و عادت او بر مبناى ظلم نكردن، دروغ نگفتن، و خلف وعده نكردن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كلام اين است كه كسى كه رفتار و عادت او بر چنين چيزى نيست، يعنى ظلم، خلف وعده، و دروغ عادت او است، غيبتش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كسى كه اين كارها عادت او باشد، ناگزير، متجاهر به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ذكر كرديم، وجه كلام آن حضرت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با مردم چنين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و اين كلام كاشف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عادتش بر امور ذكر شده باشد، حتما در او ملكه عدالتى وجود دارد كه او را به آن كارها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اعظم در اين باره گفته‌اند</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اين حديث به دليل حضور عثمان بن عيسى ضعيف است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كشّى در رجال خود از او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ذكر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آنها منع نمود و بر او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كرد و مال را براى او بازفرستاد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ابوحمزه روايت مى‌كند كه در خواب ديد كه در كنار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صاحبش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بزرگان رجال درباره او با هم اختلاف دارند، ظاهر چنين است كه حديث او جزء احاديث موثق است</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درباره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تنها در ثبوت مفهوم براى وصف مفهوم دارد؛ و ادعاى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متضمن معناى شرط است؛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چنين است كه همه امور مذكور، قيد براى موضوع هستند، و قضيه براى بيان مجرد نسبت محمول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مفهوم داشت، مفهومش اين بود كه كسى كه عادت او بر اين اساس نيست كه ظلم نكند، دروغ نگويد، و خلف وعده نكند غيبتش جايز است، نه اينكه كسى كه عادتش بر ظلم و ساير آن كارها است، چنين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دلالت بر جواز غيبت غير عادل دارد، اگرچه متجاهر به فسق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مسائلى است كه كسى آن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جزاء عبارت است از مجموع چهار مسأله‌اى كه امام عليه السلام آنها را به عنوان مثال عموم مجموعى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انتفاء مقدم، مجموع سازگار منتفى مى‌شود و برخى از آنها باقى مى‌ماند، و چه بسا آنچه منتفى شده، خصوص عدالت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ابن ابى يعفور از امام صادق عليه السلام، كه بعد از تبيين حقيقت عدالت، به بيان عدالت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آن، اين است كه همه عيوب او را بپوشاند تا لغزش‌هاى پشت آن از مسلمانان پوشيده باشد</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خبر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ساتر عيوب او </w:t>
      </w:r>
    </w:p>
    <w:p>
      <w:pPr>
        <w:pStyle w:val="BookText"/>
        <w:rPr/>
      </w:pPr>
      <w:r>
        <w:rPr>
          <w:rFonts w:ascii="IRNazanin" w:hAnsi="IRNazanin" w:eastAsia="IRNazanin"/>
          <w:color w:val="111111"/>
          <w:sz w:val="28"/>
          <w:sz w:val="28"/>
          <w:szCs w:val="28"/>
          <w:rtl w:val="true"/>
          <w:lang w:bidi="fa-IR"/>
        </w:rPr>
        <w:t>نباشد تفتيش از حال او با سؤال كردن از همسايگان، و معاشرانش و ديگران درباره معاصى او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تفتيش گاهى با سؤال كردن از شخصى است كه او از حال فرد مطلع است، و گاهى از غير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تلازمى ميان جواز تفتيش و غيبت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عيب‌پوشانى در خبر به عنوان راهى براى ثبوت عدالت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پنهان داشتن نزد كسى است كه مى‌خواهد آثار عدالت را تدارك كند، حتى اگر از او گناهى ببيند، از اين پنهان‌داشتن خارج شده است، اگرچه متجاهر به فسق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مفهومش در جواز غيبت فاسق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علقمه به نقل از المحاسن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چشم خود نبيند كه كسى گناه مى‌كند يا دو نفر شاهد بدان گواهى ندهند همانا كه او شايسته عدالت و ستر است، و شهادت او مقبول است هر چند در پيش خود گناهكار باشد، و كسى كه پشت سرش از آنچه در اوست بد گويد به راستى كه از ولايت خداوند بلندمرتبه خارج و به ولايت شيطان وارد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أو لم يشهد عليه بذلك شاهدان فهو من أهل العدالة و الستر و شهادته مقبولة و إن كان فى نفسه مذنبا و من اغتابه بما فيه فهو خارج عن ولاية الله عز و جل داخل فى ولاية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34044</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 استدلال به آن دو تقريب آورده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چشم خود از </w:t>
      </w:r>
    </w:p>
    <w:p>
      <w:pPr>
        <w:pStyle w:val="BookText"/>
        <w:rPr/>
      </w:pPr>
      <w:r>
        <w:rPr>
          <w:rFonts w:ascii="Amiri" w:hAnsi="Amiri" w:eastAsia="Amiri" w:cs="Amiri"/>
          <w:color w:val="111111"/>
          <w:sz w:val="28"/>
          <w:sz w:val="28"/>
          <w:szCs w:val="28"/>
          <w:rtl w:val="true"/>
          <w:lang w:bidi="ar-SA"/>
        </w:rPr>
        <w:t>شخص معصيت نديده باشد، و كسى به معصيت او شهادت نداده باشد، عدم جواز غيبت مترتب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مفهوم، جواز غيبت با عدم اين شرط است، و غير متجاهر از آن خارج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غيبت و قبول شهادت بر اين مترتب است كه فرد از اهل ستر و اهل عدالت به طريق لف و نشر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آن، جواز غيبت كسى است كه اهل ستر نيست، يعنى متجاهر به 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استدلال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دليل حضور علقمه ضعيف است</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عقلمة بن محمد الحضرمى برادر ابوبكر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شيح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علقمة بن محمد الحضرمى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اسناد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البرقى، علقمه حضرمى را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قتيبة القتيبى براى من حديث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علقمه نزد زيد بن على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پدر من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سمت راست و ديگرى سمت چپ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ميان ما كسى نيست كه در خانه بنشيند و قيام نكند، بلكه امام كسى است كه شمشير بركشد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كه فردى تند بود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وقتى كه خود را به گوشه‌اى انداخته بود و دور از چشم نگاه داشته بود، امام بوده است يا اينكه تنها وقتى امام بوده كه شمشير بركشيده است؟ زيد ساكت شد 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سه بار اين سؤال را مطرح كرد، اما زيد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بوده است، پس جايز است بعد از او نيز كسى امام باشد، در حالى كه شمشيرى نيز در دست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امام نبوده كه باز مدعاى 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پدرم خواست كه دست از او بردارد، و پدرم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شاذانى نامه‌اى نوشت و در آن از فضل مثل همين را درباره پدرش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سيف بن عميره، و صالح بن عقبه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7423_74321"/>
    </w:p>
    <w:p>
      <w:pPr>
        <w:pStyle w:val="BookText"/>
        <w:rPr/>
      </w:pPr>
      <w:bookmarkEnd w:id="6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عدم حجيت مفهوم وصف، مفهوم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ستر، اراده عدالت از آن است، چون آن حضرت عليه السلام اينكه شخص از اهل ستر و عدالت باشد را به يك چيز، يعنى حسن ظاهر مترتب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روايت مفهوم دارد، مفهوم آن فقط جواز غيبت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ادعاى اينكه غير متجاهر از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رد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تصرف در مفهوم بدون تصرف در منطوق، غيرمعقول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خود به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تصرف در منطوق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قبول آن مستلزم اين است كه بگوييم تجاهر به فسق مدخليتى در حكم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نصوص معتبر، جز روايت هارون، نصى كه بتوان به آن استدلال كرد وجود ندارد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682818_1051229030"/>
      <w:bookmarkStart w:id="66" w:name="_Toc21"/>
      <w:bookmarkEnd w:id="65"/>
      <w:r>
        <w:rPr>
          <w:rtl w:val="true"/>
        </w:rPr>
        <w:t>فروع مسأله غيبت</w:t>
      </w:r>
      <w:bookmarkEnd w:id="66"/>
    </w:p>
    <w:p>
      <w:pPr>
        <w:pStyle w:val="BookText"/>
        <w:rPr/>
      </w:pPr>
      <w:r>
        <w:rPr>
          <w:rFonts w:ascii="IRNazanin" w:hAnsi="IRNazanin" w:eastAsia="IRNazanin"/>
          <w:color w:val="111111"/>
          <w:sz w:val="28"/>
          <w:sz w:val="28"/>
          <w:szCs w:val="28"/>
          <w:rtl w:val="true"/>
          <w:lang w:bidi="fa-IR"/>
        </w:rPr>
        <w:t>درباره اين بحث، فروعى باقى مانده كه شيخ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مقتضى اطلاق روايات، جواز غيبت متجاهر در آن چيزى است كه به آن تجاهر مى‌كند، اگر چه غرض صحيحى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امام عليه السلام در خبر هارون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فاسق به فسق خود تجاهر كند، نه احترام دارد و نه غيبت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16327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اطلاق خبر اقتضاى آن دارد كه بين غيبت به غرض صحيح يا غيبت به قصد عيب‌جويى تفاوتى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گفتيم كه ذكركردن غيبت‌شونده در كارى كه به آن تجاهر مى‌كند، موضوعا از غيبت خارج است، زيرا آشكار كردن آنچه خدا پنهان داشته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اآشكار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صدق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مى‌گويد</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غيبت متجاهر در غير آنچه به آن تجاهر مى‌كند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سه قول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حدائق برگزيده است</w:t>
      </w:r>
      <w:r>
        <w:rPr>
          <w:rStyle w:val="FootnoteAnchor"/>
          <w:rtl w:val="true"/>
        </w:rPr>
        <w:footnoteReference w:id="97"/>
      </w:r>
      <w:r>
        <w:rPr>
          <w:rFonts w:ascii="IRNazanin" w:hAnsi="IRNazanin" w:eastAsia="IRNazanin"/>
          <w:color w:val="111111"/>
          <w:sz w:val="28"/>
          <w:sz w:val="28"/>
          <w:szCs w:val="28"/>
          <w:rtl w:val="true"/>
          <w:lang w:bidi="fa-IR"/>
        </w:rPr>
        <w:t>، و در كلام جمعى از اصحاب ديده مى‌شود، و برخى از بزرگان به آن تصريح كرده‌اند؛ يعنى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گروه ديگرى از جمله شهيد ثانى</w:t>
      </w:r>
      <w:r>
        <w:rPr>
          <w:rStyle w:val="FootnoteAnchor"/>
          <w:rtl w:val="true"/>
        </w:rPr>
        <w:footnoteReference w:id="98"/>
      </w:r>
      <w:r>
        <w:rPr>
          <w:rFonts w:ascii="Amiri" w:hAnsi="Amiri" w:eastAsia="Amiri" w:cs="Amiri"/>
          <w:color w:val="111111"/>
          <w:sz w:val="28"/>
          <w:sz w:val="28"/>
          <w:szCs w:val="28"/>
          <w:rtl w:val="true"/>
          <w:lang w:bidi="ar-SA"/>
        </w:rPr>
        <w:t>به آن قائل شده‌اند؛ يعنى عدم جواز</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شيخ آن را پذيرفته است؛ يعنى تفصيل قائل شدن ميان آن معاصى كه در قبح به آنها تجاهر نمى‌كند و ميان غير آن گناهان؛ كه در صورت اول جايز و در صورت دوم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به لواط تجاهر كرد، غيبت او درباره تعرض به زنان </w:t>
      </w:r>
      <w:bookmarkStart w:id="67" w:name="pg7423_74323"/>
    </w:p>
    <w:p>
      <w:pPr>
        <w:pStyle w:val="BookText"/>
        <w:rPr/>
      </w:pPr>
      <w:bookmarkEnd w:id="67"/>
      <w:r>
        <w:rPr>
          <w:rFonts w:ascii="IRNazanin" w:hAnsi="IRNazanin" w:eastAsia="IRNazanin"/>
          <w:color w:val="111111"/>
          <w:sz w:val="28"/>
          <w:sz w:val="28"/>
          <w:szCs w:val="28"/>
          <w:rtl w:val="true"/>
          <w:lang w:bidi="fa-IR"/>
        </w:rPr>
        <w:t>بيگانه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تجاهر به راهزنى كرد، غيبتش درباره سرقت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تجاهر به گناهان كبيره مى‌كند غيبتش درباره هر قبيحى جايز است</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شيخ انصارى،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682820_1051229030"/>
      <w:bookmarkStart w:id="69" w:name="_Toc22"/>
      <w:bookmarkEnd w:id="68"/>
      <w:r>
        <w:rPr>
          <w:rtl w:val="true"/>
        </w:rPr>
        <w:t>استدلال قول اول</w:t>
      </w:r>
      <w:r>
        <w:rPr>
          <w:rtl w:val="true"/>
        </w:rPr>
        <w:t>:</w:t>
      </w:r>
      <w:bookmarkEnd w:id="69"/>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نصوص؛ كه خبر سابق الذكر هارون نمونه‌اى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اطلاق نفى جنس، نفى همه افراد غيبت است كه غيبت در غير آنچه به آن تجاهر مى‌كند،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طبيعت، نفى همه افراد آن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ظاهر از خبر اين است كه در مقام بيان حكم است، نه اينكه حقيقتاً در مقام بيان نفى موضوع باشد؛ پس از اين لحاظ كه بيان عيبى كه به آن تجاهر مى‌كند، حقيقتاً غيبت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براى بيان جواز در غيبت در غير مواردى است كه به آن تجاهر مى‌كند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نفى طبيعت، نفى موضوع است حقيقتاً، و حمل نمودن آن بر اينكه نفى تنزيلى يا نفى حكم از موضوع از آن اراده شده، خلاف ظاهر است و تنها با وجود قرينه مى‌توان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آن نفى براى موضوعى واقعى و روشن باشد كه اثبات و نفى‌اش وظيفه شارع نيست، و موضوع بعد از نفى آن منتفى نمى‌شود، مانند سخن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كثيرالشك به شك خود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غيبت از 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شارع مفهوم آن را مشخص و قيود آن را بيان كرده، و در تعدادى از </w:t>
      </w:r>
      <w:bookmarkStart w:id="70" w:name="pg7423_74324"/>
    </w:p>
    <w:p>
      <w:pPr>
        <w:pStyle w:val="BookText"/>
        <w:rPr/>
      </w:pPr>
      <w:bookmarkEnd w:id="70"/>
      <w:r>
        <w:rPr>
          <w:rFonts w:ascii="IRNazanin" w:hAnsi="IRNazanin" w:eastAsia="IRNazanin"/>
          <w:color w:val="111111"/>
          <w:sz w:val="28"/>
          <w:sz w:val="28"/>
          <w:szCs w:val="28"/>
          <w:rtl w:val="true"/>
          <w:lang w:bidi="fa-IR"/>
        </w:rPr>
        <w:t>نصوص سابق الذكر آن را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قرينه‌اى وجود ندارد كه ظهور قضيه در نفى موضوع را حقيقتا بازدارد، و اين تنها درباره آن معاصى است كه به آن تجاهر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مطلق است و نه مختص به غير چيزى كه در آن تجاهر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اراده اعم از آنچه به آن تجاهر مى‌كند و غير آن،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به آنچه در آن تجاهر مى‌كند نفى حقيقتا نفى براى موضوع است، و نسبت به غير آن، نفى تنزيلى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نفى حكم با زبان نفى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اعم مستلزم اجتماع هر دو اين جهات در استعمال واحد است؛ بنابراين امر بين اراده يكى از دو قسم دايراست، و متعين همان اوّلى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درباره خبر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ساير نصوص نيز گفته شد كه يا سندشان ضعيف است يا دلالت بر مطلوب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نسبت به آن تجاهر مى‌شود اختصاص دارند، و اين روشن است</w:t>
      </w:r>
      <w:r>
        <w:rPr>
          <w:rFonts w:eastAsia="IRNazanin" w:cs="IRNazanin"/>
          <w:color w:val="111111"/>
          <w:sz w:val="28"/>
          <w:szCs w:val="28"/>
          <w:rtl w:val="true"/>
          <w:lang w:bidi="fa-IR"/>
        </w:rPr>
        <w:t>.</w:t>
      </w:r>
    </w:p>
    <w:p>
      <w:pPr>
        <w:pStyle w:val="Heading3"/>
        <w:numPr>
          <w:ilvl w:val="2"/>
          <w:numId w:val="1"/>
        </w:numPr>
        <w:rPr/>
      </w:pPr>
      <w:bookmarkStart w:id="71" w:name="__RefHeading___Toc1682822_1051229030"/>
      <w:bookmarkStart w:id="72" w:name="_Toc23"/>
      <w:bookmarkEnd w:id="71"/>
      <w:r>
        <w:rPr>
          <w:rtl w:val="true"/>
        </w:rPr>
        <w:t>استدلال به دو قول آخر</w:t>
      </w:r>
      <w:r>
        <w:rPr>
          <w:rtl w:val="true"/>
        </w:rPr>
        <w:t>:</w:t>
      </w:r>
      <w:bookmarkEnd w:id="72"/>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جواز غيبت متجاهر، مرتبه عصيان او را نشان مى‌دهد، بنابراين غيبتش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با اولويت جايز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برخى مشايخ محقق ما ذكر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مثلاً از نسبت لواط دادن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ندارد، از اينكه او را به كنكاش در معاشرت با زنان نسبت دهند نيز اكراه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ملازمت، به عنوان نقص و عيب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كنيم كسى از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معاشرت، اكراه دارد، و از اولى </w:t>
      </w:r>
    </w:p>
    <w:p>
      <w:pPr>
        <w:pStyle w:val="BookText"/>
        <w:rPr/>
      </w:pPr>
      <w:r>
        <w:rPr>
          <w:rFonts w:ascii="IRNazanin" w:hAnsi="IRNazanin" w:eastAsia="IRNazanin"/>
          <w:color w:val="111111"/>
          <w:sz w:val="28"/>
          <w:sz w:val="28"/>
          <w:szCs w:val="28"/>
          <w:rtl w:val="true"/>
          <w:lang w:bidi="fa-IR"/>
        </w:rPr>
        <w:t>ندارد، از آن چنين بر مى‌آيد كه كراهت از دومى متعلق به آنچه عيب و نقص است، نيست؛ بنابراين غيبت او در اين مورد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سخن فوق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علتِ آنچه گفته شد، نامعلوم است، بلكه احتمال مى‌رود كه علت، كراهت نداشتن از اظهار باشد، يا اظهار آنچه خدا پنهان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آن پنهان داشتن، در آنچه به آن تجاهر مى‌كند، نه پايين‌تر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حال آنكه اولويت در صورتى كه برقرار شود، در مواردى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اكتفا شود، نه ميان دو غيبت جمع شود، و اين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چه بسا شخص به معصيت بزرگى تجاهر كند، مثلاً قتل نفس محترمه، و در چيزى غير از اين پنهان‌كار باشد، و از اينكه آن را به او نسبت دهند اكراه داشته باشد و از آن پرهيز مى‌كند؛ و اين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اختصاص حكم در خصوص آن چيزى است كه به آن تجاهر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معصيتى تجاهر كند، غيبت به همان معصيت و به لوازم آن جايز است، چون التزام به چيزى، التزام به لوازم آن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متجاهر كسى است كه به كار زشت خود تجاهر مى‌كند و از اين قبح اطلاع دارد، و مردم مى‌دانند كه اين كار را به عنوان يك كار قبيح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قبح آن را نداند يا به دليل شبهه حكمى، مثلاً اينكه اگر خرماى در حال جوش را پيش از آنكه يك سومش بخار شود، بنوشد و فكر مى‌كند كه مباح </w:t>
      </w:r>
    </w:p>
    <w:p>
      <w:pPr>
        <w:pStyle w:val="BookText"/>
        <w:rPr/>
      </w:pPr>
      <w:r>
        <w:rPr>
          <w:rFonts w:ascii="IRNazanin" w:hAnsi="IRNazanin" w:eastAsia="IRNazanin"/>
          <w:color w:val="111111"/>
          <w:sz w:val="28"/>
          <w:sz w:val="28"/>
          <w:szCs w:val="28"/>
          <w:rtl w:val="true"/>
          <w:lang w:bidi="fa-IR"/>
        </w:rPr>
        <w:t>است؛ يا به دليل شبهه موضوعى، مثلاً اينكه شراب را بنوشد با اين تصور كه فكر مى‌كند آب است؛ در اين صورت غيبتش جايز نيست چون فاسق نيست چه رسد به اينكه متجاهر به فسق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آن را با علم به اين كه قبيح است علناً انجام دهد، اما احتمال دهد كه مردم ندانند اين كار به عنوان معصيت از او صادر شده است چون احتمال مى‌دهند كه او قصورا جهل موضوعى يا حكمى داشته؛ متجاهر به فسق در آن چيزى كه فسق بوده نيست، بلكه متجاهر به فسق از حيث خود فسق است؛ و آنچه از دليل ظاهر است، جواز غيبت متجاهر به فسق بما هو فسق است، بنابراين متجاهر به فسق كسى است كه معصيتى را انجام مى‌دهد، با علم به اينكه آنچه علناً انجام داده معصيت بوده است، و مى‌داند كه مردم مى‌دانند او با اين عمل خود مرتكب گناه شده است، و هيچ عذرى ولو غيرموجه،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متجاهر بود، غيبت او نزد كسى كه از حال او مطلع نيست، جايز است، چون اين كار آشكاركردن آنچه خدا پنهان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يك امر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اگر آشكار باشد جزء غيبت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ظهور خبر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خبر بيان خصوصيتى در متجاهر است كه غير او ندارد، و اگر به ذكر آن نزد كسى كه از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است اكتفا شود، عدم خصوصيت در آن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 كسى كه از اين حال مطلع است، غيبتش جايز است، اگرچه آن شخص، متجاهر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در اين قسم نيست، و بلكه سخن درباره حد تجاهر است، و ظاهر اين است كه با تجاهر به آن نزد جماعتى كه به آنها تعدى شده و اطلاع داشتن غير ايشان برايشان مهم نيست،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رازداران و </w:t>
      </w:r>
      <w:bookmarkStart w:id="73" w:name="pg7423_74327"/>
    </w:p>
    <w:p>
      <w:pPr>
        <w:pStyle w:val="BookText"/>
        <w:rPr/>
      </w:pPr>
      <w:bookmarkEnd w:id="73"/>
      <w:r>
        <w:rPr>
          <w:rFonts w:ascii="IRNazanin" w:hAnsi="IRNazanin" w:eastAsia="IRNazanin"/>
          <w:color w:val="111111"/>
          <w:sz w:val="28"/>
          <w:sz w:val="28"/>
          <w:szCs w:val="28"/>
          <w:rtl w:val="true"/>
          <w:lang w:bidi="fa-IR"/>
        </w:rPr>
        <w:t>دوستانش تجاهر كند، متجاهر به او صدق نمى‌كند، همانطور كه اگر در كشور غريب تجاهر كند، و در كشور خود پنهان بدارد، متجاهر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جوايز غيبت باقى ماندن بر 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مبدأ از او منتفى شود، و فسق خود را پنهان كند، و از آشكار شدن آن اذيت شود غيبت او حرام است، چون بقاى حكم تابع بقاى موضوع است و هر گاه موضوع برداشته شود، حكم برداشته مى‌شود</w:t>
      </w:r>
      <w:r>
        <w:rPr>
          <w:rFonts w:eastAsia="IRNazanin" w:cs="IRNazanin"/>
          <w:color w:val="111111"/>
          <w:sz w:val="28"/>
          <w:szCs w:val="28"/>
          <w:rtl w:val="true"/>
          <w:lang w:bidi="fa-IR"/>
        </w:rPr>
        <w:t>.</w:t>
      </w:r>
    </w:p>
    <w:p>
      <w:pPr>
        <w:pStyle w:val="Heading3"/>
        <w:numPr>
          <w:ilvl w:val="2"/>
          <w:numId w:val="1"/>
        </w:numPr>
        <w:rPr/>
      </w:pPr>
      <w:bookmarkStart w:id="74" w:name="__RefHeading___Toc1682824_1051229030"/>
      <w:bookmarkStart w:id="75" w:name="_Toc24"/>
      <w:bookmarkEnd w:id="74"/>
      <w:r>
        <w:rPr>
          <w:rtl w:val="true"/>
        </w:rPr>
        <w:t>دادخواهى مظلوم</w:t>
      </w:r>
      <w:bookmarkEnd w:id="75"/>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حول محور دادخواهى مظلوم و اظهار كارى كه ظالم با او كرده مى‌گردد، اگر چه آن را از ديگرى پنهان داشته است، مثلاً اينكه در يك شب تاريك كه كسى جز آن دو نفر نيست، او را بزند، يا به او ناسزا بگويد، يا مال او را برده باشد، ذكر او به آن كار نزد كسى كه نمى‌داند او اين كار را انجام داده،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جواز اظهار آنچه ظالم در حق مظلوم انجام داده، اگر چه پنهان باشد، اجماعى است، و در اين خصوص به چند امر استدلال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انْتَصَرَ بَعْدَ ظُلْمِهِ فَأُولئِكَ ما عَلَيْهِمْ مِنْ سَبِيلٍ ؛ و هر كس پس از ظلمى كه بر او رفته انتقام طلبد، بر اينان هيچ گناه و </w:t>
      </w:r>
    </w:p>
    <w:p>
      <w:pPr>
        <w:pStyle w:val="BookText"/>
        <w:rPr/>
      </w:pPr>
      <w:r>
        <w:rPr>
          <w:rFonts w:ascii="Amiri" w:hAnsi="Amiri" w:eastAsia="Amiri" w:cs="Amiri"/>
          <w:color w:val="111111"/>
          <w:sz w:val="28"/>
          <w:sz w:val="28"/>
          <w:szCs w:val="28"/>
          <w:rtl w:val="true"/>
          <w:lang w:bidi="ar-SA"/>
        </w:rPr>
        <w:t>مؤاخذه نيست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دلالت دارد كسى كه مظلوم واقع شده است و در يارى خواستن راهى عليه ظالم ندارد، غيبت ظالم براى او جايز است، و معلوم است كه اين يارى خواستن منوط به آشكار كردن ظلمى است كه در حق او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خواستن عبارت است از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شريفه بيانگر جواز انتقام و مجازات ظالم از طريق كارى شبيه آن است، كه آيه پيش از اين آيه بر آن دلالت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سَيِّئَةٍ سَيِّئَةٌ مِثْلُها ؛ و انتقام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مانند آن بد رواست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بيشتر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اين آيه در مسأله جواز غيبت كردن كاربردى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نوعى انتقام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نحوه انتقام اطلاق ندارد، به همين دليل كسى چنين فكرى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ازدواج با او جايز است به اعتبار اينكه اين نوعى انتقام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يُحِبُّ اللّهُ الْجَهْرَ بِالسُّوءِ مِنَ الْقَوْلِ إِلاّ مَنْ ظُلِمَ ؛ خدا دوست نمى‌دارد كه كسى به گفتار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كند مگر آن كه ظلمى به او رسيده باشد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آيه، چنانكه در اول مبحث گفته شد، دلالت دارد كه جهر بالسوء بر سخنى كه غيبت از افراد و مصاديق آن است، رجحان دارد، مگر نسبت به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 را بر اين گذاشتيد كه آيه دلالت بر عدم جواز غيبت ندارد، پس چگونه در اين مورد به آن استدلال مى‌كنيد؟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بر كسانى كه غيبت را از مصاديق جهر بالسوء مى‌دانند، مانند محقق ايروانى</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ايروانى،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وارد است نه ما؛ زيرا ما عقيده داريم كه آيه بر عدم جواز غيبت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دوست نداشتن اعم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روشن است، جايى براى اين ايراد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عموم سلب، فقط ثبوت ايجاب جزيى را اقتضا مى‌كند، زيرا آن جزييت به دليل اينكه ثبوتى ندارد كه در مقام بيان اين جهت صادر شده باشد، اطلاقى ندارد، لذا ممكن است دليل جواز به مذمت، سرزنش، و عيب‌جويى آن كه جزء جهر بالسوء است، بازگردد، همان‌طور كه در تعليق برخى مشايخ محقق ما آمده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بر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مطالبى كه در جاى خود از آن سخن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اينكه آيا دليلى در مقام بيان است يا نه؟ بنا بر اين گذاشته مى‌شود كه در مقام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مقتضاى اطلاق اين آيه شريفه جواز هر فرد از افراد جهر </w:t>
      </w:r>
    </w:p>
    <w:p>
      <w:pPr>
        <w:pStyle w:val="BookText"/>
        <w:rPr/>
      </w:pPr>
      <w:r>
        <w:rPr>
          <w:rFonts w:ascii="Amiri" w:hAnsi="Amiri" w:eastAsia="Amiri" w:cs="Amiri"/>
          <w:color w:val="111111"/>
          <w:sz w:val="28"/>
          <w:sz w:val="28"/>
          <w:szCs w:val="28"/>
          <w:rtl w:val="true"/>
          <w:lang w:bidi="ar-SA"/>
        </w:rPr>
        <w:t>بالسوء است كه غيبت جزء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تفسير عياشى از فضل بن ابى قرّه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پيرامون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يُحِبُّ اللّهُ الْجَهْرَ بِالسُّوءِ مِنَ الْقَوْلِ إِلاّ مَنْ ظُلِمَ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كس گروهى را ميهمانى نمايد و در پذيرايى از ايشان كم بگذارد از جمله كسانى است كه ستم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ميهمانان اشكالى ندارد كه در اين باره حرف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آنچه از مجمع البيان از امام صادق عليه السلام درباره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ميهمانى به شخصى وارد شد و او با ميهمان رفتار خوبى نكرد، مانعى ندارد كه برخورد بد او را بازگو كند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دلالت دارند كسى كه حرمت ميهمان خود را نگاه ندارد، و آنچه كه شايسته او است در مقام ميهمانى به جا نياورد، جايز است آن رفتار بد را از او بازگو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خبر ضعيف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ضعف خبر اول، ناشناخته بودن حال مفضل است</w:t>
      </w:r>
      <w:r>
        <w:rPr>
          <w:rStyle w:val="FootnoteAnchor"/>
          <w:rtl w:val="true"/>
        </w:rPr>
        <w:footnoteReference w:id="107"/>
      </w:r>
      <w:r>
        <w:rPr>
          <w:rFonts w:ascii="Amiri" w:hAnsi="Amiri" w:eastAsia="Amiri" w:cs="Amiri"/>
          <w:color w:val="111111"/>
          <w:sz w:val="28"/>
          <w:sz w:val="28"/>
          <w:szCs w:val="28"/>
          <w:rtl w:val="true"/>
          <w:lang w:bidi="ar-SA"/>
        </w:rPr>
        <w:t>، و دليل ضعف خبر دوم، مرسل بودن آن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مظلوم را از دادخواهى و تظلم‌خواهى منع كنند، بسيار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دليل نفى حرج، حرج نوعى نيست، بلكه منظور حرج شخصى است، كه حكم را به صورت كلى نفى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نفى حرج، احكامى را كه در نفى آنها لطف نسبت به مردم است نفى مى‌كند، بنابراين حكمى كه نفى آن از يك سو لطف نسبت به كسى و از سوى ديگر منافى با لطف نسبت به ديگرى است، مشمول دليل نفى حرج نمى‌شود؛ كه اين مورد از همين قبيل است، چون جواز غيبت، با لطف نسبت به غيبت‌شونده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جواز، بازدارندگى از ظالم را در معرض گمان قرار مى‌دهد، و اين مصلحتى خالى از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احكام تابع مصلحت‌ها هستند، جواز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مصلحت، خصوصاً كه در معرض گمان به مفسده قطعى و ثابت‌شده در غيبت است؛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وجه، جواز غيبت هر گناهكارى است، ولو اينكه غير متجاهر باشد يا به كسى ظلم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دانستن آن بازدارندگى را در معرض گمان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دانستن اين مسأله مختص مظلوم نيست، بلكه براى هر شخصى عين اين وجه جايز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علم حاصل شود كه او آن معصيت را مرتكب نشده، يا او مانع اين دادخواهى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قرب الاسناد از جعفر بن محمد از پدرش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داراى حرمت و احترام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هوس‌باز بدعت‌گذار، پيشوا و حاكم ستمگر، فاسقى كه گناه خود را علنى كند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لَيسَت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وَالإمامُ الجائِرُ، وَالفاسِقُ المُعلِنُ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حرمت از حاكم ستمگر فقط از جهت جور او است، نه از جهت تجاهر او؛ در غير اين صورت از او در كنار فاسقى كه فسق خود را اعلان مى‌كند، نام برده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ضعف سند، و عدم دلالت بر جواز غيبت 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دارد كه جواز غيبت حاكم ستمگر، در صورتى كه ثابت شود، از جهت اين باشد كه او حقوق ائمه عليه السلام را غصب، و مقام خلافت را تصدى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صورت اگر كامل باشد، بر جواز غيبت هر شخصى دلالت دارد نه خصوص مظلوم، علاوه بر اينكه خبر به طريق ديگرى نيز روايت شده و در آن وصف دروغ‌گويى براى حاكم ذكر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را سخنى است كه بايد بگويد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دلالت دارد كسى كه حقى براى او ثابت شده است، بايد بگويد، و اين بحث درباره مظلوم از اين جهت است كه حق او، بعد از اينكه به واسطه ظلم ضايع شده است، براى او ثابت است، اما صاحب حق چه بسا بخواهد حقى كه براى او ثابت شده را مطالبه كند نه اينكه غيبت او را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آيه جهر بالسوء</w:t>
      </w:r>
      <w:r>
        <w:rPr>
          <w:rStyle w:val="FootnoteAnchor"/>
          <w:rtl w:val="true"/>
        </w:rPr>
        <w:footnoteReference w:id="110"/>
      </w:r>
      <w:r>
        <w:rPr>
          <w:rFonts w:ascii="IRNazanin" w:hAnsi="IRNazanin" w:eastAsia="IRNazanin"/>
          <w:color w:val="111111"/>
          <w:sz w:val="28"/>
          <w:sz w:val="28"/>
          <w:szCs w:val="28"/>
          <w:rtl w:val="true"/>
          <w:lang w:bidi="fa-IR"/>
        </w:rPr>
        <w:t>به هر آنچه در باب جواز غيبت مظلوم به آن استدلال مى‌شود،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بحث در اين زمينه دو وجه باقى مى‌گذارد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نزد كسى غيبت شود كه اميد مى‌رود ظلم را مرتفع كند، آيا جواز غيبت طبق نظر عده‌اى</w:t>
      </w:r>
      <w:r>
        <w:rPr>
          <w:rStyle w:val="FootnoteAnchor"/>
          <w:rtl w:val="true"/>
        </w:rPr>
        <w:footnoteReference w:id="111"/>
      </w:r>
      <w:r>
        <w:rPr>
          <w:rFonts w:ascii="IRNazanin" w:hAnsi="IRNazanin" w:eastAsia="IRNazanin"/>
          <w:color w:val="111111"/>
          <w:sz w:val="28"/>
          <w:sz w:val="28"/>
          <w:szCs w:val="28"/>
          <w:rtl w:val="true"/>
          <w:lang w:bidi="fa-IR"/>
        </w:rPr>
        <w:t>قيد مى‌خورد يا طبق نظر عده ديگر مطلقاً جايز است</w:t>
      </w:r>
      <w:r>
        <w:rPr>
          <w:rStyle w:val="FootnoteAnchor"/>
          <w:rtl w:val="true"/>
        </w:rPr>
        <w:footnoteReference w:id="112"/>
      </w:r>
      <w:r>
        <w:rPr>
          <w:rFonts w:ascii="IRNazanin" w:hAnsi="IRNazanin" w:eastAsia="IRNazanin"/>
          <w:color w:val="111111"/>
          <w:sz w:val="28"/>
          <w:sz w:val="28"/>
          <w:szCs w:val="28"/>
          <w:rtl w:val="true"/>
          <w:lang w:bidi="fa-IR"/>
        </w:rPr>
        <w:t>؟ وجه دوم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مقتضاى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پيرامون دلالت آن سخن گفتيم كه براى مظلوم، غيبت از ظالم در باب آنچه ظالم در حق او انجام داده است جايز است، حتى نزد كسى كه اميد به رفع ظلم از او نمى‌رود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شهيد</w:t>
      </w:r>
      <w:r>
        <w:rPr>
          <w:rStyle w:val="FootnoteAnchor"/>
          <w:rtl w:val="true"/>
        </w:rPr>
        <w:footnoteReference w:id="113"/>
      </w:r>
      <w:r>
        <w:rPr>
          <w:rFonts w:ascii="Amiri" w:hAnsi="Amiri" w:eastAsia="Amiri" w:cs="Amiri"/>
          <w:color w:val="111111"/>
          <w:sz w:val="28"/>
          <w:sz w:val="28"/>
          <w:szCs w:val="28"/>
          <w:rtl w:val="true"/>
          <w:lang w:bidi="ar-SA"/>
        </w:rPr>
        <w:t>كه برخى مشايخ محقق</w:t>
      </w:r>
      <w:r>
        <w:rPr>
          <w:rStyle w:val="FootnoteAnchor"/>
          <w:rtl w:val="true"/>
        </w:rPr>
        <w:footnoteReference w:id="114"/>
      </w:r>
      <w:r>
        <w:rPr>
          <w:rFonts w:ascii="IRNazanin" w:hAnsi="IRNazanin" w:eastAsia="IRNazanin"/>
          <w:color w:val="111111"/>
          <w:sz w:val="28"/>
          <w:sz w:val="28"/>
          <w:szCs w:val="28"/>
          <w:rtl w:val="true"/>
          <w:lang w:bidi="fa-IR"/>
        </w:rPr>
        <w:t xml:space="preserve">ما آن را پذيرفته‌اند اين </w:t>
      </w:r>
      <w:bookmarkStart w:id="76" w:name="pg7423_74334"/>
    </w:p>
    <w:p>
      <w:pPr>
        <w:pStyle w:val="BookText"/>
        <w:rPr/>
      </w:pPr>
      <w:bookmarkEnd w:id="76"/>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عموميتى ندارد تا بتوان از آن براى اثبات اباحه به طور مطلق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 زيرا گفتيم كه آيه شريفه</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 است، و به مقتضاى مقدمات حكمت افاده عموم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اينكه غيبت نزد كسى صورت بگيرد كه از او اميد به رفع ظلم باشد، قيد نمى‌خورد؛ و اين اظهر است</w:t>
      </w:r>
      <w:r>
        <w:rPr>
          <w:rFonts w:eastAsia="IRNazanin" w:cs="IRNazanin"/>
          <w:color w:val="111111"/>
          <w:sz w:val="28"/>
          <w:szCs w:val="28"/>
          <w:rtl w:val="true"/>
          <w:lang w:bidi="fa-IR"/>
        </w:rPr>
        <w:t>.</w:t>
      </w:r>
    </w:p>
    <w:p>
      <w:pPr>
        <w:pStyle w:val="Heading3"/>
        <w:numPr>
          <w:ilvl w:val="2"/>
          <w:numId w:val="1"/>
        </w:numPr>
        <w:rPr/>
      </w:pPr>
      <w:bookmarkStart w:id="77" w:name="__RefHeading___Toc1682826_1051229030"/>
      <w:bookmarkStart w:id="78" w:name="_Toc25"/>
      <w:bookmarkEnd w:id="77"/>
      <w:r>
        <w:rPr>
          <w:rtl w:val="true"/>
        </w:rPr>
        <w:t>حكم غيبت تارك اولى</w:t>
      </w:r>
      <w:bookmarkEnd w:id="78"/>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 ظالم در حق مظلوم، ظلم نباشد بلكه ترك اولى باشد، آيا براى مظلوم جايز است غيبت كند؟ پاسخ آن دو 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جواز غيبت در ترك اولى به وجوهى استدلال شده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امام صادق عليه السلام آمد و از يكى از دوستانش به ايشان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فرد شكايت‌شده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او از تو شكايت مى‌كند؟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مى‌كند كه مى‌خواستم حقم را كامل از او باز پس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با حالت خشم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بازشمارى كامل حقت به او بدى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كسانى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حساب‌كشى بد بيم دارند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آيا از اين بيم داشتند كه خداوند به آنها ستمى روا دارد؟ </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اين بيم داشتند كه خداوند حقوق خويش را براى ايشان بازشمارى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كامل حقش را از آنان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همين كار نام حساب بد گذاشته و هركس حق خويش را بازشمارى كند به تحقيق بد كرده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رجل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فشكى إليه رجلا من أصحابه فلم يلبث أن جاء المشكو،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لفلان يشكوك؟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يشكوني اني استقضيت منه حقي،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إذا استقضيت حقك لم تسئ، أرأيتك ما حكى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انهم خافوا الله أن يجور عليهم؟ لا والله ما خافوا إلا الاستقضاء فسماه الله عزّ وجلّ سوء الحساب، فمن استقضى فقد 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23821</w:t>
      </w:r>
      <w:r>
        <w:rPr>
          <w:rFonts w:ascii="IRNazanin" w:hAnsi="IRNazanin" w:eastAsia="IRNazanin"/>
          <w:color w:val="111111"/>
          <w:sz w:val="28"/>
          <w:sz w:val="28"/>
          <w:szCs w:val="28"/>
          <w:rtl w:val="true"/>
          <w:lang w:bidi="fa-IR"/>
        </w:rPr>
        <w:t xml:space="preserve">؛ اصول 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طبق تقرير دلالت دارد كه شكايت از دائن كه با مطالبه و مهلت ندادن در اداى دين كه از مستحبات شمرده مى‌شود، ترك اولى كرده جايز است؛ و احتمال ممانعت امام عليه السلام از آن، و عدم نقل آن براى ما ضعيف است، و به آن توجهى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ادعاى ضعيف بودن سند به دليل وجود معلى بن محمد، غيرقابل اعتنا است</w:t>
      </w:r>
      <w:r>
        <w:rPr>
          <w:rStyle w:val="FootnoteAnchor"/>
          <w:rtl w:val="true"/>
        </w:rPr>
        <w:footnoteReference w:id="118"/>
      </w:r>
      <w:r>
        <w:rPr>
          <w:rFonts w:ascii="IRNazanin" w:hAnsi="IRNazanin" w:eastAsia="IRNazanin"/>
          <w:color w:val="111111"/>
          <w:sz w:val="28"/>
          <w:sz w:val="28"/>
          <w:szCs w:val="28"/>
          <w:rtl w:val="true"/>
          <w:lang w:bidi="fa-IR"/>
        </w:rPr>
        <w:t>، چون ظاهر اين است كه او دستِكم حسن‌است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خبر اين است كه جايز نيست از مديونِ بى‌چيز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شود، يا براى معسر پرداخت نسبت به غير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اين صورت طلب پرداخت ظلم به مديون است و غيبت او مباح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w:t>
      </w:r>
    </w:p>
    <w:p>
      <w:pPr>
        <w:pStyle w:val="BookText"/>
        <w:rPr/>
      </w:pPr>
      <w:r>
        <w:rPr>
          <w:rFonts w:ascii="IRNazanin" w:hAnsi="IRNazanin" w:eastAsia="IRNazanin"/>
          <w:color w:val="111111"/>
          <w:sz w:val="28"/>
          <w:sz w:val="28"/>
          <w:szCs w:val="28"/>
          <w:rtl w:val="true"/>
          <w:lang w:bidi="fa-IR"/>
        </w:rPr>
        <w:t>مطلب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عليه السلام در پايان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حق خويش را بازشمارى كند به تحقيق بد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مطالبه از مديون موسر كه مى‌تواند پرداخت كند، و پرداخت بر او واجب است، قطعاً بدى كردن در حق او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نكردن امام عليه السلام به مديون كه دين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اگر موسر باشد و از پرداخت محذورى نداشت، او را به پرداخت امر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شديد امام عليه السلام با كسى كه از او شكايت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اگر ظهور آنچه گفتيم را نديده بگيريم، حداقل اين است كه خبر مجمل خواهد بود و نمى‌توان به آن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ثعلبة بن ميمون، به نقل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نزد حضرت صادق عليه السلام بودند و حضرت براى آنها حديث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مردى از آنها نام مردى را به بدى ياد كرد و گله او را به امام عليه السلام نمود،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برايت برادرى تمام عيار به دست آيد، و كدام مردى است كه مهذب و پاك از همه عيوب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عِنْدَهُ قَوْمٌ يُحَدِّثُهُمْ إِذْ ذَكَرَ رَجُلٌ مِنْهُمْ رَجُلًا فَوَقَعَ فِيهِ وَ شَكَاهُ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بِأَخِيكَ كُلِّهِ وَ أَيُّ الرِّجَالِ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15706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پاسخ امام عليه السلام روشن است شكايت نسبت به ترك اولاى آن </w:t>
      </w:r>
    </w:p>
    <w:p>
      <w:pPr>
        <w:pStyle w:val="BookText"/>
        <w:rPr/>
      </w:pPr>
      <w:r>
        <w:rPr>
          <w:rFonts w:ascii="Amiri" w:hAnsi="Amiri" w:eastAsia="Amiri" w:cs="Amiri"/>
          <w:color w:val="111111"/>
          <w:sz w:val="28"/>
          <w:sz w:val="28"/>
          <w:szCs w:val="28"/>
          <w:rtl w:val="true"/>
          <w:lang w:bidi="ar-SA"/>
        </w:rPr>
        <w:t>فرد انجام شده كه شايسته برادر كامل و مهذب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ارسال، سندش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كجا برايت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ممانعت و يارى غيبت‌شونده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تقريرى از سوى معصوم عليه السلام صورت نگرفته تا بتوان به آن استدلال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محقق ايروانى</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به روايت سابق الذكر ميهمان و ميزبانى كه به او بد نموده، تمسك كرده و ادعا دارد كه اين روايت نشان مى‌دهد انجام ندادن حقوق مستحب، كه خوب ميهماندارى كردن يكى از آنها است، نوعى ظلم به حساب مى‌آيد؛ و آيه شريفه هر دو ظلم را در برمى‌گيرد؛ و براى مظلوم جايز است از كسى كه به او ظلم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اينكه ظاهر از خبر، اراده هتك حرمت مهمان و اهانت به او است، نه ترك اولى، حال آنكه ادعا شده كه انجام ندادن حقوق مستحب نوعى ظلم است، چنانكه مى‌بينيد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اين است كه در استدلال به جواز عنوان شود كه ترك اولى، بدرفتارى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ذكر آن در غيبت، كه گفتيم آنچه گفته مى‌شود بايد نقص يا عيب باشد، داخل نمى‌شود</w:t>
      </w:r>
      <w:r>
        <w:rPr>
          <w:rFonts w:eastAsia="IRNazanin" w:cs="IRNazanin"/>
          <w:color w:val="111111"/>
          <w:sz w:val="28"/>
          <w:szCs w:val="28"/>
          <w:rtl w:val="true"/>
          <w:lang w:bidi="fa-IR"/>
        </w:rPr>
        <w:t xml:space="preserve">. </w:t>
      </w:r>
      <w:bookmarkStart w:id="79" w:name="pg7423_74338"/>
    </w:p>
    <w:p>
      <w:pPr>
        <w:pStyle w:val="Heading3"/>
        <w:numPr>
          <w:ilvl w:val="2"/>
          <w:numId w:val="1"/>
        </w:numPr>
        <w:rPr/>
      </w:pPr>
      <w:bookmarkStart w:id="80" w:name="__RefHeading___Toc1682828_1051229030"/>
      <w:bookmarkStart w:id="81" w:name="_Toc26"/>
      <w:bookmarkEnd w:id="79"/>
      <w:bookmarkEnd w:id="80"/>
      <w:r>
        <w:rPr>
          <w:rtl w:val="true"/>
        </w:rPr>
        <w:t>ضابطه غيبت جايز</w:t>
      </w:r>
      <w:bookmarkEnd w:id="81"/>
    </w:p>
    <w:p>
      <w:pPr>
        <w:pStyle w:val="Heading4"/>
        <w:numPr>
          <w:ilvl w:val="3"/>
          <w:numId w:val="1"/>
        </w:numPr>
        <w:rPr/>
      </w:pPr>
      <w:bookmarkStart w:id="82" w:name="__RefHeading___Toc1682830_1051229030"/>
      <w:bookmarkStart w:id="83" w:name="_Toc27"/>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الناظرة،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علاوه بر موارد پيشين، موارد متعددى را براى جواز غيبت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 در اين باره اين است كه سخنان اصحاب درباره مستثنيات غيبت تحت يكى از چهار عنوان ذيل قرار مى‌گيرد يا گمان مى‌رود تحت يكى از آنها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موضوعاً از غيبت خارج مى‌شود، مانند غيبت متجاهر به فسق 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مستثنياتى كه در مكاسب ذكر شده و خواهيم گفت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غيبت عنوانى منطبق شود كه مصلحتى مهم‌تر از مفسده غيبت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123"/>
      </w:r>
      <w:r>
        <w:rPr>
          <w:rFonts w:ascii="IRNazanin" w:hAnsi="IRNazanin" w:eastAsia="IRNazanin"/>
          <w:color w:val="111111"/>
          <w:sz w:val="28"/>
          <w:sz w:val="28"/>
          <w:szCs w:val="28"/>
          <w:rtl w:val="true"/>
          <w:lang w:bidi="fa-IR"/>
        </w:rPr>
        <w:t>براى آن مواردى را برشمرده است، و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يك واجب مهم‌ترى متوقف بر آن باشد، مانند حفظ نفس محترمه، يا حفظ آبرو، يا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تخصيص خوردن خارج از حكم غيبت قرار بگيرد، كه چند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مختص خارج از حكم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تظلم مظلوم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ادله نفى ضرر و حرج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واجب فى نفسه بر غيبت منطبق شود، و نسبت </w:t>
      </w:r>
      <w:bookmarkStart w:id="84" w:name="pg7423_74339"/>
    </w:p>
    <w:p>
      <w:pPr>
        <w:pStyle w:val="BookText"/>
        <w:rPr/>
      </w:pPr>
      <w:bookmarkEnd w:id="84"/>
      <w:r>
        <w:rPr>
          <w:rFonts w:ascii="Amiri" w:hAnsi="Amiri" w:eastAsia="Amiri" w:cs="Amiri"/>
          <w:color w:val="111111"/>
          <w:sz w:val="28"/>
          <w:sz w:val="28"/>
          <w:szCs w:val="28"/>
          <w:rtl w:val="true"/>
          <w:lang w:bidi="ar-SA"/>
        </w:rPr>
        <w:t>ميان دو دليل عموم من وجه باشد، و دليل آن واجب، به جهت يكى از مرجحات آن مقدم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اينها به حسب كبراى قضيه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صغرى نيز مواردى ذكر شده است</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682832_1051229030"/>
      <w:bookmarkStart w:id="86" w:name="_Toc28"/>
      <w:bookmarkEnd w:id="85"/>
      <w:r>
        <w:rPr/>
        <w:t>1</w:t>
      </w:r>
      <w:r>
        <w:rPr>
          <w:rtl w:val="true"/>
        </w:rPr>
        <w:t xml:space="preserve">: </w:t>
      </w:r>
      <w:r>
        <w:rPr>
          <w:rtl w:val="true"/>
        </w:rPr>
        <w:t>نصيحت مشورت‌گيرنده</w:t>
      </w:r>
      <w:bookmarkEnd w:id="86"/>
    </w:p>
    <w:p>
      <w:pPr>
        <w:pStyle w:val="BookText"/>
        <w:rPr/>
      </w:pPr>
      <w:r>
        <w:rPr>
          <w:rFonts w:ascii="IRNazanin" w:hAnsi="IRNazanin" w:eastAsia="IRNazanin"/>
          <w:color w:val="111111"/>
          <w:sz w:val="28"/>
          <w:sz w:val="28"/>
          <w:szCs w:val="28"/>
          <w:rtl w:val="true"/>
          <w:lang w:bidi="fa-IR"/>
        </w:rPr>
        <w:t>در باب نصيحت به مشورت‌گيرنده، در صورتى كه شهادت و غيبت لازم بيايد، به وجوهى استدلال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استاد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مبتنى بر وجوب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وجوب نصيحت و حرمت غيبت از قبيل دو دليل متزاحم‌اند نه متعارض</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اجتماع، غيبت در مقدمات نصيحت گرفته شده، از آن به وجود آمده و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وقتى كه نجات يك غريق منوط به تصرف در ملك غير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نصيحت و غيبت بر حسب اختلاف موارد، و با قدرت ملاك و ضعف آن، متصف به احكام پنجگانه 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نصيحت‌هايى كه در موارد اجتماع بر مكلف واجب است، جزء عناوين منطبق بر غيبت است نه برخاسته از آن و متوقف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توجه دادن نسبت به معايب كسى كه مثلاً براى ازدواج با يك زن مشورت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نصيحتش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بيان معايب پنهان محقق مى‌شود و اين امر غيبت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دليل از قبيل دليل‌هاى متعارض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غيبت به دليل عيب‌جويى مؤمن و اذيت شدن او از غيبت است، و از آنجا كه گاهى مفسده خيانت مشورت‌دهنده از گرفتارشدن در غيبت‌شونده قوى‌تر است، ناگزير حرمتش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 گفتيم كه در موارد اجتماع دو عنوانى كه هر كدام حكمى منافى با ديگرى دارند، راهى براى مراجعه به مرجحات باب مزاحمت نيست، و رعايت كردن، قوى‌ترين ملاك است، و از موارد تزاحم مقتضيين نيست، حال آنكه در صورتى كه بتوانيم آن را جزء اين موارد بدانيم، راهى براى حكم دادن به جواز به واسطه قدرت ملاك وجود ندارد، زيرا راهى براى شناخت مشروطكنندگان حد آن دو وجود ندارد تا قول ارجح از ميان آنان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قيس از پيامبر صلى الله عليه و آله و سلم درباره ازدواج با معاويه يا ابوجهم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معاويه كه خانه به دوش است و مالى ندارد و ابوجهم عصاى خود را از شانه‌اش بر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كنايه از بيكارى يا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اسامه ازدواج كن</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پيامبر صلى الله عليه و آله و سلم از چيزى كه هر دو مخاطب از آن اكراه دارند، سخن گفته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خبر را سالم بدانيم، دلالتش بر مطلوب متوقف بر اين است كه سخن پيامبر صلى الله عليه و آله و سلم در عين اينكه عيب است، عيب </w:t>
      </w:r>
    </w:p>
    <w:p>
      <w:pPr>
        <w:pStyle w:val="BookText"/>
        <w:rPr/>
      </w:pPr>
      <w:r>
        <w:rPr>
          <w:rFonts w:ascii="IRNazanin" w:hAnsi="IRNazanin" w:eastAsia="IRNazanin"/>
          <w:color w:val="111111"/>
          <w:sz w:val="28"/>
          <w:sz w:val="28"/>
          <w:szCs w:val="28"/>
          <w:rtl w:val="true"/>
          <w:lang w:bidi="fa-IR"/>
        </w:rPr>
        <w:t>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اينكه عيب پنهان باشد، جاى تأمل و بررسى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ميان دو دليل حرمت غيبت و مطلوبيت نصيحت،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قبيل ادله متعارض هستند، بنابراين متعين رجوع به مرجحات باب معارضه است، با بنا گذاشتن بر اينكه اين درست است، و در صورت تعارض دو دليل به طريق عموم من وجه،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دليل نصيحت به واسطه اينكه مشهورتر است،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اين مورد در قسم سوم از عنوان چهارم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گفتيم، تفاوتى ندارد كه نصيحت واجب باشد يا نباشد، چنانچه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دليلى بر وجوب آن نيست، و سخنانى كه در استدلال به وجوب آن گفته شده، يا سندشان ضعيف است و يا دلالت بر وجوب نمى‌كنند، يا ارتباطى به آن ندارند؛ موارد استدلال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آنچه دلالت بر حرمت خيانت مؤمن به برادرش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آنچه دلالت بر وجوب نصيحت مؤمن دارد ابتداءً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به نصوصى كه امر به برآورده كردن نياز مؤمن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16202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16099</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7" w:name="pg7423_74342"/>
    </w:p>
    <w:p>
      <w:pPr>
        <w:pStyle w:val="BookText"/>
        <w:rPr/>
      </w:pPr>
      <w:bookmarkEnd w:id="87"/>
      <w:r>
        <w:rPr>
          <w:rFonts w:ascii="IRNazanin" w:hAnsi="IRNazanin" w:eastAsia="IRNazanin"/>
          <w:color w:val="111111"/>
          <w:sz w:val="28"/>
          <w:sz w:val="28"/>
          <w:szCs w:val="28"/>
          <w:rtl w:val="true"/>
          <w:lang w:bidi="fa-IR"/>
        </w:rPr>
        <w:t>داده‌اند</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12735</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به اعتبار اينكه نصحيت نوعى از آن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آنچه در خصوص نصيحت مشورت‌گيرنده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صلاحيت ندارند در باب وجوب به آنها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ملازمتى ميان حرمت خيانت و وجوب نصيحت وجود ندارد چون مى‌توان آن را به ديگرى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مى‌شود، چون واجب نبودن نصيحت ابتداءً،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رد سومى هم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كردن به مطالب آن روايات، سندشان ضعيف است؛ و علاوه بر آن، شامل ترتب مفسده دنيوى از سلب عقل و نظر بر ترك نصيحت هستند؛ لذا افاده‌اى بيش از استحباب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جوب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خيانت به دليل نصوص دال بر آن حرام است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682834_1051229030"/>
      <w:bookmarkStart w:id="89" w:name="_Toc29"/>
      <w:bookmarkEnd w:id="88"/>
      <w:r>
        <w:rPr/>
        <w:t>2</w:t>
      </w:r>
      <w:r>
        <w:rPr>
          <w:rtl w:val="true"/>
        </w:rPr>
        <w:t xml:space="preserve">: </w:t>
      </w:r>
      <w:r>
        <w:rPr>
          <w:rtl w:val="true"/>
        </w:rPr>
        <w:t>هنگام فتوا گرفتن</w:t>
      </w:r>
      <w:bookmarkEnd w:id="89"/>
    </w:p>
    <w:p>
      <w:pPr>
        <w:pStyle w:val="BookText"/>
        <w:rPr/>
      </w:pPr>
      <w:r>
        <w:rPr>
          <w:rFonts w:ascii="IRNazanin" w:hAnsi="IRNazanin" w:eastAsia="IRNazanin"/>
          <w:color w:val="111111"/>
          <w:sz w:val="28"/>
          <w:sz w:val="28"/>
          <w:szCs w:val="28"/>
          <w:rtl w:val="true"/>
          <w:lang w:bidi="fa-IR"/>
        </w:rPr>
        <w:t>يكى ديگر از موارد اين است كه مثلاً به مفتى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در حق من ظلم كرده است، راه نجات من چيست؟ در اين مورد به دو روايت استدلال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كه به هند بنت عتبه همسر ابوسفيان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مردى بخيل است و به </w:t>
      </w:r>
    </w:p>
    <w:p>
      <w:pPr>
        <w:pStyle w:val="BookText"/>
        <w:rPr/>
      </w:pPr>
      <w:r>
        <w:rPr>
          <w:rFonts w:ascii="IRNazanin" w:hAnsi="IRNazanin" w:eastAsia="IRNazanin"/>
          <w:color w:val="111111"/>
          <w:sz w:val="28"/>
          <w:sz w:val="28"/>
          <w:szCs w:val="28"/>
          <w:rtl w:val="true"/>
          <w:lang w:bidi="fa-IR"/>
        </w:rPr>
        <w:t>من و فرزندم چيزى نمى‌دهد، پيامبر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و فرزندت را به نحو پسنديده كفايت مى‌كند، بردار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10451</w:t>
      </w:r>
      <w:r>
        <w:rPr>
          <w:rFonts w:ascii="Amiri" w:hAnsi="Amiri" w:eastAsia="Amiri" w:cs="Amiri"/>
          <w:color w:val="111111"/>
          <w:sz w:val="28"/>
          <w:sz w:val="28"/>
          <w:szCs w:val="28"/>
          <w:rtl w:val="true"/>
          <w:lang w:bidi="ar-SA"/>
        </w:rPr>
        <w:t xml:space="preserve">؛ عوالى اللآلى،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وى را از غيبت ابوسفيان نهى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خبر به دليل ارسال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كه ممانعت نكردن به دليل اشتهار ابوسفيان به اين صفت باشد، يا به اين دليل كه غيبت او به دليل كفر وى اصلاً حرام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موارد دادخواهى مظلوم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متضمن غيبت در غير آن چيزى است كه نسبت به آن دادخواهى مى‌كند؛ يعنى صفت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ابن سنان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رسول اكرم صلى الله عليه و آله و سلم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 و سلم مادر من دستش را از مقابل مرد نامحرمى كه دست او را لمس مى كند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ببند چرا كه تو نمى‌توانى به بهتر از جلوگيرى از گناه كردن به او نيكى كنى</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اين مورد داخل در موارد غيبت مجهول باشد، چون پيامبر صلى الله عليه و آله و سلم اين زن را نمى‌شناخت، و صرف اينكه مادر سؤال‌كننده بود موجب نمى‌شود تا آن شخص نزد </w:t>
      </w:r>
    </w:p>
    <w:p>
      <w:pPr>
        <w:pStyle w:val="BookText"/>
        <w:rPr/>
      </w:pPr>
      <w:r>
        <w:rPr>
          <w:rFonts w:ascii="Amiri" w:hAnsi="Amiri" w:eastAsia="Amiri" w:cs="Amiri"/>
          <w:color w:val="111111"/>
          <w:sz w:val="28"/>
          <w:sz w:val="28"/>
          <w:szCs w:val="28"/>
          <w:rtl w:val="true"/>
          <w:lang w:bidi="ar-SA"/>
        </w:rPr>
        <w:t>سؤال‌شونده شناخته‌شده و معين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از خبر اين است كه آن زن متجاهر به فسق و زنا است و غيبت متجاهر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خبر در مقام بيان يك قضيه شخصى است، و احتمال متجاهر بودن آن زن براى عدم جواز تعدى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ادعاى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چاپ جديد،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اينكه متجاهر باشد به واسطه اصل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با يك اصل رد مى‌كند؛ رد مى‌شود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ثابت نمى‌كند كه آن زن كراهت دارد او را به چنين چيزى ذكر كنند، مگر اينكه گفته شود اصل، اثبات‌كننده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اثبات آن، سخن گفتن از آن زن مشمول ادله حرمت غيبت نمى‌شود، زيرا پيش از اين درباره اعتبار كراهت در صدق غيبت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زمانى است كه قصد استصحاب از آن برود؛ و در صورتى كه قصد اين باشد كه ظاهر حال مسلمان، كراهت داشتن نسبت به بيان عيب خود باشد به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بر حجيت چنين ظهورى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اشكال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نيامده است كه مادر سؤال‌كننده مسلمان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او كافر بوده است و مجرد احتمال، در عدم جواز تعدى كفايت مى‌كند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درست اين است كه براى جواز غيبت در مواضع 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از او سؤال مى‌شود محل ابتلا باشد، و سؤال‌كننده تنها در صورت بردن اسم غيبت‌شونده بتواند سؤال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تزاحم استدلال مى‌شود؛ تزاحم بين آنچه دلالت بر </w:t>
      </w:r>
      <w:bookmarkStart w:id="90" w:name="pg7423_74345"/>
    </w:p>
    <w:p>
      <w:pPr>
        <w:pStyle w:val="BookText"/>
        <w:rPr/>
      </w:pPr>
      <w:bookmarkEnd w:id="90"/>
      <w:r>
        <w:rPr>
          <w:rFonts w:ascii="IRNazanin" w:hAnsi="IRNazanin" w:eastAsia="IRNazanin"/>
          <w:color w:val="111111"/>
          <w:sz w:val="28"/>
          <w:sz w:val="28"/>
          <w:szCs w:val="28"/>
          <w:rtl w:val="true"/>
          <w:lang w:bidi="fa-IR"/>
        </w:rPr>
        <w:t>وجوب تعلم احكام شرعى مبتلابه دارد، و بين آنچه دلالت بر حرمت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بر مورد واحد صدق نمى‌كنند، پس سؤالى كه غيبت بر آن منطبق مى‌شود، مقدمه تعلم واجب است نه مصداق آن، و فرض اين است كه مكلف نمى‌تواند آن دو را با هم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مرجحات باب تزاحم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مرجحات اقتضا مى‌كند دليل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غيبت مقدم باشد، چون عدم تعلم، اضمحلال دين را درپى دارد</w:t>
      </w:r>
      <w:r>
        <w:rPr>
          <w:rFonts w:eastAsia="IRNazanin" w:cs="IRNazanin"/>
          <w:color w:val="111111"/>
          <w:sz w:val="28"/>
          <w:szCs w:val="28"/>
          <w:rtl w:val="true"/>
          <w:lang w:bidi="fa-IR"/>
        </w:rPr>
        <w:t>.</w:t>
      </w:r>
    </w:p>
    <w:p>
      <w:pPr>
        <w:pStyle w:val="Heading4"/>
        <w:numPr>
          <w:ilvl w:val="3"/>
          <w:numId w:val="1"/>
        </w:numPr>
        <w:rPr/>
      </w:pPr>
      <w:bookmarkStart w:id="91" w:name="__RefHeading___Toc1682836_1051229030"/>
      <w:bookmarkStart w:id="92" w:name="_Toc30"/>
      <w:bookmarkEnd w:id="91"/>
      <w:r>
        <w:rPr/>
        <w:t>3</w:t>
      </w:r>
      <w:r>
        <w:rPr>
          <w:rtl w:val="true"/>
        </w:rPr>
        <w:t xml:space="preserve">: </w:t>
      </w:r>
      <w:r>
        <w:rPr>
          <w:rtl w:val="true"/>
        </w:rPr>
        <w:t>منع غيبت‌شونده از انجام منكر</w:t>
      </w:r>
      <w:bookmarkEnd w:id="92"/>
    </w:p>
    <w:p>
      <w:pPr>
        <w:pStyle w:val="BookText"/>
        <w:rPr/>
      </w:pPr>
      <w:r>
        <w:rPr>
          <w:rFonts w:ascii="IRNazanin" w:hAnsi="IRNazanin" w:eastAsia="IRNazanin"/>
          <w:color w:val="111111"/>
          <w:sz w:val="28"/>
          <w:sz w:val="28"/>
          <w:szCs w:val="28"/>
          <w:rtl w:val="true"/>
          <w:lang w:bidi="fa-IR"/>
        </w:rPr>
        <w:t xml:space="preserve">يكى ديگر از اين موارد، وقتى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داشته باشد غيبت‌شونده را از منكرى كه انجام مى‌دهد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مكاسب براى جواز غيبت در اين مورد دو وجه را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در اين موضع، احسان در حق غيبت‌شونده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بودن ادله نهى از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 وجه اشكال وجود دارد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مدعى است، چون چه بسا غيبت‌شونده از منكر بازداشته نشود، و غيبت‌كننده اين را بداند، و در اين صورت ديگر غيبت از او احسان در حق او شمرده </w:t>
      </w:r>
      <w:bookmarkStart w:id="93" w:name="pg7423_74346"/>
    </w:p>
    <w:p>
      <w:pPr>
        <w:pStyle w:val="BookText"/>
        <w:rPr/>
      </w:pPr>
      <w:bookmarkEnd w:id="93"/>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احسان زمانى مطلوب شارع است كه از طريق امر حرامى صورت نگيرد، و مطلوبيت احسان مقيد به ترك نكردن واجب و انجام ندادن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ذكر عيب، احسان به غيبت‌شونده است، غيبت بر آن صدق نمى‌كند، زيرا در اين صورت قصد عيب‌جويى در آن ديده نمى‌شود؛ رد مى‌شود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قصد عيب‌جويى در مفهوم غيبت لحاظ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نداشتن از بيان آن در صورتى كه به اين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انجام شود؛ نيز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واجب است، اما نه با انجام منكر؛ در غير اين صورت زنا با همسر مرد زناكننده براى بازداشتن آن مرد از اين كار جايز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منكر از امور مهم مانند قتل نفس محترم و مانند آن باشد، و ممانعت از آن متوقف بر غيبت باشد، جايز است، چون با ادله عقلى و نقلى ثابت شد كه به هر نحو ممكن بايد از آن ممانعت شود</w:t>
      </w:r>
      <w:r>
        <w:rPr>
          <w:rFonts w:eastAsia="IRNazanin" w:cs="IRNazanin"/>
          <w:color w:val="111111"/>
          <w:sz w:val="28"/>
          <w:szCs w:val="28"/>
          <w:rtl w:val="true"/>
          <w:lang w:bidi="fa-IR"/>
        </w:rPr>
        <w:t>.</w:t>
      </w:r>
    </w:p>
    <w:p>
      <w:pPr>
        <w:pStyle w:val="Heading4"/>
        <w:numPr>
          <w:ilvl w:val="3"/>
          <w:numId w:val="1"/>
        </w:numPr>
        <w:rPr/>
      </w:pPr>
      <w:bookmarkStart w:id="94" w:name="__RefHeading___Toc1682838_1051229030"/>
      <w:bookmarkStart w:id="95" w:name="_Toc31"/>
      <w:bookmarkEnd w:id="94"/>
      <w:r>
        <w:rPr/>
        <w:t>4</w:t>
      </w:r>
      <w:r>
        <w:rPr>
          <w:rtl w:val="true"/>
        </w:rPr>
        <w:t xml:space="preserve">: </w:t>
      </w:r>
      <w:r>
        <w:rPr>
          <w:rtl w:val="true"/>
        </w:rPr>
        <w:t>متوقف نمودن فساد و جرح شهود</w:t>
      </w:r>
      <w:bookmarkEnd w:id="95"/>
    </w:p>
    <w:p>
      <w:pPr>
        <w:pStyle w:val="BookText"/>
        <w:rPr/>
      </w:pPr>
      <w:r>
        <w:rPr>
          <w:rFonts w:ascii="IRNazanin" w:hAnsi="IRNazanin" w:eastAsia="IRNazanin"/>
          <w:color w:val="111111"/>
          <w:sz w:val="28"/>
          <w:sz w:val="28"/>
          <w:szCs w:val="28"/>
          <w:rtl w:val="true"/>
          <w:lang w:bidi="fa-IR"/>
        </w:rPr>
        <w:t>مورد ديگر، جايى است كه قصد متوقف كردن فساد غيبت‌شونده از مردم را داشته باشد؛ مثلاً فساد بدعت‌گذار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جواز غيبت 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ضرورت حرمت دين و اينكه چيزى آن را ساقط نمى‌كند،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امر بين حفظ دين و هتك حرمت غيبت‌شونده و غيبت از او داير شد، بى‌ترديد اولى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صحيح ابن </w:t>
      </w:r>
    </w:p>
    <w:p>
      <w:pPr>
        <w:pStyle w:val="BookText"/>
        <w:rPr/>
      </w:pPr>
      <w:r>
        <w:rPr>
          <w:rFonts w:ascii="IRNazanin" w:hAnsi="IRNazanin" w:eastAsia="IRNazanin"/>
          <w:color w:val="111111"/>
          <w:sz w:val="28"/>
          <w:sz w:val="28"/>
          <w:szCs w:val="28"/>
          <w:rtl w:val="true"/>
          <w:lang w:bidi="fa-IR"/>
        </w:rPr>
        <w:t>داود بن سرحان مؤيد اين مطلب است كه از امام صادق عليه السلام به نقل از پيامبر صلى الله عليه و آله و سلم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پس از من اهل ريب و بدعت را ديديد بيزارى خود را از آنها آشكار كنيد، و بسيار به آنان دشنام دهيد، و درباره آنان بد بگوييد، و آنان را با برهان و دليل خفه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فساد در اسلام طمع كنند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21531</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ديگر جرح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جواز غيبت در اين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اموال و آبرو و جان مردم بر آن متوقف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علماى ما درباره آن اجماع دارند؛ و هر كه به كتاب قضاء مراجعه كند براى او روشن خواهد شد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براى جواز اولى است، جرح روات است، چون حفظ شريعت حضرت پيامبر صلى الله عليه و آله و سلم بر آن متوقف است، و بناى اصحاب در هر دوره‌اى بر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اين دوره غلبه با عدم صدق غيبت بر آن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آن راويان را نمى‌شناسند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دادن عليه مردم به زنا و قتل، و گرفتن مال ديگران و مانند آن، نيز به دليل نصوص فراوان كه پيرامون شهادات وارد شده،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شامل امر به تحمل شهادت و اداى آن، و حرمت كتمان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به حسب غالب، </w:t>
      </w:r>
      <w:bookmarkStart w:id="96" w:name="pg7423_74348"/>
    </w:p>
    <w:p>
      <w:pPr>
        <w:pStyle w:val="BookText"/>
        <w:rPr/>
      </w:pPr>
      <w:bookmarkEnd w:id="96"/>
      <w:r>
        <w:rPr>
          <w:rFonts w:ascii="IRNazanin" w:hAnsi="IRNazanin" w:eastAsia="IRNazanin"/>
          <w:color w:val="111111"/>
          <w:sz w:val="28"/>
          <w:sz w:val="28"/>
          <w:szCs w:val="28"/>
          <w:rtl w:val="true"/>
          <w:lang w:bidi="fa-IR"/>
        </w:rPr>
        <w:t>شهادت عليه مردم به چيزى است كه موجب فسقشان است؛ و اين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امر پس از معتبر بودن عدالت در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شهادت به زنا يا قتل يا گرفتن اموال ديگرى عدوانى يا مانند آن باشد، غيبت و حرام است؛ و اين مستلزم عدم اعتماد به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نصوصى كه متضمن قبول اين شهادات است، جواز غيبت در اين مورد به دست مى‌آيد</w:t>
      </w:r>
      <w:r>
        <w:rPr>
          <w:rFonts w:eastAsia="IRNazanin" w:cs="IRNazanin"/>
          <w:color w:val="111111"/>
          <w:sz w:val="28"/>
          <w:szCs w:val="28"/>
          <w:rtl w:val="true"/>
          <w:lang w:bidi="fa-IR"/>
        </w:rPr>
        <w:t>.</w:t>
      </w:r>
    </w:p>
    <w:p>
      <w:pPr>
        <w:pStyle w:val="Heading4"/>
        <w:numPr>
          <w:ilvl w:val="3"/>
          <w:numId w:val="1"/>
        </w:numPr>
        <w:rPr/>
      </w:pPr>
      <w:bookmarkStart w:id="97" w:name="__RefHeading___Toc1682840_1051229030"/>
      <w:bookmarkStart w:id="98" w:name="_Toc32"/>
      <w:bookmarkEnd w:id="97"/>
      <w:r>
        <w:rPr/>
        <w:t>5</w:t>
      </w:r>
      <w:r>
        <w:rPr>
          <w:rtl w:val="true"/>
        </w:rPr>
        <w:t xml:space="preserve">. </w:t>
      </w:r>
      <w:r>
        <w:rPr>
          <w:rtl w:val="true"/>
        </w:rPr>
        <w:t>دفع ضرر از مقول فيه</w:t>
      </w:r>
      <w:bookmarkEnd w:id="98"/>
    </w:p>
    <w:p>
      <w:pPr>
        <w:pStyle w:val="BookText"/>
        <w:rPr/>
      </w:pPr>
      <w:r>
        <w:rPr>
          <w:rFonts w:ascii="IRNazanin" w:hAnsi="IRNazanin" w:eastAsia="IRNazanin"/>
          <w:color w:val="111111"/>
          <w:sz w:val="28"/>
          <w:sz w:val="28"/>
          <w:szCs w:val="28"/>
          <w:rtl w:val="true"/>
          <w:lang w:bidi="fa-IR"/>
        </w:rPr>
        <w:t>مورد ديگر غيبت در جايى است كه به منظور دفع ضرر از غيبت‌شونده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كه با غيبت برطرف مى‌شود، گاهى جزء چيزهايى است كه دفع آن از غير واجب است، مانند اينكه بخواهد كسى را بكشد يا آبرويش را ببرد؛ و گاهى دفع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در مورد اول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شد كه با توجه به شرع، مفسده آن با هيچ‌يك از مفاسد محرمات تزاحم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دوم دليلى براى جواز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غيبت‌شونده مطلع شود خواه ناخواه به غيبت رضايت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استاد اعظم گفته‌اند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عدم صدق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رضايت غيبت‌شونده به آن، از جهت كراهت نداشتن نسبت به ذكر او با آن عيب نيست، بلكه از اين جهت است كه به نظر او محذور كمترى دارد</w:t>
      </w:r>
      <w:r>
        <w:rPr>
          <w:rFonts w:eastAsia="IRNazanin" w:cs="IRNazanin"/>
          <w:color w:val="111111"/>
          <w:sz w:val="28"/>
          <w:szCs w:val="28"/>
          <w:rtl w:val="true"/>
          <w:lang w:bidi="fa-IR"/>
        </w:rPr>
        <w:t>.</w:t>
      </w:r>
      <w:bookmarkStart w:id="99" w:name="pg7423_74349"/>
    </w:p>
    <w:p>
      <w:pPr>
        <w:pStyle w:val="BookText"/>
        <w:rPr/>
      </w:pPr>
      <w:bookmarkEnd w:id="99"/>
      <w:r>
        <w:rPr>
          <w:rFonts w:ascii="IRNazanin" w:hAnsi="IRNazanin" w:eastAsia="IRNazanin"/>
          <w:color w:val="111111"/>
          <w:sz w:val="28"/>
          <w:sz w:val="28"/>
          <w:szCs w:val="28"/>
          <w:rtl w:val="true"/>
          <w:lang w:bidi="fa-IR"/>
        </w:rPr>
        <w:t>ادعاى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غيبت به دليل اينكه قصد عيب‌جويى وجود ندارد؛ به عدم ورود قصد عيب‌جويى در مفهوم غيبت كه پيش از اين گفتيم، رد مى‌شود</w:t>
      </w:r>
      <w:r>
        <w:rPr>
          <w:rFonts w:eastAsia="IRNazanin" w:cs="IRNazanin"/>
          <w:color w:val="111111"/>
          <w:sz w:val="28"/>
          <w:szCs w:val="28"/>
          <w:rtl w:val="true"/>
          <w:lang w:bidi="fa-IR"/>
        </w:rPr>
        <w:t>.</w:t>
      </w:r>
    </w:p>
    <w:p>
      <w:pPr>
        <w:pStyle w:val="Heading4"/>
        <w:numPr>
          <w:ilvl w:val="3"/>
          <w:numId w:val="1"/>
        </w:numPr>
        <w:rPr/>
      </w:pPr>
      <w:bookmarkStart w:id="100" w:name="__RefHeading___Toc1682842_1051229030"/>
      <w:bookmarkStart w:id="101" w:name="_Toc33"/>
      <w:bookmarkEnd w:id="100"/>
      <w:r>
        <w:rPr/>
        <w:t>6</w:t>
      </w:r>
      <w:r>
        <w:rPr>
          <w:rtl w:val="true"/>
        </w:rPr>
        <w:t xml:space="preserve">: </w:t>
      </w:r>
      <w:r>
        <w:rPr>
          <w:rtl w:val="true"/>
        </w:rPr>
        <w:t>ذكر اوصاف ظاهرى</w:t>
      </w:r>
      <w:bookmarkEnd w:id="101"/>
    </w:p>
    <w:p>
      <w:pPr>
        <w:pStyle w:val="BookText"/>
        <w:rPr/>
      </w:pPr>
      <w:r>
        <w:rPr>
          <w:rFonts w:ascii="IRNazanin" w:hAnsi="IRNazanin" w:eastAsia="IRNazanin"/>
          <w:color w:val="111111"/>
          <w:sz w:val="28"/>
          <w:sz w:val="28"/>
          <w:szCs w:val="28"/>
          <w:rtl w:val="true"/>
          <w:lang w:bidi="fa-IR"/>
        </w:rPr>
        <w:t>مورد ديگر، ذكر شخص با عيبى است كه به مثابه صفت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جواز اين مسأله اختلاف وجود ندارد، بلكه سيره علماى متقدم و متأخر بر جواز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موارد ذيل نيز دلالت بر جواز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عطاره كه چشمش لوچ بود، نزد زنان پيامبر صلى الله عليه و آله و سلم آمد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زَيْنَبُ الْعَطَّارَةُ الْحَوْلَاءُ إِلَى نِسَاءِ النّبِىِّ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22524</w:t>
      </w:r>
      <w:r>
        <w:rPr>
          <w:rFonts w:ascii="Amiri" w:hAnsi="Amiri" w:eastAsia="Amiri" w:cs="Amiri"/>
          <w:color w:val="111111"/>
          <w:sz w:val="28"/>
          <w:sz w:val="28"/>
          <w:szCs w:val="28"/>
          <w:rtl w:val="true"/>
          <w:lang w:bidi="ar-SA"/>
        </w:rPr>
        <w:t xml:space="preserve">؛ روضة 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فضل بن عبدالملك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صلى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مردم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يا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و يكى از آنان أحول است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غيبت بر آن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غيبت عبارت است از اظهار آنچه خدا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آنچه گفته مى‌شود، امرى پنهانى نباشد، به گفتن آن غيبت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وجهى براى حرمت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صورتى كه آن را به قصد </w:t>
      </w:r>
      <w:bookmarkStart w:id="102" w:name="pg7423_74350"/>
    </w:p>
    <w:p>
      <w:pPr>
        <w:pStyle w:val="BookText"/>
        <w:rPr/>
      </w:pPr>
      <w:bookmarkEnd w:id="102"/>
      <w:r>
        <w:rPr>
          <w:rFonts w:ascii="Amiri" w:hAnsi="Amiri" w:eastAsia="Amiri" w:cs="Amiri"/>
          <w:color w:val="111111"/>
          <w:sz w:val="28"/>
          <w:sz w:val="28"/>
          <w:szCs w:val="28"/>
          <w:rtl w:val="true"/>
          <w:lang w:bidi="ar-SA"/>
        </w:rPr>
        <w:t>عيب‌جويى ذكر كند، از اين جهت حرام است نه از جهت اينكه غيبت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مطالب روشن شد وقتى دو نفر از معصيت كسى مطلع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از آن دو درباره آن گناهكار حرف بزند؛ جايز است چون غيبت بر آن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واضح است</w:t>
      </w:r>
      <w:r>
        <w:rPr>
          <w:rFonts w:eastAsia="IRNazanin" w:cs="IRNazanin"/>
          <w:color w:val="111111"/>
          <w:sz w:val="28"/>
          <w:szCs w:val="28"/>
          <w:rtl w:val="true"/>
          <w:lang w:bidi="fa-IR"/>
        </w:rPr>
        <w:t>.</w:t>
      </w:r>
    </w:p>
    <w:p>
      <w:pPr>
        <w:pStyle w:val="Heading4"/>
        <w:numPr>
          <w:ilvl w:val="3"/>
          <w:numId w:val="1"/>
        </w:numPr>
        <w:rPr/>
      </w:pPr>
      <w:bookmarkStart w:id="103" w:name="__RefHeading___Toc1682844_1051229030"/>
      <w:bookmarkStart w:id="104" w:name="_Toc34"/>
      <w:bookmarkEnd w:id="103"/>
      <w:r>
        <w:rPr/>
        <w:t>7</w:t>
      </w:r>
      <w:r>
        <w:rPr>
          <w:rtl w:val="true"/>
        </w:rPr>
        <w:t xml:space="preserve">: </w:t>
      </w:r>
      <w:r>
        <w:rPr>
          <w:rtl w:val="true"/>
        </w:rPr>
        <w:t>رد ادعاى نسب نادرست</w:t>
      </w:r>
      <w:bookmarkEnd w:id="104"/>
    </w:p>
    <w:p>
      <w:pPr>
        <w:pStyle w:val="BookText"/>
        <w:rPr/>
      </w:pPr>
      <w:r>
        <w:rPr>
          <w:rFonts w:ascii="IRNazanin" w:hAnsi="IRNazanin" w:eastAsia="IRNazanin"/>
          <w:color w:val="111111"/>
          <w:sz w:val="28"/>
          <w:sz w:val="28"/>
          <w:szCs w:val="28"/>
          <w:rtl w:val="true"/>
          <w:lang w:bidi="fa-IR"/>
        </w:rPr>
        <w:t>مورد ديگر، غيبت در جايى است كه كسى ادعاى نسبى را دارد و او مى‌خواهد آن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در اين زمينه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نسبى است كه از آن او نيست، و اثرى از ارث و نگاه به زنان بر اين نسبت مترتب است، براى طرف ادعا جايز است آن را رد كند، چنانكه در همه حقوق‌ها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موردى كه اثرى بر آن مترتب نمى‌شود، غيبت براى رد اين ادعا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غير طرف ادعا جايز نيست با غيبت آن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حفظ انساب من حيث هو، مهم‌تر از مفسده غيبت است؛ چنان است كه گفته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اين موارد گفتيم حكم عيب‌جويى در جايگاه باطل، در صورتى كه دلالت بر عيب‌جويى گوينده آن داشته باشد،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موارد استثنايى كه ذكر كرده‌اند روشن شد و نيازى به بيان آنها نيست</w:t>
      </w:r>
      <w:r>
        <w:rPr>
          <w:rFonts w:eastAsia="IRNazanin" w:cs="IRNazanin"/>
          <w:color w:val="111111"/>
          <w:sz w:val="28"/>
          <w:szCs w:val="28"/>
          <w:rtl w:val="true"/>
          <w:lang w:bidi="fa-IR"/>
        </w:rPr>
        <w:t xml:space="preserve">. </w:t>
      </w:r>
      <w:bookmarkStart w:id="105" w:name="pg7423_74351"/>
    </w:p>
    <w:p>
      <w:pPr>
        <w:pStyle w:val="Heading3"/>
        <w:numPr>
          <w:ilvl w:val="2"/>
          <w:numId w:val="1"/>
        </w:numPr>
        <w:rPr/>
      </w:pPr>
      <w:bookmarkStart w:id="106" w:name="__RefHeading___Toc1682846_1051229030"/>
      <w:bookmarkStart w:id="107" w:name="_Toc35"/>
      <w:bookmarkEnd w:id="105"/>
      <w:bookmarkEnd w:id="106"/>
      <w:r>
        <w:rPr>
          <w:rtl w:val="true"/>
        </w:rPr>
        <w:t>حرمت استماع غيبت</w:t>
      </w:r>
      <w:bookmarkEnd w:id="107"/>
    </w:p>
    <w:p>
      <w:pPr>
        <w:pStyle w:val="BookText"/>
        <w:rPr/>
      </w:pPr>
      <w:r>
        <w:rPr>
          <w:rFonts w:ascii="IRNazanin" w:hAnsi="IRNazanin" w:eastAsia="IRNazanin"/>
          <w:color w:val="111111"/>
          <w:sz w:val="28"/>
          <w:sz w:val="28"/>
          <w:szCs w:val="28"/>
          <w:rtl w:val="true"/>
          <w:lang w:bidi="fa-IR"/>
        </w:rPr>
        <w:t>تذكر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غيبت حرام است و هيچ اختلافى در اين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شنيدن غيبت به رواياتى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كننده به غيبت، از غيبت‌كنندگان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احد المغتابَين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10463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غيبت ديگران را بشنود و تغييرى در او حاصل نشود مانند كسى است كه غيبت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از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شنونده غيبت يكى از غيبت‌كنندگان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الاختصاص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عليه السلام ديد كه شخصى در حضور فرزندش امام حسن عليه السلام از كسى غيبت مى‌كند،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چنين كسى به دور دار؛ زيرا او به پليدترين چيزهايى كه در ظرف خود دارد، نگريسته و آنها را در ظرف تو خالى كرده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مناهى كه متضمن نهى از غيبت و شنيدن آن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كتاب الروضة، از 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غيبت، كفر، و شنونده و خشنود از آن، مشرك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كفرٌ و المستمع لَها وَ الراضى بِها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10462</w:t>
      </w:r>
      <w:r>
        <w:rPr>
          <w:rFonts w:ascii="Amiri" w:hAnsi="Amiri" w:eastAsia="Amiri" w:cs="Amiri"/>
          <w:color w:val="111111"/>
          <w:sz w:val="28"/>
          <w:sz w:val="28"/>
          <w:szCs w:val="28"/>
          <w:rtl w:val="true"/>
          <w:lang w:bidi="ar-SA"/>
        </w:rPr>
        <w:t>، از ابواب احكام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واسطه زنا، مردى را سنگسار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حضار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در جايگاه خود كشته شد 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پيغمبر صلى الله عليه و آله و سلم با آن دو نفر به مردارى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دندان‌هاى خود از گوشت اين مردار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از گوشت مردار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برادرتان به شما رسيد، گندش بيش از اين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اينها همه اخبارى است كه در اين باب به دست ما رسيده است كه شيخ</w:t>
      </w:r>
      <w:r>
        <w:rPr>
          <w:rStyle w:val="FootnoteAnchor"/>
          <w:rtl w:val="true"/>
        </w:rPr>
        <w:footnoteReference w:id="144"/>
      </w:r>
      <w:r>
        <w:rPr>
          <w:rFonts w:ascii="IRNazanin" w:hAnsi="IRNazanin" w:eastAsia="IRNazanin"/>
          <w:color w:val="111111"/>
          <w:sz w:val="28"/>
          <w:sz w:val="28"/>
          <w:szCs w:val="28"/>
          <w:rtl w:val="true"/>
          <w:lang w:bidi="fa-IR"/>
        </w:rPr>
        <w:t>ادعاى فراوانى آنان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قابل استدلال نيستند، چون سندشان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حديث نبوى و حديث علوى اول و آخر؛ به دليل ارسال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حديث علوى دوم؛ صاحب الاختصاص آن را به امام عليه السلام منسوب مى‌داند، و ظاهر است كه از نظر او خبر معتبر </w:t>
      </w:r>
    </w:p>
    <w:p>
      <w:pPr>
        <w:pStyle w:val="BookText"/>
        <w:rPr/>
      </w:pPr>
      <w:r>
        <w:rPr>
          <w:rFonts w:ascii="IRNazanin" w:hAnsi="IRNazanin" w:eastAsia="IRNazanin"/>
          <w:color w:val="111111"/>
          <w:sz w:val="28"/>
          <w:sz w:val="28"/>
          <w:szCs w:val="28"/>
          <w:rtl w:val="true"/>
          <w:lang w:bidi="fa-IR"/>
        </w:rPr>
        <w:t>است؛ با اين حال ثبوت اعتبار از نظر او به معناى ثبوت آن نزد ما نيست، و چه بسا به چيزى استناد داده باشد كه ما به آن تكيه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حديث مناهى؛ به دليل حضور شعيب بن واقد</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شعيب بن واقد در كتاب رجال نيامده است، ومجهول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حديث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امر به دندان گرفتن مردار به دليل غيبت نبوده است، چون بعد از آن كه دانستند او چه كرده است، و بعد از آن كه عيب دينى آن مرد با اجراى حد آشكار شد؛ ذكر او غيبت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مناهى متضمن نهى از چند مورد است كه آنها قطعاً حرام نيستند؛ بنابراين بايد نهى در آن بر كراهت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عدم حرمت در آن ثابت شد، از ظهور نهى در حرمت دست برداشته مى‌شود، و بقيه باقى مى‌ماند، و ظهور نهى در آن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مى‌توان گفت ضعف سند نصوص با شهرت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حرمت شنيدن غيبت به وجوه ديگرى هم استدلال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نصوصى كه در رد غيبت وارد شده است</w:t>
      </w:r>
      <w:r>
        <w:rPr>
          <w:rStyle w:val="FootnoteAnchor"/>
          <w:rtl w:val="true"/>
        </w:rPr>
        <w:footnoteReference w:id="146"/>
      </w:r>
      <w:r>
        <w:rPr>
          <w:rFonts w:ascii="IRNazanin" w:hAnsi="IRNazanin" w:eastAsia="IRNazanin"/>
          <w:color w:val="111111"/>
          <w:sz w:val="28"/>
          <w:sz w:val="28"/>
          <w:szCs w:val="28"/>
          <w:rtl w:val="true"/>
          <w:lang w:bidi="fa-IR"/>
        </w:rPr>
        <w:t>، و برخى مشايخ ما به آن استدلال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نصوص دلالت بر حرمت استماع در صورت عدم رد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غير از حرمت استماع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نصوص تنها بر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مى‌كنند و به استماع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درباره ترتب عقاب بر عدم رد است، اما استماع غير از عدم 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كه محقق تقى شيرازى به آن استناد مى‌كند</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يعنى دلالت 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 حرمت رضايت به وقوع حرام، و اينكه كسى كه از كار قومى راضى باشد مانند كسى است كه آن كار را با آنان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اين نصوص دال بر حرمت شنيدن از سر رضايت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دلالت دارند كسى كه راضى به غيبت است مانند كسى است كه غيبت كرده، چه آن را بشنود چه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ميان آنها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صاحب المجمع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آنها با يكديگر متفاوت است، بنابراين وجهى براى اين استدلال وجود ندارد كه حكم به موردى براى يكى از آنها براى ديگرى هم ثابت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كمك به غيبت است، و اعانه بر گناه حرام است، بنابراين استماع حرام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درباره عدم حرمت يارى بر گناه، و اينكه اخص از مدعى است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صورتى كه فرض شود نشنيدن اين شخص در تحقق غيبت تأثير نداشته باشد، مثلاً </w:t>
      </w:r>
    </w:p>
    <w:p>
      <w:pPr>
        <w:pStyle w:val="BookText"/>
        <w:rPr/>
      </w:pPr>
      <w:r>
        <w:rPr>
          <w:rFonts w:ascii="IRNazanin" w:hAnsi="IRNazanin" w:eastAsia="IRNazanin"/>
          <w:color w:val="111111"/>
          <w:sz w:val="28"/>
          <w:sz w:val="28"/>
          <w:szCs w:val="28"/>
          <w:rtl w:val="true"/>
          <w:lang w:bidi="fa-IR"/>
        </w:rPr>
        <w:t>اينكه مستمع ديگرى آنجا باشد؛ عدم حكم به حرمت لازم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غيبت، دلالت بر حرمت استماع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غيبت تنها با شنيدن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با فعل دو شخص صورت مى‌گيرد؛ متكلم و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با سخن گفتن و مستمع با گوش دادن به او و تحمل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بر حرمت غيبت دلالت مى‌كند بر حرمت كار هر دو آنان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تنها با فعل متكلم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امر اين است كه شنيدن شنونده و تحمل او موجب صدق غيبت بر فعل او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ظاهر ادله حرمت صدور غيبت، با حرمت استماع ملازمت ندارند هرچند ميان آنها تلازم خارجى وجود دارد؛ پاسخ اين است كه دليل بر حرمت استماع انحصاراً نصوص سابق الذكر است در صورتى كه سندشان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استاد اعظم مى‌گويد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روايات پيشين، كه در استماع غيبت به طور مطلق ظهور دارند، ناگزير بايد آنها را با روايات فراوانى كه ظهور در جواز استماع غيبت به منظور ردّ غيبت از غيبت‌شونده دارند قيد زد، و آن را به وجه شنيدن قهرى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خلاف ظاهر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اين، امرى نادر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استماع غيبت در صورت عدم رد حرام است</w:t>
      </w:r>
      <w:r>
        <w:rPr>
          <w:rFonts w:eastAsia="Amiri" w:cs="Amiri" w:ascii="Amiri" w:hAnsi="Amiri"/>
          <w:color w:val="111111"/>
          <w:sz w:val="28"/>
          <w:szCs w:val="28"/>
          <w:rtl w:val="true"/>
          <w:lang w:bidi="ar-SA"/>
        </w:rPr>
        <w:t>.</w:t>
      </w:r>
      <w:bookmarkStart w:id="108" w:name="pg7423_74356"/>
    </w:p>
    <w:p>
      <w:pPr>
        <w:pStyle w:val="BookText"/>
        <w:rPr/>
      </w:pPr>
      <w:bookmarkEnd w:id="108"/>
      <w:r>
        <w:rPr>
          <w:rFonts w:ascii="Amiri" w:hAnsi="Amiri" w:eastAsia="Amiri" w:cs="Amiri"/>
          <w:color w:val="111111"/>
          <w:sz w:val="28"/>
          <w:sz w:val="28"/>
          <w:szCs w:val="28"/>
          <w:rtl w:val="true"/>
          <w:lang w:bidi="ar-SA"/>
        </w:rPr>
        <w:t>به اين سخن اشكال وارد مى‌شود كه روايات وجوب رد، متعرض حكم استماع نشده‌اند، بلكه آنها دلالت بر وجوب رد دارند، و مقتضى اطلاق آنها، حتى در صورت حرمت استماع، وجوب 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مطلق نيست تا تحصيل مقدمات وجودى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استماع يكى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بلكه وجوبش مشروط به شنيدن يا سماع قهرى است، پس متعرض حكم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مقتضى اطلاق آن وجوب است حتى در صورتى كه استماع حرام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از اين حرف دست برداريم، و بپذيريم كه در صورت جواز شرط دلالت بر وجوب رد دارد؛ مختص به سماع قهرى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نادر بودن آن پذيرفته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همان‌طور كه روشن است، محل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اختصاص ندارد، زيرا حمل مطلق بر فرد نادر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اشكالى در ورود دليل براى بيان حكم فرد نادر وجود ندارد</w:t>
      </w:r>
      <w:r>
        <w:rPr>
          <w:rFonts w:eastAsia="IRNazanin" w:cs="IRNazanin"/>
          <w:color w:val="111111"/>
          <w:sz w:val="28"/>
          <w:szCs w:val="28"/>
          <w:rtl w:val="true"/>
          <w:lang w:bidi="fa-IR"/>
        </w:rPr>
        <w:t>.</w:t>
      </w:r>
    </w:p>
    <w:p>
      <w:pPr>
        <w:pStyle w:val="Heading3"/>
        <w:numPr>
          <w:ilvl w:val="2"/>
          <w:numId w:val="1"/>
        </w:numPr>
        <w:rPr/>
      </w:pPr>
      <w:bookmarkStart w:id="109" w:name="__RefHeading___Toc1682848_1051229030"/>
      <w:bookmarkStart w:id="110" w:name="_Toc36"/>
      <w:bookmarkEnd w:id="109"/>
      <w:r>
        <w:rPr>
          <w:rtl w:val="true"/>
        </w:rPr>
        <w:t>عدم ملازمت جواز غيبت با جواز شنيدن آن</w:t>
      </w:r>
      <w:bookmarkEnd w:id="110"/>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حرمت استماع فقط مربوط به مواردى است كه غيبت حرام شده است؟ يا موارد جواز را دربرمى‌گيرد؟ يا بين علم شنونده به حليت و جواز آن، و بين جهل او و عدم جواز آن تفصيل وجود دارد؟ وجوه و اقوالى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سخن در اين مورد، نيازمند بحث در چند موضع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آيا جواز غيبت واقعاً با جواز استماع ملازمت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اگر براى شنونده احراز نشد كه او جايز الغيبه است، به نحوى كه استماع آن جايز باشد، آيا استماع براى او جايز است؟</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وقتى احراز شد كه غيبت او جايز نيست، اما احتمال داد يا علم پيدا كرد كه غيبت‌كننده به جواز غيبت عقيده دارد، شنيدن براى او جايز است؟</w:t>
      </w:r>
    </w:p>
    <w:p>
      <w:pPr>
        <w:pStyle w:val="BookText"/>
        <w:rPr/>
      </w:pPr>
      <w:r>
        <w:rPr>
          <w:rFonts w:ascii="IRNazanin" w:hAnsi="IRNazanin" w:eastAsia="IRNazanin"/>
          <w:color w:val="111111"/>
          <w:sz w:val="28"/>
          <w:sz w:val="28"/>
          <w:szCs w:val="28"/>
          <w:rtl w:val="true"/>
          <w:lang w:bidi="fa-IR"/>
        </w:rPr>
        <w:t>پاسخ 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غيبت به چند شكل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شرعى، به عيبى كه در غيبت‌شونده وجود دارد و ذكر شده است، غيبت صدق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وقتى كه متجاهر باشد، يا آن حرف از اوصاف ظاهرى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استماع جايز است زيرا شنيدن آن، شنيدن غيبت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براى غيبت‌كننده جايز باشد، اما ملازمه‌اى عرفى ميان جواز آن براى او و جواز استماع ارائه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دادخواهى مظلوم كه اهل عرف جواز دادخواهى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نزد كسى كه با شنيدن ظلم، اميد رفع ظلم از او نمى‌رود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نيز استماع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به علتى جايز باشد كه خود آن علت جواز استماع را اقتضا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غيبت در مورد استفتا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نيز استماع جايز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به دليل يكى از موانع تكليف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كودك است يا مجنون يا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شنيدن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نصوص حرمت استماع مطلق‌اند و غيبت را شامل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مواردى كه سامع يا مستمع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نباشند، نيز مسأله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مواردى كه سامع يا مستمع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صيغه جمع بدانيم، دلالت دارد كه سامع با غيبت‌كنندگان در حكم مشترك است، و گويى شنونده، خود متكلم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تكلم به آن جايز نباشد، شنيدنش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صيغه مثنى بدانيم، گفته شده است كه دلالت دارد حكم سامع غيبت به مثابه متكلم آن است، بنابراين اگر تكلم به آن جايز باشد، شنيدنش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شكل، ظاهر چنين است كه قصد بيان مشاركت سامع با متكلم در حكم را دارد، از جهت اينكه غيبت با فعل آن دو شكل مى‌گيرد؛ اين با تكلم و آن با گوش دادن؛ لذا هر دو همان‌طور كه در تشكيل غيبت مشاركت دارند در حكم هم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اين نظر كه هر يك از آن دو در اين صورت مكلف به ترك كارى هستند كه انجام داده و برايشان حرام بوده، نه از نظر آنچه با فعل آن دو با هم شكل گرفته است؛ حكمى مختص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جوازش براى يكى از آن دو مستلزم جواز آن براى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استماع در اين مورد حرام، و رد واجب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 چيزى كه مى‌گويد غيبت است يا نه؟ مثلاً احتمال بدهد او متجاهر به فسق است، استماع از اصل براى او جايز است؛ و اين مورد، به دليل شك در صدق موضوع، موردى كه به عموميت ادله حرمت استماع تمسك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دليل مطالبى كه در مستثنيات گفته شد كه اين </w:t>
      </w:r>
    </w:p>
    <w:p>
      <w:pPr>
        <w:pStyle w:val="BookText"/>
        <w:rPr/>
      </w:pPr>
      <w:r>
        <w:rPr>
          <w:rFonts w:ascii="IRNazanin" w:hAnsi="IRNazanin" w:eastAsia="IRNazanin"/>
          <w:color w:val="111111"/>
          <w:sz w:val="28"/>
          <w:sz w:val="28"/>
          <w:szCs w:val="28"/>
          <w:rtl w:val="true"/>
          <w:lang w:bidi="fa-IR"/>
        </w:rPr>
        <w:t>اصل، مثبِت است، نمى‌توان صدقش را از طريق اصل احراز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صدق بر آن احراز شود، لكن در عارض شدن يكى از مسوغات ديگر 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اصل موضوعى وجود داشت كه به عدم آن حكم داده شده، به واسطه آن وارد در مطلقات مى‌شود و در نتيجه استماع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مرجع اصالت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كه گفتيم حكم موضع سوم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مواضع نهى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صدور فعل منكر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احتمال دارد منكر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 گوينده حمل بر صحت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ادله نهى از منكر به دليل اثبات وجوب ممانعت، تمسك به عام در شبهه مصداقيه آن است، و اين به اتفاق نظر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از عده‌اى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بشنود كه از ديگرى غيبت مى‌شود و احتمال بدهد كه غيبت او جايز است، بر او نيست كه او را از آن حرف نهى كند، به دليل اينكه امكان دارد او مستحق آن باشد، پس فعل مسلمان تا وقتى كه فساد آن دانسته نشود حمل بر صحت مى‌شود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بر آن ايراد وارد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مقتضى عموم ادله و ترك استفصال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دليل اراده عموم به جهت پرهيز از فريب دادن به واسطه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و عدم</w:t>
      </w:r>
    </w:p>
    <w:p>
      <w:pPr>
        <w:pStyle w:val="BookText"/>
        <w:rPr/>
      </w:pPr>
      <w:r>
        <w:rPr>
          <w:rFonts w:ascii="IRNazanin" w:hAnsi="IRNazanin" w:eastAsia="IRNazanin"/>
          <w:color w:val="111111"/>
          <w:sz w:val="28"/>
          <w:sz w:val="28"/>
          <w:szCs w:val="28"/>
          <w:rtl w:val="true"/>
          <w:lang w:bidi="fa-IR"/>
        </w:rPr>
        <w:t>جواز استماع است، به اين دليل كه اگر چنين شود، با كسى كه مى‌داند سامع در خصوص مقول عنه حق ندارد، مماشات كرده است، چون احتمال دارد گوينده چيزى بداند كه براى حرفش به او مجوز داده است؛ و اين خراب كردن قاعده نهى از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پاسخ اين سخن گفته است</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چاپ جديد،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دلالتى بر جواز استماع وجود ندارد، بلكه دلالت بر عدم وجوب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كلام شهيد ميان عدم استماع و رد غيبت و ميان نهى از غيبت خلط شده است، و لزوم نهى را از گوينده نفى كرده است نه اولى را تا ردى بر آنچه ذكرشده باشد؛ از آنجا كه نسبت ميان حرمت استماع و وجوب نهى از آن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گاهى نهى واجب مى‌شود و استماع حرام نيست، مثلاً جايى كه يكى از مسوغات وجود داشته باشد، اما غيبت‌كننده قائل به عدم آن باشد؛ و گاهى استماع حرام و رد واجب است، و نهى از آن واجب نيست، مانند وقتى كه فعل براى غيبت‌كننده جايز باشد، مثلاً كودك است؛ و گاهى با هم جمع مى‌شوند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وقتى شك كرد كه مقول عنه استحقاق غيبت را دارد، استماع آن جايز نيست، چون سامع يكى از غيبت‌كنندگان است، و همانطور كه غيبت براى غيبت‌كننده حرام است، مگر زمانى كه بداند متجاهر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تجاهر مسوغ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بر سامع نيز حرام است، مگر اينكه بداند متجاهر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نهى قائل به دليل احتمال وجود مسوغ واجب نيست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مستفيض وجوب رد بر غيبت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مى‌گويد</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اين است كه رد غير از نهى از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غير از نهى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محقق ايروانى به اين حرف</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چنين است كه اين عين آن است زيرا رد عبارت است از ممانعت و برطرف كردن؛ و ظاهر اخبار رد قول است نه رد معناى قول و باطل نمودن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سخن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اينكه از عنوان رد غيبت چنين چيزى برمى‌آيد، برخى نصوص نيز مؤيد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نصوص از آن به يارى كردن غيبت‌شونده، و از عدم رد به درماندگى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نهى از غيبت نه يارى كردن او است، و نه عدم رد او درماندگى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كسى پوشيده نيست و مبتنى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مى‌گويد</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صورتى كه عيب دنيايى باشد، يارى كردن او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 محقق تقى شيرازى بر اين سخن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رد، تكذيب غيبت‌كننده است اگر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اينكه،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 تكيه بر عدم وقوع آنچه گفته مى‌شود، و اينكه فعل مسلمان حمل بر صحت مى‌گردد؛ مخالف با واقعيت است، و مى‌گويد موارد ذيل به اين امر اشاره دارد</w:t>
      </w:r>
      <w:r>
        <w:rPr>
          <w:rFonts w:eastAsia="IRNazanin" w:cs="IRNazanin"/>
          <w:color w:val="111111"/>
          <w:sz w:val="28"/>
          <w:szCs w:val="28"/>
          <w:rtl w:val="true"/>
          <w:lang w:bidi="fa-IR"/>
        </w:rPr>
        <w:t xml:space="preserve">: </w:t>
      </w:r>
      <w:bookmarkStart w:id="111" w:name="pg7423_74362"/>
    </w:p>
    <w:p>
      <w:pPr>
        <w:pStyle w:val="BookText"/>
        <w:rPr/>
      </w:pPr>
      <w:bookmarkEnd w:id="1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إِذْ سَمِعْتُمُوهُ ظَنَّ الْمُؤْمِنُونَ وَ الْمُؤْمِناتُ بِأَنْفُسِهِمْ خَيْراً وَ قالُوا هذا إِفْكٌ مُبِينٌ ؛ آيا سزاوار اين نبود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بهتان و دروغ‌ها شنيديد مردان و زنان مؤمن حسن ظنّشان درباره يكديگر بيشتر شده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است آشكار؟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لَمْ يَأْتُوا بِالشُّهَداءِ فَأُولئِكَ عِنْدَ اللّهِ هُمُ الْكاذِبُونَ ؛ پس حالى كه شاهد نياوردند البته نزد خدا مردمى دروغ‌زنند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إِذْ سَمِعْتُمُوهُ قُلْتُمْ ما يَكُونُ لَنا أَنْ نَتَكَلَّمَ بِهذا سُبْحانَكَ هذا بُهْتانٌ عَظِيمٌ ؛ چرا به محض شنيدن اين سخن نگفتيد كه هرگز ما را تكلم به اين روا نيست، پاك خدايا، اين بهتانى بزرگ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آمده است به تصديق وقوع فعل برمى‌گردد،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اشكالى ندارد كه قيد خوردن به عدم امكان تكذيب از آن اراده شده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682850_1051229030"/>
      <w:bookmarkStart w:id="113" w:name="_Toc37"/>
      <w:bookmarkEnd w:id="112"/>
      <w:r>
        <w:rPr>
          <w:rtl w:val="true"/>
        </w:rPr>
        <w:t>حرمت دورويه حرف زدن</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شيخ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كه اگر غيبت‌كننده از كسانى است كه در حضور غيبت‌شونده مدح او را مى‌گويد، عقابش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دلالت نصوص بر اين كه دورويه زبان‌ها مستحق دو عقاب‌اند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اين است كه يكى از عقاب‌ها از جهتى كه شيخ گفته، و استاد</w:t>
      </w:r>
      <w:r>
        <w:rPr>
          <w:rStyle w:val="FootnoteAnchor"/>
          <w:rtl w:val="true"/>
        </w:rPr>
        <w:footnoteReference w:id="157"/>
      </w:r>
      <w:r>
        <w:rPr>
          <w:rFonts w:ascii="IRNazanin" w:hAnsi="IRNazanin" w:eastAsia="IRNazanin"/>
          <w:color w:val="111111"/>
          <w:sz w:val="28"/>
          <w:sz w:val="28"/>
          <w:szCs w:val="28"/>
          <w:rtl w:val="true"/>
          <w:lang w:bidi="fa-IR"/>
        </w:rPr>
        <w:t>آن را نيكو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مدح در حضور وى كه فى نفسه مباح است، با اين ادعا كه اگر مسبوق به ذم باشد يا به آن ملحق شود، از گناهان بزرگ است و موجب مى‌شود انسان دورويه زبان و منافق باشد؛</w:t>
      </w:r>
    </w:p>
    <w:p>
      <w:pPr>
        <w:pStyle w:val="BookText"/>
        <w:rPr/>
      </w:pPr>
      <w:r>
        <w:rPr>
          <w:rFonts w:ascii="IRNazanin" w:hAnsi="IRNazanin" w:eastAsia="IRNazanin"/>
          <w:color w:val="111111"/>
          <w:sz w:val="28"/>
          <w:sz w:val="28"/>
          <w:szCs w:val="28"/>
          <w:rtl w:val="true"/>
          <w:lang w:bidi="fa-IR"/>
        </w:rPr>
        <w:t>زيرا مجرد ذكر صفات حسنه در زمان حضور، و ذكر صفات بد هنگام غيبت، يا ذكر اعمال حسنه در حضور و ذكر اعمال قبيح در غياب او موجب صدق عنوان دورويه زبان بر او نمى‌شود، تا نياز به اين توجيه داشته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صدق اين عنوان از جهت مدح شخص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صفت نيكو يا كار نيكويى را به او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مى‌شود، و آنگاه در غياب شخص او را به ضد آنها مذمت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او در حضورش به گونه‌اى تعريف مى‌كند كه به نظر مى‌رسد صفت ذميمه‌اى در او وجود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آنجا كه زبان مدح در زمان حضور، غالباً زبان دروغ است، امكان‌پذير نبودن صدق آن در دو زبان بعيد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عقاب‌ها براى كذب و ديگرى براى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نماييد؛ چرا كه لازمه آن، عدم صدق اين عنوان بر كسى است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شخصى هنگام حضور او با صفتى كه دارد تعريف كرده است و در غياب او، با مخالف آن صفت مذمتش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چنان است كه مى‌بينيد</w:t>
      </w:r>
      <w:r>
        <w:rPr>
          <w:rFonts w:eastAsia="IRNazanin" w:cs="IRNazanin"/>
          <w:color w:val="111111"/>
          <w:sz w:val="28"/>
          <w:szCs w:val="28"/>
          <w:rtl w:val="true"/>
          <w:lang w:bidi="fa-IR"/>
        </w:rPr>
        <w:t xml:space="preserve">. </w:t>
      </w:r>
      <w:bookmarkStart w:id="114" w:name="pg7423_74365"/>
    </w:p>
    <w:p>
      <w:pPr>
        <w:pStyle w:val="Heading2"/>
        <w:numPr>
          <w:ilvl w:val="1"/>
          <w:numId w:val="1"/>
        </w:numPr>
        <w:rPr/>
      </w:pPr>
      <w:bookmarkStart w:id="115" w:name="__RefHeading___Toc1682852_1051229030"/>
      <w:bookmarkStart w:id="116" w:name="_Toc38"/>
      <w:bookmarkEnd w:id="114"/>
      <w:bookmarkEnd w:id="115"/>
      <w:r>
        <w:rPr>
          <w:rtl w:val="true"/>
        </w:rPr>
        <w:t>فصل سوم</w:t>
      </w:r>
      <w:r>
        <w:rPr>
          <w:rtl w:val="true"/>
        </w:rPr>
        <w:t xml:space="preserve">: </w:t>
      </w:r>
      <w:r>
        <w:rPr>
          <w:rtl w:val="true"/>
        </w:rPr>
        <w:t>دروغ</w:t>
      </w:r>
      <w:bookmarkEnd w:id="1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682854_1051229030"/>
      <w:bookmarkStart w:id="118" w:name="_Toc39"/>
      <w:bookmarkEnd w:id="117"/>
      <w:r>
        <w:rPr>
          <w:rtl w:val="true"/>
        </w:rPr>
        <w:t>اشاره</w:t>
      </w:r>
      <w:bookmarkEnd w:id="1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423_74367"/>
      <w:bookmarkStart w:id="120" w:name="pg7423_74367"/>
      <w:bookmarkEnd w:id="120"/>
    </w:p>
    <w:p>
      <w:pPr>
        <w:pStyle w:val="Heading3"/>
        <w:numPr>
          <w:ilvl w:val="2"/>
          <w:numId w:val="1"/>
        </w:numPr>
        <w:rPr/>
      </w:pPr>
      <w:bookmarkStart w:id="121" w:name="pg7423_74367"/>
      <w:bookmarkStart w:id="122" w:name="__RefHeading___Toc1682856_1051229030"/>
      <w:bookmarkStart w:id="123" w:name="_Toc40"/>
      <w:bookmarkEnd w:id="121"/>
      <w:bookmarkEnd w:id="122"/>
      <w:r>
        <w:rPr>
          <w:rtl w:val="true"/>
        </w:rPr>
        <w:t>حكم دروغ</w:t>
      </w:r>
      <w:bookmarkEnd w:id="123"/>
    </w:p>
    <w:p>
      <w:pPr>
        <w:pStyle w:val="BookText"/>
        <w:rPr/>
      </w:pPr>
      <w:r>
        <w:rPr>
          <w:rFonts w:ascii="Amiri" w:hAnsi="Amiri" w:eastAsia="Amiri" w:cs="Amiri"/>
          <w:color w:val="111111"/>
          <w:sz w:val="28"/>
          <w:sz w:val="28"/>
          <w:szCs w:val="28"/>
          <w:rtl w:val="true"/>
          <w:lang w:bidi="ar-SA"/>
        </w:rPr>
        <w:t>دروغ، به ضرورت عقول و اديان حرام است، و ادله اربعه بر آن دلالت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آيات و روايات بر حرمت دروغ دلالت دارند و برخى از آنها را برخواهيم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حرمت دروغ از ضروريات تمام اديان هم‌چنين اسلام است، و همه علما بر آن اتفاق نظر دارند</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چاپ جديد؛ 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در تشخيص قبح آن مستقل است، زيرا دروغ كليد شرور و رأس فجور است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682858_1051229030"/>
      <w:bookmarkStart w:id="125" w:name="_Toc41"/>
      <w:bookmarkEnd w:id="124"/>
      <w:r>
        <w:rPr>
          <w:rtl w:val="true"/>
        </w:rPr>
        <w:t>دروغ گناه كبيره</w:t>
      </w:r>
      <w:bookmarkEnd w:id="125"/>
    </w:p>
    <w:p>
      <w:pPr>
        <w:pStyle w:val="BookText"/>
        <w:rPr/>
      </w:pPr>
      <w:r>
        <w:rPr>
          <w:rFonts w:ascii="Amiri" w:hAnsi="Amiri" w:eastAsia="Amiri" w:cs="Amiri"/>
          <w:color w:val="111111"/>
          <w:sz w:val="28"/>
          <w:sz w:val="28"/>
          <w:szCs w:val="28"/>
          <w:rtl w:val="true"/>
          <w:lang w:bidi="ar-SA"/>
        </w:rPr>
        <w:t>اصحاب در دو مورد بحث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دروغ جزء گناهان كبيره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غيبت</w:t>
      </w:r>
      <w:r>
        <w:rPr>
          <w:rStyle w:val="FootnoteAnchor"/>
          <w:rtl w:val="true"/>
        </w:rPr>
        <w:footnoteReference w:id="159"/>
      </w:r>
      <w:r>
        <w:rPr>
          <w:rFonts w:ascii="IRNazanin" w:hAnsi="IRNazanin" w:eastAsia="IRNazanin"/>
          <w:color w:val="111111"/>
          <w:sz w:val="28"/>
          <w:sz w:val="28"/>
          <w:szCs w:val="28"/>
          <w:rtl w:val="true"/>
          <w:lang w:bidi="fa-IR"/>
        </w:rPr>
        <w:t xml:space="preserve">درباره ضابطه اينكه گناهى صغيره يا كبيره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تقسيم گناهان به كبيره و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طريق منع خلو به يكى از امور ذيل </w:t>
      </w:r>
      <w:bookmarkStart w:id="126" w:name="pg7423_74368"/>
    </w:p>
    <w:p>
      <w:pPr>
        <w:pStyle w:val="BookText"/>
        <w:rPr/>
      </w:pPr>
      <w:bookmarkEnd w:id="126"/>
      <w:r>
        <w:rPr>
          <w:rFonts w:ascii="IRNazanin" w:hAnsi="IRNazanin" w:eastAsia="IRNazanin"/>
          <w:color w:val="111111"/>
          <w:sz w:val="28"/>
          <w:sz w:val="28"/>
          <w:szCs w:val="28"/>
          <w:rtl w:val="true"/>
          <w:lang w:bidi="fa-IR"/>
        </w:rPr>
        <w:t>صورت‌مى‌گيرد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نص بر اين كه جزء گناهان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و سنت نسبت به آن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 كبيره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گناهى كه ثابت شده جزء گناهان كبيره است، بزرگ‌تر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وجوهى كه در احتمال كبيره بودن دروغ وجود دارد سه تا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شيخ در ادامه سخنان فاضلين</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كبيره آن است كه خدا درباره آن وعده جهنم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اين سخن در التحرير،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شهيد ثانى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دروغ را جزء گناهان كبيره دانسته‌اند،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جزء گناهان كبيره نيست، بلكه بخش خاصى از آن جزء كبيره‌اند، و آن دروغ بستن به خدا و حجت‌هاى او، دروغ در قتل نفس محترمه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جز گناهان كبيره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براى نظر خود، به تعدادى از نصوص و قرآن استدلال كرده است، و برخى نصوص ديگر را در تأييد آن ذكر كرده است</w:t>
      </w:r>
      <w:r>
        <w:rPr>
          <w:rFonts w:eastAsia="IRNazanin" w:cs="IRNazanin"/>
          <w:color w:val="111111"/>
          <w:sz w:val="28"/>
          <w:szCs w:val="28"/>
          <w:rtl w:val="true"/>
          <w:lang w:bidi="fa-IR"/>
        </w:rPr>
        <w:t>.</w:t>
      </w:r>
    </w:p>
    <w:p>
      <w:pPr>
        <w:pStyle w:val="Heading3"/>
        <w:numPr>
          <w:ilvl w:val="2"/>
          <w:numId w:val="1"/>
        </w:numPr>
        <w:rPr/>
      </w:pPr>
      <w:bookmarkStart w:id="127" w:name="__RefHeading___Toc1682860_1051229030"/>
      <w:bookmarkStart w:id="128" w:name="_Toc42"/>
      <w:bookmarkEnd w:id="127"/>
      <w:r>
        <w:rPr>
          <w:rtl w:val="true"/>
        </w:rPr>
        <w:t>روايات</w:t>
      </w:r>
      <w:bookmarkEnd w:id="128"/>
    </w:p>
    <w:p>
      <w:pPr>
        <w:pStyle w:val="BookText"/>
        <w:rPr/>
      </w:pPr>
      <w:r>
        <w:rPr>
          <w:rFonts w:ascii="IRNazanin" w:hAnsi="IRNazanin" w:eastAsia="IRNazanin"/>
          <w:color w:val="111111"/>
          <w:sz w:val="28"/>
          <w:sz w:val="28"/>
          <w:szCs w:val="28"/>
          <w:rtl w:val="true"/>
          <w:lang w:bidi="fa-IR"/>
        </w:rPr>
        <w:t>رواياتى كه از آنها استفاده شده و دروغ را مطلقا جز گناهان كبيره برشمرده‌اند،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العيون به سند از فضل بن شاذان كه امام عليه السلام دروغ را </w:t>
      </w:r>
    </w:p>
    <w:p>
      <w:pPr>
        <w:pStyle w:val="BookText"/>
        <w:rPr/>
      </w:pPr>
      <w:r>
        <w:rPr>
          <w:rFonts w:ascii="IRNazanin" w:hAnsi="IRNazanin" w:eastAsia="IRNazanin"/>
          <w:color w:val="111111"/>
          <w:sz w:val="28"/>
          <w:sz w:val="28"/>
          <w:szCs w:val="28"/>
          <w:rtl w:val="true"/>
          <w:lang w:bidi="fa-IR"/>
        </w:rPr>
        <w:t>جزء گناهان كبيره عنوان كرده است</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20660</w:t>
      </w:r>
      <w:r>
        <w:rPr>
          <w:rFonts w:ascii="Amiri" w:hAnsi="Amiri" w:eastAsia="Amiri" w:cs="Amiri"/>
          <w:color w:val="111111"/>
          <w:sz w:val="28"/>
          <w:sz w:val="28"/>
          <w:szCs w:val="28"/>
          <w:rtl w:val="true"/>
          <w:lang w:bidi="ar-SA"/>
        </w:rPr>
        <w:t xml:space="preserve">؛ عيون الاخبار،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خبر اعمش نيز چنين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استاد اعظم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سندشان ضعيف است، و در دليل ضعف خبر العيون گفته شده است كه صدوق تا فضل اسانيدى دارد كه همگى مجهول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بن عبدوس نيشابورى</w:t>
      </w:r>
      <w:r>
        <w:rPr>
          <w:rStyle w:val="FootnoteAnchor"/>
          <w:rtl w:val="true"/>
        </w:rPr>
        <w:footnoteReference w:id="162"/>
      </w:r>
      <w:r>
        <w:rPr>
          <w:rFonts w:ascii="Amiri" w:hAnsi="Amiri" w:eastAsia="Amiri" w:cs="Amiri"/>
          <w:color w:val="111111"/>
          <w:sz w:val="28"/>
          <w:sz w:val="28"/>
          <w:szCs w:val="28"/>
          <w:rtl w:val="true"/>
          <w:lang w:bidi="ar-SA"/>
        </w:rPr>
        <w:t>، و على بن قتيبه نيشابورى قرار دارند، كه هر دو مجهول هستند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كتاب ضعفاء العقيلى،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قتيبه الرفاعى بصرى درباره ثقات به بواطيل و آنچه اصلى ندارد، سخن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طريق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ابومحمد جعفر بن نعيم قرار دارد، كه مجهول 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مستدركات علم رجال الحديث، شيخ على نمازى شاهرودى،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2884</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از جعفر بن نعيم بن شاذان نيشابورى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است، و او يكى ز مشايخ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العلل،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از او از عمويش ابوعبدالله محمد بن شاذان از فضل بن شاذان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العيون،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 در 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نيز زياد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طريق سومى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بن محمد علوى قرار دارد، كه او نيز مجهول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درباره او اقوالى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محكى التحرير</w:t>
      </w:r>
      <w:r>
        <w:rPr>
          <w:rStyle w:val="FootnoteAnchor"/>
          <w:rtl w:val="true"/>
        </w:rPr>
        <w:footnoteReference w:id="166"/>
      </w:r>
      <w:r>
        <w:rPr>
          <w:rFonts w:ascii="Amiri" w:hAnsi="Amiri" w:eastAsia="Amiri" w:cs="Amiri"/>
          <w:color w:val="111111"/>
          <w:sz w:val="28"/>
          <w:sz w:val="28"/>
          <w:szCs w:val="28"/>
          <w:rtl w:val="true"/>
          <w:lang w:bidi="ar-SA"/>
        </w:rPr>
        <w:t>، المسالك</w:t>
      </w:r>
      <w:r>
        <w:rPr>
          <w:rStyle w:val="FootnoteAnchor"/>
          <w:rtl w:val="true"/>
        </w:rPr>
        <w:footnoteReference w:id="167"/>
      </w:r>
      <w:r>
        <w:rPr>
          <w:rFonts w:ascii="IRNazanin" w:hAnsi="IRNazanin" w:eastAsia="IRNazanin"/>
          <w:color w:val="111111"/>
          <w:sz w:val="28"/>
          <w:sz w:val="28"/>
          <w:szCs w:val="28"/>
          <w:rtl w:val="true"/>
          <w:lang w:bidi="fa-IR"/>
        </w:rPr>
        <w:t>، و الحاوى</w:t>
      </w:r>
      <w:r>
        <w:rPr>
          <w:rStyle w:val="FootnoteAnchor"/>
          <w:rtl w:val="true"/>
        </w:rPr>
        <w:footnoteReference w:id="168"/>
      </w:r>
      <w:r>
        <w:rPr>
          <w:rFonts w:ascii="IRNazanin" w:hAnsi="IRNazanin" w:eastAsia="IRNazanin"/>
          <w:color w:val="111111"/>
          <w:sz w:val="28"/>
          <w:sz w:val="28"/>
          <w:szCs w:val="28"/>
          <w:rtl w:val="true"/>
          <w:lang w:bidi="fa-IR"/>
        </w:rPr>
        <w:t>اين قول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عبدالواحد اصح است</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دستِكم او حسن است، زيرا علامه در محكى التحرير خبرى را كه عبدالواحد روايت كرده، صحيح توصيف كرده است، و او جزء مشايخى است كه صدوق بدون واسطه از آنان مكرر و مترضيا روايت نقل مى‌كند، بلكه از مشايخ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نباشد، نبايد در اينكه او حسن است ترديد داشت، زيرا كشى در موارد بسيارى از كتاب رجال خود به نقل او تكيه كرده است، و علامه</w:t>
      </w:r>
      <w:r>
        <w:rPr>
          <w:rStyle w:val="FootnoteAnchor"/>
          <w:rtl w:val="true"/>
        </w:rPr>
        <w:footnoteReference w:id="170"/>
      </w:r>
      <w:r>
        <w:rPr>
          <w:rFonts w:ascii="IRNazanin" w:hAnsi="IRNazanin" w:eastAsia="IRNazanin"/>
          <w:color w:val="111111"/>
          <w:sz w:val="28"/>
          <w:sz w:val="28"/>
          <w:szCs w:val="28"/>
          <w:rtl w:val="true"/>
          <w:lang w:bidi="fa-IR"/>
        </w:rPr>
        <w:t>و ابن داود</w:t>
      </w:r>
      <w:r>
        <w:rPr>
          <w:rStyle w:val="FootnoteAnchor"/>
          <w:rtl w:val="true"/>
        </w:rPr>
        <w:footnoteReference w:id="171"/>
      </w:r>
      <w:r>
        <w:rPr>
          <w:rFonts w:ascii="Amiri" w:hAnsi="Amiri" w:eastAsia="Amiri" w:cs="Amiri"/>
          <w:color w:val="111111"/>
          <w:sz w:val="28"/>
          <w:sz w:val="28"/>
          <w:szCs w:val="28"/>
          <w:rtl w:val="true"/>
          <w:lang w:bidi="ar-SA"/>
        </w:rPr>
        <w:t>او را از جمله معتمدين شمرده‌اند، و علامه حديث او را صحيح دانسته است</w:t>
      </w:r>
      <w:r>
        <w:rPr>
          <w:rStyle w:val="FootnoteAnchor"/>
          <w:rtl w:val="true"/>
        </w:rPr>
        <w:footnoteReference w:id="172"/>
      </w:r>
      <w:r>
        <w:rPr>
          <w:rFonts w:ascii="Amiri" w:hAnsi="Amiri" w:eastAsia="Amiri" w:cs="Amiri"/>
          <w:color w:val="111111"/>
          <w:sz w:val="28"/>
          <w:sz w:val="28"/>
          <w:szCs w:val="28"/>
          <w:rtl w:val="true"/>
          <w:lang w:bidi="ar-SA"/>
        </w:rPr>
        <w:t>، و شيخ كاظمى و فاضل جزائرى هم او را ثقه دانسته‌اند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سخن شيخ</w:t>
      </w:r>
      <w:r>
        <w:rPr>
          <w:rStyle w:val="FootnoteAnchor"/>
          <w:rtl w:val="true"/>
        </w:rPr>
        <w:footnoteReference w:id="173"/>
      </w:r>
      <w:r>
        <w:rPr>
          <w:rFonts w:ascii="Amiri" w:hAnsi="Amiri" w:eastAsia="Amiri" w:cs="Amiri"/>
          <w:color w:val="111111"/>
          <w:sz w:val="28"/>
          <w:sz w:val="28"/>
          <w:szCs w:val="28"/>
          <w:rtl w:val="true"/>
          <w:lang w:bidi="ar-SA"/>
        </w:rPr>
        <w:t>كه خبر العيون هم‌طراز صحيح است، درست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موثق عثمان بن عيسى از امام 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تعالى براى بدى قفل‌هايى قرار داده است و كليد آن قفل‌ها را در شراب و دروغ قرار داده است، و دروغ از شراب بدتر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16206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اشكال بر روايت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سندش به دليل حضور عثمان ضعيف است</w:t>
      </w:r>
      <w:r>
        <w:rPr>
          <w:rStyle w:val="FootnoteAnchor"/>
          <w:rtl w:val="true"/>
        </w:rPr>
        <w:footnoteReference w:id="175"/>
      </w:r>
      <w:r>
        <w:rPr>
          <w:rFonts w:ascii="IRNazanin" w:hAnsi="IRNazanin" w:eastAsia="IRNazanin"/>
          <w:color w:val="111111"/>
          <w:sz w:val="28"/>
          <w:sz w:val="28"/>
          <w:szCs w:val="28"/>
          <w:rtl w:val="true"/>
          <w:lang w:bidi="fa-IR"/>
        </w:rPr>
        <w:t>؛ وارد نيست، چون اگر او ثقه نباشد، دستِكم حديث او موثق است، همان‌طور كه به متأخران نسبت مى‌دهند، اين مسأله ميان ايشان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بر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التزام به اطلاق اين خبر داشت، زيرا پرواضح است كه از نظر متشرعان وقتى امر ميان شرب خمر و دروغ داير شود، اگر چه به اين باشد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شرب خمر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را به يكى از آن دو مجبور كنند،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انتخاب مى‌كند، و كسى تصور نمى‌كند شخصى شراب‌خوارى را بر دروغ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دروغ، به شكل مطلق خود، بدتر از شراب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متعين آن است كه با اراده بخش خاصى از آن، يعنى دروغ بستن به خدا و پيامبر صلى الله عليه و آله و سلم و ائمه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كفر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تأويل برده مى‌شود، و حلال دانستن اشربه حرام يكى از ثمرات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مخالفان با اينها يا غير اينها آن را حلال دانستند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دوم </w:t>
      </w:r>
    </w:p>
    <w:p>
      <w:pPr>
        <w:pStyle w:val="BookText"/>
        <w:rPr/>
      </w:pPr>
      <w:r>
        <w:rPr>
          <w:rFonts w:ascii="IRNazanin" w:hAnsi="IRNazanin" w:eastAsia="IRNazanin"/>
          <w:color w:val="111111"/>
          <w:sz w:val="28"/>
          <w:sz w:val="28"/>
          <w:szCs w:val="28"/>
          <w:rtl w:val="true"/>
          <w:lang w:bidi="fa-IR"/>
        </w:rPr>
        <w:t xml:space="preserve">صفت مشبهه است نه افعل التفضيل،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است، پس معنى آن عبارت است از اينكه دروغ هم شر است و شراب منشأ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آگاه نمايم به بزرگ‌ترين گناهان كبيره؟ و آنها عبارت‌اند از شرك به خداوند تبارك و تعالى و بدرفتارى با پدر و مادر و گرفتارِ عاق آنان شدن، و گفتن سخن زور، يعنى دروغ</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باكبر الكبائر، الاشراك بالله و عقوق الوالدين و قول الزور اى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مستدرك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رد مى‌شود به اينكه نزد متشرعان ضرورى است كه دروغ، به شكل مطلق خود، بزرگ‌تر از گناهان كبيره‌اى مانند زنا و لواط و مانند اين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ضرورتاً بخش خاصى از آن اراده مى‌شود، ضمن اينكه تفسير قول زور به دروغ، چه بسا از سوى راوى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مرسل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وقتى كه بدون عذر دروغ مى‌گويد، هفتاد هزار ملك او را لعنت مى‌كند، و از قلب او بوى متعفنى بيرون مى‌آيد كه به عرش مى‌رسد، و خداوند عالم در نامه اعمال او هفتاد زنا كه ساده‌ترين آن زنا با مادر است، مى‌نويسد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ضعف سند، همانند ايراد روايت قبل بر آن </w:t>
      </w:r>
      <w:bookmarkStart w:id="129" w:name="pg7423_74373"/>
    </w:p>
    <w:p>
      <w:pPr>
        <w:pStyle w:val="BookText"/>
        <w:rPr/>
      </w:pPr>
      <w:bookmarkEnd w:id="129"/>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شكى نيست كه جماعِ حرام از دروغ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شديدتر از زنا نباشد، درباره زناى با محرم و بلكه هفتاد تا از آن چگونه خواهد بود؟</w:t>
      </w:r>
      <w:r>
        <w:rPr>
          <w:rFonts w:eastAsia="IRNazanin" w:cs="IRNazanin"/>
          <w:color w:val="111111"/>
          <w:sz w:val="28"/>
          <w:szCs w:val="28"/>
          <w:rtl w:val="true"/>
          <w:lang w:bidi="fa-IR"/>
        </w:rPr>
        <w:t>!</w:t>
      </w:r>
    </w:p>
    <w:p>
      <w:pPr>
        <w:pStyle w:val="Heading3"/>
        <w:numPr>
          <w:ilvl w:val="2"/>
          <w:numId w:val="1"/>
        </w:numPr>
        <w:rPr/>
      </w:pPr>
      <w:bookmarkStart w:id="130" w:name="__RefHeading___Toc1682862_1051229030"/>
      <w:bookmarkStart w:id="131" w:name="_Toc43"/>
      <w:bookmarkEnd w:id="130"/>
      <w:r>
        <w:rPr>
          <w:rtl w:val="true"/>
        </w:rPr>
        <w:t>قرآن</w:t>
      </w:r>
      <w:bookmarkEnd w:id="131"/>
    </w:p>
    <w:p>
      <w:pPr>
        <w:pStyle w:val="BookText"/>
        <w:rPr/>
      </w:pPr>
      <w:r>
        <w:rPr>
          <w:rFonts w:ascii="Amiri" w:hAnsi="Amiri" w:eastAsia="Amiri" w:cs="Amiri"/>
          <w:color w:val="111111"/>
          <w:sz w:val="28"/>
          <w:sz w:val="28"/>
          <w:szCs w:val="28"/>
          <w:rtl w:val="true"/>
          <w:lang w:bidi="ar-SA"/>
        </w:rPr>
        <w:t>به آيه شريفه ذيل استدلال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 دروغ را آن كسانى به خدا مى‌بندند كه ايمان به آيات خدا ندارند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ادعا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دروغگو را غير مؤمن به آيات خداوند، يعنى كافر به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آيه شريفه به قرينه آيات پيشين خود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بَدَّلْنا آيَةً مَكانَ آيَةٍ وَ اللّهُ أَعْلَمُ بِما يُنَزِّلُ قالُوا إِنَّما أَنْتَ مُفْتَرٍ بَلْ أَكْثَرُهُمْ لا يَعْلَمُونَ ؛ و ما هرگاه آيتى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كرده و به جاى آن آيتى ديگر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خدا بهتر داند تا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اعتراض بر نسخ آيه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افترا مى‌بندى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اكثر اينها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نزول آسمانى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لا يُؤْمِنُونَ بِآياتِ اللّهِ لا يَهْدِيهِمُ اللّهُ وَ لَهُمْ عَذابٌ أَلِيمٌ ؛ البته آنان كه به آيات خدا ايمان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اتمام </w:t>
      </w:r>
    </w:p>
    <w:p>
      <w:pPr>
        <w:pStyle w:val="BookText"/>
        <w:rPr/>
      </w:pPr>
      <w:r>
        <w:rPr>
          <w:rFonts w:ascii="IRNazanin" w:hAnsi="IRNazanin" w:eastAsia="IRNazanin"/>
          <w:color w:val="111111"/>
          <w:sz w:val="28"/>
          <w:sz w:val="28"/>
          <w:szCs w:val="28"/>
          <w:rtl w:val="true"/>
          <w:lang w:bidi="fa-IR"/>
        </w:rPr>
        <w:t>حجت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هدايتشان نخواهد كرد و آنها را عذابى دردناك خواهد رسيد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كسانى كه درباره آنچه پيامبر صلى الله عليه و آله و سلم ادعا مى‌كرد از سوى خدا آورده است، به پيامبر صلى الله عليه و آله و سلم دروغ مى‌بستند، آنان دروغگو هستند نه پيامبر صلى الله عليه و آله و سلم، و حصر در اينجا حصر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دروغگويان، يهوديان و مشركانى هستند كه به ايشان دروغ بستند، نه مؤمنين به خدا و رسالت او كه به دليل بى‌ايمانى دروغ گفته‌اند، نه اينكه دروغ موجب شده است تا آنان از ايمان خارج شوند؛ بنابراين بر مطلوب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سخن خود كه دروغ جزء گناهان كبيره است دو خبر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عسكرى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ناپاكى‌ها در خانه‌اى است و كليد آن دروغ و دروغگوئى است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ادعا كه كليد همه ناپاكى‌ها كبيره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تشبيه به كليد، تشبيه در سببيت و عليت نيست، زيرا روشن است كه مشبّه و مشبّه به كامل نيست، و تشبيه در شرطيت نيز صورت نگرفته،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دروغ شرطى براى ساير گناهان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عدم دروغ، عدم معاصى لازم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p>
    <w:p>
      <w:pPr>
        <w:pStyle w:val="BookText"/>
        <w:rPr/>
      </w:pPr>
      <w:r>
        <w:rPr>
          <w:rFonts w:ascii="IRNazanin" w:hAnsi="IRNazanin" w:eastAsia="IRNazanin"/>
          <w:color w:val="111111"/>
          <w:sz w:val="28"/>
          <w:sz w:val="28"/>
          <w:szCs w:val="28"/>
          <w:rtl w:val="true"/>
          <w:lang w:bidi="fa-IR"/>
        </w:rPr>
        <w:t>منظور، تشبيه در اشراف به درافتادن در محرمات است، زيرا دروغ در انسان جرأت انتخاب ناپاكى‌ها را به وجود مى‌آورد، و اين لازمه‌اش معصيت بودن آن نيست چه رسد به اينكه از كباير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شيخ</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پذيرفته است كه ارتكاب شبهات موجب اشراف بر درافتادن در محرمات مى‌گردد؛ و با اين حال جواز آن و تبديل نشدن آن به حرام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پيامبر صلى الله عليه و آله و سلم در وصيت خود به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عذاب آن كسى كه با دروغ سر هم كردن مى خواهد مردم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ادعا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دروغ‌هاى خنده‌آور كه به منظور خنداندن گفته مى‌شود غالباً موجب وقوع در مفسده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اگر چه درست است، و وعيدى كه درباره آن گفته شده موجب مى‌شود جزء گناهان كبيره باشد، به دليل تعدادى از راويانش كه ضعيف السند هستند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قول دوم به برخى از نصوص استناد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ابوخديجه،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بستن بر خداوند و پيغمبرش صلى الله عليه و آله و سلم از گناهان كبيره 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ادعا كه روشن است اين خبر از جهت اينكه در مقام </w:t>
      </w:r>
    </w:p>
    <w:p>
      <w:pPr>
        <w:pStyle w:val="BookText"/>
        <w:rPr/>
      </w:pPr>
      <w:r>
        <w:rPr>
          <w:rFonts w:ascii="IRNazanin" w:hAnsi="IRNazanin" w:eastAsia="IRNazanin"/>
          <w:color w:val="111111"/>
          <w:sz w:val="28"/>
          <w:sz w:val="28"/>
          <w:szCs w:val="28"/>
          <w:rtl w:val="true"/>
          <w:lang w:bidi="fa-IR"/>
        </w:rPr>
        <w:t>تعيين اين مطلب وارد شده كه دروغ با اين وصف خاص را در شمارِ گناهان كبيره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ضعف سند، همانطور كه در مرآة العقول است</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اينكه در مقام تعيين باشد،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بپذيريم كه در اين مقام است، گريزى از قيد زدن مطلقات به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شيخ</w:t>
      </w:r>
      <w:r>
        <w:rPr>
          <w:rStyle w:val="FootnoteAnchor"/>
          <w:rtl w:val="true"/>
        </w:rPr>
        <w:footnoteReference w:id="186"/>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بخش خاصى از گناهان كبيره شديد و عظيم حمل كرده است، از تقييد مطلقات به آن اولى است، همان‌طور كه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گفتيم، آنچه در استدلال به روايت مرسل شيخ صدوق از پيامبر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بر من دروغ بندد، پس جايگاه نشستن خود را در آتش جهنم قرار دهد</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و نيز ضعف سند آن روشن مى‌شود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سيف بن عميرة از 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على بن الحسين عليه السلام به فرزندانش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گفتن بپرهيزيد، چه بزرگ و چه كوچك، شوخى و يا جدّى باشد، زيرا شخص وقتى كه در چيز كوچك دروغ بگويد به بزرگش نيز جرأت پيدا مى‌كند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كه از اين خبر چنين به دست مى‌آيد دروغ به اعتبار </w:t>
      </w:r>
    </w:p>
    <w:p>
      <w:pPr>
        <w:pStyle w:val="BookText"/>
        <w:rPr/>
      </w:pPr>
      <w:r>
        <w:rPr>
          <w:rFonts w:ascii="IRNazanin" w:hAnsi="IRNazanin" w:eastAsia="IRNazanin"/>
          <w:color w:val="111111"/>
          <w:sz w:val="28"/>
          <w:sz w:val="28"/>
          <w:szCs w:val="28"/>
          <w:rtl w:val="true"/>
          <w:lang w:bidi="fa-IR"/>
        </w:rPr>
        <w:t>مفاسدى كه بر آن مترتب مى‌گردد، بزرگ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به دليل ارسال، اين خبر دلالت دارد كه دروغ به لحاظ مفاسدى كه بر آن مترتب است، كوچك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مسأله با اينكه هر دو جزء گناهان كبيره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معنايى كه در اين بحث از آن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آن است كه برخى افراد آن بزرگ‌تر از بقيه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قول آخر، به برخى نصوص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حسن بن حجاج به عنوان روايت صحيح،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حجاج از امام صادق عليه 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موردى دروغ بگويد كذّاب است؟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هيچ‌كس نيست كه دچار اين لغزش نشده باشد، مراد از كذّاب كسى است كه دروغگويى در طبيعت و سرشت او ريشه كرده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 هو الذى يكذب فى الشيء؟ قال لا ما من احد الا ان يكون ذلك منه و لكن المطبوع على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16212</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ادعا كه روايت دلالت مى‌كند دروغ جزء لغزش‌هايى است كه از هر كسى صادر مى‌شود نه جزء گناهان 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متضمن بيان دو مسأله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بر كسى كه اتفاقاً دروغ مى‌گويد صدق نمى‌كند، بلكه بر كسى صدق مى‌كند كه دروغ عادت او شده است، و اين فى نفسه نيز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هيچ‌كسى نيست مگر اينكه به اين معصيت گرفتار شده است، و چيزى از اين دو مطلب دلالت نمى‌كند كه دروغ جزء گناهان كبيره نيست و جزء لغزش‌ها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حارث از 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دروغگويى انسان را به سوى زشتى مى‌كشاند و زشتى و فجور، فرد را به آتش دوزخ وارد مى‌كند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يهدى الىَ الفُجورُ، وُ الفُجورُ يهدى الىَ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16227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ادعا كه در آن اذعان شده است مجرد دروغ، فجور يا گناه كبيره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ضعف سند، خبر دلالت دارد دروغ معصيت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آن را به تأويل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عبدالعظيم بن عبدالله حسنى كه براى بيان تعداد گناهان كبيره بيان شده است و متعرض دروغ نشده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بيان كبايرى است كه كبيره بودن آنها در قرآن ثابت شده است، همان‌طور كه قول سائل به آن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كباير كتاب خدا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اطلاق مفهوم اين خبر به آنچه گذشت و آنچه دال بر جزء كباير بودن دروغ است، قيد مى‌خورد، و اختلاف اخبار درباره تعداد گناهان كبيره مؤيد آن است؛ كه در برخى از روايات تعداد كباير هفت تا، در برخى ديگر پنج تا و در برخى از آنها نُه كبيره عنوان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دروغ جزء گناهان كبيره است، مطلقا</w:t>
      </w:r>
      <w:r>
        <w:rPr>
          <w:rFonts w:eastAsia="IRNazanin" w:cs="IRNazanin"/>
          <w:color w:val="111111"/>
          <w:sz w:val="28"/>
          <w:szCs w:val="28"/>
          <w:rtl w:val="true"/>
          <w:lang w:bidi="fa-IR"/>
        </w:rPr>
        <w:t xml:space="preserve">. </w:t>
      </w:r>
      <w:bookmarkStart w:id="132" w:name="pg7423_74379"/>
    </w:p>
    <w:p>
      <w:pPr>
        <w:pStyle w:val="Heading3"/>
        <w:numPr>
          <w:ilvl w:val="2"/>
          <w:numId w:val="1"/>
        </w:numPr>
        <w:rPr/>
      </w:pPr>
      <w:bookmarkStart w:id="133" w:name="__RefHeading___Toc1682864_1051229030"/>
      <w:bookmarkStart w:id="134" w:name="_Toc44"/>
      <w:bookmarkEnd w:id="132"/>
      <w:bookmarkEnd w:id="133"/>
      <w:r>
        <w:rPr>
          <w:rtl w:val="true"/>
        </w:rPr>
        <w:t>وعده و حكم آن</w:t>
      </w:r>
      <w:bookmarkEnd w:id="134"/>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يك نفر تصريح كرده‌اند كه وعده دادن به نيت وفا نكردن، دروغ حقيقى نيست، و اطلاق دروغ به آن در خبر حارث اعور به دليل اين است كه از حيث حرمت در حكم دروغ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منشاء آن طبق سخن شيخ اعظم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اين است كه وعده يكى از انواع خبر نيست، بلكه از اقسام انشاء است، و اين سخن صريح محقق مجلسى در مرآة العقول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ظاهر كلام محققان از اصحاب ما و مخالفان اين است كه وعده از انواع خبر است، و خبر محتمل قابل صدق و كذب است</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82866_1051229030"/>
      <w:bookmarkStart w:id="136" w:name="_Toc45"/>
      <w:bookmarkEnd w:id="135"/>
      <w:r>
        <w:rPr>
          <w:rtl w:val="true"/>
        </w:rPr>
        <w:t>تحقيق و تنقيح</w:t>
      </w:r>
      <w:r>
        <w:rPr>
          <w:rtl w:val="true"/>
        </w:rPr>
        <w:t>:</w:t>
      </w:r>
      <w:bookmarkEnd w:id="136"/>
    </w:p>
    <w:p>
      <w:pPr>
        <w:pStyle w:val="Heading3"/>
        <w:numPr>
          <w:ilvl w:val="2"/>
          <w:numId w:val="1"/>
        </w:numPr>
        <w:rPr/>
      </w:pPr>
      <w:bookmarkStart w:id="137" w:name="__RefHeading___Toc1682868_1051229030"/>
      <w:bookmarkStart w:id="138" w:name="_Toc46"/>
      <w:bookmarkEnd w:id="137"/>
      <w:r>
        <w:rPr>
          <w:rtl w:val="true"/>
        </w:rPr>
        <w:t>حقيقت و اقسام وعده</w:t>
      </w:r>
      <w:r>
        <w:rPr>
          <w:rtl w:val="true"/>
        </w:rPr>
        <w:t>:</w:t>
      </w:r>
      <w:bookmarkEnd w:id="138"/>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از قصد خود براى انجام يا ترك چيزى خبر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دارم تو را در خانه‌ات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واسطه آنكه از يك امر درونى خبر مى‌دهد، مانند خبر دادن از ساير صفات درونى مانند حب و بغض و امثال آن، بى‌ترديد در مقوله خبر وارد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از انجام يا ترك كارى در آينده خبر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اين قسم هم از انواع خبر </w:t>
      </w:r>
      <w:bookmarkStart w:id="139" w:name="pg7423_74380"/>
    </w:p>
    <w:p>
      <w:pPr>
        <w:pStyle w:val="BookText"/>
        <w:rPr/>
      </w:pPr>
      <w:bookmarkEnd w:id="139"/>
      <w:r>
        <w:rPr>
          <w:rFonts w:ascii="Amiri" w:hAnsi="Amiri" w:eastAsia="Amiri" w:cs="Amiri"/>
          <w:color w:val="111111"/>
          <w:sz w:val="28"/>
          <w:sz w:val="28"/>
          <w:szCs w:val="28"/>
          <w:rtl w:val="true"/>
          <w:lang w:bidi="ar-SA"/>
        </w:rPr>
        <w:t>است، نهايت امر اينكه نسبت به يك امر استقبالى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به همان جمله‌اى كه بر زبان آورده است ملتزم شود، مثلاً ارباب به برده‌اش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كار را انجام بدهى به تو پول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قسم از انواع انشاء است، چون درباره بخشيدن خبر نداده است بلكه امرى را بر خود الزام نموده است، اگرچه بداند آن را انجام نمى‌دهد</w:t>
      </w:r>
      <w:r>
        <w:rPr>
          <w:rFonts w:eastAsia="IRNazanin" w:cs="IRNazanin"/>
          <w:color w:val="111111"/>
          <w:sz w:val="28"/>
          <w:szCs w:val="28"/>
          <w:rtl w:val="true"/>
          <w:lang w:bidi="fa-IR"/>
        </w:rPr>
        <w:t>.</w:t>
      </w:r>
    </w:p>
    <w:p>
      <w:pPr>
        <w:pStyle w:val="Heading3"/>
        <w:numPr>
          <w:ilvl w:val="2"/>
          <w:numId w:val="1"/>
        </w:numPr>
        <w:rPr/>
      </w:pPr>
      <w:bookmarkStart w:id="140" w:name="__RefHeading___Toc1682870_1051229030"/>
      <w:bookmarkStart w:id="141" w:name="_Toc47"/>
      <w:bookmarkEnd w:id="140"/>
      <w:r>
        <w:rPr>
          <w:rtl w:val="true"/>
        </w:rPr>
        <w:t>حكم وعده</w:t>
      </w:r>
      <w:r>
        <w:rPr>
          <w:rtl w:val="true"/>
        </w:rPr>
        <w:t>:</w:t>
      </w:r>
      <w:bookmarkEnd w:id="141"/>
    </w:p>
    <w:p>
      <w:pPr>
        <w:pStyle w:val="BookText"/>
        <w:rPr/>
      </w:pP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آن كار را داشته باشد، خبر صادق و جايز است، در غير اين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كذب است، و تفاوتى ميان اينكه در آينده انجام دهد يا انجام ندهد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آن به راست يا دروغ به محقق شدن و نشدن آن در شرايط خودش بستگى دارد، اما حرمت داشتن و نداشتن آن دايرمدار انجام دادن و ندادن آن است، چنانكه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يا دروغ متصف نمى‌شود، حتى در صورتى كه پنهان كند نمى‌خواهد به آن وفا كند و به اين علم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حرمت وعده در صورت مخفى كردن عدم وفا، به موارد ذيل استدلال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مَقْتاً عِنْدَ اللّهِ أَنْ تَقُولُوا ما لا تَفْعَلُونَ ؛ اين عمل كه سخن </w:t>
      </w:r>
      <w:bookmarkStart w:id="142" w:name="pg7423_74381"/>
    </w:p>
    <w:p>
      <w:pPr>
        <w:pStyle w:val="BookText"/>
        <w:rPr/>
      </w:pPr>
      <w:bookmarkEnd w:id="142"/>
      <w:r>
        <w:rPr>
          <w:rFonts w:ascii="IRNazanin" w:hAnsi="IRNazanin" w:eastAsia="IRNazanin"/>
          <w:color w:val="111111"/>
          <w:sz w:val="28"/>
          <w:sz w:val="28"/>
          <w:szCs w:val="28"/>
          <w:rtl w:val="true"/>
          <w:lang w:bidi="fa-IR"/>
        </w:rPr>
        <w:t>بگوييد و خلاف آن كنيد بسيار سخت خدا را به خشم و غضب مى‌آورد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در خبر سابق الذكر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هيچ يك از شما وعده‌اى به فرزندش بدهد و سپس به آن وفا ننمايد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استدلال به اين دو اشكال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خواهيم پرداخت و درباره عدم دلالتش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ضعف سند، با اخبار دالّ بر جواز وعده كاذب در مورد مطلق خانواده تعارض دارد، و برخى از آنها در مسوغات دروغ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مى‌توان گفت اين نهى درباره عدم وفاء است، نه درباره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 چنين تركيبى بازگشت دادن نهى به قيد است، چنان‌كه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 پيش من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نهى در جمله نهى از سواره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آمدن</w:t>
      </w:r>
      <w:r>
        <w:rPr>
          <w:rFonts w:eastAsia="IRNazanin" w:cs="IRNazanin"/>
          <w:color w:val="111111"/>
          <w:sz w:val="28"/>
          <w:szCs w:val="28"/>
          <w:rtl w:val="true"/>
          <w:lang w:bidi="fa-IR"/>
        </w:rPr>
        <w:t>].</w:t>
      </w:r>
    </w:p>
    <w:p>
      <w:pPr>
        <w:pStyle w:val="Heading3"/>
        <w:numPr>
          <w:ilvl w:val="2"/>
          <w:numId w:val="1"/>
        </w:numPr>
        <w:rPr/>
      </w:pPr>
      <w:bookmarkStart w:id="143" w:name="__RefHeading___Toc1682872_1051229030"/>
      <w:bookmarkStart w:id="144" w:name="_Toc48"/>
      <w:bookmarkEnd w:id="143"/>
      <w:r>
        <w:rPr>
          <w:rtl w:val="true"/>
        </w:rPr>
        <w:t>حكم خلف وعده</w:t>
      </w:r>
      <w:bookmarkEnd w:id="144"/>
    </w:p>
    <w:p>
      <w:pPr>
        <w:pStyle w:val="BookText"/>
        <w:rPr/>
      </w:pPr>
      <w:r>
        <w:rPr>
          <w:rFonts w:ascii="Amiri" w:hAnsi="Amiri" w:eastAsia="Amiri" w:cs="Amiri"/>
          <w:color w:val="111111"/>
          <w:sz w:val="28"/>
          <w:sz w:val="28"/>
          <w:szCs w:val="28"/>
          <w:rtl w:val="true"/>
          <w:lang w:bidi="ar-SA"/>
        </w:rPr>
        <w:t>اصحاب براى حرمت خلف وعده به وجوهى استدلال كرده‌اند كه عبارت است از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موجب برابرى وعده با كذب مى‌شود، بنابراين هرچه دال بر حرمت دروغ است خلف وعده را نيز دربرمى‌گيرد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حرمت ايجاد كلام دروغ است، اما ايجاد صفت دروغ در كلام سابق الذكر، مشمول آن ادله نمى‌شود، ضمن اينكه اخص از مدعى است، و از اين رو در قسم دوم از اقسام وعده صورت مى‌گيرد نه اولى و سومى، چنانكه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آيات قرآن كريم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بِالْعَهْدِ إِنَّ الْعَهْدَ كانَ مَسْؤُلاً ؛ و همه به عهد خود بايد وفا كنيد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پيمان سؤال خواهد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با عموم يا اطلاق خود، عهود مردم را نيز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وعده شبيه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عهد در آيه به حسب ظاهر سياق، وصيت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هم‌معنا بودن عهد و وعده جاى تأمل و نظر دارد، بله؛ يكى از معانى عهد، وفاى به وعده است، همانطور كه ضمان و ذمه از جمله معانى آن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عاهَدُوا ؛ و نيز نيكوكار آنانند كه با هر كه عهد بسته‌اند به موقع خود وفا كنند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گفتيم، دلالتى بيشتر از رجحان وفاى به عهد ندارد، و بر لزوم آن دلالت نمى‌كند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 ؛ الا اى كسانى كه ايمان آورده‌ايد، چرا چيزى به زبان مى‌گوييد كه در مقام عمل خلاف آن مى‌كنيد؟ اين عمل كه سخن بگوييد و خلاف آن كنيد بسيار سخت خدا را به خشم و غضب مى‌آورد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آن، نهى از عدم فعل است اما بر شيوه عكس؛ كه به اين معنا است كه چرا آنچه مى‌گوييد را انجام نمى‌دهيد؟</w:t>
      </w:r>
    </w:p>
    <w:p>
      <w:pPr>
        <w:pStyle w:val="BookText"/>
        <w:rPr/>
      </w:pP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متوجه قيد، يعنى عدم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حرمت انجام ندادن آنچه وعده داده شده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كه در ادامه خواهد آمد و مؤيد حرمت خلف وعده هستند، به اين مطلب اشاره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برخى از محققين گفته‌اند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ارشاد مردم و نصيحت آنان در صورتى كه خود به آنها ملتزم نيست دارد، مانند اينكه مردم را به معروف امر كند و خود آن را ترك نمايد، و آنان را از مكر نهى كند و خود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نظير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أَنْفُسَكُمْ ؛ چگونه شما مردم را به نيكوكارى دستور مى‌دهيد و خود را فراموش مى‌كنيد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نتيجه در اين بحث مورد استفاده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p>
    <w:p>
      <w:pPr>
        <w:pStyle w:val="BookText"/>
        <w:rPr/>
      </w:pPr>
      <w:r>
        <w:rPr>
          <w:rFonts w:ascii="IRNazanin" w:hAnsi="IRNazanin" w:eastAsia="IRNazanin"/>
          <w:color w:val="111111"/>
          <w:sz w:val="28"/>
          <w:sz w:val="28"/>
          <w:szCs w:val="28"/>
          <w:rtl w:val="true"/>
          <w:lang w:bidi="fa-IR"/>
        </w:rPr>
        <w:t>به رواياتى كه آن را تأييد مى‌كند،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نصوص،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هشام بن سالم،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نذرى است كه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آن وفا ننمايد، وعده با خداوند را نقض كرده و خود را به غضب او دچار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15966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شعيب العقرقوفى از امام صادق عليه السلام از 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خدا و روز جزا ايمان دارد بايد به وعده‌اى كه مى‌دهد وفا كند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نصوص ديگر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قطعى بر جواز خلف وعده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متأخرين در باب عدم لزوم وفاى به شرط ابتدايى، به اجماع بر عدم لزوم آن استدلال مى‌كنند؛ و در موارد وعده در غير آن، به اجماع بر عدم لزوم آنچه وعده انجامش داده شده، و سيره قطعى و مستمر كه بر خلف وعده مبتنى است،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موجب مى‌شود آن نصوص حمل بر استحباب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نصوص را نمى‌توان حمل بر استحباب كرد، به همين دليل اولى، احتياط است؛ و در صورتى كه </w:t>
      </w:r>
      <w:bookmarkStart w:id="145" w:name="pg7423_74385"/>
    </w:p>
    <w:p>
      <w:pPr>
        <w:pStyle w:val="BookText"/>
        <w:rPr/>
      </w:pPr>
      <w:bookmarkEnd w:id="145"/>
      <w:r>
        <w:rPr>
          <w:rFonts w:ascii="IRNazanin" w:hAnsi="IRNazanin" w:eastAsia="IRNazanin"/>
          <w:color w:val="111111"/>
          <w:sz w:val="28"/>
          <w:sz w:val="28"/>
          <w:szCs w:val="28"/>
          <w:rtl w:val="true"/>
          <w:lang w:bidi="fa-IR"/>
        </w:rPr>
        <w:t>قصد داشته باشد براى وفانكردن احتياط كند، وعده‌اش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مى‌كند، كه در اين صورت، به تصريح روايات، نذرها و قسم‌هاى قطعى فرومى‌پاشد، و موجب عدم انعقاد قسم و نذر مى‌شود چه رسد به وعده</w:t>
      </w:r>
      <w:r>
        <w:rPr>
          <w:rFonts w:eastAsia="IRNazanin" w:cs="IRNazanin"/>
          <w:color w:val="111111"/>
          <w:sz w:val="28"/>
          <w:szCs w:val="28"/>
          <w:rtl w:val="true"/>
          <w:lang w:bidi="fa-IR"/>
        </w:rPr>
        <w:t>.</w:t>
      </w:r>
    </w:p>
    <w:p>
      <w:pPr>
        <w:pStyle w:val="Heading3"/>
        <w:numPr>
          <w:ilvl w:val="2"/>
          <w:numId w:val="1"/>
        </w:numPr>
        <w:rPr/>
      </w:pPr>
      <w:bookmarkStart w:id="146" w:name="__RefHeading___Toc1682874_1051229030"/>
      <w:bookmarkStart w:id="147" w:name="_Toc49"/>
      <w:bookmarkEnd w:id="146"/>
      <w:r>
        <w:rPr>
          <w:rtl w:val="true"/>
        </w:rPr>
        <w:t>فروع</w:t>
      </w:r>
      <w:bookmarkEnd w:id="147"/>
    </w:p>
    <w:p>
      <w:pPr>
        <w:pStyle w:val="Heading4"/>
        <w:numPr>
          <w:ilvl w:val="3"/>
          <w:numId w:val="1"/>
        </w:numPr>
        <w:rPr/>
      </w:pPr>
      <w:bookmarkStart w:id="148" w:name="__RefHeading___Toc1682876_1051229030"/>
      <w:bookmarkStart w:id="149" w:name="_Toc5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اين بخش به بحث درباره چند مسأله كه باقى مانده است مى‌پردازيم</w:t>
      </w:r>
      <w:r>
        <w:rPr>
          <w:rFonts w:eastAsia="IRNazanin" w:cs="IRNazanin"/>
          <w:color w:val="111111"/>
          <w:sz w:val="28"/>
          <w:szCs w:val="28"/>
          <w:rtl w:val="true"/>
          <w:lang w:bidi="fa-IR"/>
        </w:rPr>
        <w:t>:</w:t>
      </w:r>
    </w:p>
    <w:p>
      <w:pPr>
        <w:pStyle w:val="Heading4"/>
        <w:numPr>
          <w:ilvl w:val="3"/>
          <w:numId w:val="1"/>
        </w:numPr>
        <w:rPr/>
      </w:pPr>
      <w:bookmarkStart w:id="150" w:name="__RefHeading___Toc1682878_1051229030"/>
      <w:bookmarkStart w:id="151" w:name="_Toc51"/>
      <w:bookmarkEnd w:id="150"/>
      <w:r>
        <w:rPr/>
        <w:t>1</w:t>
      </w:r>
      <w:r>
        <w:rPr>
          <w:rtl w:val="true"/>
        </w:rPr>
        <w:t xml:space="preserve">: </w:t>
      </w:r>
      <w:r>
        <w:rPr>
          <w:rtl w:val="true"/>
        </w:rPr>
        <w:t>دروغ هنگام شوخى</w:t>
      </w:r>
      <w:bookmarkEnd w:id="151"/>
    </w:p>
    <w:p>
      <w:pPr>
        <w:pStyle w:val="BookText"/>
        <w:rPr/>
      </w:pPr>
      <w:r>
        <w:rPr>
          <w:rFonts w:ascii="Amiri" w:hAnsi="Amiri" w:eastAsia="Amiri" w:cs="Amiri"/>
          <w:color w:val="111111"/>
          <w:sz w:val="28"/>
          <w:sz w:val="28"/>
          <w:szCs w:val="28"/>
          <w:rtl w:val="true"/>
          <w:lang w:bidi="ar-SA"/>
        </w:rPr>
        <w:t>آيا دروغ موقع شوخى حرام است؟</w:t>
      </w:r>
    </w:p>
    <w:p>
      <w:pPr>
        <w:pStyle w:val="BookText"/>
        <w:rPr/>
      </w:pPr>
      <w:r>
        <w:rPr>
          <w:rFonts w:ascii="IRNazanin" w:hAnsi="IRNazanin" w:eastAsia="IRNazanin"/>
          <w:color w:val="111111"/>
          <w:sz w:val="28"/>
          <w:sz w:val="28"/>
          <w:szCs w:val="28"/>
          <w:rtl w:val="true"/>
          <w:lang w:bidi="fa-IR"/>
        </w:rPr>
        <w:t>كلامى كه موقع شوخى گفته مى‌شود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قصد خبردادن از امرى را دارد، و داعى بر آن شوخى است نه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شوخى به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از مسافرت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 در اينكه اين از انواع خبر است و اگر مخالف با واقع باشد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ادله‌ى دال بر حرمت دروغ دلالت بر حرمت آن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قصد خبردادن از امرى را ندارد، بلكه مسوق بيان انشاى يك مسأله با انگيزه شوخى است، و اگر چه به واسطه قرائن، ظهور در انشاء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مرد ترسويى كه مخاطبش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انواع خبر نيست، بنابراين متصف به راست و دروغ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دروغ شامل اين قسم نمى‌شود و مقتضاى اصل، جواز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وجهى براى سخن شيخ كه مى‌گويد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بعيد نيست كه حرام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انصراف و سيره براى آن استدلال مى‌آورد، وجود ندارد؛ زيرا اين قسم از شوخى متصف به دروغ نمى‌شود تا نياز باشد با ادعاى انصراف و سيره حكم به جواز آن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استفاده از برخى روايات به حرمت آن استدلال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حارث اعور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سيف</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كه در وصيت او به ابوذر آمده و پيش از اين گفتيم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16228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به ابوذر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مَنْ مَلَكَ مَا بَيْنَ فَخِذَيْهِ وَ بَيْنَ لَحْيَيْهِ دَخَلَ الْجَنَّةَ قُلْتُ يَا رَسُولَ اللهِ إِنَّا لَنُؤْخَذُ بِمَا يَنْطِقُ بِهِ أَلْسِنَتُنَا قَالَ يَا بَا ذَرٍّ وَ هَلْ يَكُبُّ النَّاسَ عَلَى مَنَاخِرِهِمْ فِي النَّارِ إِلَّا حَصَائِدُ أَلْسِنَتِهِمْ إِنَّكَ لَا تَزَالُ سَالِماً مَا سَكَتَّ فَإِذَا تَكَلَّمْتَ كُتِبَ لَكَ أَوْ عَلَيْكَ يَا أَبَا ذَرٍّ إِنَّ الرَّجُلَ يَتَكَلَّمُ بِالْكَلِمَةِ فِي الْمَجْلِسِ لِيُضْحِكَهُمْ بِهَا فَيَهْوِي فِي جَهَنَّمَ مَا بَيْنَ السَّمَاءِ وَ الْأَرْضِ يَا أَبَا ذَرٍّ وَيْلٌ لِلَّذِي يُحَدِّثُ فَيَكْذِبُ لِيُضْحِكَ بِهِ الْقَوْمَ وَيْلٌ لَهُ وَيْلٌ لَهُ وَيْلٌ لَهُ يَا أَبَا ذَرٍّ مَنْ صَمَتَ نَجَا فَعَلَيْكَ بِالصِّدْقِ وَ لَا تَخْرُجَنَّ مِنْ فِيكَ كَذِبَةٌ أَبَداً قُلْتُ يَا رَسُولَ اللهِ فَمَا تَوْبَةُ الرَّجُلِ الَّذِي يَكْذِبُ مُتَعَمِّداً فَقَالَ الِاسْتِغْفَارُ وَ صَلَوَاتُ الْخَمْسِ تَغْسِلُ ذَلِكَ؛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اختيار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دهانش را داشته باشد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 ه ما به گفته‌هايمان مؤاخذه خواهيم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جز كشته‌هاى زبان مردم را به صورت به جهنم مى‌اندازد؟ كه تا خاموش هستى در سلامتى و چون زبان به حرف بگشايى چيزى به نفع يا ضرر تو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كسى در مجلسى كلمه‌اى مى‌گويد كه مجلسيان را بخنداند و به واسطه همان به قدر زمين تا آسمان به سوى جهنم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سخن‌هاى دروغ مى‌گويد تا مردم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سكوت كند نجات يابد، بر تو باد به راستگويى، و هرگز كلمه‌اى دروغ از دهانت بيرون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آن كس كه عمدا دروغى گفته توبه‌اش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نماز پنج‌گانه گناه آن را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الخصال از رسول خدا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فردى كه بگومگو را رها كند، اگرچه حق با او باشد؛ و فردى كه دروغ گفتن را، حتى اگر براى شوخى باشد، ترك كند؛ و براى فردى كه اخلاقش را نيكو گرداند؛ خانه‌اى در بالاترين طبقات بهشت و خانه‌اى در وسط بهشت و خانه‌اى در رياض بهشت را ضمانت مى‌كنم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اصبغ بن نباته، از 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هيچ‌گاه طعم ايمان را نمى‌چشد تا دروغ را ترك گويد خواه شوخى باشد يا جدى</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الْعَبْدُ طَعْمَ الاْيمانِ حَتّى يتْرُكَ الْكِذْبَ هَزْلَهُ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16226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رد مى‌شود به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سابق الذكر به دلايلى كه پيش از اين گفتيم ضعيف است و خبر اصبغ به دليل حضور قاسم بن عروة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مرجوحيت دروغ در شوخى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قسم دوم شوخى از نظر موضوعى خارج از دروغ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دلالت بر حرمت نمى‌كنند، بلكه نهايت دلالتشان مرجوحيتى است كه با كراهت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قول امام عليه السلام در خبر حارث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جدى و شوخى آن شايسته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ظهور در كراهت نداشته باشد، قطعاً ظهور در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امام عليه السلام در مرسل سيف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پرهيز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اين سخن با ملاحظه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تعليلى كه در آن است، بيش از مرجوحيت استفاده نمى‌شود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سخن امام عليه السلام در خبر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خانه‌اى را در بهشت ضمانت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نمى‌كند مگر بر رجحان </w:t>
      </w:r>
      <w:bookmarkStart w:id="152" w:name="pg7423_74389"/>
    </w:p>
    <w:p>
      <w:pPr>
        <w:pStyle w:val="BookText"/>
        <w:rPr/>
      </w:pPr>
      <w:bookmarkEnd w:id="152"/>
      <w:r>
        <w:rPr>
          <w:rFonts w:ascii="IRNazanin" w:hAnsi="IRNazanin" w:eastAsia="IRNazanin"/>
          <w:color w:val="111111"/>
          <w:sz w:val="28"/>
          <w:sz w:val="28"/>
          <w:szCs w:val="28"/>
          <w:rtl w:val="true"/>
          <w:lang w:bidi="fa-IR"/>
        </w:rPr>
        <w:t>ترك دروغ در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خبر اصبغ چيزى بيشتر از كراهت استفاده نمى‌شود، چون آنچه مكروه است نيز طعم ايمان را از وجدان مؤمن سلب مى‌كند</w:t>
      </w:r>
      <w:r>
        <w:rPr>
          <w:rFonts w:eastAsia="IRNazanin" w:cs="IRNazanin"/>
          <w:color w:val="111111"/>
          <w:sz w:val="28"/>
          <w:szCs w:val="28"/>
          <w:rtl w:val="true"/>
          <w:lang w:bidi="fa-IR"/>
        </w:rPr>
        <w:t>.</w:t>
      </w:r>
    </w:p>
    <w:p>
      <w:pPr>
        <w:pStyle w:val="Heading4"/>
        <w:numPr>
          <w:ilvl w:val="3"/>
          <w:numId w:val="1"/>
        </w:numPr>
        <w:rPr/>
      </w:pPr>
      <w:bookmarkStart w:id="153" w:name="__RefHeading___Toc1682880_1051229030"/>
      <w:bookmarkStart w:id="154" w:name="_Toc52"/>
      <w:bookmarkEnd w:id="153"/>
      <w:r>
        <w:rPr/>
        <w:t>2</w:t>
      </w:r>
      <w:r>
        <w:rPr>
          <w:rtl w:val="true"/>
        </w:rPr>
        <w:t xml:space="preserve">: </w:t>
      </w:r>
      <w:r>
        <w:rPr>
          <w:rtl w:val="true"/>
        </w:rPr>
        <w:t>مبالغه</w:t>
      </w:r>
      <w:bookmarkEnd w:id="154"/>
    </w:p>
    <w:p>
      <w:pPr>
        <w:pStyle w:val="BookText"/>
        <w:rPr/>
      </w:pPr>
      <w:r>
        <w:rPr>
          <w:rFonts w:ascii="Amiri" w:hAnsi="Amiri" w:eastAsia="Amiri" w:cs="Amiri"/>
          <w:color w:val="111111"/>
          <w:sz w:val="28"/>
          <w:sz w:val="28"/>
          <w:szCs w:val="28"/>
          <w:rtl w:val="true"/>
          <w:lang w:bidi="ar-SA"/>
        </w:rPr>
        <w:t>آيا مبالغه در ادعا جزء دروغ است؟</w:t>
      </w:r>
    </w:p>
    <w:p>
      <w:pPr>
        <w:pStyle w:val="BookText"/>
        <w:rPr/>
      </w:pPr>
      <w:r>
        <w:rPr>
          <w:rFonts w:ascii="IRNazanin" w:hAnsi="IRNazanin" w:eastAsia="IRNazanin"/>
          <w:color w:val="111111"/>
          <w:sz w:val="28"/>
          <w:sz w:val="28"/>
          <w:szCs w:val="28"/>
          <w:rtl w:val="true"/>
          <w:lang w:bidi="fa-IR"/>
        </w:rPr>
        <w:t>مبالغه در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كلامى است كه ولو به واسطه قرائن ظهور اوليه و ثانويه دارد، و به ظهور اوليه مخالف واقع و با ظهور ثانويه موافق واقع است، و منظور متكلم ظهور ثانويه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تشبيه و استعاره و كنايه از اين قبيل است، مانند تشبيه روى زيبا به ماه، استعاره شير براى توصيف مرد شجاع، و خاكستر زياد در كنايه از بخشندگى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كلامى است كه فقط يك ظهور دارد، و منظور متكلم همان است، و مخالف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درهم به زيد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حالى‌كه او در واقع يك درهم به زيد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كلامى است كه فقط ظهور ثانوى دارد، و منظور متكلم همان است، و مخالف واقع است، مانند اينكه درباره يك مرد خسيس كنايه خاكستر زياد را به كار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 اول، بر خلاف قسم دوم، كلام متصف به دروغ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اولى حرام نيست و در دومى حرام است، و وجه آنها نيز روشن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اول، منظور از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معمولاً در اعداد مبالغه مى‌شود، مثلاً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حرف را صد بار تكرار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bookmarkStart w:id="155" w:name="pg7423_74390"/>
    </w:p>
    <w:p>
      <w:pPr>
        <w:pStyle w:val="BookText"/>
        <w:rPr/>
      </w:pPr>
      <w:bookmarkEnd w:id="155"/>
      <w:r>
        <w:rPr>
          <w:rFonts w:ascii="IRNazanin" w:hAnsi="IRNazanin" w:eastAsia="IRNazanin"/>
          <w:color w:val="111111"/>
          <w:sz w:val="28"/>
          <w:sz w:val="28"/>
          <w:szCs w:val="28"/>
          <w:rtl w:val="true"/>
          <w:lang w:bidi="fa-IR"/>
        </w:rPr>
        <w:t>هزار بار از او خواستم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تفهيم تعداد آن نيست، بلكه منظور تفهيم كثرت و توجه است، و اين امر ميان دو نفر كه با هم صحبت مى‌كنند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او تنها يك بار گفته و يا خواسته، حرفش دروغ است، اما اگر مرّات متعددى گفته يا خواسته باشد حرفش راست است</w:t>
      </w:r>
      <w:r>
        <w:rPr>
          <w:rFonts w:eastAsia="IRNazanin" w:cs="IRNazanin"/>
          <w:color w:val="111111"/>
          <w:sz w:val="28"/>
          <w:szCs w:val="28"/>
          <w:rtl w:val="true"/>
          <w:lang w:bidi="fa-IR"/>
        </w:rPr>
        <w:t>.</w:t>
      </w:r>
    </w:p>
    <w:p>
      <w:pPr>
        <w:pStyle w:val="Heading4"/>
        <w:numPr>
          <w:ilvl w:val="3"/>
          <w:numId w:val="1"/>
        </w:numPr>
        <w:rPr/>
      </w:pPr>
      <w:bookmarkStart w:id="156" w:name="__RefHeading___Toc1682882_1051229030"/>
      <w:bookmarkStart w:id="157" w:name="_Toc53"/>
      <w:bookmarkEnd w:id="156"/>
      <w:r>
        <w:rPr/>
        <w:t>3</w:t>
      </w:r>
      <w:r>
        <w:rPr>
          <w:rtl w:val="true"/>
        </w:rPr>
        <w:t xml:space="preserve">: </w:t>
      </w:r>
      <w:r>
        <w:rPr>
          <w:rtl w:val="true"/>
        </w:rPr>
        <w:t>توريه</w:t>
      </w:r>
      <w:bookmarkEnd w:id="157"/>
    </w:p>
    <w:p>
      <w:pPr>
        <w:pStyle w:val="BookText"/>
        <w:rPr/>
      </w:pPr>
      <w:r>
        <w:rPr>
          <w:rFonts w:ascii="Amiri" w:hAnsi="Amiri" w:eastAsia="Amiri" w:cs="Amiri"/>
          <w:color w:val="111111"/>
          <w:sz w:val="28"/>
          <w:sz w:val="28"/>
          <w:szCs w:val="28"/>
          <w:rtl w:val="true"/>
          <w:lang w:bidi="ar-SA"/>
        </w:rPr>
        <w:t>آيا توريه جزء دروغ است؟</w:t>
      </w:r>
    </w:p>
    <w:p>
      <w:pPr>
        <w:pStyle w:val="BookText"/>
        <w:rPr/>
      </w:pPr>
      <w:r>
        <w:rPr>
          <w:rFonts w:ascii="IRNazanin" w:hAnsi="IRNazanin" w:eastAsia="IRNazanin"/>
          <w:color w:val="111111"/>
          <w:sz w:val="28"/>
          <w:sz w:val="28"/>
          <w:szCs w:val="28"/>
          <w:rtl w:val="true"/>
          <w:lang w:bidi="fa-IR"/>
        </w:rPr>
        <w:t>پيش از بيان حقيقت توريه و اينكه جزء دروغ است يا نه؟ بايد از نظر موضوعى در مسأله دروغ تجديدنظر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توافق بر اينكه دروغ به معناى عدم مطابقت است، از دو جهت درباره آن اختلاف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اينكه به عدم مطابقت مراد متكلم، يا عدم مطابقت ظهور كلام معتبر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اينكه عدم مطابقت كلام با واقع، يا عدم مطابقت آن با اعتقاد، يا عدم مطابقت آن با هر دوى اينها معتبر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مشهور ميان اصحاب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منسوب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دروغ عبارت از مطابقت ظهور كلام با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سخن ايشان مبتنى بر عقيده آنان در باب حقيقت جمله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جمله خبرى براى نسبت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كلام با ظهورى كه از واقع دارد، مطابقت داشته باشد، راست، و در</w:t>
      </w:r>
    </w:p>
    <w:p>
      <w:pPr>
        <w:pStyle w:val="BookText"/>
        <w:rPr/>
      </w:pPr>
      <w:r>
        <w:rPr>
          <w:rFonts w:ascii="IRNazanin" w:hAnsi="IRNazanin" w:eastAsia="IRNazanin"/>
          <w:color w:val="111111"/>
          <w:sz w:val="28"/>
          <w:sz w:val="28"/>
          <w:szCs w:val="28"/>
          <w:rtl w:val="true"/>
          <w:lang w:bidi="fa-IR"/>
        </w:rPr>
        <w:t>غير اين صورت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اين جمله نسبتى را در خارج محقق مى‌كند، كه اگر دالّ با آن مطابقت داشته باشد راست، و اگر نداشته باشد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اساس، چنانكه در حاشيه كفايه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حاشيه بر كفايه كتابى از مؤلف است كه تا كنون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اجمال به وجوه نادرستى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نسبت در بسيارى از جمله‌ها؛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توجه كردن به همه آنها چنان است كه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كاشفيت جمله از واقع، حتى به صورت ظنى؛ بنابراين اگر براى يك نسبت خارجى وضع شده باشد دلالتش بر آن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اگر دال بر نسبت خارجى باشد، احتمال كذب در آن مى‌رود؛ و گفتيم كه در اين قضيه احتمال صدق و كذب مى‌رود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درباره جمله خبريه اين است كه مثلاً به قصد حكايت از يك نسبت خارجى وضع شده است، و در اين دلالت متصف به صدق و كذب نمى‌شود، بلكه به اعتبار مدلول متصف به صدق و كذب مى‌شود، چون حكايت از نسبت اگر مطابق واقع باشد صادق و در غير آن صورت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معلوم مى‌شود كه دروغ عبارت است از عدم مطابقت منظور متكلم با 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آيه منافقين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دارد؛ از اين جهت كه آنان به رسالت حضرت محمد صلى الله عليه و آله و سلم شهادت دادند، و خداى متعال ايشان را دروغگو ناميد، حال آنكه خبر آنان مطابق با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مخبرعنه ثبوت رسالت نبود بلكه شهادت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عبارت است از حضور مشهودبه در ذهن، و چون آنان به رسالت اعتقاد نداشتند خداوند درباره آنان فرمود دروغگويان‌اند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نظرتان درباره حقيقت دروغ، در صورتى كه متكلم شك كند آيا كلامش مطابق واقع است تا راست باشد، يا مخالف واقع و دروغ است؛ متعين است به دليل شك در صدق موضوع دروغ بنا را بر جواز تكلم به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برائت از حرمت درباره اين مسأله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فى نفسه جارى است، اما از جهت علم اجمالى به حرمت اين خبردادن، يا خبردادن از نقيض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اين دو قطعاً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به دليل تعارض اجرا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مقتضى علم اجمالى، اجتناب از هر دو خبر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گفتيم، توريه موضوعاً از دروغ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 توريه عبارت از گفتنِ كلامى است كه ظهور در معنا دارد، و معنايى غير از آن، اراده مى‌شود كه معناى مدنظر، مطابق با واقع است نه معناى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وقتى كه مردى پشت در براى داخل شدن اجازه مى‌گيرد و خدمتكار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جايى خالى در خانه اشاره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صدق توريه به جز آنچه گفتيم دو مسأله ديگر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به حسب متفاهم عرفى عادى، در غير آنچه متكلم اراده كرده است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ظهور داشت ولى مخاطب به دليل قصور فهم خود متوجه آن نشد، اين جزء توريه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معنا از آن لفظ صحيح بوده، و رابطه‌اى ميانشان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استفاده از آن در آنجا درست نبود، جزء توريه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درهم به زيد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يك درهم باشد، و در واقع هم يك درهم به او داده باشد، اين جزء دروغ است نه 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علامه در محكى القواعد در باب وديعه، زمانى كه يك ظالم آن را مطالبه مى‌كند، به همين مسأله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آنجا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از آن باخبر است بايد توريه كند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قواعد الاحكام،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نظر شيخ مفيد نيز در اين مسأله به همين بوده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توريه نيكو دانسته نمى‌شود و درحاليكه نيت او حفظ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خروج توريه از دروغ به رواياتى استدلال مى‌شود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صاحب احتجاج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 مورد قول خداوند عزوجل در قصه حضرت ابراهيم عليه السلام پرسيده شد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بت بزرگ آن را </w:t>
      </w:r>
    </w:p>
    <w:p>
      <w:pPr>
        <w:pStyle w:val="BookText"/>
        <w:rPr/>
      </w:pPr>
      <w:r>
        <w:rPr>
          <w:rFonts w:ascii="IRNazanin" w:hAnsi="IRNazanin" w:eastAsia="IRNazanin"/>
          <w:color w:val="111111"/>
          <w:sz w:val="28"/>
          <w:sz w:val="28"/>
          <w:szCs w:val="28"/>
          <w:rtl w:val="true"/>
          <w:lang w:bidi="fa-IR"/>
        </w:rPr>
        <w:t>كار را انجام داد و نه ابراهيم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فَسْئَلُوهُمْ إِنْ كانُوا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بتان سخن بگويند، پس بت بزرگ انجام داده است و اگر سخن نگويند، پس بت بزرگ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بزرگ آن كار را انجام نداده بود و ابراهيم هم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قول حضرت يوسف، كه خطاب به كاروان برادرانش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الْعِيرُ إِنَّكُمْ لَسارِقُونَ ؛ آن‌گاه از غلامان مناديى ندا كرد كه اى اهل قافله، شما بى‌شك دزديد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يوسف اين بود كه شما قبلاً يوسف را از پدرتان دزديده‌ايد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الْمَلِكِ ؛ جام شاه را گم كرده‌ايم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يوسف به آنان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ظرف پادشاه را دزديده‌ايد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پادشاه را نمى‌يابيم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درباره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 ؛ و با قومش گفت كه من بيمارم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نه بيمار بود و نه دروغ گفت، بلكه مرادش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دينم سقيم هستم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لذا اين روايت دلالت مى‌كند اقوال مذكور جزء توريه‌اند و دروغ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خارجى، يعنى شكستن از بت‌ها صادر نشده است، چه آنها سخن بگويند و چه نگويند، پس چگونه ملازمت درست است؟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قضيه شرطيه و كذب آن، دايرمدار صحت و فساد ملازمت هستند، و چون اين ملازمت در اين مقام نادرست است، به دليل اينكه فعل در هر حال از ابراهيم صادر شده است؛ قضيه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فوق، پس از بيان دو مقدمه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خبرى نشان‌دهنده قصد حكايت از ثبوت محمول براى موضوع يا نفى محمول از موضوع را دارد، كه ممكن است مطابق با خارج باشد و ممكن است نباشد، و به اين اعتبار متصف به صدق و كذب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ظاهر قضيه شرطى در انشائيات، اين است كه قيد به اعتبار نفسانى كه توسط صيغه آن نمايان شده، برمى‌گردد، نه ماده‌اى كه متعلق به آن است، ظاهر آن در اخباريات نيز همين‌طور است، و قيد به قصد حكايت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انتفاء شرط اين قصد، بدون درنظر گرفتن واقعيت، منتفى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اين دو مقدمه، روشن مى‌شود كه معلق بر شرط در آيه شريفه، قصد حكايت از انجام آن كار به دست بت بزرگ بوده است، كه با انتفاء شرط، اين قصد نيز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قضيه كاذب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پاسخى ديگر از محقق تقى به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صدق شرطيت در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نگويند پس بت بزرگ آن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شكى در صدق آن نيست، چون سخن نگفتن، كه كنايه از ناتوانى و قدرت نداشتن بر چيزى است، مستلزم عدم صدور افعال اختيارى از جانب آنها است</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آيه شريفه ذكر نشده است، و آنچه ذكر شده تنها قضيه اولى است كه ادعا شده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به دليل ضعف سندش به جهت مرسل بودن،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 شريفه وجوه ديگرى گفته شده كه در مرآة العقول</w:t>
      </w:r>
      <w:r>
        <w:rPr>
          <w:rStyle w:val="FootnoteAnchor"/>
          <w:rtl w:val="true"/>
        </w:rPr>
        <w:footnoteReference w:id="220"/>
      </w:r>
      <w:r>
        <w:rPr>
          <w:rFonts w:ascii="IRNazanin" w:hAnsi="IRNazanin" w:eastAsia="IRNazanin"/>
          <w:color w:val="111111"/>
          <w:sz w:val="28"/>
          <w:sz w:val="28"/>
          <w:szCs w:val="28"/>
          <w:rtl w:val="true"/>
          <w:lang w:bidi="fa-IR"/>
        </w:rPr>
        <w:t>و غير آن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اقوال،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حكمى، به جهت اينكه در مقام اصلاح‌اند، از دروغ خارج هستند، و برخى از نصوص بر اين جمله دلالت دارند؛ و نمونه‌هاى ديگرى غير از اين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ادريس در آخر السرائر</w:t>
      </w:r>
      <w:r>
        <w:rPr>
          <w:rStyle w:val="FootnoteAnchor"/>
          <w:rtl w:val="true"/>
        </w:rPr>
        <w:footnoteReference w:id="221"/>
      </w:r>
      <w:r>
        <w:rPr>
          <w:rFonts w:ascii="IRNazanin" w:hAnsi="IRNazanin" w:eastAsia="IRNazanin"/>
          <w:color w:val="111111"/>
          <w:sz w:val="28"/>
          <w:sz w:val="28"/>
          <w:szCs w:val="28"/>
          <w:rtl w:val="true"/>
          <w:lang w:bidi="fa-IR"/>
        </w:rPr>
        <w:t>به نقل از كتاب عبدالله بن بكير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خانه ديگرى را به صدا درآورد و صاحب خانه به كنيزش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در اينجا نيست و اشاره كند به جائى كه خود در آنجا قرار ندارد، آيا اين دروغ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دروغ محسوب نمى‌شود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58" w:name="pg7423_74397"/>
    </w:p>
    <w:p>
      <w:pPr>
        <w:pStyle w:val="BookText"/>
        <w:rPr/>
      </w:pPr>
      <w:bookmarkEnd w:id="158"/>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سويد بن 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وائل بن حجر و جمعيّتى ديگر، آهنگ ديدار پيامبر صلى الله عليه و آله و سلم كرديم، در بين راه وائل بن حجر به چنگ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همراه از اين كه قسم بخورند وائل جزء قبيله ماست خوددارى كردند؛ ولى من به نام خدا قسم ياد كردم كه او برادر من است، بدين جهت دشمن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خدمت حضرت رسول اكرم صلى الله عليه و آله و سلم مشرّف شديم، داستان را براى حضرتش بازگو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و معنا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النبي صلى الله عليه و آله و سلم فأخذه أعداء له وتحرّج القوم أن يحلفوا فحلفت باللّه أنه أخي فخلّى عنه العدو فذكرت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المسلم أخو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المبسوط،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كتاب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ايراد بر آن</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اين است كه او قسم خورده است اين مرد برادر نسبى او است، لذا از موارد دروغ جايز به دليل ضرورت است، نه از موارد توريه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كلام پيامبر صلى الله عليه و آله و سلم فهميده مى‌شود اين است كه منظور او اين بوده كه برادر دينى‌اش باشد يا منظورش مفهوم برادرى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روايت دلالت بر جواز توريه و خروج موضوعى آن از دروغ دارد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82884_1051229030"/>
      <w:bookmarkStart w:id="160" w:name="_Toc54"/>
      <w:bookmarkEnd w:id="159"/>
      <w:r>
        <w:rPr>
          <w:rtl w:val="true"/>
        </w:rPr>
        <w:t>مسوغات دروغ</w:t>
      </w:r>
      <w:bookmarkEnd w:id="160"/>
    </w:p>
    <w:p>
      <w:pPr>
        <w:pStyle w:val="Heading4"/>
        <w:numPr>
          <w:ilvl w:val="3"/>
          <w:numId w:val="1"/>
        </w:numPr>
        <w:rPr/>
      </w:pPr>
      <w:bookmarkStart w:id="161" w:name="__RefHeading___Toc1682886_1051229030"/>
      <w:bookmarkStart w:id="162" w:name="_Toc55"/>
      <w:bookmarkEnd w:id="161"/>
      <w:r>
        <w:rPr>
          <w:rtl w:val="true"/>
        </w:rPr>
        <w:t>اشاره</w:t>
      </w:r>
      <w:bookmarkEnd w:id="1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 از ميان مسوغات دروغ بر دو مورد اتفاق نظر دارند؛ دروغ در جهت دفع ضرورت، و دروغ در جهت اصلاح</w:t>
      </w:r>
      <w:r>
        <w:rPr>
          <w:rFonts w:eastAsia="Amiri" w:cs="Amiri" w:ascii="Amiri" w:hAnsi="Amiri"/>
          <w:color w:val="111111"/>
          <w:sz w:val="28"/>
          <w:szCs w:val="28"/>
          <w:rtl w:val="true"/>
          <w:lang w:bidi="ar-SA"/>
        </w:rPr>
        <w:t xml:space="preserve">. </w:t>
      </w:r>
      <w:bookmarkStart w:id="163" w:name="pg7423_74398"/>
    </w:p>
    <w:p>
      <w:pPr>
        <w:pStyle w:val="Heading4"/>
        <w:numPr>
          <w:ilvl w:val="3"/>
          <w:numId w:val="1"/>
        </w:numPr>
        <w:rPr/>
      </w:pPr>
      <w:bookmarkStart w:id="164" w:name="__RefHeading___Toc1682888_1051229030"/>
      <w:bookmarkStart w:id="165" w:name="_Toc56"/>
      <w:bookmarkEnd w:id="163"/>
      <w:bookmarkEnd w:id="164"/>
      <w:r>
        <w:rPr/>
        <w:t>1</w:t>
      </w:r>
      <w:r>
        <w:rPr>
          <w:rtl w:val="true"/>
        </w:rPr>
        <w:t xml:space="preserve">: </w:t>
      </w:r>
      <w:r>
        <w:rPr>
          <w:rtl w:val="true"/>
        </w:rPr>
        <w:t>دروغ در جهت دفع ضرورت</w:t>
      </w:r>
      <w:bookmarkEnd w:id="165"/>
    </w:p>
    <w:p>
      <w:pPr>
        <w:pStyle w:val="Heading5"/>
        <w:numPr>
          <w:ilvl w:val="4"/>
          <w:numId w:val="1"/>
        </w:numPr>
        <w:rPr/>
      </w:pPr>
      <w:bookmarkStart w:id="166" w:name="__RefHeading___Toc1682890_1051229030"/>
      <w:bookmarkStart w:id="167" w:name="_Toc5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پس از آنچه گفتيم در باب اينكه مقتضاى ادله، حرمت دروغ فى نفسه، است؛ شكى نيست كه اين حكم مانند ساير احكام شرعى در صورت تزاحم با تكليفى مهم‌تر،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نجات مؤمن از هلاكت متوقف بر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بر متعلق آن اجبار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عموم مواردى است كه دالّ بر رفع آنچه بدان مجبور شده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جواز دروغ در مورد ضرورت، به خصوص ادله اربعه استدلال شده است</w:t>
      </w:r>
    </w:p>
    <w:p>
      <w:pPr>
        <w:pStyle w:val="Heading5"/>
        <w:numPr>
          <w:ilvl w:val="4"/>
          <w:numId w:val="1"/>
        </w:numPr>
        <w:rPr/>
      </w:pPr>
      <w:bookmarkStart w:id="168" w:name="__RefHeading___Toc1682892_1051229030"/>
      <w:bookmarkStart w:id="169" w:name="_Toc58"/>
      <w:bookmarkEnd w:id="168"/>
      <w:r>
        <w:rPr>
          <w:rtl w:val="true"/>
        </w:rPr>
        <w:t>دليل اول</w:t>
      </w:r>
      <w:r>
        <w:rPr>
          <w:rtl w:val="true"/>
        </w:rPr>
        <w:t xml:space="preserve">: </w:t>
      </w:r>
      <w:r>
        <w:rPr>
          <w:rtl w:val="true"/>
        </w:rPr>
        <w:t>اجماع</w:t>
      </w:r>
      <w:bookmarkEnd w:id="169"/>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 اين مسأله اجماع وجود دارد، اين اجماع تعبدى و كاشف از نظر معصوم عليه السلام نيست، زيرا استناد اجماع‌كنندگان به آيات و روايات در اين مسأله است</w:t>
      </w:r>
      <w:r>
        <w:rPr>
          <w:rFonts w:eastAsia="IRNazanin" w:cs="IRNazanin"/>
          <w:color w:val="111111"/>
          <w:sz w:val="28"/>
          <w:szCs w:val="28"/>
          <w:rtl w:val="true"/>
          <w:lang w:bidi="fa-IR"/>
        </w:rPr>
        <w:t>.</w:t>
      </w:r>
    </w:p>
    <w:p>
      <w:pPr>
        <w:pStyle w:val="Heading5"/>
        <w:numPr>
          <w:ilvl w:val="4"/>
          <w:numId w:val="1"/>
        </w:numPr>
        <w:rPr/>
      </w:pPr>
      <w:bookmarkStart w:id="170" w:name="__RefHeading___Toc1682894_1051229030"/>
      <w:bookmarkStart w:id="171" w:name="_Toc59"/>
      <w:bookmarkEnd w:id="170"/>
      <w:r>
        <w:rPr>
          <w:rtl w:val="true"/>
        </w:rPr>
        <w:t>دليل دوم</w:t>
      </w:r>
      <w:r>
        <w:rPr>
          <w:rtl w:val="true"/>
        </w:rPr>
        <w:t xml:space="preserve">: </w:t>
      </w:r>
      <w:r>
        <w:rPr>
          <w:rtl w:val="true"/>
        </w:rPr>
        <w:t>عقل</w:t>
      </w:r>
      <w:bookmarkEnd w:id="171"/>
    </w:p>
    <w:p>
      <w:pPr>
        <w:pStyle w:val="BookText"/>
        <w:rPr/>
      </w:pPr>
      <w:r>
        <w:rPr>
          <w:rFonts w:ascii="IRNazanin" w:hAnsi="IRNazanin" w:eastAsia="IRNazanin"/>
          <w:color w:val="111111"/>
          <w:sz w:val="28"/>
          <w:sz w:val="28"/>
          <w:szCs w:val="28"/>
          <w:rtl w:val="true"/>
          <w:lang w:bidi="fa-IR"/>
        </w:rPr>
        <w:t>شيخ مى‌گويد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در وجوب ارتكاب اقل قبيحين با بقاى آن بر قبحش، يا انتفاى قبح آن به دليل غلبه قول ديگرى بر آن دو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تشخيص برخى موارد ضرورت مانند حفظ نفس محترمه مستقل است، نه در همه موارد ضرورت؛ و دليل آن عدم احاطه عقل به واقعيات، و عدم ادراك آن نسبت به خاستگاه </w:t>
      </w:r>
      <w:bookmarkStart w:id="172" w:name="pg7423_74399"/>
    </w:p>
    <w:p>
      <w:pPr>
        <w:pStyle w:val="BookText"/>
        <w:rPr/>
      </w:pPr>
      <w:bookmarkEnd w:id="172"/>
      <w:r>
        <w:rPr>
          <w:rFonts w:ascii="IRNazanin" w:hAnsi="IRNazanin" w:eastAsia="IRNazanin"/>
          <w:color w:val="111111"/>
          <w:sz w:val="28"/>
          <w:sz w:val="28"/>
          <w:szCs w:val="28"/>
          <w:rtl w:val="true"/>
          <w:lang w:bidi="fa-IR"/>
        </w:rPr>
        <w:t>احكام و مقادير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جا نمى‌تواند برخى از آنها را بر برخى ديگر ترجيح دهد</w:t>
      </w:r>
      <w:r>
        <w:rPr>
          <w:rFonts w:eastAsia="IRNazanin" w:cs="IRNazanin"/>
          <w:color w:val="111111"/>
          <w:sz w:val="28"/>
          <w:szCs w:val="28"/>
          <w:rtl w:val="true"/>
          <w:lang w:bidi="fa-IR"/>
        </w:rPr>
        <w:t>.</w:t>
      </w:r>
    </w:p>
    <w:p>
      <w:pPr>
        <w:pStyle w:val="Heading5"/>
        <w:numPr>
          <w:ilvl w:val="4"/>
          <w:numId w:val="1"/>
        </w:numPr>
        <w:rPr/>
      </w:pPr>
      <w:bookmarkStart w:id="173" w:name="__RefHeading___Toc1682896_1051229030"/>
      <w:bookmarkStart w:id="174" w:name="_Toc60"/>
      <w:bookmarkEnd w:id="173"/>
      <w:r>
        <w:rPr>
          <w:rtl w:val="true"/>
        </w:rPr>
        <w:t>دليل سوم</w:t>
      </w:r>
      <w:r>
        <w:rPr>
          <w:rtl w:val="true"/>
        </w:rPr>
        <w:t xml:space="preserve">: </w:t>
      </w:r>
      <w:r>
        <w:rPr>
          <w:rtl w:val="true"/>
        </w:rPr>
        <w:t>قرآن</w:t>
      </w:r>
      <w:bookmarkEnd w:id="174"/>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آيه از قرآن استدلال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 هر كس بعد از آنكه به خدا ايمان آورده باز كافر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آنكه به زبان از روى اجبار كافر شود و دلش در ايمان ثابت باشد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 به آيه، به نحوى كه ايراداتى كه بر آن شده، پاسخ داده شود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دلالت مى‌كند كه در حالت اجبار، جايز است درباره عقيده‌اش نسبت به چيزى كه واقعاً به آن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آن در ايمان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مى‌كند دروغ در غير اين موارد، به اولويت،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ايراد بر آن اين‌گونه برطرف مى‌شود كه اكراه در آيه درباره انشاء تبرى و ارتداد است، لذا ربطى به مورد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آيه مربوط به خصوصِ اجبار است، و دلالتى بر جواز دروغ در غير اين مورد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 نبايد اهل ايمان، </w:t>
      </w:r>
      <w:bookmarkStart w:id="175" w:name="pg7423_74400"/>
    </w:p>
    <w:p>
      <w:pPr>
        <w:pStyle w:val="BookText"/>
        <w:rPr/>
      </w:pPr>
      <w:bookmarkEnd w:id="175"/>
      <w:r>
        <w:rPr>
          <w:rFonts w:ascii="IRNazanin" w:hAnsi="IRNazanin" w:eastAsia="IRNazanin"/>
          <w:color w:val="111111"/>
          <w:sz w:val="28"/>
          <w:sz w:val="28"/>
          <w:szCs w:val="28"/>
          <w:rtl w:val="true"/>
          <w:lang w:bidi="fa-IR"/>
        </w:rPr>
        <w:t xml:space="preserve">مؤمنان را وا گذاشته و از كافران دوست گزينند، و هر كه چنين كند رابطه او با خدا مقطوع است مگر براى در حذر بودن از شرّ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كنند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دالّ بر جواز دروغ با اظهار محبت و مودت نسبت به ايشان در حال تقيه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به طريق اولى دالّ بر جواز دروغ در ساير موارد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ديگرى را به عنوان دوست برگزيدن، ملازمتى با اظهار مودت به او ندارد، و در نتيجه آيه ربطى به اين مقام ندارد؛ اين آيه مختص به مورد تقيه است</w:t>
      </w:r>
      <w:r>
        <w:rPr>
          <w:rFonts w:eastAsia="IRNazanin" w:cs="IRNazanin"/>
          <w:color w:val="111111"/>
          <w:sz w:val="28"/>
          <w:szCs w:val="28"/>
          <w:rtl w:val="true"/>
          <w:lang w:bidi="fa-IR"/>
        </w:rPr>
        <w:t>.</w:t>
      </w:r>
    </w:p>
    <w:p>
      <w:pPr>
        <w:pStyle w:val="Heading5"/>
        <w:numPr>
          <w:ilvl w:val="4"/>
          <w:numId w:val="1"/>
        </w:numPr>
        <w:rPr/>
      </w:pPr>
      <w:bookmarkStart w:id="176" w:name="__RefHeading___Toc1682898_1051229030"/>
      <w:bookmarkStart w:id="177" w:name="_Toc61"/>
      <w:bookmarkEnd w:id="176"/>
      <w:r>
        <w:rPr>
          <w:rtl w:val="true"/>
        </w:rPr>
        <w:t>دليل چهارم</w:t>
      </w:r>
      <w:r>
        <w:rPr>
          <w:rtl w:val="true"/>
        </w:rPr>
        <w:t xml:space="preserve">: </w:t>
      </w:r>
      <w:r>
        <w:rPr>
          <w:rtl w:val="true"/>
        </w:rPr>
        <w:t>سنت</w:t>
      </w:r>
      <w:bookmarkEnd w:id="177"/>
    </w:p>
    <w:p>
      <w:pPr>
        <w:pStyle w:val="BookText"/>
        <w:rPr/>
      </w:pPr>
      <w:r>
        <w:rPr>
          <w:rFonts w:ascii="Amiri" w:hAnsi="Amiri" w:eastAsia="Amiri" w:cs="Amiri"/>
          <w:color w:val="111111"/>
          <w:sz w:val="28"/>
          <w:sz w:val="28"/>
          <w:szCs w:val="28"/>
          <w:rtl w:val="true"/>
          <w:lang w:bidi="ar-SA"/>
        </w:rPr>
        <w:t>اخبار در باب جواز قسم دروغ به منظور دفع ضرر جسمى يا مالى از خود يا برادرش</w:t>
      </w:r>
      <w:r>
        <w:rPr>
          <w:rStyle w:val="FootnoteAnchor"/>
          <w:rtl w:val="true"/>
        </w:rPr>
        <w:footnoteReference w:id="229"/>
      </w:r>
      <w:r>
        <w:rPr>
          <w:rFonts w:ascii="IRNazanin" w:hAnsi="IRNazanin" w:eastAsia="IRNazanin"/>
          <w:color w:val="111111"/>
          <w:sz w:val="28"/>
          <w:sz w:val="28"/>
          <w:szCs w:val="28"/>
          <w:rtl w:val="true"/>
          <w:lang w:bidi="fa-IR"/>
        </w:rPr>
        <w:t>، مستفيض بلكه متواتر است، و به برخى از آنها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اخبار، چنانكه واضح است، اعم از آن چيزى است كه دلالت بر رفع موارد اضطرارى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230"/>
      </w:r>
      <w:r>
        <w:rPr>
          <w:rFonts w:ascii="IRNazanin" w:hAnsi="IRNazanin" w:eastAsia="IRNazanin"/>
          <w:color w:val="111111"/>
          <w:sz w:val="28"/>
          <w:sz w:val="28"/>
          <w:szCs w:val="28"/>
          <w:rtl w:val="true"/>
          <w:lang w:bidi="fa-IR"/>
        </w:rPr>
        <w:t>با انتساب به مشهور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دروغ براى رفع ضرر، عدم تمكن از توريه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آنان كه شيخ نقل كرده است، مطابق اين نسبت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حكم ايشان به شرط بودن توريه در صورت امكان، جواز قسم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مطلق دروغ، خارج از مورد كلام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p>
    <w:p>
      <w:pPr>
        <w:pStyle w:val="BookText"/>
        <w:rPr/>
      </w:pPr>
      <w:r>
        <w:rPr>
          <w:rFonts w:ascii="Amiri" w:hAnsi="Amiri" w:eastAsia="Amiri" w:cs="Amiri"/>
          <w:color w:val="111111"/>
          <w:sz w:val="28"/>
          <w:sz w:val="28"/>
          <w:szCs w:val="28"/>
          <w:rtl w:val="true"/>
          <w:lang w:bidi="ar-SA"/>
        </w:rPr>
        <w:t>ظاهر از المقنعه اين است كه جواز كذب به عدم تمكن از توريه شرط نشده 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نزدش امانتى دارد و ظالمى آن را بخواهد، پس سر باز زند، و اگر ظالم او را به آن قسم داد، قسم بخورد، و در دل به چيزى كه كلامش را از دروغ خارج مى‌كند توريه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توريه نيكو دانسته نمى‌شود، اما نيتش حفظ امانت است، و اين نيت از او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چنانكه مى‌بينيد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مقتضى تفصيل ميان جواز انكار، و جواز قسم دروغ، و تقييد دومى به تمكن از توريه و نه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اعتبارش مانند قول صريح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قول در اين مسأله وجود دارد و تحقق آن نيازمند بحث در دو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مقتضاى نصوص مخصوص و دالّ بر جواز دروغ براى دفع ضرر مالى يا جسمى از خود يا برادر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واجبى مهم‌تر بر دروغ متوقف است، نمى‌توان در اينكه عدم تمكن از توريه در جواز دروغ معتبر است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تمكن از توريه مى‌تواند تكاليف عقلى و شرعى خود را به جا آورد، و به اين ترتيب تزاحمى ميانشان واقع نمى‌شود تا حرمت دروغ برداشته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جواز دروغ در حالت اضطرار، عدم تمكن از توريه معتبر است، زيرا در صورتى كه بتواند توريه كند، </w:t>
      </w:r>
    </w:p>
    <w:p>
      <w:pPr>
        <w:pStyle w:val="BookText"/>
        <w:rPr/>
      </w:pPr>
      <w:r>
        <w:rPr>
          <w:rFonts w:ascii="IRNazanin" w:hAnsi="IRNazanin" w:eastAsia="IRNazanin"/>
          <w:color w:val="111111"/>
          <w:sz w:val="28"/>
          <w:sz w:val="28"/>
          <w:szCs w:val="28"/>
          <w:rtl w:val="true"/>
          <w:lang w:bidi="fa-IR"/>
        </w:rPr>
        <w:t>اضطرار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مجبور به دروغ شود، چه بسا گفته شود عدم تمكن از توريه در حكم به جواز دروغ معتبر نيست؛ براى اين مسأله به وجوهى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اجبار، معتبر است كه اجبارشونده بترسد كه اگر اجباركننده از امتناع او باخبرشود، او را گرفتار ضرر مى‌كند، حتى اگر به واسطه توريه خلاصى يابد، در صورتى كه اجباركننده از امتناع او باخبر شود در هر حال او را گرفتار ضرر مى‌كند؛ و همان‌طور كه روشن است توريه مثل ساير چيزهايى كه به واسطه آنها خلاصى مى‌يابد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صدق ترس اجبارشونده، اين است كه اگر امتناع كند در ضرر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تمكن از توريه داشته باشد، اگر امتناع كند، گرفتار ضرر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بعيد است نصوصى</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28091</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درباره طلاق و آزادى شخص كه مجبور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معاقد و شهرت‌هاى ادعاشده وارد شده، بر حالتى كه به جهت جهل يا دهشت ناتوان از توريه است حمل شود، بلكه در برخى از آنها از جهت اين مورد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 به باب عقود و ايقاعات است، و به تفاوت ميان احكام وضعى و تكليفى در اين باب خواهيم پرداخت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فرد نادر قبيح است، نه ورود دليل براى بيان چيزى كه جزء افراد نادر نيست، مانند اين مورد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محقق ايروانى</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حاشيه 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حاصل آن مبتنى بر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به الفاظ تعلق مى‌گيرد، چه امكان توريه باشد چه نباشد، يا به واسطه توريه خلاص شود يا به واسطه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در باب دروغ جزء موضوع بلكه شاكله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 همان‌طور كه در صورت تعلق به تمام موضوع، حرمت را برطرف مى‌كند، وقتى به جزء موضوع متعلق باشد نيز آن را برطرف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تبيين اين امور روشن مى‌شود در صورتى كه شخصى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شد، اجبار او موجب برداشته شدن حكم تحريمى ضمنى از آن لفظ مى‌شود، و فرض اين است كه مجرد قصد معنا نيز حرام نيست، بنابراين اشكالى ندارد كه توريه كند و معناى ظاهر را قصد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شيخ قدس سره با بيان مقدمه‌اى رد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يكى از دو كار كه يكى حرام و ديگرى مباح است، اجبار شود، بحثى نيست كه حرمت مورد حرام برداشته نمى‌شود، و فعل مباح متعين است؛ لفظى كه دروغ است حرام است، و آنچه مصداقا توريه است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اجبارى كه متعلق به يكى از آن دو است موجب رفع حرمت اولى نمى‌شود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اين است كه در برداشته شدن حرمت دروغ با </w:t>
      </w:r>
    </w:p>
    <w:p>
      <w:pPr>
        <w:pStyle w:val="BookText"/>
        <w:rPr/>
      </w:pPr>
      <w:r>
        <w:rPr>
          <w:rFonts w:ascii="Amiri" w:hAnsi="Amiri" w:eastAsia="Amiri" w:cs="Amiri"/>
          <w:color w:val="111111"/>
          <w:sz w:val="28"/>
          <w:sz w:val="28"/>
          <w:szCs w:val="28"/>
          <w:rtl w:val="true"/>
          <w:lang w:bidi="ar-SA"/>
        </w:rPr>
        <w:t>اجبار هم عدم امكان خلاص شدن به واسطه توريه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شيخ</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مكاسب،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وجه اعتبار عدم امكان توريه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دروغ عقلى است و تنها در صورتى مسوغ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در درون آن حُسنش بر قبحش غلبه مى‌كند، و تحققش متوقف بر تحقق آن است محقق شود، و اين توقف صورت نمى‌گيرد مگر وقتى كه توانايى بر توريه نداشته باشد؛</w:t>
      </w:r>
    </w:p>
    <w:p>
      <w:pPr>
        <w:pStyle w:val="BookText"/>
        <w:rPr/>
      </w:pP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قبح آن ذاتى نيست به گونه‌اى كه تخصيص نپذيرد، بلكه اينكه خود شارع در برخى موارد جواز صادر كرده است، كاشف از قبيح نبودن آن است، نه اينكه قبيح نباشد، بلكه جايز به دليل استقلال عقل در وجوب ارتكاب اقل قبيحين، قبيح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اطلاق نصوص فراوانى كه دلالت بر جواز سوگند دروغ به منظور دفع ضرر جسمى يا مالى از خود يا برادرش دارد، عدم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ملاحظه 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اسماعيل از 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سؤال كردم درباره مردى كه از سلطان بر مال خويش مى‌ترسد كه مالش را به زور و ناحق از او بگيرد، سپس به دروغ سوگند مى‌خورد تا اينكه از ظلم سلطان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او نيست؛ 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سؤال كردم كه آيا همان‌گونه كه انسان براى حفظ مال خويش جايز است سوگند بخورد، براى حفظ مال برادر دينى خود نيز مى‌تواند به سوگند دروغ متوسل شود؟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أحلفه السلطان بالطلاق وغير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وسألته 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وسألته هل يحلف الرجل على مال أخيه كما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29425</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سكونى از امام صادق عليه السلام از پدرش از پدرانش از رسول خدا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دروغ به نام خدا ياد كن و برادرت را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 زراره از 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قوم گذر مى‌كرديم و ما را بر اموالمان سوگند دادند كه زكاتشان را پرداخت كرده‌ايم؟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اگر ترسيدى برايشان به هر آنچه خواستند سوگند ياد كن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و نصوص ديگرى كه دال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دال بر جواز دروغ به منظور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دلالت مى‌كنند عدم تمكن از توريه معتبر نيست، بنابراين به طريق اولى دلالت مى‌كنند كه جواز دروغ به غير سوگند براى دفع ضرر جايز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شيخ</w:t>
      </w:r>
      <w:r>
        <w:rPr>
          <w:rStyle w:val="FootnoteAnchor"/>
          <w:rtl w:val="true"/>
        </w:rPr>
        <w:footnoteReference w:id="238"/>
      </w:r>
      <w:r>
        <w:rPr>
          <w:rFonts w:ascii="Amiri" w:hAnsi="Amiri" w:eastAsia="Amiri" w:cs="Amiri"/>
          <w:color w:val="111111"/>
          <w:sz w:val="28"/>
          <w:sz w:val="28"/>
          <w:szCs w:val="28"/>
          <w:rtl w:val="true"/>
          <w:lang w:bidi="ar-SA"/>
        </w:rPr>
        <w:t>عدم اعتبار اين قيد را به مقتضاى اطلاق نيكو دانسته است، و آن را به اين شكل تأييد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p>
    <w:p>
      <w:pPr>
        <w:pStyle w:val="BookText"/>
        <w:rPr/>
      </w:pPr>
      <w:r>
        <w:rPr>
          <w:rFonts w:ascii="IRNazanin" w:hAnsi="IRNazanin" w:eastAsia="IRNazanin"/>
          <w:color w:val="111111"/>
          <w:sz w:val="28"/>
          <w:sz w:val="28"/>
          <w:szCs w:val="28"/>
          <w:rtl w:val="true"/>
          <w:lang w:bidi="fa-IR"/>
        </w:rPr>
        <w:t xml:space="preserve">توريه بر كسى كه اين توانايى را دارد از التزام به حرج خالى نيست؛ قولى را كه به مشهور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معتبر بودن اين قيد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 اين قواعد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ميان آن مطلقات و خبرى كه سماعه از امام صادق عليه السلام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انسان از روى تقيه سوگند بخورد، زيانى به او نمى‌رسد، درصورتى‌كه اين كار از روى اكراه و اضطرار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از آنچه را كه خداوند حرام نموده است مگر اينكه آن را براى كسى كه بدان ضرورت پيدا كرده است، حلال نموده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تَقِيَّةً لَمْ يَضُرَّهُ إِذَا هُوَ أُكْرِهَ وَ اضْطُرَّ إِلَيْهِ وَ قَالَ لَيْسَ شَيْءٌ مِمَّا حَرَّمَ اللَّهُ إِلَّا وَ قَدْ أَحَلَّهُ لِمَنِ اضْطُرَّ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29442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مضمون آن،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مطلقات دال بر جواز سوگند دروغ براى دفع ضرر هستند، چه به حد اضطرار رسيده باشد چه نرسيده باشد، يعنى امكان توريه داشته باشد 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سماعه و مضمون آن دلالت بر اختصاص جواز در صورت اضطرار و اجبار دارند، و مفهوم آن عدم جواز در غير اين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باب دروغ به منظور دفع ضرر در صورت امكان توريه، و نرسيدن به حد اضطرار و اجبار ميان آنها تعارض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دو ساقط مى‌شوند و به عمومات حرمت دروغ رجوع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ايروانى</w:t>
      </w:r>
      <w:r>
        <w:rPr>
          <w:rStyle w:val="FootnoteAnchor"/>
          <w:rtl w:val="true"/>
        </w:rPr>
        <w:footnoteReference w:id="240"/>
      </w:r>
      <w:r>
        <w:rPr>
          <w:rFonts w:ascii="Amiri" w:hAnsi="Amiri" w:eastAsia="Amiri" w:cs="Amiri"/>
          <w:color w:val="111111"/>
          <w:sz w:val="28"/>
          <w:sz w:val="28"/>
          <w:szCs w:val="28"/>
          <w:rtl w:val="true"/>
          <w:lang w:bidi="ar-SA"/>
        </w:rPr>
        <w:t>دو ايراد بر آن وارد كرده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اضطرار يعنى خبر سماعه و خبرهايى با </w:t>
      </w:r>
    </w:p>
    <w:p>
      <w:pPr>
        <w:pStyle w:val="BookText"/>
        <w:rPr/>
      </w:pPr>
      <w:r>
        <w:rPr>
          <w:rFonts w:ascii="IRNazanin" w:hAnsi="IRNazanin" w:eastAsia="IRNazanin"/>
          <w:color w:val="111111"/>
          <w:sz w:val="28"/>
          <w:sz w:val="28"/>
          <w:szCs w:val="28"/>
          <w:rtl w:val="true"/>
          <w:lang w:bidi="fa-IR"/>
        </w:rPr>
        <w:t>اين مضمون، تنها عقد سلبى را دربرمى‌گيرند، و به عقد اثباتى، يعنى عدم ارتفاع در صورت عدم اضطرار، تعرضى ندارند، تا مفهمومش با اين اخبار به شكل عموم من وجه در تعارض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اگر چه در خصوص غير صدر خبر سماعه است، درباره آن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مشتمل است بر قضيه شرطيه است و اين خود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وجود ندارد كه مرجع اطلاقات، حرمت دروغ باشد، اگر چه اين اطلاقات به شكل عموم من وجه با آنها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آنچه دالّ بر جواز سوگند دروغ براى دفع ضرر است، و آنچه دالّ بر حرمت دروغ است، نسبت عموم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قول صحيح، اين است كه به سخن شيخ ايراد شود كه سند خبر سماعه به دليل ارسال ضعيف است، و خبر ديگرى كه مفهوم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احتمال محقق تقى</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حاشيه مكاسب،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سماعه در مورد رخصت در سوگند در غير محل ادعا و قضاوت و بدون نظر به راستگو و دروغگو صادر شده است، بنابراين خارج از محل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اينها، اين اشكال هست كه هرچند نسبت آنها عموم من وجه است، به دليل اظهريت اين مطلقات اين بر مفهوم خبر سماعه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خبر سماعه مقدم شود و حكم به اختصاص جواز سوگند دروغ در صورت اكراه و اضطرار داده شود، لازم مى‌آيد</w:t>
      </w:r>
    </w:p>
    <w:p>
      <w:pPr>
        <w:pStyle w:val="BookText"/>
        <w:rPr/>
      </w:pPr>
      <w:r>
        <w:rPr>
          <w:rFonts w:ascii="Amiri" w:hAnsi="Amiri" w:eastAsia="Amiri" w:cs="Amiri"/>
          <w:color w:val="111111"/>
          <w:sz w:val="28"/>
          <w:sz w:val="28"/>
          <w:szCs w:val="28"/>
          <w:rtl w:val="true"/>
          <w:lang w:bidi="ar-SA"/>
        </w:rPr>
        <w:t xml:space="preserve">عناوين مأخوذه در 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دروغ براى دفع ضرر مالى يا جسمى از خود و برادر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شوند، و اين خلاف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لازمه مقدم بودن مطلقات، تقييد مفهوم خبر سماعه است، و بى‌شك اوّلى متعين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خبر سماعه مستلزم لغو بودن تعليق حكم بر عناوين مأخوذه در مطلقات، و عدم ورود آنها در حكم است؛ و اين بر خلاف حالتى است كه در صورت تقدم مطلقات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اعتبار اين قيد در جواز قسم خوردن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اشاره نشدن به آن در آن اخبار فراوان، به ويژه در قضيه عمار و والدينش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به كفر اجبار كردند، و عمار آنچه خواستند را برايشان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هر كس بعد از آنكه به خدا ايمان آورده باز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پس پيامبر صلى الله عليه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عليه تو بازگشتند، پس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وجودى كه نسبت به عمار شفقت داشت، و دانست كه او بدون توريه براى بر زبان آوردن الفاظ كفر مجبور شده است، او را به سوى توريه سوق نداد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w:t>
      </w:r>
      <w:r>
        <w:rPr>
          <w:rStyle w:val="FootnoteAnchor"/>
          <w:rtl w:val="true"/>
        </w:rPr>
        <w:footnoteReference w:id="24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اصحاب عدم تمكن از توريه را در جواز دروغ معتبر دانسته‌اند، و آن را در فساد عقود و ايقاعاتى كه به آن مجبور شده‌اند، معتبر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كلام تعدادى از آنان ادعاى اجماع بر عدم اعتبار آن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ايراد بر آنان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مثلاً به خريد مجبور شده است، و مى‌تواند اراده معنا ننمايد، به تلفظ به صيغه اجبار شده است نه به بيع حقيقى كه متقوم به اراده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معنا كند و توريه نكرده باشد، به اختيار و اراده خود بيع را انجام داده است، در نتيجه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آن</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اين دو مقام تفاوت وجود دارد، و اجمال آن به 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مسوغ دروغ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نصوص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ناچارى است، و اين عنوان با تمكن از خلاص شدن به واسطه توريه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رافع اثر معامله،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سبب بيع خارجى عنوان اجبارشونده به او صدق كند، صحيح نخواهد بود، چون اكراه به خود معامله و واقعيت آن تعلق گرفته است، پس هنگامى كه اجبارشونده آن را ايجاد مى‌كند، در واقع همان چيزى كه به آن مجبور شده است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اثرش به واسطه اجبار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 كسانى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زده‌اند، يعنى محقق شيرازى</w:t>
      </w:r>
      <w:r>
        <w:rPr>
          <w:rStyle w:val="FootnoteAnchor"/>
          <w:rtl w:val="true"/>
        </w:rPr>
        <w:footnoteReference w:id="246"/>
      </w:r>
      <w:r>
        <w:rPr>
          <w:rFonts w:ascii="Amiri" w:hAnsi="Amiri" w:eastAsia="Amiri" w:cs="Amiri"/>
          <w:color w:val="111111"/>
          <w:sz w:val="28"/>
          <w:sz w:val="28"/>
          <w:szCs w:val="28"/>
          <w:rtl w:val="true"/>
          <w:lang w:bidi="ar-SA"/>
        </w:rPr>
        <w:t>و محقق ايروانى</w:t>
      </w:r>
      <w:r>
        <w:rPr>
          <w:rStyle w:val="FootnoteAnchor"/>
          <w:rtl w:val="true"/>
        </w:rPr>
        <w:footnoteReference w:id="247"/>
      </w:r>
      <w:r>
        <w:rPr>
          <w:rFonts w:ascii="Amiri" w:hAnsi="Amiri" w:eastAsia="Amiri" w:cs="Amiri"/>
          <w:color w:val="111111"/>
          <w:sz w:val="28"/>
          <w:sz w:val="28"/>
          <w:szCs w:val="28"/>
          <w:rtl w:val="true"/>
          <w:lang w:bidi="ar-SA"/>
        </w:rPr>
        <w:t>، به آن اشكال كرده‌اند، كه ماحصل آن به شرح ذيل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فرق در صورت تحقق، بين اجبار و اضطرار است، و درست بودن آن در اين بحث، مبتنى بر عدم شمول نفى اجبار به دروغ، وقتى به آن مجبور مى‌شود،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نفى اضطرار به </w:t>
      </w:r>
    </w:p>
    <w:p>
      <w:pPr>
        <w:pStyle w:val="BookText"/>
        <w:rPr/>
      </w:pPr>
      <w:r>
        <w:rPr>
          <w:rFonts w:ascii="IRNazanin" w:hAnsi="IRNazanin" w:eastAsia="IRNazanin"/>
          <w:color w:val="111111"/>
          <w:sz w:val="28"/>
          <w:sz w:val="28"/>
          <w:szCs w:val="28"/>
          <w:rtl w:val="true"/>
          <w:lang w:bidi="fa-IR"/>
        </w:rPr>
        <w:t>شمول آن اختصاص مى‌يابد، و اين از چيزهايى است كه نمى‌توان به آن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نسبتش با هر يك از دو دليل رفع اكراه و اضطرار مساوى است، پس به هر وجهى موجب تصرف در دليل حرمت دروغ به واسطه ادله اضطرار، و تصرف در ادله عقود و ايقاعات به واسطه ادله اكراه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منظور شيخ درباره تفاوت مبحث اكراه ميان اين دو مقام در كتاب بيع</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غير از آن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فهميده‌اند و بر آن ايراد وارد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كلام او</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كه رافع اثر معاملات است، وسيع‌تر از اكراهى است كه مسوغ محرمات است، چون خاستگاه اولى طيب نفس نداشتن، و خاستگاه دومى دفع ضرر اجباركننده از اجبارشونده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اجبار، جبر و ناچارى متبادر مى‌شود، و اكراه در حديث رفع بر همين معنا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فرق ميان آن و ميان اضطرارى كه در آن حديث به آن توجه داده شده، اختصاص دادن اضطرار به نتيجه‌اى كه از فعل غير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گرسنگى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اختصاص دادن اكراه به آنچه از فعل غير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جز حديث رفع و مشابهات آن، مسوغى براى ارتكاب محرمات وجود ندارد، ارتكاب محرمات جايز نيست مگر در صورتى كه ناچارى و ضرورت پيش بيايد، و اين عنوان با امكان خلاص شدن به واسطه توريه صدق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صحت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عدم اكراه به معنايى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با رضايت خاطر معتبر است، و آيه شريفه و نصوص فراوانى بر آن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عدم ترتب آثارش بر آن، اكراه هرچند به حد ناچارى و اضطرار نرسد در مقابل رضايت خاطر قرار مى‌گيرد، و اين گاهى با امكان خلاص شدن به غير آن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فردى كه در جاى خاصى كه هيچ‌كس نيست، نشسته و مشغول عبادت يا مطالعه است، و كسى مى‌آيد و او را مجبور مى‌كند چيزهايى كه دارد را بفروشد، و او در اين حال قادر به دفع ضرر آن شخص نيست، و او براى خروج از آنجا اكراه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خارج شود بيرون از آن‌جا خدمتكارانى دارد كه براى مقابله با شر اجباركننده كفايت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اينجا صدق اجبار، به معناى عدم رضايت خاطر از فروش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مثال فرض شود كه او را به كار حرامى اجبار كنند، به صرف كراهت داشتن از خروج از آن‌جا معذور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بحث، در صورتى كه مجبور به دروغ شود، در حالى كه مى‌تواند با توريه خلاص شود، اجبار صدق نمى‌كند، چون مسوغ ارتكاب حرام، ناچارى و ضرورت است كه در اين فرض صادق نيست؛ و اگر براى انجام معامله مجبور شود، معامله به او اجبار شده است، و نهايت امر اين است كه اجبارشونده قادر است با ايقاع صورت بدون اراده معنا از آن خلاص شود، اما به او اجبار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اكراه در آن معتبر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نهايت سخنى است كه در توجيه كلام او مى‌توان گفت، و به اين ترتيب ايراد سابق الذكر برطرف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 مسأله بر سخن قدس سره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نبودن تفاوت مذكور؛ زيرا رضايت خاطرى كه در صحت عقود و ايقاعات معتبر است فقط در مقابل ناچارى و اجبار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سابق الذكر اگر اجبارشونده به بيع، آن را بفروشد، اين به عنوان اوليه است هرچند به آن رضايت نداشته باشد؛ اما بعد از ملاحظه عناوين ثانويه مانند اينكه او نمى‌خواهد از آن مكان خارج شود و ناچار به معامله رضايت مى‌دهد، اگر معامله را انجام دهد، صدورش از سر رضايت و طيب نفس و استقلال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از اين جهت كه نسبت به آنچه انجام داده، رضايت خاطر نداشته، بدون استقلال شمرده نمى‌شود، و اگر عذر بياورد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رضايت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معامله ناچاركننده و مضطركننده‌اى وجود نداشت، پس چگونه معامله را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معامله از روى رضايت خاطر و طيب نفس، چيزى جز آنچه در مقابل ناچارى و اكراه قرار دارد،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محقق شود، اين بحث از مصاديق اجبار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است كه مى‌تواند به واسطه توريه خلاص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مثالى كه خدمتكارانش نزدش حاضر هستند، و دفع ضرر اجبار شخص متوقف بر دستور دادن به خدمتكارانش براى بيرون كردن و طرد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او قدس سره در كتاب بيع پذيرفته است كه اجبار در حق آن شخص محقق نمى‌شود، و اگر چنين ادعايى كند، دروغ مى‌گويد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ميان اين دو مقام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قدس سره مى‌گويد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تحمل ضرر مالى كه خسارت ندارد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براى دفع ضرر مالى، اگر ضرر به آن صدق كند جايز است، و در غير اين صورت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استحباب تحمل ضرر و دروغ نگفتن در برخى موارد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عليه السلام در نهج البلاغه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ايمان، اين است كه راستگويى را هر چند به زيان تو باشد بر دروغگويى، گرچه به سود تو باشد، ترجيح دهى</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كه به آن براى مطلب فوق استدلال مى‌شود، و دلالتى بر آن ندارد، چون به واسطه تقابل ميان راست زيان‌بار با دروغ سودآور، مى‌بايست ضرر بر اراده عدم نفع، يا نفع بر اراده عدم ضرر حمل شود، و در صورتى كه اولى اگر اظهر نباشد، شكى نيست كه كلام مجمل است، پس استدلال به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بنابر اولى دروغ و حرام مى‌شود، و تركش در اين حالت علامت ايمان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سخن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بيگانه از اين بحث است، يا مجمل است و نمى‌توان به آن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دو مقام هنوز باقى مى‌ماند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صادره از ائمه عليه السلام در بيان احكام در مقام تقيه بر اراده خلاف ظواهرشان، يا به دروغ مصلحتى حمل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252"/>
      </w:r>
      <w:r>
        <w:rPr>
          <w:rFonts w:ascii="Amiri" w:hAnsi="Amiri" w:eastAsia="Amiri" w:cs="Amiri"/>
          <w:color w:val="111111"/>
          <w:sz w:val="28"/>
          <w:sz w:val="28"/>
          <w:szCs w:val="28"/>
          <w:rtl w:val="true"/>
          <w:lang w:bidi="ar-SA"/>
        </w:rPr>
        <w:t>معتبر دانسته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سزاوارتر به شأن آنان، اوّلى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قول به استقلال عقل در قبح دروغ است، حتى در جايى كه عنوانى كه شارع اقدس آن را جايز دانسته است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گفتيم چنين نيست، و در مواردى كه شارع اعلام جواز كرده است، عقل فى نفسه در تشخيص قبح آن مستقل نيست، بلكه آن را به دليل ارتكاب اقل قبيحين جايز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نصوص وارده در مورد تقيه، بدون آوردنِ قرينه‌اى كه در شأن آنها باشد، بر اراده خلاف ظواهرشان حمل نمى‌شوند، بلكه آن و دروغ از روى مصلحت، يكسان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بين تقيه و حمل بر استحباب داير شود، مثلاً در امر به وضو در نتيجه بعضى از چيزهايى كه عامه آن را حدث عنوان مى‌كنند، آيا چنانكه شيخ</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دومى متعين است؟</w:t>
      </w:r>
    </w:p>
    <w:p>
      <w:pPr>
        <w:pStyle w:val="BookText"/>
        <w:rPr/>
      </w:pPr>
      <w:r>
        <w:rPr>
          <w:rFonts w:ascii="IRNazanin" w:hAnsi="IRNazanin" w:eastAsia="IRNazanin"/>
          <w:color w:val="111111"/>
          <w:sz w:val="28"/>
          <w:sz w:val="28"/>
          <w:szCs w:val="28"/>
          <w:rtl w:val="true"/>
          <w:lang w:bidi="fa-IR"/>
        </w:rPr>
        <w:t>خلاصه سخن 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بين حمل بر تقيه يا استحباب داير است، بر چند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بيان حكم تكليفى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امر داير است بين اينكه بر ظاهر وجوبى‌اش باقى باشد و حمل بر تقيه شود يا استحباب از آن اراده شود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قسم، حمل بر استحباب مى‌شود، نه از جهت تعليلى كه شيخ</w:t>
      </w:r>
      <w:r>
        <w:rPr>
          <w:rStyle w:val="FootnoteAnchor"/>
          <w:rtl w:val="true"/>
        </w:rPr>
        <w:footnoteReference w:id="254"/>
      </w:r>
      <w:r>
        <w:rPr>
          <w:rFonts w:ascii="IRNazanin" w:hAnsi="IRNazanin" w:eastAsia="IRNazanin"/>
          <w:color w:val="111111"/>
          <w:sz w:val="28"/>
          <w:sz w:val="28"/>
          <w:szCs w:val="28"/>
          <w:rtl w:val="true"/>
          <w:lang w:bidi="fa-IR"/>
        </w:rPr>
        <w:t xml:space="preserve">عنوان كرده است كه تقيه منجر به اراده مجاز و اخفاى قرينه مى‌شود، بلكه به اين دليل كه حقيقت استحباب چيزى جز امر به فعل با ترخيص در ترك آن نيست، در مقابل وجوبى كه امر به </w:t>
      </w:r>
    </w:p>
    <w:p>
      <w:pPr>
        <w:pStyle w:val="BookText"/>
        <w:rPr/>
      </w:pPr>
      <w:r>
        <w:rPr>
          <w:rFonts w:ascii="Amiri" w:hAnsi="Amiri" w:eastAsia="Amiri" w:cs="Amiri"/>
          <w:color w:val="111111"/>
          <w:sz w:val="28"/>
          <w:sz w:val="28"/>
          <w:szCs w:val="28"/>
          <w:rtl w:val="true"/>
          <w:lang w:bidi="ar-SA"/>
        </w:rPr>
        <w:t>انجام فعل با عدم ترخيص در ترك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از ترخيص در ترك و عدم ترك مأموربه انتزاع مى‌شوند، و در غير اين صورت امر در هر دو مورد در معناى واحد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امر درباره چيزى وارد مى‌شود و از بيرون علم به عدم وجوب آن حاصل مى‌گردد، بر استحباب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بيان حكم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مذى ناقض وضوء دانسته شده، امر بين حمل آن بر تقيه يا بر اراده استحباب وضو بعد از مذى داير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متعين حمل بر تقيه است، چون اراده استحباب در چنين جمله‌اى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امر به كارى، و ظاهرش راهنمايى به يك حكم وضعى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مثلاً به وضو بعد از مذى امر كند، از اين حيث كه ظاهر آن ارشاد به ناقضيت مذى براى وضو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 اگر امر داير شود بين حمل بر استحباب به اراده خلاف ظاهر امر از آن، يا حمل آن بر تقيه؛ از آنجا كه امر بين الغاء اصالت ظهور و بين الغاء اصالت تطابق اراده جدى نسبت به اراده استعمالى داير شده است، و مرجعى براى يكى از آن دو نسبت به ديگرى نيست، هر دو ساقط مى‌شوند، و اعتماد به هيچ يك از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براى حمل بر استحباب در اين مورد وجود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گفتيم، از قول فصل، مطالب استاد اعظم و ساير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روشن مى‌شود</w:t>
      </w:r>
      <w:r>
        <w:rPr>
          <w:rFonts w:eastAsia="IRNazanin" w:cs="IRNazanin"/>
          <w:color w:val="111111"/>
          <w:sz w:val="28"/>
          <w:szCs w:val="28"/>
          <w:rtl w:val="true"/>
          <w:lang w:bidi="fa-IR"/>
        </w:rPr>
        <w:t xml:space="preserve">. </w:t>
      </w:r>
      <w:bookmarkStart w:id="178" w:name="pg7423_74416"/>
    </w:p>
    <w:p>
      <w:pPr>
        <w:pStyle w:val="Heading4"/>
        <w:numPr>
          <w:ilvl w:val="3"/>
          <w:numId w:val="1"/>
        </w:numPr>
        <w:rPr/>
      </w:pPr>
      <w:bookmarkStart w:id="179" w:name="__RefHeading___Toc1682900_1051229030"/>
      <w:bookmarkStart w:id="180" w:name="_Toc62"/>
      <w:bookmarkEnd w:id="178"/>
      <w:bookmarkEnd w:id="179"/>
      <w:r>
        <w:rPr/>
        <w:t>2</w:t>
      </w:r>
      <w:r>
        <w:rPr>
          <w:rtl w:val="true"/>
        </w:rPr>
        <w:t xml:space="preserve">: </w:t>
      </w:r>
      <w:r>
        <w:rPr>
          <w:rtl w:val="true"/>
        </w:rPr>
        <w:t>دروغ در جهت اصلاح</w:t>
      </w:r>
      <w:bookmarkEnd w:id="180"/>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كه دروغ براى اصلاح ميان دو متخاصم، جايز است، اختلافى وجود ندارد، و تعدادى از نصوص بر اين امر شهادت مى‌دهند،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معاوية بن عمار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 دروغگو نيست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16231</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عيسى بن حسّان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دروغگو در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دروغش سؤال مى‌شود جز در سه جا؛ يكى مردى كه در نبرد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زند كه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مردى كه ميان دو نفر را سازش دهد و اصلاح كند، و با هريك از طرفين به صورت متفاوتى برخورد كند، و مقصودش از اينكار اصلاح ميانه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مردى كه به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وعده دهد و قصد انجام دادن آن را نداشته باشد</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و ساير رواياتى كه در اين زمينه وجود دارد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استدلال كرد كه خداوند متعال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به حقيقت مؤمنان همه </w:t>
      </w:r>
    </w:p>
    <w:p>
      <w:pPr>
        <w:pStyle w:val="BookText"/>
        <w:rPr/>
      </w:pPr>
      <w:r>
        <w:rPr>
          <w:rFonts w:ascii="IRNazanin" w:hAnsi="IRNazanin" w:eastAsia="IRNazanin"/>
          <w:color w:val="111111"/>
          <w:sz w:val="28"/>
          <w:sz w:val="28"/>
          <w:szCs w:val="28"/>
          <w:rtl w:val="true"/>
          <w:lang w:bidi="fa-IR"/>
        </w:rPr>
        <w:t>برادر يكديگرند پس هميشه بين برادران ايمانى خود صلح دهيد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فرمان اصلاح داده است، و مقتضى اطلاق آن امر مطلوبيت اصلاح است، اگر چه به دروغ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با عموم آنچه دالّ بر حرمت دروغ است تعارض پيدا مى‌كند به عموم من وجه، و ترجيح با آيه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اصل حكم ترديد نمى‌شود، اما بحث در چند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دروغ براى اصلاح، و نيز براى جلب نفع برادران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آن سخن شيخ صدوق در كتاب الاخوان به سند از امام رضا عليه السلام بيان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با سخن راست خود ضربه‌اى به برادر مؤمن وارد مى‌آورد پس در پيشگاه خدا كذاب محسوب مى‌شود، و شخصى به منظور دستيابى برادر مؤمن خود به خير و منفعت، دروغ مى‌گويد پس در پيشگاه خدا صادق قلمداد مى‌گردد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ايراد دارد، و اصحاب از آن اعراض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اطلاقى كه نسبت به شمول دروغ به منظور اصلاح دارد، دالّ بر جواز دروغ به جهت سودداشتن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نسبت ميان آن و ميان مفهوم حصر در تعدادى از روايات كه جواز دروغ را سه مورد برشمرده‌اند، عموم من وجه است، و رجحان با آن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جواز آن در اين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دروغ براى تحبيب غير متحابين از موارد دروغ براى اصلاح شمرده مى‌شود يا نه؟ دو وجه وجود دارد، كه دومى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اصلاح، رفع بغض ميان دو نفر است، و سبق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صرفاً به منظور ايجاد مودت، دليل جواز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مفهوم اصلاح، بغض از سوى يك نفر كفايت مى‌كند، و مطلقات آن را دربرمى‌گيرند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محل ورود مرسل واسطى به نقل از امام صادق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و اصلاح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اصلاح ميان مردم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سخنى درباره ديگرى مى‌شنوى كه اگر سخن به گوش او برسد،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ديگرى را مى‌بينى و بر خلاف آنچه شنيده‌اى، به او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فلانى شنيدم كه در خوبى تو چنين و چنان مى‌گفت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وَكِذبٌ وَ 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فَتَلقاهُ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 كَذا، خِلافَ ما سَمِعتَ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16234</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شخصى كه درباره او سخنى گفته شده، از شخص متكلم ناراحت مى‌شود، اما كلام شخص متكلم، مستلزم ناراحتى دوستش نيست؛ چون چه بسا كلام او جزء چيزهايى باشد كه از روى بغض گفته نشده است و از قبيل نفى اجتهاد يا نفى عدالت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دروغ براى اصلاح، تفاوتى ندارد مصلح </w:t>
      </w:r>
    </w:p>
    <w:p>
      <w:pPr>
        <w:pStyle w:val="BookText"/>
        <w:rPr/>
      </w:pPr>
      <w:r>
        <w:rPr>
          <w:rFonts w:ascii="IRNazanin" w:hAnsi="IRNazanin" w:eastAsia="IRNazanin"/>
          <w:color w:val="111111"/>
          <w:sz w:val="28"/>
          <w:sz w:val="28"/>
          <w:szCs w:val="28"/>
          <w:rtl w:val="true"/>
          <w:lang w:bidi="fa-IR"/>
        </w:rPr>
        <w:t>يكى از دو متخاصم باشد يا شخص سومى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بعيد نيست حكم درباره اينكه مصلح يكى از دو متخاصم باشد تأكيد بيشترى داشته باشد، به دليل خبرى كه حمران از امام صادق عليه السلام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دو مؤمنى بيش از سه روز با يكديگر قهر نكردند، مگر اينكه در روز سوم من از آن دو بيزار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ظالم و مقصّر است،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مظلوم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مظلوم پيش مقصّر نمى‌رود و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منم، تا آشتى كنند؟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مُؤْمِنَيْنِ اهْتَجَرَا فَوْقَ ثَلَاثٍ إِلَّا وَ بَرِئْتُ مِنْهُمَا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الظَّالِمِ فَمَا بَالُ الْمَظْلُومِ؟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الْمَظْلُومِ لَا يَصِيرُ إِلَى الظَّالِمِ فَيَقُولُ أَنَا الظَّالِمُ حَتَّى يُصْلِحَا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16260</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پرواضح است كه حرف مظلوم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نمونه‌هاى ديگر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26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فراوان</w:t>
      </w:r>
      <w:r>
        <w:rPr>
          <w:rStyle w:val="FootnoteAnchor"/>
          <w:rtl w:val="true"/>
        </w:rPr>
        <w:footnoteReference w:id="262"/>
      </w:r>
      <w:r>
        <w:rPr>
          <w:rFonts w:ascii="IRNazanin" w:hAnsi="IRNazanin" w:eastAsia="IRNazanin"/>
          <w:color w:val="111111"/>
          <w:sz w:val="28"/>
          <w:sz w:val="28"/>
          <w:szCs w:val="28"/>
          <w:rtl w:val="true"/>
          <w:lang w:bidi="fa-IR"/>
        </w:rPr>
        <w:t>، جواز وعده دروغ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به دليل شمول خود در مواردى كه وعده به شيوه خبر دادن گفته شده، موجب مى‌شوند آنچه دلالت بر حرمت دروغ مى‌كند قيد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آنچه دلالت بر لزوم وفاى به وعده يا رجحان آن را دارد، را نيز قيد مى‌زند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7423_74421"/>
      <w:bookmarkStart w:id="182" w:name="pg7423_74421"/>
      <w:bookmarkEnd w:id="182"/>
    </w:p>
    <w:p>
      <w:pPr>
        <w:pStyle w:val="Heading2"/>
        <w:numPr>
          <w:ilvl w:val="1"/>
          <w:numId w:val="1"/>
        </w:numPr>
        <w:rPr/>
      </w:pPr>
      <w:bookmarkStart w:id="183" w:name="pg7423_74421"/>
      <w:bookmarkStart w:id="184" w:name="__RefHeading___Toc1682902_1051229030"/>
      <w:bookmarkStart w:id="185" w:name="_Toc63"/>
      <w:bookmarkEnd w:id="183"/>
      <w:bookmarkEnd w:id="184"/>
      <w:r>
        <w:rPr>
          <w:rtl w:val="true"/>
        </w:rPr>
        <w:t>فصل چهارم</w:t>
      </w:r>
      <w:r>
        <w:rPr>
          <w:rtl w:val="true"/>
        </w:rPr>
        <w:t xml:space="preserve">: </w:t>
      </w:r>
      <w:r>
        <w:rPr>
          <w:rtl w:val="true"/>
        </w:rPr>
        <w:t>مدح كسى كه شايسته آن نيست</w:t>
      </w:r>
      <w:bookmarkEnd w:id="1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682904_1051229030"/>
      <w:bookmarkStart w:id="187" w:name="_Toc64"/>
      <w:bookmarkEnd w:id="186"/>
      <w:r>
        <w:rPr>
          <w:rtl w:val="true"/>
        </w:rPr>
        <w:t>اشاره</w:t>
      </w:r>
      <w:bookmarkEnd w:id="1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423_74423"/>
      <w:bookmarkStart w:id="189" w:name="pg7423_74423"/>
      <w:bookmarkEnd w:id="189"/>
    </w:p>
    <w:p>
      <w:pPr>
        <w:pStyle w:val="Heading3"/>
        <w:numPr>
          <w:ilvl w:val="2"/>
          <w:numId w:val="1"/>
        </w:numPr>
        <w:rPr/>
      </w:pPr>
      <w:bookmarkStart w:id="190" w:name="pg7423_74423"/>
      <w:bookmarkStart w:id="191" w:name="__RefHeading___Toc1682906_1051229030"/>
      <w:bookmarkStart w:id="192" w:name="_Toc65"/>
      <w:bookmarkEnd w:id="190"/>
      <w:bookmarkEnd w:id="191"/>
      <w:r>
        <w:rPr>
          <w:rtl w:val="true"/>
        </w:rPr>
        <w:t>حكم مدح كسى كه شايسته مدح نيست</w:t>
      </w:r>
      <w:bookmarkEnd w:id="192"/>
    </w:p>
    <w:p>
      <w:pPr>
        <w:pStyle w:val="BookText"/>
        <w:rPr/>
      </w:pPr>
      <w:r>
        <w:rPr>
          <w:rFonts w:ascii="Amiri" w:hAnsi="Amiri" w:eastAsia="Amiri" w:cs="Amiri"/>
          <w:color w:val="111111"/>
          <w:sz w:val="28"/>
          <w:sz w:val="28"/>
          <w:szCs w:val="28"/>
          <w:rtl w:val="true"/>
          <w:lang w:bidi="ar-SA"/>
        </w:rPr>
        <w:t>مدح كسى كه شايسته مدح نيست، يا مستحق مذمت است، را شيخ انصارى در بخش مكاسب محرمه كتاب مكاسب خود مطرح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با جمله خبريه از چيزى كه در فرد نيست، به مثابه دروغ شمرده مى‌شود، و هر آنچه بر حرمت دروغ دلالت دارد، بر حرمت اين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مدحى كه از آنچه در فرد است صورت گرفته، يا مدح به جمله انشائيه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منظور از كسى كه شايسته مدح نيست، كسى است كه به دليل كفر و عصيانش دشمن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براى حرمت آن به چند امر استدلال كرده است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 به قبح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آن را درك مى‌كند، اما معلوم نيست به نحوى باشد كه مستلزم حرمت شرعى باشد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تا وقتى عنوان حرام ديگرى بر آ ن منطبق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تقويت ظالم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نظر اخلاقى زشت مى‌داند </w:t>
      </w:r>
    </w:p>
    <w:p>
      <w:pPr>
        <w:pStyle w:val="BookText"/>
        <w:rPr/>
      </w:pPr>
      <w:r>
        <w:rPr>
          <w:rFonts w:ascii="Amiri" w:hAnsi="Amiri" w:eastAsia="Amiri" w:cs="Amiri"/>
          <w:color w:val="111111"/>
          <w:sz w:val="28"/>
          <w:sz w:val="28"/>
          <w:szCs w:val="28"/>
          <w:rtl w:val="true"/>
          <w:lang w:bidi="ar-SA"/>
        </w:rPr>
        <w:t>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نيز جزء كسانى نيست كه به دليل بدعت در دين برائت از او واجب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تَرْكَنُوا إِلَى الَّذِينَ ظَلَمُوا فَتَمَسَّكُمُ النّارُ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با ظالمان همدست و دوست و بدان‌ها دلگرم باشيد و گر نه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هم خواهد گرفت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ركون عبارت از تمايل به آنان است، پس در صورتى كه ميل قلبى حرام باشد، مدح به طريق اولى حرام است، زيرا مدح از مصاديق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ميل اعم از ميل قلبى و ميل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ميل به ظالم نهى شده است، نه از ميل به مطلق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عاصى ظالم شمرده مى‌شود، به حسب متفاهم عرفى كسى متبادر است كه ظالم گفتن به او رواج دارد، يعنى حاكم جائر يا كسى كه به واسطه ظلم ديگرى مثل جنايت يا سرقت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روايت صحيح ابوحمزه از امام سجاد عليه السلام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همنشينى با گنهكاران و يارى ستمگران بپرهيزيد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نشانه تعدد است، بنابراين به اين بحث ربطى ندارد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برخى مصاديق مدح كسى كه مستحق مدح نيست به دليل اينكه ميل به ظالم است حرام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صدوق از پيامبر اكرم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صاحب دنيا را بزرگ بشمرد و روى طمع، او را دوست بدارد مشمول غضب بارى‌تعالى خواهد بود و با قارون در پست‌ترين جايگاه آتش خواهد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صَاحب دُنيا و أَحَبَّهُ لِطَمَعِ دُنياهُ سَخَطَ اللهُ عَلَيهِ وَ كانَ في دَرَجة مَعَ قاروُن في التّابُوتِ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22302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مدح از مصاديق بزرگ شمردن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خبر به دليل حضور حفص بن عايشه كوفى و ديگران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دستِكم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حرف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فقيهى به حرمت تعظيم صاحب مال از روى طمع در مال او، فتوا نداده است، خصوصا وقتى كه جزء اطاعت‌كنندگان خدا باشد، بلكه سيره بر جواز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 اين اطلاق بر كسى كه فقط مال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ساير عبارات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سبيل اين خبر همانند سبيل خبر بعدى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و سلم در حديث مناهى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حاكم ستمگرى را مدح كند و خود را در مقابل او كوچك شمارد، همنشين وى در آتش خواهد بود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خبر ضعيف است، چنانچه گذشت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مدح سلطان جائر است</w:t>
      </w:r>
      <w:r>
        <w:rPr>
          <w:rFonts w:eastAsia="Amiri" w:cs="Amiri" w:ascii="Amiri" w:hAnsi="Amiri"/>
          <w:color w:val="111111"/>
          <w:sz w:val="28"/>
          <w:szCs w:val="28"/>
          <w:rtl w:val="true"/>
          <w:lang w:bidi="ar-SA"/>
        </w:rPr>
        <w:t xml:space="preserve">. </w:t>
      </w:r>
      <w:bookmarkStart w:id="193" w:name="pg7423_74426"/>
    </w:p>
    <w:p>
      <w:pPr>
        <w:pStyle w:val="BookText"/>
        <w:rPr/>
      </w:pPr>
      <w:bookmarkEnd w:id="193"/>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دلالت دليلى بر حرمت مدح كسى كه مستحق مدح نيست، حرمتش مختص به جايى است كه براى دفع ضرر به مدح اجبار نشده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شكى در جواز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امر، علاوه بر اختصاص دو خبر به غير اين مورد، عموم ادله تقيه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خبر بر جواز مدح در هر ترس و ضرورتى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استدلال به آن، به بخشى از نصوص وارده استناد كرده‌ا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بدترين مردم در روز قيامت كسانى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شرّشان مورد اكرام و احترام واقع مى شوند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پوشيده نيست، دالّ بر جواز اكرام كسانى است كه مورد اكرام واقع شده‌اند</w:t>
      </w:r>
      <w:r>
        <w:rPr>
          <w:rFonts w:eastAsia="IRNazanin" w:cs="IRNazanin"/>
          <w:color w:val="111111"/>
          <w:sz w:val="28"/>
          <w:szCs w:val="28"/>
          <w:rtl w:val="true"/>
          <w:lang w:bidi="fa-IR"/>
        </w:rPr>
        <w:t>.</w:t>
      </w:r>
    </w:p>
    <w:p>
      <w:pPr>
        <w:pStyle w:val="Heading3"/>
        <w:numPr>
          <w:ilvl w:val="2"/>
          <w:numId w:val="1"/>
        </w:numPr>
        <w:rPr/>
      </w:pPr>
      <w:bookmarkStart w:id="194" w:name="__RefHeading___Toc1682908_1051229030"/>
      <w:bookmarkStart w:id="195" w:name="_Toc66"/>
      <w:bookmarkEnd w:id="194"/>
      <w:r>
        <w:rPr>
          <w:rtl w:val="true"/>
        </w:rPr>
        <w:t>حرمت كمك به ظالمان</w:t>
      </w:r>
      <w:bookmarkEnd w:id="195"/>
    </w:p>
    <w:p>
      <w:pPr>
        <w:pStyle w:val="BookText"/>
        <w:rPr/>
      </w:pPr>
      <w:r>
        <w:rPr>
          <w:rFonts w:ascii="IRNazanin" w:hAnsi="IRNazanin" w:eastAsia="IRNazanin"/>
          <w:color w:val="111111"/>
          <w:sz w:val="28"/>
          <w:sz w:val="28"/>
          <w:szCs w:val="28"/>
          <w:rtl w:val="true"/>
          <w:lang w:bidi="fa-IR"/>
        </w:rPr>
        <w:t xml:space="preserve">كلمات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اين است كه كمك به ظالمان در ظلمشان حرام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چند بحث وجود دارد كه در ادامه به آن خواهيم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بحثى در اين نيست كه كمك به ظالمان در ظلمشان حرام است، و ادله اربعه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همان‌طور كه در تشخيص قبح ظلم مستقل است، در تشخيص قبح كمك به ظالم در ظلمش نيز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تَرْكَنُوا إِلَى الَّذِينَ ظَلَمُوا فَتَمَسَّكُمُ النّارُ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با ظالمان همدست و دوست و بدان‌ها دلگرم باشيد و گر نه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هم خواهد گرفت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از آنجا كه ركون عبارت از ميل است، آيه به طريق اولى دلالت بر حرمت 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منظور از آن، ورود در ظلم ظالمان همراه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فراوانى وجود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ابوحمزه از امام سجاد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همنشينى با گنهكاران و يارى ستمگران بپرهيزيد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طلحه بن زيد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ظلم كند، و كسى كه ظالم را كمك مى‌كند، و كسى كه بر آن ظلم رضايت دارد، همه شريك يكديگرند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ديگرى مانند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تقسيم گناهان به كبيره و صغيره، يارى ظالمان جزء كباير است، زيرا در قرآن و در رواياتى كه شيخ به برخى از آنها اشاره كرده، نسبت به آن وعيد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ظالم، چنانكه در مبحث پيش گفته شد، كسى است كه به ديگرى ظلم مى‌كند، و كسى كه با گناه به خود ظلم مى‌كند را دربرنمى‌گيرد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باب حرمت كمك به ظالمان به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عَلَى الْإِثْمِ وَ الْعُدْوانِ ؛ و در گناه و ستمكارى دستيار هم نشويد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استدلال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كمك بر گناه گفتيم كه تعاون غير از اعانه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مبحث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كه شخص به ياور ظالمان بودن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ادله در پيش گفته‌شده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نصوص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كاهلى از 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در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نام‌نويسى كند خدا او را خوك محشور خواهد كرد</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و روايات ديگر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بعد خواهيم گفت كه بخشى از نصوص دلالت دارند حرام است شخص ياريگر ظالمان باشد، حتى اگر </w:t>
      </w:r>
    </w:p>
    <w:p>
      <w:pPr>
        <w:pStyle w:val="BookText"/>
        <w:rPr/>
      </w:pPr>
      <w:r>
        <w:rPr>
          <w:rFonts w:ascii="IRNazanin" w:hAnsi="IRNazanin" w:eastAsia="IRNazanin"/>
          <w:color w:val="111111"/>
          <w:sz w:val="28"/>
          <w:sz w:val="28"/>
          <w:szCs w:val="28"/>
          <w:rtl w:val="true"/>
          <w:lang w:bidi="fa-IR"/>
        </w:rPr>
        <w:t>كارش به ظلم او مربوط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 محققان شيرازى در حرمت اينكه شخص ياريگر ظالم باشد، حتى اگر در موردى باشد كه به مظالم او مرتبط نيست، بلكه فتوا دادن به جواز آن؛ در غير محل خويش است</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423_74431"/>
      <w:bookmarkStart w:id="197" w:name="pg7423_74431"/>
      <w:bookmarkEnd w:id="197"/>
    </w:p>
    <w:p>
      <w:pPr>
        <w:pStyle w:val="Heading2"/>
        <w:numPr>
          <w:ilvl w:val="1"/>
          <w:numId w:val="1"/>
        </w:numPr>
        <w:rPr/>
      </w:pPr>
      <w:bookmarkStart w:id="198" w:name="pg7423_74431"/>
      <w:bookmarkStart w:id="199" w:name="__RefHeading___Toc1682910_1051229030"/>
      <w:bookmarkStart w:id="200" w:name="_Toc67"/>
      <w:bookmarkEnd w:id="198"/>
      <w:bookmarkEnd w:id="199"/>
      <w:r>
        <w:rPr>
          <w:rtl w:val="true"/>
        </w:rPr>
        <w:t>فصل پنجم</w:t>
      </w:r>
      <w:r>
        <w:rPr>
          <w:rtl w:val="true"/>
        </w:rPr>
        <w:t xml:space="preserve">: </w:t>
      </w:r>
      <w:r>
        <w:rPr>
          <w:rtl w:val="true"/>
        </w:rPr>
        <w:t>سخن‌چينى</w:t>
      </w:r>
      <w:bookmarkEnd w:id="2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682912_1051229030"/>
      <w:bookmarkStart w:id="202" w:name="_Toc68"/>
      <w:bookmarkEnd w:id="201"/>
      <w:r>
        <w:rPr>
          <w:rtl w:val="true"/>
        </w:rPr>
        <w:t>اشاره</w:t>
      </w:r>
      <w:bookmarkEnd w:id="2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423_74433"/>
      <w:bookmarkStart w:id="204" w:name="pg7423_74433"/>
      <w:bookmarkEnd w:id="204"/>
    </w:p>
    <w:p>
      <w:pPr>
        <w:pStyle w:val="Heading3"/>
        <w:numPr>
          <w:ilvl w:val="2"/>
          <w:numId w:val="1"/>
        </w:numPr>
        <w:rPr/>
      </w:pPr>
      <w:bookmarkStart w:id="205" w:name="pg7423_74433"/>
      <w:bookmarkStart w:id="206" w:name="__RefHeading___Toc1682914_1051229030"/>
      <w:bookmarkStart w:id="207" w:name="_Toc69"/>
      <w:bookmarkEnd w:id="205"/>
      <w:bookmarkEnd w:id="206"/>
      <w:r>
        <w:rPr>
          <w:rtl w:val="true"/>
        </w:rPr>
        <w:t>حكم سخن‌چينى</w:t>
      </w:r>
      <w:bookmarkEnd w:id="207"/>
    </w:p>
    <w:p>
      <w:pPr>
        <w:pStyle w:val="BookText"/>
        <w:rPr/>
      </w:pPr>
      <w:r>
        <w:rPr>
          <w:rFonts w:ascii="IRNazanin" w:hAnsi="IRNazanin" w:eastAsia="IRNazanin"/>
          <w:color w:val="111111"/>
          <w:sz w:val="28"/>
          <w:sz w:val="28"/>
          <w:szCs w:val="28"/>
          <w:rtl w:val="true"/>
          <w:lang w:bidi="fa-IR"/>
        </w:rPr>
        <w:t>سخن‌چينى، عبارت است از نقل حرف يا كارى از يك قوم به قومى ديگر بر وجه فساد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سخن‌چينى، كراهت منقول عنه، قصد پنهان داشتن آن، و اينكه آن قول يا فعل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شتم، يا غيبت، يا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مدح باشد، صدق سخن‌چينى بر آن محل تأمل است، حتى اگر موجب انزعاج و كدورت باشد؛ و چيز ديگرى در آن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سخن‌چينى طبق ادله اربعه حرام است</w:t>
      </w:r>
      <w:r>
        <w:rPr>
          <w:rFonts w:eastAsia="IRNazanin" w:cs="IRNazanin"/>
          <w:color w:val="111111"/>
          <w:sz w:val="28"/>
          <w:szCs w:val="28"/>
          <w:rtl w:val="true"/>
          <w:lang w:bidi="fa-IR"/>
        </w:rPr>
        <w:t>.</w:t>
      </w:r>
    </w:p>
    <w:p>
      <w:pPr>
        <w:pStyle w:val="Heading3"/>
        <w:numPr>
          <w:ilvl w:val="2"/>
          <w:numId w:val="1"/>
        </w:numPr>
        <w:rPr/>
      </w:pPr>
      <w:bookmarkStart w:id="208" w:name="__RefHeading___Toc1682916_1051229030"/>
      <w:bookmarkStart w:id="209" w:name="_Toc70"/>
      <w:bookmarkEnd w:id="208"/>
      <w:r>
        <w:rPr>
          <w:rtl w:val="true"/>
        </w:rPr>
        <w:t>ادله حرمت سخن‌چينى</w:t>
      </w:r>
      <w:bookmarkEnd w:id="209"/>
    </w:p>
    <w:p>
      <w:pPr>
        <w:pStyle w:val="BookText"/>
        <w:rPr/>
      </w:pPr>
      <w:r>
        <w:rPr>
          <w:rFonts w:ascii="IRNazanin" w:hAnsi="IRNazanin" w:eastAsia="IRNazanin"/>
          <w:color w:val="111111"/>
          <w:sz w:val="28"/>
          <w:sz w:val="28"/>
          <w:szCs w:val="28"/>
          <w:rtl w:val="true"/>
          <w:lang w:bidi="fa-IR"/>
        </w:rPr>
        <w:t>موارد ذيل بر حرمت سخن‌چينى دلالت مى‌كند</w:t>
      </w:r>
      <w:r>
        <w:rPr>
          <w:rFonts w:eastAsia="IRNazanin" w:cs="IRNazanin"/>
          <w:color w:val="111111"/>
          <w:sz w:val="28"/>
          <w:szCs w:val="28"/>
          <w:rtl w:val="true"/>
          <w:lang w:bidi="fa-IR"/>
        </w:rPr>
        <w:t>:</w:t>
      </w:r>
    </w:p>
    <w:p>
      <w:pPr>
        <w:pStyle w:val="Heading3"/>
        <w:numPr>
          <w:ilvl w:val="2"/>
          <w:numId w:val="1"/>
        </w:numPr>
        <w:rPr/>
      </w:pPr>
      <w:bookmarkStart w:id="210" w:name="__RefHeading___Toc1682918_1051229030"/>
      <w:bookmarkStart w:id="211" w:name="_Toc71"/>
      <w:bookmarkEnd w:id="210"/>
      <w:r>
        <w:rPr>
          <w:rtl w:val="true"/>
        </w:rPr>
        <w:t>قرآن</w:t>
      </w:r>
      <w:bookmarkEnd w:id="211"/>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تُطِعْ كُلَّ حَلاّفٍ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بِنَمِيمٍ ؛ و تو هرگز اطاعت مكن احدى از منافقان دون را كه 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دايم عيب‌جويى و سخن‌چينى مى‌كند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كسى كه حرفى را به نحو بدگويى نقل مى‌كند</w:t>
      </w:r>
      <w:r>
        <w:rPr>
          <w:rFonts w:eastAsia="IRNazanin" w:cs="IRNazanin"/>
          <w:color w:val="111111"/>
          <w:sz w:val="28"/>
          <w:szCs w:val="28"/>
          <w:rtl w:val="true"/>
          <w:lang w:bidi="fa-IR"/>
        </w:rPr>
        <w:t>.</w:t>
      </w:r>
      <w:bookmarkStart w:id="212" w:name="pg7423_74434"/>
    </w:p>
    <w:p>
      <w:pPr>
        <w:pStyle w:val="Heading3"/>
        <w:numPr>
          <w:ilvl w:val="2"/>
          <w:numId w:val="1"/>
        </w:numPr>
        <w:rPr/>
      </w:pPr>
      <w:bookmarkStart w:id="213" w:name="__RefHeading___Toc1682920_1051229030"/>
      <w:bookmarkStart w:id="214" w:name="_Toc72"/>
      <w:bookmarkEnd w:id="212"/>
      <w:bookmarkEnd w:id="213"/>
      <w:r>
        <w:rPr>
          <w:rtl w:val="true"/>
        </w:rPr>
        <w:t>روايات</w:t>
      </w:r>
      <w:bookmarkEnd w:id="214"/>
    </w:p>
    <w:p>
      <w:pPr>
        <w:pStyle w:val="BookText"/>
        <w:rPr/>
      </w:pPr>
      <w:r>
        <w:rPr>
          <w:rFonts w:ascii="IRNazanin" w:hAnsi="IRNazanin" w:eastAsia="IRNazanin"/>
          <w:color w:val="111111"/>
          <w:sz w:val="28"/>
          <w:sz w:val="28"/>
          <w:szCs w:val="28"/>
          <w:rtl w:val="true"/>
          <w:lang w:bidi="fa-IR"/>
        </w:rPr>
        <w:t>نصوص متواتر،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سخن‌چين را بدترين مردم معرفى مى‌كند؛ مانند صحيح عبدالله بن سنان،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شرورترين افراد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بسيار سخن‌چينى مى‌كنند، و در ميان دوستان جدايى مى‌افكنند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16369</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متضمن عقاب بر آن هستند؛ مانند حديث نبوى در عقاب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سخن‌چينى بين دو نفر حركت كند، خداوند بر او در قبرش، آتشى را مسلط مى‌فرمايد كه او را مى‌سوزاند و چون از قبرش بيرون مى‌آيد، مارى بزرگ و سياه را بر او مسلط مى‌فرمايد كه گوشت او را مى‌خورد تا داخل جهنم شود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متضمن وارد نشدن سخن‌چين به بهشت هستند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محقق ايروانى به آن</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نشدن به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نابود </w:t>
      </w:r>
    </w:p>
    <w:p>
      <w:pPr>
        <w:pStyle w:val="BookText"/>
        <w:rPr/>
      </w:pPr>
      <w:r>
        <w:rPr>
          <w:rFonts w:ascii="IRNazanin" w:hAnsi="IRNazanin" w:eastAsia="IRNazanin"/>
          <w:color w:val="111111"/>
          <w:sz w:val="28"/>
          <w:sz w:val="28"/>
          <w:szCs w:val="28"/>
          <w:rtl w:val="true"/>
          <w:lang w:bidi="fa-IR"/>
        </w:rPr>
        <w:t xml:space="preserve">شدن اعمال فرد با سخن‌چينى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حرمت است، آيا نمى‌بينى منت صدقه را باطل مى‌كند، اگر چه واجب باشد، اما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حرف درباره برخى روايات درست است، در همه نصوص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در صحيح محمد بن قيس از امام باقر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قتّاتين يعنى كسانى كه براى فساد بين مردم گام بر مى‌دارند حرام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مُحَرَّمَةٌ عَلَى الْقَتَّاتِينَ الْمَشَّاءِينَ بِالنَّمِيمَة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16370</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كه حرام شدن بهشت تنها در صورتى است كه فعل 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در جايى كه صدور آن قول يا فعل درباره مقول عنه بر وجه حرام و قبيح باشد، جميع آنچه دلالت بر حرمت غيبت دارد، بر حرمت اين نيز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درست اين است كه اين مسأله در صدق سخن‌چينى معتبر نيست و گرنه به طور مطلق بر حرمت آن دلالت مى‌كرد، و عقل در تشخيص قبح آن مستقل مى‌بود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 طور كلى ادله اربعه بر حرمت آن دلالت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براى حرمت آن به تعدادى از آيات استدلال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يَقْطَعُونَ ما أَمَرَ اللّهُ بِهِ أَنْ يُوصَلَ وَ يُفْسِدُونَ فِي الْأَرْضِ أُولئِكَ لَهُمُ اللَّعْنَةُ وَ لَهُمْ سُوءُ الدّارِ ؛ و آنان كه از آنچه خدا امر به پيوند آن كرده پاك مى‌گسلند و در روى زمين فساد و فتنه بر مى‌انگيزند اينان را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 عذاب سخت دوزخ </w:t>
      </w:r>
    </w:p>
    <w:p>
      <w:pPr>
        <w:pStyle w:val="BookText"/>
        <w:rPr/>
      </w:pPr>
      <w:r>
        <w:rPr>
          <w:rFonts w:ascii="Amiri" w:hAnsi="Amiri" w:eastAsia="Amiri" w:cs="Amiri"/>
          <w:color w:val="111111"/>
          <w:sz w:val="28"/>
          <w:sz w:val="28"/>
          <w:szCs w:val="28"/>
          <w:rtl w:val="true"/>
          <w:lang w:bidi="ar-SA"/>
        </w:rPr>
        <w:t>نصيب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ادعا كه سخن‌چين امر خدا را قطع كرده است و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آنجا كه ماده امر ظهور در وجوب دارد، متضمن مذمت كسى است كه پيوند بر او واجب است، و او آن را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مقام بيگانه است، چون پيوند بر سخن‌چين واجب نيست، و آيه مختص به موارد وجوب پيوند است، مانند قطع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آيه چنين برمى‌آيد كه فردى كه خودش را از ديگرى گسسته است، مذمت كرده است، و شامل قطع دو نفر از يكديگر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يُفْسِدُونَ فِي الْأَرْضِ ؛ و در ميان اهل زمين فساد مى‌كنند</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سخن‌چين مفسد باشد، و چه بسا سخن‌چينى موجب فساد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دلالت بر حرمت سخن‌چينى به طور مطلق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الْفِتْنَةُ أَشَدُّ مِنَ الْقَتْلِ ؛ و فتنه‌گرى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فسادش بيشتر از جنگ و كشتار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أَكْبَرُ مِنَ الْقَتْلِ ؛ و فتنه‌گرى، فساد انگيزتر از قتل است</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اشدّ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فتنه طبق آنچه مفسران ذكر كرده اند، فتنه در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است، يعنى شرك و كفر، و بلكه از اين جهت كه منجر به هلاكت مى‌شود، به اين نام خوانده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در ماه‌هاى حرام است، كه در اين صورت معناى آن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گناه بزرگ‌ترى نسبت به قتال در ماه‌هاى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صدر آيه شريفه اراده اين معنا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بيگانه از اين مقام 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423_74439"/>
      <w:bookmarkStart w:id="216" w:name="pg7423_74439"/>
      <w:bookmarkEnd w:id="216"/>
    </w:p>
    <w:p>
      <w:pPr>
        <w:pStyle w:val="Heading2"/>
        <w:numPr>
          <w:ilvl w:val="1"/>
          <w:numId w:val="1"/>
        </w:numPr>
        <w:rPr/>
      </w:pPr>
      <w:bookmarkStart w:id="217" w:name="pg7423_74439"/>
      <w:bookmarkStart w:id="218" w:name="__RefHeading___Toc1682922_1051229030"/>
      <w:bookmarkStart w:id="219" w:name="_Toc73"/>
      <w:bookmarkEnd w:id="217"/>
      <w:bookmarkEnd w:id="218"/>
      <w:r>
        <w:rPr>
          <w:rtl w:val="true"/>
        </w:rPr>
        <w:t>فصل ششم</w:t>
      </w:r>
      <w:r>
        <w:rPr>
          <w:rtl w:val="true"/>
        </w:rPr>
        <w:t xml:space="preserve">: </w:t>
      </w:r>
      <w:r>
        <w:rPr>
          <w:rtl w:val="true"/>
        </w:rPr>
        <w:t>غناء</w:t>
      </w:r>
      <w:bookmarkEnd w:id="2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682924_1051229030"/>
      <w:bookmarkStart w:id="221" w:name="_Toc74"/>
      <w:bookmarkEnd w:id="220"/>
      <w:r>
        <w:rPr>
          <w:rtl w:val="true"/>
        </w:rPr>
        <w:t>اشاره</w:t>
      </w:r>
      <w:bookmarkEnd w:id="2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423_74441"/>
      <w:bookmarkStart w:id="223" w:name="pg7423_74441"/>
      <w:bookmarkEnd w:id="223"/>
    </w:p>
    <w:p>
      <w:pPr>
        <w:pStyle w:val="BookText"/>
        <w:rPr/>
      </w:pPr>
      <w:bookmarkStart w:id="224" w:name="pg7423_74441"/>
      <w:bookmarkEnd w:id="224"/>
      <w:r>
        <w:rPr>
          <w:rFonts w:ascii="Amiri" w:hAnsi="Amiri" w:eastAsia="Amiri" w:cs="Amiri"/>
          <w:color w:val="111111"/>
          <w:sz w:val="28"/>
          <w:sz w:val="28"/>
          <w:szCs w:val="28"/>
          <w:rtl w:val="true"/>
          <w:lang w:bidi="ar-SA"/>
        </w:rPr>
        <w:t>به طور كلى، در اينكه غناء حرام است اختلافى وجود ندارد</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رياض المسائل،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اين سخن نيازمند بحث در چند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موضوع غناء؛</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غناء؛</w:t>
      </w:r>
    </w:p>
    <w:p>
      <w:pPr>
        <w:pStyle w:val="BookText"/>
        <w:rPr/>
      </w:pPr>
      <w:r>
        <w:rPr>
          <w:rFonts w:ascii="Amiri" w:hAnsi="Amiri" w:eastAsia="Amiri" w:cs="Amiri"/>
          <w:color w:val="111111"/>
          <w:sz w:val="28"/>
          <w:sz w:val="28"/>
          <w:szCs w:val="28"/>
          <w:rtl w:val="true"/>
          <w:lang w:bidi="ar-SA"/>
        </w:rPr>
        <w:t>مقام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مستثنيات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82926_1051229030"/>
      <w:bookmarkStart w:id="226" w:name="_Toc75"/>
      <w:bookmarkEnd w:id="225"/>
      <w:r>
        <w:rPr>
          <w:rtl w:val="true"/>
        </w:rPr>
        <w:t>مقام اول</w:t>
      </w:r>
      <w:r>
        <w:rPr>
          <w:rtl w:val="true"/>
        </w:rPr>
        <w:t xml:space="preserve">: </w:t>
      </w:r>
      <w:r>
        <w:rPr>
          <w:rtl w:val="true"/>
        </w:rPr>
        <w:t>تعريف موضوع غناء</w:t>
      </w:r>
      <w:bookmarkEnd w:id="226"/>
    </w:p>
    <w:p>
      <w:pPr>
        <w:pStyle w:val="Heading4"/>
        <w:numPr>
          <w:ilvl w:val="3"/>
          <w:numId w:val="1"/>
        </w:numPr>
        <w:rPr/>
      </w:pPr>
      <w:bookmarkStart w:id="227" w:name="__RefHeading___Toc1682928_1051229030"/>
      <w:bookmarkStart w:id="228" w:name="_Toc76"/>
      <w:bookmarkEnd w:id="227"/>
      <w:r>
        <w:rPr>
          <w:rtl w:val="true"/>
        </w:rPr>
        <w:t>اشاره</w:t>
      </w:r>
      <w:bookmarkEnd w:id="2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فقهاء و لغوى‌ها در اين باره بسيار مختلف، و دچار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 غنا عبارت است از كشيدن صوت</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آن را نيكو كردن صدا و نازك كردن آن مى‌داند</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عرب، هر كه صدايى را بالا ببرد و آن را بكشد، صداى او غناء است</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تعاريفى شبيه اينها دارند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از آنجا كه برخى مصاديق اين تعاريف قطعاً از افراد غناء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بالا بردن صدا در اذان كه جزء مستحبات شرعى است، و نيكوخوانى قرآن و مدايح و مراثى، و نيز سيره قطعى بر جواز اينها، و اينكه نصوص بر رجحان برخى از آنها دلالت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كه اين تعريف‌ها كامل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مقابل اين تعريف‌ها، سخن محقق ايروانى</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كه گفته است متيقن غناء حرام، كلامى است كه در ذات خود و به حسب مدلول باطل باشد، و مشتمل بر مد و ترجيع و اطراب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كلام باطل اين است كه معناى آن معناى لهوى باشد، بنابراين كلام باطلى كه شامل كيفيت آن قيدهاى سه گانه نباشد حرام نيست، چنانكه اگر مشتمل بر كيفيت مزبور باشد نيز حرام نيست مگر اينكه معناى آن باطل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اين وجه، خروج برخى از افراد غناء است كه كسى در غناء بودن آنها ترديدى ندارد، و نصوص بر آن دلالت دارند، مانند قرائت قرآن به الحان اهل فسوق و عصيان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به ايشان منسوب است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غنا عبارت است از كشيدن صدايى كه </w:t>
      </w:r>
    </w:p>
    <w:p>
      <w:pPr>
        <w:pStyle w:val="BookText"/>
        <w:rPr/>
      </w:pPr>
      <w:r>
        <w:rPr>
          <w:rFonts w:ascii="Amiri" w:hAnsi="Amiri" w:eastAsia="Amiri" w:cs="Amiri"/>
          <w:color w:val="111111"/>
          <w:sz w:val="28"/>
          <w:sz w:val="28"/>
          <w:szCs w:val="28"/>
          <w:rtl w:val="true"/>
          <w:lang w:bidi="ar-SA"/>
        </w:rPr>
        <w:t>مشتمل بر ترجيع مطرب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درباره تفسير طرب ميان ايشان اختلاف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طرب را سبُكى‌اى مى‌دانند كه از شدت سرور انسان را دربرمى‌گيرد</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 تحريك‌آميز سبكى‌اى است كه از شدت حزن يا سرور در انسان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صحاح آمده است مانند آن است، و آنچه در الاساس زمخشرى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سبكى ناشى از سرور و يا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قول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گروهى ديگر آن را سبكى‌اى كه از شدت حزن يا سرور به وجود مى‌آيد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مفتاح الكرامه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اطرابى كه در تعريف غناء از آن نام مى‌برند غير از طربى است كه به سبكى از شدت سرور يا حزن تفسير شده است، و منظور از آن كشيدن صوت و نيكو كردن آن است، و بهترين اين اقوال، حد وسط آنها است</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نادرستى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سخن القاموس است كه در آن پندار كسى كه آن را مختص به سرور مى‌داند اشتباه مى‌داند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نادرستى 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كه مجرد كشيدن صدا و نيكوكردن آن قطعا غناء نيست، خصوصا كه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پيامبرى را مبعوث نكرد مگر اينكه صداى او را نيكو ساخته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 عليه السلام قرآن مى‌خواند و چه بسا عابرى مى‌گذشت و از صداى خوش او مدهوش مى‌شد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متعال صداى نيكو را دوست دارد كه در آن ترجيع به كار رود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دو اشكال دارد كه عام نيست و نيز موارد غير غناء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مى‌گويد اظهر افراد غناء، الحانى است كه اهل فسوق استفاده مى‌كنند، حال آنكه آنها تنها گاهى موجب طرب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غناء از نظر عرف، كشيدن و ترجيع نيست، اگرچه بالفعل طرب و از الحان اهل فسوق به معنايى كه خواهيم 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غناء دانستن سخن اهل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جئناكم جئناكم حيونا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خبر عبدالاعلى آمده است، به خاطر عدم مناسبتش با كشيدن و ترجيع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صدا مى‌تواند ترجيع‌شده و هيجان‌برانگيز و حزن‌انگيز و گريه‌آور باشد اما غناء بر آن صدق نكند، مثلاً وقتى كه ماده كلام حق باشد مانند مرثيه اباعبدالله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كلامى كه در اين زمينه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خالى از نقض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 عبارت است از صداى لهوى، و آنچه در خارج جزء الحان اهل فسوق و معاصى شمرده مى‌شود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اگر مناسب با آلات لهو و رقص باشد، و به دليل وجود آنچه قواى شهويه از آن لذت مى‌برند مانند اينكه مغنى كنيز </w:t>
      </w:r>
      <w:bookmarkStart w:id="229" w:name="pg7423_74445"/>
    </w:p>
    <w:p>
      <w:pPr>
        <w:pStyle w:val="BookText"/>
        <w:rPr/>
      </w:pPr>
      <w:bookmarkEnd w:id="229"/>
      <w:r>
        <w:rPr>
          <w:rFonts w:ascii="IRNazanin" w:hAnsi="IRNazanin" w:eastAsia="IRNazanin"/>
          <w:color w:val="111111"/>
          <w:sz w:val="28"/>
          <w:sz w:val="28"/>
          <w:szCs w:val="28"/>
          <w:rtl w:val="true"/>
          <w:lang w:bidi="fa-IR"/>
        </w:rPr>
        <w:t>باشد يا مانند آن؛ در عرف صداى لهوى و قول زور است، و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اين تعريف، فعليت داشتن لهو ولعب برمى‌آيد، و لازمه آن خروج بيشتر مواردى است كه از نظر عرف غناء است، آن را اين‌گونه تعميم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با دو امر محقق مى‌شود، يعنى يكى از اين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لهو ولعب، اگر چه لهو نباشد؛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فى نفسه لهو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فكر مى‌كنم، اگرچه در ابتداى امر خلاف ظاهر كلام او است؛ صدا گاهى به دليل عدم وجود مستمع، يا به دليل مانعى دربرابر لهو ولعب مانند شدت بيمارى وامثاله، عملاً نسبت به مستعمين لهو نيست، اما جزء مصاديق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منحصر در آنچه عملاً لهوى است نيست، و اين تعريف بهترين تعريف غناء بوده، و با تفاهم عرفى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كه به اين سخن شيخ وارد است اين است كه براى من وجه معتبر دانستن ترجيع در صدق غناء روشن نشده است، لذا نه به حسب ادله در اين باره معتبر است، و نه به حسب متفاهم عرفى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ميان اين تعريف و قول مشهور، عموم من وجه است، زيرا تعريف مشهور بر صدايى كه سبكى حاصل از حزن پديد مى‌آورد صدق مى‌كند و اين تعريف به سبكى حاصل از شدت سرور اختصاص دارد، و هم‌چنين بر هر صدايى كه سبكى مزبور را ايجاد مى‌كند صدق مى‌كند، اگر چه در آن كشش يا ترجيعى وجود نداشته نباشد؛ اما تعريف مشهور بر اين صدق نمى‌كند</w:t>
      </w:r>
      <w:r>
        <w:rPr>
          <w:rFonts w:eastAsia="IRNazanin" w:cs="IRNazanin"/>
          <w:color w:val="111111"/>
          <w:sz w:val="28"/>
          <w:szCs w:val="28"/>
          <w:rtl w:val="true"/>
          <w:lang w:bidi="fa-IR"/>
        </w:rPr>
        <w:t>.</w:t>
      </w:r>
    </w:p>
    <w:p>
      <w:pPr>
        <w:pStyle w:val="Heading4"/>
        <w:numPr>
          <w:ilvl w:val="3"/>
          <w:numId w:val="1"/>
        </w:numPr>
        <w:rPr/>
      </w:pPr>
      <w:bookmarkStart w:id="230" w:name="__RefHeading___Toc1682930_1051229030"/>
      <w:bookmarkStart w:id="231" w:name="_Toc77"/>
      <w:bookmarkEnd w:id="230"/>
      <w:r>
        <w:rPr>
          <w:rtl w:val="true"/>
        </w:rPr>
        <w:t>عقيده من</w:t>
      </w:r>
      <w:r>
        <w:rPr>
          <w:rtl w:val="true"/>
        </w:rPr>
        <w:t xml:space="preserve">: </w:t>
      </w:r>
      <w:r>
        <w:rPr>
          <w:rtl w:val="true"/>
        </w:rPr>
        <w:t>كيفيت كلام؛</w:t>
      </w:r>
      <w:bookmarkEnd w:id="2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نفسه تنها مناسب رقص است و پديدآورنده سبكى؛ </w:t>
      </w:r>
      <w:bookmarkStart w:id="232" w:name="pg7423_74446"/>
    </w:p>
    <w:p>
      <w:pPr>
        <w:pStyle w:val="BookText"/>
        <w:rPr/>
      </w:pPr>
      <w:bookmarkEnd w:id="232"/>
      <w:r>
        <w:rPr>
          <w:rFonts w:ascii="IRNazanin" w:hAnsi="IRNazanin" w:eastAsia="IRNazanin"/>
          <w:color w:val="111111"/>
          <w:sz w:val="28"/>
          <w:sz w:val="28"/>
          <w:szCs w:val="28"/>
          <w:rtl w:val="true"/>
          <w:lang w:bidi="fa-IR"/>
        </w:rPr>
        <w:t>در اين صورت آن كلام غناء است، و اگر چه ماده آن حق باشد، مانند قرآن و نهج البلاغه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آنچه دلالت بر نهى از تغنى به قرآن و قرائت آن به الحان اهل فسوق و معاصى دارد و پيش از اين گفته شد، بر اين معنا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مگر در جايى كه ماده كلام باطل باشد، مثلاً اينكه از معانى باشد كه شهوت باطل را تهييج مى‌كند مانند برخى اشكال تصنيف‌هاى متداول 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شكل، اگر ماده كلام حق باشد، غناء بر آن صدق نمى‌كند</w:t>
      </w:r>
      <w:r>
        <w:rPr>
          <w:rFonts w:eastAsia="IRNazanin" w:cs="IRNazanin"/>
          <w:color w:val="111111"/>
          <w:sz w:val="28"/>
          <w:szCs w:val="28"/>
          <w:rtl w:val="true"/>
          <w:lang w:bidi="fa-IR"/>
        </w:rPr>
        <w:t>.</w:t>
      </w:r>
    </w:p>
    <w:p>
      <w:pPr>
        <w:pStyle w:val="Heading3"/>
        <w:numPr>
          <w:ilvl w:val="2"/>
          <w:numId w:val="1"/>
        </w:numPr>
        <w:rPr/>
      </w:pPr>
      <w:bookmarkStart w:id="233" w:name="__RefHeading___Toc1682932_1051229030"/>
      <w:bookmarkStart w:id="234" w:name="_Toc78"/>
      <w:bookmarkEnd w:id="233"/>
      <w:r>
        <w:rPr>
          <w:rtl w:val="true"/>
        </w:rPr>
        <w:t>مقام دوم</w:t>
      </w:r>
      <w:r>
        <w:rPr>
          <w:rtl w:val="true"/>
        </w:rPr>
        <w:t xml:space="preserve">: </w:t>
      </w:r>
      <w:r>
        <w:rPr>
          <w:rtl w:val="true"/>
        </w:rPr>
        <w:t>حكم غناء</w:t>
      </w:r>
      <w:bookmarkEnd w:id="234"/>
    </w:p>
    <w:p>
      <w:pPr>
        <w:pStyle w:val="Heading4"/>
        <w:numPr>
          <w:ilvl w:val="3"/>
          <w:numId w:val="1"/>
        </w:numPr>
        <w:rPr/>
      </w:pPr>
      <w:bookmarkStart w:id="235" w:name="__RefHeading___Toc1682934_1051229030"/>
      <w:bookmarkStart w:id="236" w:name="_Toc79"/>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شيخ اعظم به طور كلى اختلاف در حرمت داشتن غناء را رد كرده است</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گويى او به سخن محدث كاشانى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از عدم حرمت غناء گفته، توجهى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ادعاى اجماع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درباره حرمت آن دارند و حتى برخى از آنان اين امر را جزء ضروريات مى‌دانند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حرمت غناء به وجوهى استدلال شده است</w:t>
      </w:r>
      <w:r>
        <w:rPr>
          <w:rFonts w:eastAsia="IRNazanin" w:cs="IRNazanin"/>
          <w:color w:val="111111"/>
          <w:sz w:val="28"/>
          <w:szCs w:val="28"/>
          <w:rtl w:val="true"/>
          <w:lang w:bidi="fa-IR"/>
        </w:rPr>
        <w:t>:</w:t>
      </w:r>
    </w:p>
    <w:p>
      <w:pPr>
        <w:pStyle w:val="Heading4"/>
        <w:numPr>
          <w:ilvl w:val="3"/>
          <w:numId w:val="1"/>
        </w:numPr>
        <w:rPr/>
      </w:pPr>
      <w:bookmarkStart w:id="237" w:name="__RefHeading___Toc1682936_1051229030"/>
      <w:bookmarkStart w:id="238" w:name="_Toc80"/>
      <w:bookmarkEnd w:id="237"/>
      <w:r>
        <w:rPr>
          <w:rtl w:val="true"/>
        </w:rPr>
        <w:t>وجه اول</w:t>
      </w:r>
      <w:r>
        <w:rPr>
          <w:rtl w:val="true"/>
        </w:rPr>
        <w:t xml:space="preserve">: </w:t>
      </w:r>
      <w:r>
        <w:rPr>
          <w:rtl w:val="true"/>
        </w:rPr>
        <w:t>اجماع</w:t>
      </w:r>
      <w:r>
        <w:rPr>
          <w:rtl w:val="true"/>
        </w:rPr>
        <w:t>.</w:t>
      </w:r>
      <w:bookmarkEnd w:id="2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مدرك اجماع كنندگان روشن است، اين </w:t>
      </w:r>
    </w:p>
    <w:p>
      <w:pPr>
        <w:pStyle w:val="BookText"/>
        <w:rPr/>
      </w:pPr>
      <w:r>
        <w:rPr>
          <w:rFonts w:ascii="Amiri" w:hAnsi="Amiri" w:eastAsia="Amiri" w:cs="Amiri"/>
          <w:color w:val="111111"/>
          <w:sz w:val="28"/>
          <w:sz w:val="28"/>
          <w:szCs w:val="28"/>
          <w:rtl w:val="true"/>
          <w:lang w:bidi="ar-SA"/>
        </w:rPr>
        <w:t>اجماع تعبدى نيست، لذا نمى‌تواند مدركى براى اين حكم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آيات قرآن و نصوصى كه در تفسير آنها وارد شده است،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اجْتَنِبُوا قَوْلَ الزُّورِ ؛ ونيز از قول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 و شهادت ناحق و سخنان لهو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گزينيد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نصوص</w:t>
      </w:r>
      <w:r>
        <w:rPr>
          <w:rStyle w:val="FootnoteAnchor"/>
          <w:rtl w:val="true"/>
        </w:rPr>
        <w:footnoteReference w:id="303"/>
      </w:r>
      <w:r>
        <w:rPr>
          <w:rFonts w:ascii="Amiri" w:hAnsi="Amiri" w:eastAsia="Amiri" w:cs="Amiri"/>
          <w:color w:val="111111"/>
          <w:sz w:val="28"/>
          <w:sz w:val="28"/>
          <w:szCs w:val="28"/>
          <w:rtl w:val="true"/>
          <w:lang w:bidi="ar-SA"/>
        </w:rPr>
        <w:t>، منظور از قول باطل را غناء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سند بيشتر اين روايات ضعيف است، روايتى كه از تفسير القمى وارد شده، حسن است و همان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به اين مطلب در مكاسب ايراد وارد شده است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اينكه ظاهر اين روايات اين است كه غناء از مقوله كلام است، زيرا قول باطل به كلام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حسين عليه السلام در مرسل درباره كنيزى كه صدايى نيكو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خريده‌اى اشكال ندارد كه او تو را به ياد بهشت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واسطه قرائت قرآن و زهد و فضائلى كه غناء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اخبار اين مطلب را تأييد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كسى كه مى‌خواند احسنت بگويى، جزء قول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محقق ايروانى</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ايروانى،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استاد اعظم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به وجه اول ايراد وارد كرده‌اند كه تفسير قول باطل به غناء، اقتضا نمى‌كند كه غناء از مقوله كلام باشد، زيرا اگر غناء جزيى از كيفيت كلام باشد كه در خارج با مكيف يكى است، اين تفسير درست خواهد بود؛ لذا در صورتى كه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ماده با كيفيت در وجود لفظى انكار نمى‌شود، با اين حال بى‌شك هر كدام از آنها اوصاف و عناوين خاص خود را دارد، مثلا دروغ از عناوين ماده است نه كيفيت، و نمى‌توان آن را به اعتبار اتحاد وجودى كيفيت با مكيف به كيفيت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ادعا مى‌كند كه ظهور اين تفسير آن است كه غناء از اين قبيل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محققان شيرازى ايراد وارد كرده‌اند</w:t>
      </w:r>
      <w:r>
        <w:rPr>
          <w:rStyle w:val="FootnoteAnchor"/>
          <w:rtl w:val="true"/>
        </w:rPr>
        <w:footnoteReference w:id="306"/>
      </w:r>
      <w:r>
        <w:rPr>
          <w:rFonts w:ascii="IRNazanin" w:hAnsi="IRNazanin" w:eastAsia="IRNazanin"/>
          <w:color w:val="111111"/>
          <w:sz w:val="28"/>
          <w:sz w:val="28"/>
          <w:szCs w:val="28"/>
          <w:rtl w:val="true"/>
          <w:lang w:bidi="fa-IR"/>
        </w:rPr>
        <w:t>كه تفسير قول باطل به غناء، تصرف در غناء، آن چنان كه آن را عبارتى از كلام مشتمل بر معانى باطل قرار دهد، نيست زيرا كلام مشتمل بر كيفيت و معانى باطل يكى از اقسام قول باطل است و اين مطلب روشن است و نياز به بيان و تفسير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قول باطل را حمل بر بطون كرد يا از باطل بودن به حسب معناى ظاهرى آن اراده اعم نمود، بنابراين دلالتش بر حرمت اين كيفيت خاص ساقط نمى‌شود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معناى اول مى‌توان گفت اين تفسير با لحاظ حرام </w:t>
      </w:r>
    </w:p>
    <w:p>
      <w:pPr>
        <w:pStyle w:val="BookText"/>
        <w:rPr/>
      </w:pPr>
      <w:r>
        <w:rPr>
          <w:rFonts w:ascii="Amiri" w:hAnsi="Amiri" w:eastAsia="Amiri" w:cs="Amiri"/>
          <w:color w:val="111111"/>
          <w:sz w:val="28"/>
          <w:sz w:val="28"/>
          <w:szCs w:val="28"/>
          <w:rtl w:val="true"/>
          <w:lang w:bidi="ar-SA"/>
        </w:rPr>
        <w:t xml:space="preserve">مطلق نبودنِ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امام عليه السلام قصد داشته است هشدار دهد كه غناء از قول باطل حرام اعلام شده است، و اين مطلب واضح است و نيازى به بيان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مبنا، در ايراد بر شيخ بهتر آن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خودى خود باطل نيست، بلكه باطل بودن آن يا به جهت كيفيت خاصى است كه با وجود آن مى‌آميزد، يا به جهت معناى آن است؛ بنابراين تفسير قول باطل به غناء به معناى تأييد اين‌كه غناء به دليل مناسب بودن با جزء كيفيت‌هاى كلام بودن، از مقوله كلام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مطلق هر صدايى غناء نيست، و امام عليه السلام خريدن كنيزى كه صدايى دارد را در صورتى كه با صدايش غنا نمى‌خواند، بدون ايراد دانسته است، لذا مقوله كلام بودن غناء را تاييد نمى‌كند، و تفسير مزبور اگرچه از جهت دلالتش بر اينكه مقدارى از آنچه ذكر شده است غناء است و مقدارى از آن غناء نيست، دلالت ندارد كه غنايى بودن متقوم به كيفيت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بر اين ندارد كه غناء از مقوله كلام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ايرادى كه بر وجه اخير از جهت تأييدى بودن آن وارد مى‌شود اين است كه در صورتى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مدلولش جزء قول باطل شمرده شود، دلالت نمى‌كند كه آنچه به جهت كيفيت آن‌گونه است جزء قول باطل نباشد؛ زيرا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باشد كه از هر دو جهت صادق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لِيُضِلَّ عَنْ سَبِيلِ اللّهِ ؛ و </w:t>
      </w:r>
    </w:p>
    <w:p>
      <w:pPr>
        <w:pStyle w:val="BookText"/>
        <w:rPr/>
      </w:pPr>
      <w:r>
        <w:rPr>
          <w:rFonts w:ascii="IRNazanin" w:hAnsi="IRNazanin" w:eastAsia="IRNazanin"/>
          <w:color w:val="111111"/>
          <w:sz w:val="28"/>
          <w:sz w:val="28"/>
          <w:szCs w:val="28"/>
          <w:rtl w:val="true"/>
          <w:lang w:bidi="fa-IR"/>
        </w:rPr>
        <w:t xml:space="preserve">برخى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فتنه‌انگيز مانند نضر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گفتار و سخنان لغو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قصّه‌هاى دروغ و افسانه‌هاى شهوت‌انگيز مفسد اخلاق و سرود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وسيله تهيّه مى‌كند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جهالت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آموختن علوم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تعدادى از روايات غناء جزء سخنان لهو است، و يكى از اين روايات، روايت حسن محمد بن مسلم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ايرادى كه بر اين استدلال وارد است و نيز پاسخ آن پيش از اين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 و آنان هستند كه به ناحق شهادت ندهند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ابى الصباح كنانى به غناء تفسير شده است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ايراد شيخ بر آن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صحنه‌هاى ناحق، مجالسى است كه در آن كلام‌هاى باطل غناء خوانده مى‌شود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محل اشكال، و توقيف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 ؛ و آنان كه از لغو و سخن باطل اعراض و احتراز مى‌كنند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كه لغو به غنا تفسير شده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كتاب مستند مى‌گويد</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مطلبى كه اين آيات به آن استدلال كرده‌اند ايراد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رواياتى كه اين آيات را به غناء تفسير كرده‌اند، با ساير رواياتى كه تفسير ديگرى از آنها دارند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در تفسير قرآن همگى از قبيل تعيين مصداق است و دلالت بر انحصار ندارد، بنابراين تعارضى ميانشان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مستفيضى كه در بيان حرمت غنا، حرمت كسب درآمد از آن، حرمت گوش دادن به آن، حرمت يادگيرى و ياددادن آن و مفاسدى كه بر آن مترتب است وارد شده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غناء را نمى‌توان انكار كرد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منسوب به محدث كاشانى</w:t>
      </w:r>
      <w:r>
        <w:rPr>
          <w:rStyle w:val="FootnoteAnchor"/>
          <w:rtl w:val="true"/>
        </w:rPr>
        <w:footnoteReference w:id="316"/>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من حيث هو جايز است، و حرمت آن زمانى است كه شامل حرامى از بيرون بشود، مانند بازى با آلات لهو، و ورود مردان و كلام به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صحت اين نسبت و بطلان آن در جمع ميان سخنان شيخ، كه اول قول به جواز و بعد قول ديگرى به او نسبت داده مى‌شود، اهميتى براى ما ندارد، بلكه مهم بيان اصل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ادعا شود كه غناء حرام نيست، و براى آن به وجوهى استدلال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نصوص، روايت معتبرى كه دال بر حرمت غنا باشد وجود ندارد، لذا وظيفه، اخذ متيقن است و متقين آن است كه غنا اگر به يكى از محرمات ديگر مقترن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زمان خلفا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متواتر است و پيش از اين گفته شد، و نيز گفته شد كه در اين خصوص روايات معتبرى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كنيد</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روايات حرمت غنا، معطوف به غنا به واسطه صداى خارج از آلات لهو مانند مزمار و امثاله است؛ پس مجرد غناء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براى چنين ادعايى وجود ندارد، بلكه ظاهر نصوص، نهى از خودِ غناء من حيث هو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به قرينه دلالت برخى از آنها بر ممنوعيت از جهت انگيزه لهو، بر مطلق مرجوحيت حمل مى‌شوند، چون معلوم است كه لهو به چيزى است كه آن چيز اقتضاى تحريم نمى‌كند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حرمت لهو و برخى معانى آن كه در مبحث </w:t>
      </w:r>
    </w:p>
    <w:p>
      <w:pPr>
        <w:pStyle w:val="BookText"/>
        <w:rPr/>
      </w:pPr>
      <w:r>
        <w:rPr>
          <w:rFonts w:ascii="IRNazanin" w:hAnsi="IRNazanin" w:eastAsia="IRNazanin"/>
          <w:color w:val="111111"/>
          <w:sz w:val="28"/>
          <w:sz w:val="28"/>
          <w:szCs w:val="28"/>
          <w:rtl w:val="true"/>
          <w:lang w:bidi="fa-IR"/>
        </w:rPr>
        <w:t>لهو به آن خواهيم پرداخت</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روايات از حيث اينكه غناء عبارت از صداى لهوى است دلالت بر حرمت غناء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مستلزم آن نيست كه هرچه لهو است حرام باشد تا به اين ترتيب از جواز لهو، جواز غناء به دست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قرب الإسناد، به سندى كه در الكفايه الحاق آن به صحاح نفى نشده است؛ از على بن جعفر از برادرش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غنا و آواز در عيد فطر و قربان و شادى‌ها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گناه منجر نشود، مانعى ندارد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اين روايت، به دليل حضور عبدالله بن حسن ضعيف است و صاحب كفايه الحاق آن را به صحاح نفى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مى‌تواند به دليل ظن به وثاقت او باشد چون از اماره مفيدى اطلاع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هرچند در قول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دلالت بر اين دارد كه غناء اگر به معاصى ديگر مقترن شود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آنچه مقترن به نواختن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چيزى در مزمار غناء ايجاد نمى‌كند،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چيزى كه صداى آهنگين و لحن رقصنده نيست،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خبر متوقف بر اراده معناى اول است، كه بى‌ترديد معناى اول خلاف ظاهر است، چون اگر منظور چنين چيزى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يقترن بالمزمار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از اين خبر، همان‌طور كه معلوم است اراده معناى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غناء بر جامع ميان هر دو قسم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معناى اعم مانند اطلاق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خريدن كنيزى كه داراى صوت نيكو است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در صورتى كه او را خريدارى كنى و بهشت را نزد تو به ياد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خواندن قرآن و زهد و فضيلت‌هايى كه غنا نيست، ولى از غنا بايد بر حذر بود</w:t>
      </w:r>
      <w:r>
        <w:rPr>
          <w:rStyle w:val="FootnoteAnchor"/>
          <w:rtl w:val="true"/>
        </w:rPr>
        <w:footnoteReference w:id="32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22146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ارسال، سندش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درباره كنيزى كه صداى نيكو دارد است، نه درباره آوازه‌خوان، چون ظاهر اين است كه تفسيرش از شيخ صدوق است، و بر فرض اينكه از امام عليه السلام باشد، دلالت مى‌كند كه آنچه گفته مى‌شود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دلالت مى‌كند كه غناء فى نفسه و به خودى خود حرام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ابوبصير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مزد زن خواننده‌اى كه مراسم </w:t>
      </w:r>
    </w:p>
    <w:p>
      <w:pPr>
        <w:pStyle w:val="BookText"/>
        <w:rPr/>
      </w:pPr>
      <w:r>
        <w:rPr>
          <w:rFonts w:ascii="Amiri" w:hAnsi="Amiri" w:eastAsia="Amiri" w:cs="Amiri"/>
          <w:color w:val="111111"/>
          <w:sz w:val="28"/>
          <w:sz w:val="28"/>
          <w:szCs w:val="28"/>
          <w:rtl w:val="true"/>
          <w:lang w:bidi="ar-SA"/>
        </w:rPr>
        <w:t>زفاف عروسى‌ها را اجرا مى‌كند اشكال ندارد، ولى نه آن زنى كه مردها به مجلس او وارد شوند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الَّتى تَزِفُّ العَرائِسَ لَيسَ بِهِ بَأسُ وَ لَيسَت بِالَّتى يدخُلُ عَلَيهَا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22146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آن است روايت ديگرى از آن حضرت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اباجعفر عليه السلام از خواننده‌هاى زن در عروسى‌ها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در آن جلسه و عروسى داخلند با زنان، حرام است،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يَشْتَرِي لَهْوَ الْحَدِيثِ ؛ و برخى از مردمان كسى است كه گفتار و سخنان لغو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قصّه‌هاى دروغ و افسانه‌هاى شهوت‌انگيز مفسد اخلاق و سرود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 تهيّه مى‌كند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در فرض اينكه مردى نزد خواننده زن وارد شود، دلالت بر حرمت غنا دارند، و بعد از بيان اين خصوصيت كه اگر خواننده زن باشد حرام است مردان وارد شوند، مطلوب انجام مى‌شود؛ لذا مفاد اين دو روايت جواز غنا است تا زمانى كه حرامِ ديگرى به آن مقترن نشده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ظهور روايت، تعليل در خبر اول به اينكه خواننده از زنانى نيست كه مردان بر او وارد شوند، اشاره به اين مطلب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نيز دلالت بر اين دارد كه آوازخواندن زنى كه مردان بر او داخل مى‌شوند جزء سخنان لغو و باطل است، كه منظور از آن </w:t>
      </w:r>
    </w:p>
    <w:p>
      <w:pPr>
        <w:pStyle w:val="BookText"/>
        <w:rPr/>
      </w:pPr>
      <w:r>
        <w:rPr>
          <w:rFonts w:ascii="IRNazanin" w:hAnsi="IRNazanin" w:eastAsia="IRNazanin"/>
          <w:color w:val="111111"/>
          <w:sz w:val="28"/>
          <w:sz w:val="28"/>
          <w:szCs w:val="28"/>
          <w:rtl w:val="true"/>
          <w:lang w:bidi="fa-IR"/>
        </w:rPr>
        <w:t>مردم را به گناه انداختن و خارج كردنشان از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خبر دوم به دليل حضور على بن ابوحمزه بطائنى واقفى، كه كذاب و متهم است، ضعيف است؛ و نهايت چيزى كه از خبر اول به دست مى آيد اين است كه خواندنِ آوازه‌خوانى كه در عروسى‌ها مى‌خواند تا وقتى به يكى از محرمات ديگر مقترن نشده باشد، اشكال ندارد؛ و اين خبر متعرض حكم غناء در مورد كسى كه در غير عروسى‌ها مى‌خواند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نصوصى كه بر تمجيد از صداى نيكو، استحباب قرائت قرآن با صداى خوش، اينكه خداوند پيامبرى را مبعوث نكرده مگر اينكه صدايى نيكو داشته، و اينكه على بن حسين عليه السلام خوش‌صداترين مردم در تلاوت قرآن بوده است دلالت دارند</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7757</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جواز غنا و بلكه استحباب آن در قرآئت قرآن و اينكه حرمت مربوط به امور خارجى است،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ارتباطى با غناء ندارند، چون چنانكه گذشت صداى خوش غير از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آنچه گذشت بر اين قول دلالت داشته باشد و مشخص شود نمى‌توان همه آنچه دلالت بر حرمت غناء دارد را به اين حمل كرد كه حرمتش مربوط به امور خارجى است، و نمى‌توان از ظهورش در حرمت خود غناء رفع يد كرد؛ ناچار قطعا ميانشان تعارض برقرار مى‌شود، و در اين صورت چنانكه معلوم است ترجيح با آن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بر آن، قول به جواز تنها به محدث مذكور</w:t>
      </w:r>
      <w:r>
        <w:rPr>
          <w:rStyle w:val="FootnoteAnchor"/>
          <w:rtl w:val="true"/>
        </w:rPr>
        <w:footnoteReference w:id="325"/>
      </w:r>
      <w:r>
        <w:rPr>
          <w:rFonts w:ascii="IRNazanin" w:hAnsi="IRNazanin" w:eastAsia="IRNazanin"/>
          <w:color w:val="111111"/>
          <w:sz w:val="28"/>
          <w:sz w:val="28"/>
          <w:szCs w:val="28"/>
          <w:rtl w:val="true"/>
          <w:lang w:bidi="fa-IR"/>
        </w:rPr>
        <w:t xml:space="preserve">و محقق </w:t>
      </w:r>
      <w:bookmarkStart w:id="239" w:name="pg7423_74457"/>
    </w:p>
    <w:p>
      <w:pPr>
        <w:pStyle w:val="BookText"/>
        <w:rPr/>
      </w:pPr>
      <w:bookmarkEnd w:id="239"/>
      <w:r>
        <w:rPr>
          <w:rFonts w:ascii="IRNazanin" w:hAnsi="IRNazanin" w:eastAsia="IRNazanin"/>
          <w:color w:val="111111"/>
          <w:sz w:val="28"/>
          <w:sz w:val="28"/>
          <w:szCs w:val="28"/>
          <w:rtl w:val="true"/>
          <w:lang w:bidi="fa-IR"/>
        </w:rPr>
        <w:t>سبزوارى</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ميرزاى شيرازى در حاشيه خود بر 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منسوب است، حال آنكه پيش از اين گفته شد كه عده‌اى از بزرگان قول به عدم جواز را جزء ضروريات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در حكم به حرمت وجود ندارد</w:t>
      </w:r>
      <w:r>
        <w:rPr>
          <w:rFonts w:eastAsia="IRNazanin" w:cs="IRNazanin"/>
          <w:color w:val="111111"/>
          <w:sz w:val="28"/>
          <w:szCs w:val="28"/>
          <w:rtl w:val="true"/>
          <w:lang w:bidi="fa-IR"/>
        </w:rPr>
        <w:t>.</w:t>
      </w:r>
    </w:p>
    <w:p>
      <w:pPr>
        <w:pStyle w:val="Heading3"/>
        <w:numPr>
          <w:ilvl w:val="2"/>
          <w:numId w:val="1"/>
        </w:numPr>
        <w:rPr/>
      </w:pPr>
      <w:bookmarkStart w:id="240" w:name="__RefHeading___Toc1682938_1051229030"/>
      <w:bookmarkStart w:id="241" w:name="_Toc81"/>
      <w:bookmarkEnd w:id="240"/>
      <w:r>
        <w:rPr>
          <w:rtl w:val="true"/>
        </w:rPr>
        <w:t>مقام سوم</w:t>
      </w:r>
      <w:r>
        <w:rPr>
          <w:rtl w:val="true"/>
        </w:rPr>
        <w:t xml:space="preserve">: </w:t>
      </w:r>
      <w:r>
        <w:rPr>
          <w:rtl w:val="true"/>
        </w:rPr>
        <w:t>مستثنيات حرمت غناء</w:t>
      </w:r>
      <w:bookmarkEnd w:id="241"/>
    </w:p>
    <w:p>
      <w:pPr>
        <w:pStyle w:val="Heading4"/>
        <w:numPr>
          <w:ilvl w:val="3"/>
          <w:numId w:val="1"/>
        </w:numPr>
        <w:rPr/>
      </w:pPr>
      <w:bookmarkStart w:id="242" w:name="__RefHeading___Toc1682940_1051229030"/>
      <w:bookmarkStart w:id="243" w:name="_Toc82"/>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از غناء حرام استثنا شده است، كه عبارت‌اند از</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82942_1051229030"/>
      <w:bookmarkStart w:id="245" w:name="_Toc83"/>
      <w:bookmarkEnd w:id="244"/>
      <w:r>
        <w:rPr>
          <w:rtl w:val="true"/>
        </w:rPr>
        <w:t>مورد اول</w:t>
      </w:r>
      <w:r>
        <w:rPr>
          <w:rtl w:val="true"/>
        </w:rPr>
        <w:t xml:space="preserve">: </w:t>
      </w:r>
      <w:r>
        <w:rPr>
          <w:rtl w:val="true"/>
        </w:rPr>
        <w:t>مراثى</w:t>
      </w:r>
      <w:bookmarkEnd w:id="245"/>
    </w:p>
    <w:p>
      <w:pPr>
        <w:pStyle w:val="BookText"/>
        <w:rPr/>
      </w:pPr>
      <w:r>
        <w:rPr>
          <w:rFonts w:ascii="Amiri" w:hAnsi="Amiri" w:eastAsia="Amiri" w:cs="Amiri"/>
          <w:color w:val="111111"/>
          <w:sz w:val="28"/>
          <w:sz w:val="28"/>
          <w:szCs w:val="28"/>
          <w:rtl w:val="true"/>
          <w:lang w:bidi="ar-SA"/>
        </w:rPr>
        <w:t>نقل محكى جامع المقاصد از ناقل نامعلوم</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غناء در مراثى جايز است بدون آنكه وجه آن را ذكر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اردبيلى در محكى شرح الارشاد</w:t>
      </w:r>
      <w:r>
        <w:rPr>
          <w:rStyle w:val="FootnoteAnchor"/>
          <w:rtl w:val="true"/>
        </w:rPr>
        <w:footnoteReference w:id="328"/>
      </w:r>
      <w:r>
        <w:rPr>
          <w:rFonts w:ascii="Amiri" w:hAnsi="Amiri" w:eastAsia="Amiri" w:cs="Amiri"/>
          <w:color w:val="111111"/>
          <w:sz w:val="28"/>
          <w:sz w:val="28"/>
          <w:szCs w:val="28"/>
          <w:rtl w:val="true"/>
          <w:lang w:bidi="ar-SA"/>
        </w:rPr>
        <w:t>، اين قول را مفهوم ساخته و وجوهى را در سبب آن ذكر كرده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در غير اين مورد ثابت شده است، و اخبار درباره تحريم به طور مطلق صحيح و صريح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روايات صحيحى در اين باره وجود دارد و آنها بر حرمت غناء به طور مطلق دلالت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سيره بر اين امر؛ اين مسأله از زمان مشايخ تا كنون بدون هيچ قبحى هميشه در بلاد مسلمانان متعارف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سيره بر رثاء و اقامه عزادارى مسلّم است، اما ما روش سيره بر غناخواندن در مراثى را تصديق نمى‌كنيم، و مسلّم خلاف اين قول است؛ و ادعاى اينكه نوحه‌خوانى تنها به اين شكل صورت مى‌گيرد، ادعايى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اندوه در مراثى مطلوب است، به آن ترغيب شده است، ثوابى عظيم دارد، و غناء به اين مسأله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از اينكه غناء به گريه كمك نمى‌كند، و دليل آن مطالبى است كه در بخش بيان حقيقت تعريف آن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كمك‌كننده بودن آن را تصديق كنيم، وجهى براى قول به جواز آن از جهت اينكه به عنوان مقدمه مستحب واقع شود، وجود ندارد؛ زيرا در صورت تزاحم ميان دو حكم، يكى الزامى و ديگرى غيرالزامى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شبهه‌اى در مقدم بودن دليل اول بر دوم وجود ندارد چون دليل اول صلاحيت آن را دارد كه معجز از غير خود باشد نه برعكس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ادله در زمينه به گريه انداختن و رثاء؛ شيخ در پاسخ به آن مى‌گويد</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مستحبات در مقابل ادله محرمات مقاومت نمى‌كنند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مطالبى كه به عنوان وجه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استحباب به دليل وجود جهت مقتضى با آن و محقق نشدن آنچه متقضى الزام به ترك مورد آن است، متضمن ثبوت حكم است، بنابراين فعل وقتى در درون خود از آنچه اقتضاى حرمت دارد خالى شود، متصف به استحباب مى‌شود، و با رخ دادن عنوانى كه براى ترك آن الزام كند، </w:t>
      </w:r>
    </w:p>
    <w:p>
      <w:pPr>
        <w:pStyle w:val="BookText"/>
        <w:rPr/>
      </w:pPr>
      <w:r>
        <w:rPr>
          <w:rFonts w:ascii="IRNazanin" w:hAnsi="IRNazanin" w:eastAsia="IRNazanin"/>
          <w:color w:val="111111"/>
          <w:sz w:val="28"/>
          <w:sz w:val="28"/>
          <w:szCs w:val="28"/>
          <w:rtl w:val="true"/>
          <w:lang w:bidi="fa-IR"/>
        </w:rPr>
        <w:t>حرام مى‌شود و دليل استحباب در مقابل آن مقاومت نمى‌كند؛ بنابراين به گريه انداختن تا زمانى كه يكى از عناوين حرام مانند غناء بر آن فرونيفتاده است، مستحب است، و دليل مطلوبيت صلاحيت مقاومت در مقابل ادله حرمت غناء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مقاومت نكردن ادله احكام غيرالزامى در مقابل ادله احكام الزامى ذكر شد، در چند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ميان دو دسته در مقام امتثال تزاحم برقرار شود، بدون آنكه آن دو بر مورد واحدى صدق كنند؛ مثلا مانند مزاحمت ميان وجوب روزه و استحباب قرائت قرآن زمانى كه نمى‌تواند ميان آن دو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شبهه‌اى در مقدم بودن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روزه نيست، چون دليلش معجز از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موضوع آن دو يكى باشد، و حكم غيرالزامى مشروط به اين باشد كه از موافقت با آن، مخالفت با حكم الزامى لازم نيايد، مثلا مانند برآوردن نياز يك مؤمن، از آن لحاظ كه استحبابش مقيد به لازم نيامدن فعل حرام در امتثال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هيچ‌كسى در اين مطلب ترديد نكرده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چيزى از محرمات به عنوان برآوردن نياز مؤمن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 غيرالزامى به عنوان اولى، و حكم الزامى به عنوان ثانوى بر چيزى مترتب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سه موضع، يعنى وقتى در واقعيت حكمى واحد ثابت شده است، و ادله در ثبوت حكم الزامى يا غيرالزامى به شكل تباين يا عموم من وجه با يكديگر تعارض دارند، و حكم غيرالزامى مشروط به عدم مخالفت با حكم الزامى </w:t>
      </w:r>
    </w:p>
    <w:p>
      <w:pPr>
        <w:pStyle w:val="BookText"/>
        <w:rPr/>
      </w:pPr>
      <w:r>
        <w:rPr>
          <w:rFonts w:ascii="IRNazanin" w:hAnsi="IRNazanin" w:eastAsia="IRNazanin"/>
          <w:color w:val="111111"/>
          <w:sz w:val="28"/>
          <w:sz w:val="28"/>
          <w:szCs w:val="28"/>
          <w:rtl w:val="true"/>
          <w:lang w:bidi="fa-IR"/>
        </w:rPr>
        <w:t>نباشد؛ وجهى براى ادعاى مقدم بودن دليل حكم الزامى وجود ندارد مگر ادعاى يكى از سه امر ذيل از باب منع 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اطلاق براى دليل حكم غيرالزامى، به گونه‌اى كه موردى را كه دليل بر حكم الزامى درباره آن اقامه شده،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انصرافش از اين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ظهورش در تقييد حكمى كه متضمن عدم مخالفت با حكم الزامى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ادعاى اينكه مقتضيات احكام ترخيصى صلاحيت مزاحمت با مقتضيات احكام الزامى را ندارد؛ با اين بحث ارتباطى ندارد، چون ادعا در موردى است كه هر دو مقتضى ثابت شوند، و عدم آن در اين فرض، به دليل لزوم تعارض ميان دو دليل، و دست‌كم معلوم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حتما بايد به مرجحات باب تعارض رجوع كرد؛ و چنانچه معلوم است مسأله‌اى كه اكنون درباره آن بحث مى‌كنيم، نيز از اين قبيل است نه از قبيل موارد سه‌گانه اول، به همين دليل راهى جز مقدم دانستن ادله غناء، به دليل مخالفت آنها با عامه،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متعلق به طرب است، و در مراثى، نه تنها طرب نيست، بلكه چيزى جز حزن وجود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صدا، صداى لهوى و لحن رقص‌آور است، و موجب نشاط و انبساط شنونده مى‌شود، اما گاهى شنونده به دليل فقدان آنچه قواى شهويه را به‌وجود مى‌آورد، در خلال آن به‌خاطر غم‌هايى كه در قلبش جمع شده و متوجه آنها نيست گريه مى‌كند، و خيال مى‌كند براى مرثيه گريه مى‌كند؛ گاهى به جهت اينكه اين </w:t>
      </w:r>
      <w:bookmarkStart w:id="246" w:name="pg7423_74461"/>
    </w:p>
    <w:p>
      <w:pPr>
        <w:pStyle w:val="BookText"/>
        <w:rPr/>
      </w:pPr>
      <w:bookmarkEnd w:id="246"/>
      <w:r>
        <w:rPr>
          <w:rFonts w:ascii="IRNazanin" w:hAnsi="IRNazanin" w:eastAsia="IRNazanin"/>
          <w:color w:val="111111"/>
          <w:sz w:val="28"/>
          <w:sz w:val="28"/>
          <w:szCs w:val="28"/>
          <w:rtl w:val="true"/>
          <w:lang w:bidi="fa-IR"/>
        </w:rPr>
        <w:t>ماده در ايجاد حزن از نحوه طرب‌خيزى نيرومندتر است گريه مى‌كند؛ و گاهى صدا به خودى خود موجب حزن و گريه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بر دومى صدق نمى‌كند، هرچند كه چنانكه گفته شد حق است، اما بر اولى صادق است، بنابراين توجه به آن و تشخيص غناء از غير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مراثى حرام است، با اين حال صدايى كه موجب پديدآمدن سبكى حاصل از شدت سرور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باطل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غنايى نبوده و در نتيجه حرام نيست</w:t>
      </w:r>
      <w:r>
        <w:rPr>
          <w:rFonts w:eastAsia="IRNazanin" w:cs="IRNazanin"/>
          <w:color w:val="111111"/>
          <w:sz w:val="28"/>
          <w:szCs w:val="28"/>
          <w:rtl w:val="true"/>
          <w:lang w:bidi="fa-IR"/>
        </w:rPr>
        <w:t>.</w:t>
      </w:r>
    </w:p>
    <w:p>
      <w:pPr>
        <w:pStyle w:val="Heading4"/>
        <w:numPr>
          <w:ilvl w:val="3"/>
          <w:numId w:val="1"/>
        </w:numPr>
        <w:rPr/>
      </w:pPr>
      <w:bookmarkStart w:id="247" w:name="__RefHeading___Toc1682944_1051229030"/>
      <w:bookmarkStart w:id="248" w:name="_Toc84"/>
      <w:bookmarkEnd w:id="247"/>
      <w:r>
        <w:rPr>
          <w:rtl w:val="true"/>
        </w:rPr>
        <w:t>مورد دوم</w:t>
      </w:r>
      <w:r>
        <w:rPr>
          <w:rtl w:val="true"/>
        </w:rPr>
        <w:t xml:space="preserve">: </w:t>
      </w:r>
      <w:r>
        <w:rPr>
          <w:rtl w:val="true"/>
        </w:rPr>
        <w:t>تلاوت قرآن</w:t>
      </w:r>
      <w:bookmarkEnd w:id="248"/>
    </w:p>
    <w:p>
      <w:pPr>
        <w:pStyle w:val="BookText"/>
        <w:rPr/>
      </w:pPr>
      <w:r>
        <w:rPr>
          <w:rFonts w:ascii="Amiri" w:hAnsi="Amiri" w:eastAsia="Amiri" w:cs="Amiri"/>
          <w:color w:val="111111"/>
          <w:sz w:val="28"/>
          <w:sz w:val="28"/>
          <w:szCs w:val="28"/>
          <w:rtl w:val="true"/>
          <w:lang w:bidi="ar-SA"/>
        </w:rPr>
        <w:t>استثناى اين مورد را به محقق سبزوارى نسبت داده‌اند</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ميان اين اخبار و اخبار فراوانى كه دال بر تحريم غناء هستند را به دو شكل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تخصص آن اخبار به چيزهايى غير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برخى از محققان قول او را پذيرفته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به وجوهى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كفايه</w:t>
      </w:r>
      <w:r>
        <w:rPr>
          <w:rStyle w:val="FootnoteAnchor"/>
          <w:rtl w:val="true"/>
        </w:rPr>
        <w:footnoteReference w:id="331"/>
      </w:r>
      <w:r>
        <w:rPr>
          <w:rFonts w:ascii="Amiri" w:hAnsi="Amiri" w:eastAsia="Amiri" w:cs="Amiri"/>
          <w:color w:val="111111"/>
          <w:sz w:val="28"/>
          <w:sz w:val="28"/>
          <w:szCs w:val="28"/>
          <w:rtl w:val="true"/>
          <w:lang w:bidi="ar-SA"/>
        </w:rPr>
        <w:t>و محقق ايروانى</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از موضوع غناء خارج است، چون در صدق غناء معتبر است كه معناى كلام و مضمونش باطل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اول بحث اول گفته شد كه اين طريقه اشتباه است، و غناء عبارت از كيفيت خاصى در صدا است، و آن صداى باطل با </w:t>
      </w:r>
    </w:p>
    <w:p>
      <w:pPr>
        <w:pStyle w:val="BookText"/>
        <w:rPr/>
      </w:pPr>
      <w:r>
        <w:rPr>
          <w:rFonts w:ascii="Amiri" w:hAnsi="Amiri" w:eastAsia="Amiri" w:cs="Amiri"/>
          <w:color w:val="111111"/>
          <w:sz w:val="28"/>
          <w:sz w:val="28"/>
          <w:szCs w:val="28"/>
          <w:rtl w:val="true"/>
          <w:lang w:bidi="ar-SA"/>
        </w:rPr>
        <w:t>اينكه ماده آن حق باشد قابل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فراوانى</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7754</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بر استحباب نيكو كردن صدا هنگام قرائت قرآن و تحزين و ترجيع به آن دارند، و چيزى از اينها بدون غناء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اين عناوين غير از غناء هستند، چون غناء صداى لهوى و لحنى پايكوبانه است، و مجرد صدا، ترجيع به آن و تحزين،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منافاتى ميان اين نصوص و ميان نصوصِ دالّ بر مذمت غناخوانى قرآن، وجود ندارد؛ نصوصى مانند خبر عبدالله بن سنان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الحان و اصوات عربى بخوانيد و از الحان اهل فسق و معاصى بپرهيزيد، همانا به‌زودى پس از من كسانى خواهند آمد كه قرآن را با ترجيع غنا مى‌خوانند و نوحه‌گرى مى‌نمايند و به روش‌هاى آوازى ديگر اديان، تلاوت مى نمايند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سبزوارى</w:t>
      </w:r>
      <w:r>
        <w:rPr>
          <w:rStyle w:val="FootnoteAnchor"/>
          <w:rtl w:val="true"/>
        </w:rPr>
        <w:footnoteReference w:id="335"/>
      </w:r>
      <w:r>
        <w:rPr>
          <w:rFonts w:ascii="Amiri" w:hAnsi="Amiri" w:eastAsia="Amiri" w:cs="Amiri"/>
          <w:color w:val="111111"/>
          <w:sz w:val="28"/>
          <w:sz w:val="28"/>
          <w:szCs w:val="28"/>
          <w:rtl w:val="true"/>
          <w:lang w:bidi="ar-SA"/>
        </w:rPr>
        <w:t>به جهت اينكه بنا را بر ملازمت نيكوكردن صدا و ترجيع صدا با غنا نهاده است، قائل به تعارض ميان دو دسته شده است، و ميان آنها به دو صورت جمع كرده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صحيح همين طريقه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 xml:space="preserve">از آن دو اين است كه اخبار واردشده و مانع را به چيزى غير از قرآن تخصيص دهيم، و آنچه دلالت بر مذمت غناخوانى قرآن مى‌كند را بر قرائت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شيوه اهل فسق در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غناء با روايات فروانى</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7688</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دال بر فضيلت قرائت قرآن هستند معارض است، و نسبت ميان آنها عموم من وجه است، بنابراين در صورت اجتماع، اصالت اباحه جارى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منتخب در تعارض ميان دو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من 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مرجحات است، و مقتضاى آن مقدم دانستن نصوص غناء به دليل مخالفتشان با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پاسخ شيخ</w:t>
      </w:r>
      <w:r>
        <w:rPr>
          <w:rStyle w:val="FootnoteAnchor"/>
          <w:rtl w:val="true"/>
        </w:rPr>
        <w:footnoteReference w:id="337"/>
      </w:r>
      <w:r>
        <w:rPr>
          <w:rFonts w:ascii="IRNazanin" w:hAnsi="IRNazanin" w:eastAsia="IRNazanin"/>
          <w:color w:val="111111"/>
          <w:sz w:val="28"/>
          <w:sz w:val="28"/>
          <w:szCs w:val="28"/>
          <w:rtl w:val="true"/>
          <w:lang w:bidi="fa-IR"/>
        </w:rPr>
        <w:t>كه گفته است ادله احكام غيرالزامى در مقابل ادله احكام الزامى مقاومت نمى‌كنند؛ نيز به تفصيل در مستثناى اول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بحث مراجعه كنيد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حرمت غناء در قرائت قرآن است، و خبر سابق‌الذكر عبدالله بن سنان بر آن دلالت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سند اين خبر به دليل حضور ابراهيم احمر در طريق آن،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ما عقيده داريم غناء در قرائت قرآن مبغوض است زيرا هتك دين است</w:t>
      </w:r>
      <w:r>
        <w:rPr>
          <w:rFonts w:eastAsia="Amiri" w:cs="Amiri" w:ascii="Amiri" w:hAnsi="Amiri"/>
          <w:color w:val="111111"/>
          <w:sz w:val="28"/>
          <w:szCs w:val="28"/>
          <w:rtl w:val="true"/>
          <w:lang w:bidi="ar-SA"/>
        </w:rPr>
        <w:t xml:space="preserve">. </w:t>
      </w:r>
      <w:bookmarkStart w:id="249" w:name="pg7423_74464"/>
    </w:p>
    <w:p>
      <w:pPr>
        <w:pStyle w:val="Heading4"/>
        <w:numPr>
          <w:ilvl w:val="3"/>
          <w:numId w:val="1"/>
        </w:numPr>
        <w:rPr/>
      </w:pPr>
      <w:bookmarkStart w:id="250" w:name="__RefHeading___Toc1682946_1051229030"/>
      <w:bookmarkStart w:id="251" w:name="_Toc85"/>
      <w:bookmarkEnd w:id="249"/>
      <w:bookmarkEnd w:id="250"/>
      <w:r>
        <w:rPr>
          <w:rtl w:val="true"/>
        </w:rPr>
        <w:t>مورد سوم</w:t>
      </w:r>
      <w:r>
        <w:rPr>
          <w:rtl w:val="true"/>
        </w:rPr>
        <w:t xml:space="preserve">: </w:t>
      </w:r>
      <w:r>
        <w:rPr>
          <w:rtl w:val="true"/>
        </w:rPr>
        <w:t>حداء براى راندن شتران</w:t>
      </w:r>
      <w:bookmarkEnd w:id="251"/>
    </w:p>
    <w:p>
      <w:pPr>
        <w:pStyle w:val="BookText"/>
        <w:rPr/>
      </w:pPr>
      <w:r>
        <w:rPr>
          <w:rFonts w:ascii="IRNazanin" w:hAnsi="IRNazanin" w:eastAsia="IRNazanin"/>
          <w:color w:val="111111"/>
          <w:sz w:val="28"/>
          <w:sz w:val="28"/>
          <w:szCs w:val="28"/>
          <w:rtl w:val="true"/>
          <w:lang w:bidi="fa-IR"/>
        </w:rPr>
        <w:t>صاحب كفايه مى‌گويد</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استثناى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وجوهى را در استدلال به آن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 مرسل كه در كتاب شهادات المسالك ذكر شده است</w:t>
      </w:r>
      <w:r>
        <w:rPr>
          <w:rStyle w:val="FootnoteAnchor"/>
          <w:rtl w:val="true"/>
        </w:rPr>
        <w:footnoteReference w:id="340"/>
      </w:r>
      <w:r>
        <w:rPr>
          <w:rFonts w:ascii="IRNazanin" w:hAnsi="IRNazanin" w:eastAsia="IRNazanin"/>
          <w:color w:val="111111"/>
          <w:sz w:val="28"/>
          <w:sz w:val="28"/>
          <w:szCs w:val="28"/>
          <w:rtl w:val="true"/>
          <w:lang w:bidi="fa-IR"/>
        </w:rPr>
        <w:t>، و متضمن تقرير پيامبر صلى الله عليه و آله و سلم نسبت به عبدالله بن رواحه است كه صدايى نيكو داشت و براى شتران حداء مى‌خواند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در مكاسب گفته است</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و سندش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ايراد محقق شيرازى بر آن</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حداء جزء غناء باشد، دلالت وجه ضعف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آن نيز با نقل شهرت و فتواى جمعى از بزرگان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مرسل متضمن يك واقعه شخصى است، از اين رو مى‌تواند حدايى كه پيامبر صلى الله عليه و آله و سلم مجوز آن را داده است غنايى نباشد؛ بنابراين بر جواز غناء دلالت نمى‌كند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صدوق به اسناد از سكونى، از جعفر بن محمد عليه السلام از 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مسافر حداء و شعر است، مادامى كه در آن كلام قبيح و فحش نباشد</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 يعنى طرب، با اختلاف </w:t>
      </w:r>
      <w:bookmarkStart w:id="252" w:name="pg7423_74465"/>
    </w:p>
    <w:p>
      <w:pPr>
        <w:pStyle w:val="BookText"/>
        <w:rPr/>
      </w:pPr>
      <w:bookmarkEnd w:id="252"/>
      <w:r>
        <w:rPr>
          <w:rFonts w:ascii="IRNazanin" w:hAnsi="IRNazanin" w:eastAsia="IRNazanin"/>
          <w:color w:val="111111"/>
          <w:sz w:val="28"/>
          <w:sz w:val="28"/>
          <w:szCs w:val="28"/>
          <w:rtl w:val="true"/>
          <w:lang w:bidi="fa-IR"/>
        </w:rPr>
        <w:t>نسخه‌ها، بنا بر اينكه قيد به خصوص شعر برگردد همان‌طور كه افراد ضمير به آن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روايت مبتنى بر اين است كه حداء منحصر به غناء باشد، اما چنين نيست، بنابراين بر جواز غناء دلالت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مطلب وجه سوم، يعنى استقرار سيره بر جواز حداء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الجواهر</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حداء به تصديق عرف بخشى از غناء است، لذا موضوعا از غناء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عنوان منافاتى وجود ندارد تا صدق يكى مانع از صدق ديگرى باشد، بلكه اظهر آن است كه نسبت ميان آنها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گفتيم ثابت مى‌شود كه دليلى بر استثناى غناء در حداء وجود ندارد</w:t>
      </w:r>
      <w:r>
        <w:rPr>
          <w:rFonts w:eastAsia="IRNazanin" w:cs="IRNazanin"/>
          <w:color w:val="111111"/>
          <w:sz w:val="28"/>
          <w:szCs w:val="28"/>
          <w:rtl w:val="true"/>
          <w:lang w:bidi="fa-IR"/>
        </w:rPr>
        <w:t>.</w:t>
      </w:r>
    </w:p>
    <w:p>
      <w:pPr>
        <w:pStyle w:val="Heading4"/>
        <w:numPr>
          <w:ilvl w:val="3"/>
          <w:numId w:val="1"/>
        </w:numPr>
        <w:rPr/>
      </w:pPr>
      <w:bookmarkStart w:id="253" w:name="__RefHeading___Toc1682948_1051229030"/>
      <w:bookmarkStart w:id="254" w:name="_Toc86"/>
      <w:bookmarkEnd w:id="253"/>
      <w:r>
        <w:rPr>
          <w:rtl w:val="true"/>
        </w:rPr>
        <w:t>مورد چهارم</w:t>
      </w:r>
      <w:r>
        <w:rPr>
          <w:rtl w:val="true"/>
        </w:rPr>
        <w:t xml:space="preserve">: </w:t>
      </w:r>
      <w:r>
        <w:rPr>
          <w:rtl w:val="true"/>
        </w:rPr>
        <w:t>عروسى‌ها</w:t>
      </w:r>
      <w:bookmarkEnd w:id="254"/>
    </w:p>
    <w:p>
      <w:pPr>
        <w:pStyle w:val="BookText"/>
        <w:rPr/>
      </w:pPr>
      <w:r>
        <w:rPr>
          <w:rFonts w:ascii="IRNazanin" w:hAnsi="IRNazanin" w:eastAsia="IRNazanin"/>
          <w:color w:val="111111"/>
          <w:sz w:val="28"/>
          <w:sz w:val="28"/>
          <w:szCs w:val="28"/>
          <w:rtl w:val="true"/>
          <w:lang w:bidi="fa-IR"/>
        </w:rPr>
        <w:t>غناء زن آوازه‌خوان در عروسى‌ها، در صورتى كه حرام ديگرى به آن اضافه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مكاسب مى‌گويد</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استثناى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تأييد آن موارد ذيل را عنوان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ابوبصير از 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مزد زن خواننده‌اى كه</w:t>
      </w:r>
    </w:p>
    <w:p>
      <w:pPr>
        <w:pStyle w:val="BookText"/>
        <w:rPr/>
      </w:pPr>
      <w:r>
        <w:rPr>
          <w:rFonts w:ascii="Amiri" w:hAnsi="Amiri" w:eastAsia="Amiri" w:cs="Amiri"/>
          <w:color w:val="111111"/>
          <w:sz w:val="28"/>
          <w:sz w:val="28"/>
          <w:szCs w:val="28"/>
          <w:rtl w:val="true"/>
          <w:lang w:bidi="ar-SA"/>
        </w:rPr>
        <w:t>مراسم زفاف عروسى‌ها را اجرا مى‌كند اشكال ندارد، ولى نه آن زنى كه مردها به مجلس او وارد شوند</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الَّتى تَزِفُّ العَرائِسَ لَيسَ بِهِ بَأسُ وَ لَيسَت بِالَّتى يدخُلُ عَلَيهَا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22146</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ديگرى كه مانند آن است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سوم از 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المغنيات</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دومى مجهول و سومى ضعيف است و ادعاى ضعيف بودن اولى چنان است كه مى‌بينيد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روايت بر اينكه مزد مباح است نه فعل، به تلازم ميان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مى‌شود؛</w:t>
      </w:r>
    </w:p>
    <w:p>
      <w:pPr>
        <w:pStyle w:val="BookText"/>
        <w:rPr/>
      </w:pPr>
      <w:r>
        <w:rPr>
          <w:rFonts w:ascii="Amiri" w:hAnsi="Amiri" w:eastAsia="Amiri" w:cs="Amiri"/>
          <w:color w:val="111111"/>
          <w:sz w:val="28"/>
          <w:sz w:val="28"/>
          <w:szCs w:val="28"/>
          <w:rtl w:val="true"/>
          <w:lang w:bidi="ar-SA"/>
        </w:rPr>
        <w:t>و ادعاى اينكه مزد تنها براى اجرا است، خلاف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اظهر، جواز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درباره يادگيرى و ياددادن آن حرف باقى است، و خلاصه‌اش به شرح ذيل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ياددادن و يادگيرى غناخوانى و استماع آن حرام است بلاكلام؛ و درباره غير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ياددادن از دو روايت الوسائل، و حرمت يادگيرى از روايت مرسلِ مستدرك الوسائل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سند هر دو ضعيف است، چون يكى از دو خبر الوسائل، مرسل است و در طريق ديگرى محمد الطاطرى ديده مى‌شود كه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المستدرك نيز مرسل است، بنابراين مقتضاى اصل، جواز است</w:t>
      </w:r>
      <w:r>
        <w:rPr>
          <w:rFonts w:eastAsia="IRNazanin" w:cs="IRNazanin"/>
          <w:color w:val="111111"/>
          <w:sz w:val="28"/>
          <w:szCs w:val="28"/>
          <w:rtl w:val="true"/>
          <w:lang w:bidi="fa-IR"/>
        </w:rPr>
        <w:t xml:space="preserve">. </w:t>
      </w:r>
      <w:bookmarkStart w:id="255" w:name="pg7423_74467"/>
    </w:p>
    <w:p>
      <w:pPr>
        <w:pStyle w:val="Heading2"/>
        <w:numPr>
          <w:ilvl w:val="1"/>
          <w:numId w:val="1"/>
        </w:numPr>
        <w:rPr/>
      </w:pPr>
      <w:bookmarkStart w:id="256" w:name="__RefHeading___Toc1682950_1051229030"/>
      <w:bookmarkStart w:id="257" w:name="_Toc87"/>
      <w:bookmarkEnd w:id="255"/>
      <w:bookmarkEnd w:id="256"/>
      <w:r>
        <w:rPr>
          <w:rtl w:val="true"/>
        </w:rPr>
        <w:t>فصل هفتم</w:t>
      </w:r>
      <w:r>
        <w:rPr>
          <w:rtl w:val="true"/>
        </w:rPr>
        <w:t xml:space="preserve">: </w:t>
      </w:r>
      <w:r>
        <w:rPr>
          <w:rtl w:val="true"/>
        </w:rPr>
        <w:t>سوگوارى و نوحه‌سرايى</w:t>
      </w:r>
      <w:bookmarkEnd w:id="2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682952_1051229030"/>
      <w:bookmarkStart w:id="259" w:name="_Toc88"/>
      <w:bookmarkEnd w:id="258"/>
      <w:r>
        <w:rPr>
          <w:rtl w:val="true"/>
        </w:rPr>
        <w:t>اشاره</w:t>
      </w:r>
      <w:bookmarkEnd w:id="2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7423_74469"/>
      <w:bookmarkStart w:id="261" w:name="pg7423_74469"/>
      <w:bookmarkEnd w:id="261"/>
    </w:p>
    <w:p>
      <w:pPr>
        <w:pStyle w:val="Heading3"/>
        <w:numPr>
          <w:ilvl w:val="2"/>
          <w:numId w:val="1"/>
        </w:numPr>
        <w:rPr/>
      </w:pPr>
      <w:bookmarkStart w:id="262" w:name="pg7423_74469"/>
      <w:bookmarkStart w:id="263" w:name="__RefHeading___Toc1682954_1051229030"/>
      <w:bookmarkStart w:id="264" w:name="_Toc89"/>
      <w:bookmarkEnd w:id="262"/>
      <w:bookmarkEnd w:id="263"/>
      <w:r>
        <w:rPr>
          <w:rtl w:val="true"/>
        </w:rPr>
        <w:t>سوگوارى و نوحه‌سرايى</w:t>
      </w:r>
      <w:bookmarkEnd w:id="264"/>
    </w:p>
    <w:p>
      <w:pPr>
        <w:pStyle w:val="BookText"/>
        <w:rPr/>
      </w:pPr>
      <w:r>
        <w:rPr>
          <w:rFonts w:ascii="Amiri" w:hAnsi="Amiri" w:eastAsia="Amiri" w:cs="Amiri"/>
          <w:color w:val="111111"/>
          <w:sz w:val="28"/>
          <w:sz w:val="28"/>
          <w:szCs w:val="28"/>
          <w:rtl w:val="true"/>
          <w:lang w:bidi="ar-SA"/>
        </w:rPr>
        <w:t>شيخ‌ها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المقنعه،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النهاية،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سلار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متأخران از ايشان گفته‌اند كه نوحه‌سرايى به باطل از مصاديق و افراد مكاسب محرمه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سخن در اين مقام نيازمند بحث در دو مورد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تكليفى</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وضعى</w:t>
      </w:r>
    </w:p>
    <w:p>
      <w:pPr>
        <w:pStyle w:val="Heading3"/>
        <w:numPr>
          <w:ilvl w:val="2"/>
          <w:numId w:val="1"/>
        </w:numPr>
        <w:rPr/>
      </w:pPr>
      <w:bookmarkStart w:id="265" w:name="__RefHeading___Toc1682956_1051229030"/>
      <w:bookmarkStart w:id="266" w:name="_Toc90"/>
      <w:bookmarkEnd w:id="265"/>
      <w:r>
        <w:rPr>
          <w:rtl w:val="true"/>
        </w:rPr>
        <w:t>مورد اول</w:t>
      </w:r>
      <w:r>
        <w:rPr>
          <w:rtl w:val="true"/>
        </w:rPr>
        <w:t xml:space="preserve">: </w:t>
      </w:r>
      <w:r>
        <w:rPr>
          <w:rtl w:val="true"/>
        </w:rPr>
        <w:t>حكم تكليفى</w:t>
      </w:r>
      <w:bookmarkEnd w:id="266"/>
    </w:p>
    <w:p>
      <w:pPr>
        <w:pStyle w:val="Heading4"/>
        <w:numPr>
          <w:ilvl w:val="3"/>
          <w:numId w:val="1"/>
        </w:numPr>
        <w:rPr/>
      </w:pPr>
      <w:bookmarkStart w:id="267" w:name="__RefHeading___Toc1682958_1051229030"/>
      <w:bookmarkStart w:id="268" w:name="_Toc91"/>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سخنان قوم در اين زمينه مختلف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حرمت مطلقاً، و اين نظر جمعى از اصحاب است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كراهت، اين نظر در محكى مفتاح الكرامة پذيرفته شده است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269" w:name="pg7423_74470"/>
    </w:p>
    <w:p>
      <w:pPr>
        <w:pStyle w:val="BookText"/>
        <w:rPr/>
      </w:pPr>
      <w:bookmarkEnd w:id="269"/>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تفصيل ميان نوحه‌سرايى به باطل كه حرام است، و نوحه‌سرايى به حق يعنى آنچه مستلزم حرام نيست 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الحدائق</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الحدائق الناظرة،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مشهور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قول سوم در چند مورد با يكديگر اختلاف دارند،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به نوحه‌سرايى به حق، و مكروه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آن، و مكروه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و اگر شرط اجرت شده باشد مكروه است، و در غير اين صورت كراهت ندارد</w:t>
      </w:r>
      <w:r>
        <w:rPr>
          <w:rFonts w:eastAsia="IRNazanin" w:cs="IRNazanin"/>
          <w:color w:val="111111"/>
          <w:sz w:val="28"/>
          <w:szCs w:val="28"/>
          <w:rtl w:val="true"/>
          <w:lang w:bidi="fa-IR"/>
        </w:rPr>
        <w:t>.</w:t>
      </w:r>
    </w:p>
    <w:p>
      <w:pPr>
        <w:pStyle w:val="Heading4"/>
        <w:numPr>
          <w:ilvl w:val="3"/>
          <w:numId w:val="1"/>
        </w:numPr>
        <w:rPr/>
      </w:pPr>
      <w:bookmarkStart w:id="270" w:name="__RefHeading___Toc1682960_1051229030"/>
      <w:bookmarkStart w:id="271" w:name="_Toc92"/>
      <w:bookmarkEnd w:id="270"/>
      <w:r>
        <w:rPr>
          <w:rtl w:val="true"/>
        </w:rPr>
        <w:t>روايات</w:t>
      </w:r>
      <w:bookmarkEnd w:id="271"/>
    </w:p>
    <w:p>
      <w:pPr>
        <w:pStyle w:val="BookText"/>
        <w:rPr/>
      </w:pPr>
      <w:r>
        <w:rPr>
          <w:rFonts w:ascii="IRNazanin" w:hAnsi="IRNazanin" w:eastAsia="IRNazanin"/>
          <w:color w:val="111111"/>
          <w:sz w:val="28"/>
          <w:sz w:val="28"/>
          <w:szCs w:val="28"/>
          <w:rtl w:val="true"/>
          <w:lang w:bidi="fa-IR"/>
        </w:rPr>
        <w:t>رواياتى كه در اين باب وارد شده‌اند چند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آن دارند، مطلقاً، مانند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حسَنِ حسين بن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دختران حضرت امام صادق عليه السلام فوت كرد، پس حضرت عليه السلام يك سال بر او نوحه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ديگرى از ايشان مرحوم شد، امام عليه السلام يك سال نيز بر او نوحه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ديگر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پس امام عليه السلام در مصيبت او جزع و بى‌قرارى شديدى كردند و نوحه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منزل شما نوحه مى شود؟ امام عليه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حمزه از دنيا رفت، </w:t>
      </w:r>
    </w:p>
    <w:p>
      <w:pPr>
        <w:pStyle w:val="BookText"/>
        <w:rPr/>
      </w:pPr>
      <w:r>
        <w:rPr>
          <w:rFonts w:ascii="IRNazanin" w:hAnsi="IRNazanin" w:eastAsia="IRNazanin"/>
          <w:color w:val="111111"/>
          <w:sz w:val="28"/>
          <w:sz w:val="28"/>
          <w:szCs w:val="28"/>
          <w:rtl w:val="true"/>
          <w:lang w:bidi="fa-IR"/>
        </w:rPr>
        <w:t>رسول الله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بر حمزه گريه نمى‌كند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ماتت ابنةٌ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فناح عليها سنة، ثمّ مات له ولد آخر فناح عليه سنة، ثمّ مات إسماعيل فجزع عليه جزعاً شديداً، فقطع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أيُناح في دارك؟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قال لمّا مات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يونس بن يعقوب از 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دارايى‌ام را برايم وقف كن تا گريه‌كنندگان در مِنا و در ايام مِنا ده سال بر من بگريند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نوحه‌سرايى بر امام عليه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 به ائمه عليه السلام محتمل است، به دليل اثرى كه در تحكيم محبت ايشان و بغض ظالمان به ايشان در قلب‌ها دارد؛ و اين دو، ستون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وضعيت نوحه‌سرايى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صلى الله عليه و آله و سلم، و بلكه وضعيت فاطميات در كربلا و غير آن روشن 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ثمالى كه متضمن نوحه ام‌سلمه همسر پيامبر صلى الله عليه و آله و سلم براى پسرعمويش وليد در حضور پيامبر صلى الله عليه و آله و سلم است</w:t>
      </w:r>
      <w:r>
        <w:rPr>
          <w:rStyle w:val="FootnoteAnchor"/>
          <w:rtl w:val="true"/>
        </w:rPr>
        <w:footnoteReference w:id="356"/>
      </w:r>
      <w:r>
        <w:rPr>
          <w:rFonts w:ascii="IRNazanin" w:hAnsi="IRNazanin" w:eastAsia="IRNazanin"/>
          <w:color w:val="111111"/>
          <w:sz w:val="28"/>
          <w:sz w:val="28"/>
          <w:szCs w:val="28"/>
          <w:rtl w:val="true"/>
          <w:lang w:bidi="fa-IR"/>
        </w:rPr>
        <w:t>، و روايات ديگرى كه مشابه اين روايات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منع از نوحه‌خوانى دارند مطلقاً،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مناهى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نوحه‌كردن نهى شده است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النّياحَةِ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22166</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زعفرانى از 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مصيبتى به او برسد و آه و ناله كند كفران نعمت نموده است</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مروى در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بر مرده نوحه‌خوانى مى‌كند، اگر از عمل خود توبه نكند، روز قيامت در حالى محشور مى‌شود كه پيراهنى از قير بر تن دارد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و روايات ديگر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كراهت دارند،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نوحه‌خوانى بر ميت سؤال كردم كه آيا درست است؟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كه اگر نوحه‌خوانى باطل نباشد، اشكال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شيخ صدوق در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تأمين معاش زنِ نوحه‌خوان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همراه با سخنان </w:t>
      </w:r>
    </w:p>
    <w:p>
      <w:pPr>
        <w:pStyle w:val="BookText"/>
        <w:rPr/>
      </w:pPr>
      <w:r>
        <w:rPr>
          <w:rFonts w:ascii="IRNazanin" w:hAnsi="IRNazanin" w:eastAsia="IRNazanin"/>
          <w:color w:val="111111"/>
          <w:sz w:val="28"/>
          <w:sz w:val="28"/>
          <w:szCs w:val="28"/>
          <w:rtl w:val="true"/>
          <w:lang w:bidi="fa-IR"/>
        </w:rPr>
        <w:t>حق و راست باشد مانعى ندارد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22164</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اگر چه بر حكم كسب دلالت مطابقى دارد، ظهور در حكم وضعى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دلالت التزامى دالّ بر جواز تكليفى در جايى است كه با سخنان حق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ميان سخنان، سخن درست اين است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ضعف سند برخى از اين روايات، اخبارى كه از نوحه‌خوانى ممانعت مى‌كنند، بر نوحه‌خوانى همراه با سخنان غيرحق و باطل حمل شوند؛ و رواياتى كه جواز آن را صادر كرده‌اند، به نوحه‌خوانى با سخنان حق حمل شوند؛ چون دسته چهارم، به منطوق خود اخبار ممانعت‌كننده، و به مفهوم خود اخبار جوازدهنده را قيد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نيز، از آنجا كه ظهور در كراهت اصطلاحى ندارند، يا حمل بر ممانعت ميشوند، كه در اين صورت همان سبيل دسته دوم را دارند؛ يا مجمل دانسته مى‌شوند و بيش از مرجوحيت از آنها استفاده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غير موردى كه ممنوع شده است، دليلى بر كراهت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موردى كه ممنوع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با 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اجمال خبر و احتمال اراده منع از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همه اينها با قطع نظر از قصور سند است؛ وگرنه دو دسته دوم و چهارم سندشان ضعيف است، و بر اين مبنا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بگوييم دسته سوم ظهور در منع دارند، به دليل عدم امكان جمع با حمل بر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دلالت خبر حسين بن زيد كه دالّ بر عدم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و ميان دسته اول تعارض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جز رجوع به مرجحات نيست، و مرجحات اقتضا مى‌كند اولى به دليل مشهورتر بودن و مخالفتش با عامه مقدم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بگوييم مجمل هستند، بيش از كراهت از آنها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اولى تنها به دليل مشهورتر بودن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بعد از جمع بين آنها، مطلقاً بر جواز نوحه‌خوانى دلالت دارند، و نسبت ميان آنها و ميان نصوص دالّ بر حرمت دروغ و حرمت غناء عموم من وجه است، بنابراين در مجمع ساقط مى‌شوند و مرجع اصالت حِلّ است، كه لازمه‌اش جواز نوحه‌خوانى است حتى اگر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دلالت دارند بر جواز نوحه‌خوانى از حيث هو، و با قطع نظر از دو عنوان ثانويه منطبق بر آن در برخى موارد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يكى از عناوين محرمه مانند دروغ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نوحه‌خوانى منطبق نشده است، اظهر جواز آن است</w:t>
      </w:r>
      <w:r>
        <w:rPr>
          <w:rFonts w:eastAsia="Amiri" w:cs="Amiri" w:ascii="Amiri" w:hAnsi="Amiri"/>
          <w:color w:val="111111"/>
          <w:sz w:val="28"/>
          <w:szCs w:val="28"/>
          <w:rtl w:val="true"/>
          <w:lang w:bidi="ar-SA"/>
        </w:rPr>
        <w:t xml:space="preserve">. </w:t>
      </w:r>
      <w:bookmarkStart w:id="272" w:name="pg7423_74475"/>
    </w:p>
    <w:p>
      <w:pPr>
        <w:pStyle w:val="Heading3"/>
        <w:numPr>
          <w:ilvl w:val="2"/>
          <w:numId w:val="1"/>
        </w:numPr>
        <w:rPr/>
      </w:pPr>
      <w:bookmarkStart w:id="273" w:name="__RefHeading___Toc1682962_1051229030"/>
      <w:bookmarkStart w:id="274" w:name="_Toc93"/>
      <w:bookmarkEnd w:id="272"/>
      <w:bookmarkEnd w:id="273"/>
      <w:r>
        <w:rPr>
          <w:rtl w:val="true"/>
        </w:rPr>
        <w:t>مورد دوم</w:t>
      </w:r>
      <w:r>
        <w:rPr>
          <w:rtl w:val="true"/>
        </w:rPr>
        <w:t xml:space="preserve">: </w:t>
      </w:r>
      <w:r>
        <w:rPr>
          <w:rtl w:val="true"/>
        </w:rPr>
        <w:t>حكم وضعى</w:t>
      </w:r>
      <w:bookmarkEnd w:id="274"/>
    </w:p>
    <w:p>
      <w:pPr>
        <w:pStyle w:val="BookText"/>
        <w:rPr/>
      </w:pPr>
      <w:r>
        <w:rPr>
          <w:rFonts w:ascii="IRNazanin" w:hAnsi="IRNazanin" w:eastAsia="IRNazanin"/>
          <w:color w:val="111111"/>
          <w:sz w:val="28"/>
          <w:sz w:val="28"/>
          <w:szCs w:val="28"/>
          <w:rtl w:val="true"/>
          <w:lang w:bidi="fa-IR"/>
        </w:rPr>
        <w:t>درباره اين مورد نيز چند دسته روايت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دارند، مطلقاً،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ابوبصير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دادن به زنِ نوحه‌خوان كه مجالس نوحه براى ميت بر پا مى‌كند اشكالى ندارد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22163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منع دارند،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عذافر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عليه السلام درباره كسب زنِ نوحه‌خوان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نوحه‌گر مزد خود را حلال مى‌كند به آنكه دست خود را بر دست ديگر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كارى مى‌كند مزدش حلال است</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براى نوحه‌خوانى مزد نمى‌گيرد، بلكه براى كارهايى مزد مى‌گيرد كه به آن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دارند اگر حق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الفقيه كه گذشت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جواز دارند در صورتى كه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و نوحه‌خوان آنچه به او داده مى‌شود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موثق حنان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شرط نكند و هر چه به او دادند قبول كند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وَتَقبل ما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22158</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دلالت بر كراهت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درآمد آوازه‌خوان و نوحه‌خوان سؤال كردم، پس آن را مكروه دانست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جمع سخن حق اين است كه بگوييم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كنارگذاشتن خبر عذافر به دليل مجهول بودن عذافر، و مرسل الفقيه به دليل ارسالش، و بعد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اراده منع، چنانكه گفته شد؛ اطلاق دسته جوازدهنده به واسطه موثق حنان كه ميان شرط گذاشتن و نگذاشتن تفصيل قائل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به او دادند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اين است كه درآمد زنِ نوحه‌خوان تا وقتى كه شرط نكرده باشد و هرچه به او دادند قبول كند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مختصرى از زندگينامه</w:t>
      </w:r>
    </w:p>
    <w:p>
      <w:pPr>
        <w:pStyle w:val="BookText"/>
        <w:rPr/>
      </w:pPr>
      <w:r>
        <w:rPr>
          <w:rFonts w:ascii="Amiri" w:hAnsi="Amiri" w:eastAsia="Amiri" w:cs="Amiri"/>
          <w:color w:val="111111"/>
          <w:sz w:val="28"/>
          <w:sz w:val="28"/>
          <w:szCs w:val="28"/>
          <w:rtl w:val="true"/>
          <w:lang w:bidi="ar-SA"/>
        </w:rPr>
        <w:t xml:space="preserve">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عاليقدر حضرت آيت الله العظمى سيد محمد صادق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خاندانى كهن و ريشه‌دار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قم از سابقه ديرين علمى و اجتماعى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خدمات ايشان و تأليفاتشان، مواضع و نظرياتشان، بيش از نيم قرن است كه در دنياى اسلام مطرح و مورد توجه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پنجم محرم الحرام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پايگاه جهاد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 و در بيت علم و فضيلت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آيت الله حاج ميرزا محمود روحانى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نياى پدرى ايشان آيت الله حاج سيد صادق قمى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نياى مادرى آيت الله حاج آقا احمد طباطبايى قمى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كودكى به تحصيل علوم دينى روى آورده و در نوجوانى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نبوغ و استعدادشان زبانزد حوزه علميه نجف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عاليه را در مدت اندكى پشت سر نهادند و به دروس خارج اساطين حوزه همانند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غروى اصفهانى، سيد ابوالحسن اصفهانى، شيخ محمد كاظم شيرازى، شيخ محمدعلى كاظمى خراسانى، شيخ محمدرضا آل ياسين و بيش از همه سيد الطائفه آيت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و ساليان فراوان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 و درس هاى آنان بهره بردند و اجتهادشان مورد تأييد آيت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حضرت آيت‌الله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سى سال بيش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معظم‌له نوشته اند كه اين مهم به دليل </w:t>
      </w:r>
    </w:p>
    <w:p>
      <w:pPr>
        <w:pStyle w:val="BookText"/>
        <w:rPr/>
      </w:pPr>
      <w:r>
        <w:rPr>
          <w:rFonts w:ascii="IRNazanin" w:hAnsi="IRNazanin" w:eastAsia="IRNazanin"/>
          <w:color w:val="111111"/>
          <w:sz w:val="28"/>
          <w:sz w:val="28"/>
          <w:szCs w:val="28"/>
          <w:rtl w:val="true"/>
          <w:lang w:bidi="fa-IR"/>
        </w:rPr>
        <w:t>شناخت عميق و دقيق استاد از اين شاگرد پراستعداد و نابغه بوده و ريشه در سوابق علمى و تاريخى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تعابيرى كه مرحوم آيت الله العظمى خوئى براى آيت الله العظمى روحانى بكار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من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عين من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بودن شما هيچ غمى از موت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خوشحالم كه اگر روزى نباشم شما جايگزين من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چشم احقر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شما عزّ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هيچ جا سابقه ندارد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نامه هاى تاريخى،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العظمى روحانى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زادگاهشان بازگشتند و در آنجا علاوه بر حضور در دروس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تدريس خارج فقه و اصول پرداختند و خيلى زود در زمرۀ علماى برجسته حوزه علميه قم درآمدند و در همان زمان تأليف دوره كامل فقه را آغاز نمودند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به چاپ رسيد و مورد توجه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از آن پس بود كه كتاب‌ها و بحث‌هايشان در حوزۀ قم شهرتى به‌سزا يافت و پس از وفات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علماى بزرگ حوزه قم مطرح شدند و مواضع و بيانيه‌ها و اعلاميه‌هايشان راهگشا و روشنگر مردم مسلمان ايران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معظم‌له، در پنجاه سال گذشته ضمن مكاتبه با رؤساى كشورها نسبت به مسائل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لزوم اتحاد مسلمين در برابر اسرائيل، مسائل عراق و وضع قوانين ضد اسلامى در آن، ساخت فيلم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حساسيت نشان دادند و نامه‌هايى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 رئيس جمهور مصر، حافظ اسد رئيس جمهور سوريه، ملك فيصل پادشاه عربستان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مواضع انقلابى معظم‌له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اگر بطور كامل گردآورى شود مجلّدى بزرگ خواهد شد و رنج‌ها و زندان‌ها و تبعيدهاى ايشان از اذهان مردم مسلمان ايران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دنبال سخنرانى افشاگرانه و اعتراض آميزشان به لايحه كاپيتولاسيون و اعمال ضد دينى و ملى دولت، دستگير و به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و يزد و سپس روستاى ميگون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آزادى،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اعلاميه‌هاى توفنده‌شان مجدداً وارد عرصه مبارزه صريح با رژيم شدند و اطلاعيه‌هاى شديد اللحنشان باعث سختگيرى و تندى بيشتر رژيم با ايشان شد و باعث شد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تا 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حصر خانگى قرار دهند، كه مردم قهرمان قم در اين زمان به خانه ايشان رفتند و حصر را شكستند و نماز عيد فطر را با شكوه هرچه تمام تر به امامت ايشان به جاى آوردند، به دنبال اين رويدادها رژيم پهلوى معظم له را مجدداً دستگير كرده و بازداشت ايشان تا دى ماه ادامه داشت و با پيروزى انقلاب اسلامى، با استقبال باشكوه وارد شهر و محل اقامتشان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العظمى روحانى، پس از پيروزى انقلاب هم، ارشادات و راهنمائى‌هاى خود را به رؤساى جمهور وقت، مراكز قانون گذارى و ساير ارگان هاى حكومتى دنبال نموده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ذكر است كه در همه سال هاى مبارزه و زندان، ايشان به فعاليت هاى علمى و تأليف كتب فقهى و اصولى ادامه داده‌اند كه هماره جاودانه خواهد ماند از جمله اين تأليفات مى‌توان به موارد زير اشاره نمود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الفقاهه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الفضائل والظلامات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استفتائات قوه قضائيه و مؤسسه حقوقى وكلاى بين‌الملل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پرسش و پاسخ هاى حقوقى و جزايى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و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مسائل المستحدثه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 الشهادة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سعادت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ظهور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مشاهده زندگى نامه تفصيلى و تأليفات و بيانيه ها و ساير موارد مربوط به ايشان مى توانيد به سايت دفتر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www.rohani.ir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سِبَابُ الْمُؤْمِنِ كَالْمُشْرِفِ عَلَى الْهَلَكَةِ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محقق 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السماويه، محقق داماد،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فِى رَجُلَيْنِ يتَسَابَّانِ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الْبَادِى مِنْهُمَا أَظْلَمُ وَ وِزْرُهُ عَلى صَاحِبِهِ مَا لَمْ يعْتَذِرْ إِلَى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فِى رَجُلَيْنِ يتَسَابَّانِ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الْبَادِى مِنْهُمَا أَظْلَمُ وَ وِزْرُهُ وَ وِزْرُ صَاحِبِهِ عَلَيْهِ مَا لَمْ يعْتَذِرْ إِلَى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22486</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16313</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المحجة البيضاء، محدث كاشانى،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20961</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 جعفريات،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جاهر الفاسق بفسقه فلا حرمة له و لا 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هارون القاضى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مشايخ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نورى در المستدرك از او ياد كرده است، و قويا مورد گمان است كه او تحريف شده احمد بن هارون قاضى بعدى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ألقى جلباب الحياء من وجهه فلا غيبة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آيت الله العظمى خويى،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عامل الناس فلم يظلمهم، و حدثهم فلم يكذبهم، و وعدهم فلم يخلفهم؛ فهو مؤمن كملت مروته و ظهرت عدالته و وجبت اخوته و حرمت غيبته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ابوعمرو عامرى كلابى، از فرزندان عبيد بن رؤاس، گاهى به او كلابى و كاهى عامرى و گاهى رؤاسى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آن است كه او دوستدار بنى رؤاس است، و شيخ واقفه و دليل آنان، و يكى از وكلايى بود كه اموال 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الناظرة، محدث بحرانى،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الافهام، شهيد ثانى،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الضَّيفَ يَنزِلُ بِالرَّجُلِ فَلا يُحسِنُ ضِيافَتَهُ فَلا جُناحَ عَلَيهِ أنْ يَذكُرَ سُوءَ ما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لصاحِبِ الحَقّ 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المحجة البيضاء، محدث كاشانى،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كشف الريبة، و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ما جاء فى التقاضى،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بخارى، باب الوكالة فى قضاء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ابوهريره نقل شده كه اعرابيى خدمت پيامبر صلى الله عليه و آله و سلم آمد و از وى قرضش را مطالبه كرد و به آن حضرت صلى الله عليه و آله و سلم سخنى سخت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اصحابش قصد تنبيه او را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حق سخنى دارد كه بايد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برايش همسن شترش، شترى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بهتر از شترش را نمى‌يابيم؟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بدهيدش، زيرا بهترين شما كسى است كه قرض خود را بهتر ادا</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كشف الريبة،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از آن سخن گفته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كفاية الاحكام، محقق سبزوارى،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المستند، محقق نراقى،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مفتاح الكرامه، سيد عاملى،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معلى بن محمد بصرى، مضطرب الحديث و المذهب است، اين را يك نفر نزديك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معلى بن محمد البصرى، و ابن غضائرى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البصرى ابومحمد، حديث او را مى‌داند و انكار مى‌كند، و از افراد ضعيف روايت مى‌كند، و مى‌توان او را از عنوان شاهد خارج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 معاوية فصعلوك لا مال له و أما أباجهم فلا يضع عصاه من عاتقه، إنكحى اسامة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 رجل إلى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امى لاتدفع يد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من يدخل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فقيدها فانك لا تبرها بشئ افضل من ان تمنعها من محارم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33433</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السامع للغيبة احد المغتابَين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10463</w:t>
      </w:r>
      <w:r>
        <w:rPr>
          <w:rFonts w:ascii="IRNazanin" w:hAnsi="IRNazanin" w:eastAsia="IRNazanin"/>
          <w:b w:val="false"/>
          <w:b w:val="false"/>
          <w:bCs w:val="false"/>
          <w:i w:val="false"/>
          <w:i w:val="false"/>
          <w:iCs w:val="false"/>
          <w:color w:val="333333"/>
          <w:sz w:val="20"/>
          <w:sz w:val="20"/>
          <w:szCs w:val="20"/>
          <w:rtl w:val="true"/>
        </w:rPr>
        <w:t xml:space="preserve">؛ كشف الريبه،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نَظَرَ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رجُلٍ يَغتابُ رجُلاً عندَ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نَزِّهْ سَمعَكَ عن مِثلِ هذا؛ فإنّهُ نَظَرَ إلى أخبَثِ ما فى وِعائهِ فَأفرَغَهُ فى وِعائكَ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رسول‌اللّه لمّا رجم الرّجل فى الزّنا، قال رجل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قُعص كما يقعص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النّبىّ معهما بجيفة،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انهشا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ننهش 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أصبتما من أخيكما أنتن من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 كشف الريبه،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چا پ جديد،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روايات درباره حرمت اين مسأله فراوان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من اين است كه كلام صدوق دلالت بر توثيق عبدالواحد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مرد مجهول الحال است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8475</w:t>
      </w:r>
      <w:r>
        <w:rPr>
          <w:rFonts w:ascii="IRNazanin" w:hAnsi="IRNazanin" w:eastAsia="IRNazanin"/>
          <w:b w:val="false"/>
          <w:b w:val="false"/>
          <w:bCs w:val="false"/>
          <w:i w:val="false"/>
          <w:i w:val="false"/>
          <w:iCs w:val="false"/>
          <w:color w:val="333333"/>
          <w:sz w:val="20"/>
          <w:sz w:val="20"/>
          <w:szCs w:val="20"/>
          <w:rtl w:val="true"/>
        </w:rPr>
        <w:t>؛ آنجا بعد از نقل اقوال رجالين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من در اينكه على بن محد قتيبى معتبر دانسته شود يا نه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او را معتبر مى‌دانند، و در استدلال به آن وجوهى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آن پاسخ داده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مداركى كه مى‌گويد على بن محمد بن قتيبه غيرموثق است و ممدوح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مدحى كه قابل اعتنا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هستند، والله العالم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در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حكايت كرده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عثمان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غيبت متجاهر به فسق؛ 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المومن اذا كذب بغير عذر لعنه سبعون الف ملك، و خرج من قلبه نتن حتى يبلغ العرش، و كتب الله عليه بتلك الكذبة سبعين زِنيةً اهونها كمن يزنى مع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حُطَّتِ الخَبائثُ فى بَيت و جُعِلَ مِفتاحُهُ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وَيْلٌ لِلَّذِي يُحَدِّثُ فَيَكْذِبُ لِيُضْحِكَ بِهِ الْقَوْمَ وَيْلٌ لَهُ وَيْلٌ لَهُ وَيْلٌ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الكَذِبُ علَى اللَّهِ وعلى رسولِهِ صلى الله عليه و آله و سلم مِن الكبائرِ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16221</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عَلَيَّ مَا لَمْ أَقُلْ فَلْيَتَبَوَّأْ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لِوُلْدِهِ اتَّقُوا الْكَذِبَ الصَّغِيرَ مِنْهُ وَ الْكَبِيرَ فِي كُلِّ جِدٍّ وَ هَزْلٍ فَإِنَّ الرَّجُلَ إِذَا كَذَبَ فِي الصَّغِيرِ اجْتَرَأَ عَلَى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20629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يعِدن احَدُكُم صبية ثُمَّ لايَفِىَ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هداية الطالب الى اسرار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يُؤْمِنُ بِاللَّهِ وَ الْيَوْمِ الْآخِرِ فَلْيَفِ إِذَا 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حارث اعور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مِنَ الكِذبَ جِدٌّ وَ لا هَزل، وَ لا ان يعِدَ احَدُكُم صبية ثُمَّ لا يفَى لَهُ، انَّ الكذبَ يهدى الىَ الفُجورُ، وُ الفُجورُ يهدى الىَ النّارِ و ما يزال أحدكُم يكذب حَتََّى يقال كَذب و فَجر و ما يزال أحدكُم يكذب حتّى لا يبقى فِى قَلبِهِ مَوضِع إبرة صِدقٍ فَيُسمى عِندَ اللهِ كذاّباً؛ دروغ گفتن شايسته نيست، چه جدى باشد چه شوخى؛ و سزاوار نيست از شما وعده‌اى به فرزندش بدهد و سپس به آن وفا ننمايد، دروغ گفتن دروغگو را به ساير بدى‌ها نيز هدايت مى‌كند و بدى‌ها نيز آنان را به سوى آتش مى‌كشاند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فردى دروغ نمى‌گويد مگر اينكه گفته شود دروغ گفت و كار بدى انجام داد؛ و اگر اين عمل زشت ادامه پيدا كند در قلب او به اندازه سوزنى از صدق و راستى يافت نمى‌شود و چنين شخصى نزد خدا كذاب ناميده مى‌شود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سيف بن عميره از كسى كه برايش حديث را نقل كرده از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 يَقُولُ لِوُلْدِهِ اتَّقُوا الْكَذِبَ الصَّغِيرَ مِنْهُ وَ الْكَبِيرَ فِي كُلِّ جِدٍّ وَ هَزْلٍ فَإِنَّ الرَّجُلَ إِذَا كَذَبَ فِي الصَّغِيرِ اجْتَرَأَ عَلَى الْكَبِيرِ أَ مَا عَلِمْتُمْ أَنَّ رَسُولَ اللَّهِ ص قَالَ مَا يَزَالُ الْعَبْدُ يَصْدُقُ حَتَّى يَكْتُبَهُ اللَّهُ صِدِّيقاً وَ مَا يَزَالُ الْعَبْدُ يَكْذِبُ حَتَّى يَكْتُبَهُ اللَّهُ كَذَّاباً؛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فرزندانش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دروغ گفتن بپرهيزيد، چه بزرگ و چه كوچك، شوخى و يا جدّى باشد، زيرا شخص وقتى كه در چيز كوچك دروغ بگويد به بزرگش نيز جرأت پيدا مى‌كند، مگر نمى‌دانيد كه پيغمبر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خدا همواره راست گويد تا خداوند او را راستگو نويسد و پيوسته دروغ بگويد تا پروردگار او را دروغگو نويسد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زَعِيمُ بَيْتٍ فِى أعْلَى الْجَنَّةِ و بَيْتٍ فِِى وَسَطِ الْجَنَّةِ وَ بَيْتٍ فِى رياضِ الْجَنَّةِ لِمَنْ تَرَك الْمِراءَ وَ إنْ كانَ مُحِقّاً وَ لِمَنْ تَرَكَ الكَذِبَ وَ إنْ كانَ هازِلاً وَ لِمَن حَسَّنَ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16186</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خويى در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كشّى هيچ مدحى نسبت به او ندارد، تنها اينكه از نظر او روايت فضل بن شاذان نوعى مدح براى قاسم است، و در او منع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به كشى نسبت مى‌دهد كه قاسم وزير ابوجعفر منصور بوده است، قطعاً اشتباه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الرجلُ يستاذُن عليه فيقولُ للجاريةِ قُولى ليسَ هو ههنا،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ليَس بِكذبٍ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مكاسب،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29425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اِحْلِفْ بِاللّهِ كاذِباً وَ نَجِّ اخاكَ مِنَ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29428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نمرّ على هؤلاء القوم فيستحلفونا على أموالنا وقد أدّينا زكاتها؟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إذا خفت فاحلف لهم ماشاءوا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مكاسب،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الايمانُ أَن تُؤثِرَ الصِّدقَ حَيثُ يضُرُّكَ عَلَى الكَذِبِ حَيثُ ينفَعُكَ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كَذِبٍ مَسْئُولٌ عَنْهُ صَاحِبُهُ يوْماً إِلَّا كَذِباً فِى ثَلَاثَةٍ رَجُلٌ كَائِدٌ فِى حَرْبِهِ فَهُوَ مَوْضُوعٌ عَنْهُ أَوْ رَجُلٌ أَصْلَحَ بَيْنَ اثْنَيْنِ يلْقَى هَذَا بِغَيْرِ مَا يلْقَى بِهِ هَذَا يرِيدُ بِذَلِكَ الْإِصْلَاحَ أَوْ رَجُلٌ وَعَدَ أَهْلَهُ شَيْئاً وَ هُوَ لَا يرِيدُ أَنْ يتِمَّ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16233</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 ََُُ َ َِ ََُُ ٌََ ِ ِِِ ََُُ ًَّ َِِ َ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 ِ ََُ ََُُ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16238</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وَصُحْبَةَ الْعاصينَ وَمَعُونَةَ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مَدَحَ سُلْطَاناً جَائِراً أَوْ تَخَفَّفَ وَ تَضَعْضَعَ لَهُ طَمَعاً فِيهِ كَانَ قَرِينَهُ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شرُّ النّاس يومَ القِيامَةِ الذَّينَ يكرمُونَ اتِّقَاءَ 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20889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إيّاكُمْ وَصُحْبَةَ الْعاصينَ وَمَعُونَةَ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 بِالظُّلْمِ وَ الْمُعِينُ لَهُ وَ الرَّاضِي بِهِ شُرَكَاءُ، ثَلَاثَتُهُمْ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22290</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سَوَّدَ اسْمَهُ فِي دِيوَانِ وُلْدِ 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يَوْمَ الْقِيَامَةِ خِنْزِيراً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مَشى فى نميمهٍ بينَ الإثنينِ سَلَطَ اللهُ عليه فى قبرهِ ناراً تُحرقُهُ إلى يومِ القيمهِ و إذا خرج من قبرِهِ سَلَطَ اللهُ عليهِ تنيناً اسودَ ينهشُ لَحمَهُ حتى يدخُلَ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مكاسب، ايروانى،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المغنى، ابن 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السرائر، و الايضاح، كه آن را صداى طرب‌آور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از ايضاح در جواهر الكلام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كشميرى در رساله مسألة الغنا اين قول را به مشهور نسبت داده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كشيدن صدايى كه مشتمل بر ترجيع طرب‌آميز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ديگران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نسبت در صفحه پيش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الجواهر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كه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محقق اردبيلى آن را به مشهورتر نسبت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جماعتى از اصحاب آن را اين گونه تعريف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رساله فى الغناء، حر عاملى،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اكثر ايشان آن را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كرده‌اند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از افاضل و ديگران آن را در رسالة فى الغناء، بهبهانى،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قدر متيقن دانسته‌اند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از ابواب قرائت قرآن، ح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ميرزا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22596</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22638</w:t>
      </w:r>
      <w:r>
        <w:rPr>
          <w:rFonts w:ascii="IRNazanin" w:hAnsi="IRNazanin" w:eastAsia="IRNazanin"/>
          <w:b w:val="false"/>
          <w:b w:val="false"/>
          <w:bCs w:val="false"/>
          <w:i w:val="false"/>
          <w:i w:val="false"/>
          <w:iCs w:val="false"/>
          <w:color w:val="333333"/>
          <w:sz w:val="20"/>
          <w:sz w:val="20"/>
          <w:szCs w:val="20"/>
          <w:rtl w:val="true"/>
        </w:rPr>
        <w:t xml:space="preserve">؛ عوالى اللالى،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او در 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چاپ جديد، نقل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سَألتهُ عَنِ الْغِنَاءِ فِي الْفِطْرِ وَ الْأَضْحَى وَ الْفَرَحِ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لَمْ يُعْصَ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22148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كَسْبِ الْمُغَنِّيَاتِ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الَّتِي يَدْخُلُ عَلَيْهَا الرِّجَالُ حَرَامٌ وَ الَّتِي تُدْعَى إِلَى الْأَعْرَاسِ لَيْسَ بِهِ بَأْسٌ وَ هُوَ قَوْلُ اللَّهِ عَزَّ وَ جَلَّ وَ مِنَ النَّاسِ مَنْ يَشْتَرِي لَهْوَ الْحَدِيثِ لِيُضِلَّ عَنْ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او در كتاب 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چاپ جديد، نقل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چاپ جديد،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جامع المقاصد سخنى را از يك ناشناس نقل كرده است كه مى‌گويد غناء همان‌طور كه در عروسى‌ها استثنا شده است، در مراثى نيز استثاء است، و دليل آن را ذكر نكرده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اِقرَأوُا القُرآنَ بِالحان ِ العَرَبِ و اصواتِها وَايّاكُمْ وَ لُحُونُ اهلِ الفِسْقِ و الكبائرِ فَإنّه سَيَجىءُ بَعدى اقوامٌ يرجِّعونَ الْقرآنَ تَرْجيعَ الْغِناءِ وَ النّوْحَ و الرَّهْبانَّيةَ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از آن حكايت كرده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گفته شده كه او انجشه است نه عبدالله بن رواحه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منبع مراجعه كنيد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مكاسب،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زادُ الْمُسافِرِ الْحُداءُ وَالشِّعْرُ ما كانَ مِنْهُ لَيْسَ فيه خَناء، أو جفاء، أو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22145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كسب المغنيات؟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يدخل عليها الرجال حرام، و التى تدعى الى الأعراس ليس به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الوسيله، ابن حمزه،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أوقِفْ لِى مِن مالى كَذا و كَذا، النَّوادِبُ تَندُبُنى عَشرَ سِنينَ بِمِنى أيّامَ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22156</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22157</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أصيبَ بِمُصيبَةٍ فَجاء عِندَ تِلكَ المُصيبَة بِنائِحَةٍ فَقَد كَفَّرَها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22160</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النَّائِحَةُ إِذَا لَمْ تَتُبْ قَبْلَ مَوْتِهَا تُقَامُ يوْمَ الْقِيَامَةِ وَعَلَيْهَا سِرْبَالٌ مِنْ 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سَألتهُ عَن النّوح عَلَى المَيت أيصلح؟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كَسْبِ النائحة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تَسْتَحِلُّه بضربِ احدى يدَيْها على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كَسبِ المغنّيَةِ و النّائِحَةِ فَكَرهَهُ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آيت الله العظمى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 از كتاب فقه الصادق در منبر تدريس خود مطالبى نقل فرمودند و حضرت آيت الله العظمى 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اين كتاب طى نامه‌اى مرقوم فرمودند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فقه الصادق را شخصاً براى آيت الله كاشف الغطاء بردم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من چه خدمت بزرگى به عالم اسلام و فقاهت نمودم و چنين عالم محققى را تربيت كرده‌ام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50205</Words>
  <Characters>187110</Characters>
  <CharactersWithSpaces>235354</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2026-08-27T09:26:42Z</dcterms:created>
  <dc:creator>ghaemiyeh.com</dc:creator>
  <dc:description/>
  <dc:language>en-US</dc:language>
  <cp:lastModifiedBy/>
  <dcterms:modified xsi:type="dcterms:W3CDTF">2026-08-27T12:56:50Z</dcterms:modified>
  <cp:revision>1</cp:revision>
  <dc:subject/>
  <dc:title>بررسی فقهی غیبت و دروغ به انضمام بررسی دشنام به مؤمن سخن چینی و غناء</dc:title>
</cp:coreProperties>
</file>

<file path=docProps/custom.xml><?xml version="1.0" encoding="utf-8"?>
<Properties xmlns="http://schemas.openxmlformats.org/officeDocument/2006/custom-properties" xmlns:vt="http://schemas.openxmlformats.org/officeDocument/2006/docPropsVTypes"/>
</file>