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جلاء البصر لمن یتولی الایمه الاثنی عشر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882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5884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5886_1051229030">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75888_1051229030">
            <w:r>
              <w:rPr>
                <w:webHidden/>
                <w:rStyle w:val="IndexLink"/>
                <w:rtl w:val="true"/>
              </w:rPr>
              <w:t>أمّا الأحاديث</w:t>
            </w:r>
            <w:r>
              <w:rPr>
                <w:rStyle w:val="IndexLink"/>
                <w:rtl w:val="true"/>
              </w:rPr>
              <w:tab/>
            </w:r>
            <w:r>
              <w:rPr>
                <w:rStyle w:val="IndexLink"/>
              </w:rPr>
              <w:t>18</w:t>
            </w:r>
          </w:hyperlink>
        </w:p>
        <w:p>
          <w:pPr>
            <w:pStyle w:val="Contents2"/>
            <w:tabs>
              <w:tab w:val="clear" w:pos="8743"/>
              <w:tab w:val="right" w:pos="9026" w:leader="dot"/>
            </w:tabs>
            <w:rPr/>
          </w:pPr>
          <w:hyperlink w:anchor="__RefHeading___Toc75890_1051229030">
            <w:r>
              <w:rPr>
                <w:webHidden/>
                <w:rStyle w:val="IndexLink"/>
                <w:rtl w:val="true"/>
              </w:rPr>
              <w:t>أمّا الكلام في أسنادها</w:t>
            </w:r>
            <w:r>
              <w:rPr>
                <w:rStyle w:val="IndexLink"/>
                <w:rtl w:val="true"/>
              </w:rPr>
              <w:tab/>
            </w:r>
            <w:r>
              <w:rPr>
                <w:rStyle w:val="IndexLink"/>
              </w:rPr>
              <w:t>26</w:t>
            </w:r>
          </w:hyperlink>
        </w:p>
        <w:p>
          <w:pPr>
            <w:pStyle w:val="Contents2"/>
            <w:tabs>
              <w:tab w:val="clear" w:pos="8743"/>
              <w:tab w:val="right" w:pos="9026" w:leader="dot"/>
            </w:tabs>
            <w:rPr/>
          </w:pPr>
          <w:hyperlink w:anchor="__RefHeading___Toc75892_1051229030">
            <w:r>
              <w:rPr>
                <w:webHidden/>
                <w:rStyle w:val="IndexLink"/>
                <w:rtl w:val="true"/>
              </w:rPr>
              <w:t>متون الأحاديث</w:t>
            </w:r>
            <w:r>
              <w:rPr>
                <w:rStyle w:val="IndexLink"/>
                <w:rtl w:val="true"/>
              </w:rPr>
              <w:tab/>
            </w:r>
            <w:r>
              <w:rPr>
                <w:rStyle w:val="IndexLink"/>
              </w:rPr>
              <w:t>34</w:t>
            </w:r>
          </w:hyperlink>
        </w:p>
        <w:p>
          <w:pPr>
            <w:pStyle w:val="Contents2"/>
            <w:tabs>
              <w:tab w:val="clear" w:pos="8743"/>
              <w:tab w:val="right" w:pos="9026" w:leader="dot"/>
            </w:tabs>
            <w:rPr/>
          </w:pPr>
          <w:hyperlink w:anchor="__RefHeading___Toc75894_1051229030">
            <w:r>
              <w:rPr>
                <w:webHidden/>
                <w:rStyle w:val="IndexLink"/>
                <w:rtl w:val="true"/>
              </w:rPr>
              <w:t>ما يصحّ أن يقال في توجيه هذه الأحاديث</w:t>
            </w:r>
            <w:r>
              <w:rPr>
                <w:rStyle w:val="IndexLink"/>
                <w:rtl w:val="true"/>
              </w:rPr>
              <w:tab/>
            </w:r>
            <w:r>
              <w:rPr>
                <w:rStyle w:val="IndexLink"/>
              </w:rPr>
              <w:t>42</w:t>
            </w:r>
          </w:hyperlink>
        </w:p>
        <w:p>
          <w:pPr>
            <w:pStyle w:val="Contents2"/>
            <w:tabs>
              <w:tab w:val="clear" w:pos="8743"/>
              <w:tab w:val="right" w:pos="9026" w:leader="dot"/>
            </w:tabs>
            <w:rPr/>
          </w:pPr>
          <w:hyperlink w:anchor="__RefHeading___Toc75896_1051229030">
            <w:r>
              <w:rPr>
                <w:webHidden/>
                <w:rStyle w:val="IndexLink"/>
                <w:rtl w:val="true"/>
              </w:rPr>
              <w:t>مصادر التحقیق</w:t>
            </w:r>
            <w:r>
              <w:rPr>
                <w:rStyle w:val="IndexLink"/>
                <w:rtl w:val="true"/>
              </w:rPr>
              <w:tab/>
            </w:r>
            <w:r>
              <w:rPr>
                <w:rStyle w:val="IndexLink"/>
              </w:rPr>
              <w:t>50</w:t>
            </w:r>
          </w:hyperlink>
        </w:p>
        <w:p>
          <w:pPr>
            <w:pStyle w:val="Contents2"/>
            <w:tabs>
              <w:tab w:val="clear" w:pos="8743"/>
              <w:tab w:val="right" w:pos="9026" w:leader="dot"/>
            </w:tabs>
            <w:rPr/>
          </w:pPr>
          <w:hyperlink w:anchor="__RefHeading___Toc75898_1051229030">
            <w:r>
              <w:rPr>
                <w:webHidden/>
                <w:rStyle w:val="IndexLink"/>
                <w:rtl w:val="true"/>
              </w:rPr>
              <w:t>الفهرس</w:t>
            </w:r>
            <w:r>
              <w:rPr>
                <w:rStyle w:val="IndexLink"/>
                <w:rtl w:val="true"/>
              </w:rPr>
              <w:tab/>
            </w:r>
            <w:r>
              <w:rPr>
                <w:rStyle w:val="IndexLink"/>
              </w:rPr>
              <w:t>58</w:t>
            </w:r>
          </w:hyperlink>
        </w:p>
        <w:p>
          <w:pPr>
            <w:pStyle w:val="Contents2"/>
            <w:tabs>
              <w:tab w:val="clear" w:pos="8743"/>
              <w:tab w:val="right" w:pos="9026" w:leader="dot"/>
            </w:tabs>
            <w:rPr/>
          </w:pPr>
          <w:hyperlink w:anchor="__RefHeading___Toc75900_1051229030">
            <w:r>
              <w:rPr>
                <w:webHidden/>
                <w:rStyle w:val="IndexLink"/>
                <w:rtl w:val="true"/>
              </w:rPr>
              <w:t>آثار سماحة آية الله العظمى الصافي الگلپايگاني مدّ ظلّه الوارف</w:t>
            </w:r>
            <w:r>
              <w:rPr>
                <w:rStyle w:val="IndexLink"/>
                <w:rtl w:val="true"/>
              </w:rPr>
              <w:tab/>
            </w:r>
            <w:r>
              <w:rPr>
                <w:rStyle w:val="IndexLink"/>
              </w:rPr>
              <w:t>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07_107673"/>
      <w:bookmarkStart w:id="1" w:name="pg7207_107673"/>
      <w:bookmarkEnd w:id="1"/>
    </w:p>
    <w:p>
      <w:pPr>
        <w:pStyle w:val="Heading2"/>
        <w:numPr>
          <w:ilvl w:val="1"/>
          <w:numId w:val="1"/>
        </w:numPr>
        <w:rPr/>
      </w:pPr>
      <w:bookmarkStart w:id="2" w:name="pg7207_107673"/>
      <w:bookmarkStart w:id="3" w:name="__RefHeading___Toc75882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جلاءالبصر لمن یتولی الایمه الاثنی عشر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صافی‌الگلپایگانی مدظله‌الشریف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تنظیم و نشر آثار آیت‌الله صافی گلپایگانی دام ظله،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اثناعشر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Imams (Shiites)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Imams (Shiites)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Imamate -- Apologetic works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BP36/5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4502773</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884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جلاء البصر لمن یتولّی الأئمّة الاثني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الفقیه الکبیر المرجع الدیني الأعلی سماحة آیة الله العظمی الشیخ لطف الله الصافي الگلپایگاني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الشریف</w:t>
      </w:r>
      <w:r>
        <w:rPr>
          <w:rFonts w:eastAsia="IRNazanin" w:cs="IRNazanin"/>
          <w:color w:val="111111"/>
          <w:sz w:val="28"/>
          <w:szCs w:val="28"/>
          <w:rtl w:val="true"/>
          <w:lang w:bidi="fa-IR"/>
        </w:rPr>
        <w:t xml:space="preserve">) </w:t>
      </w:r>
      <w:bookmarkStart w:id="7" w:name="pg7207_107681"/>
    </w:p>
    <w:p>
      <w:pPr>
        <w:pStyle w:val="Heading2"/>
        <w:numPr>
          <w:ilvl w:val="1"/>
          <w:numId w:val="1"/>
        </w:numPr>
        <w:rPr/>
      </w:pPr>
      <w:bookmarkStart w:id="8" w:name="__RefHeading___Toc75886_105122903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يتناول كتاب جلاء البصر لمن يتولّى الأئمّة الاثني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عدداً من الروايات الّتي تُوهّم أنّ عدد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عشر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هذا الموضوع قد ورد ضمن أسئلة وُجّهت إلى آية الله العظمى الگلپايگاني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فأوكل سماحته حلّ هذا المعضل إلى كاتب هذه المقالة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جاءت المقالة في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الأخبار الّتي تُوهّم عدم موافقتها لتلك الأخبار الصحيحة والجمع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أسنادها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نصوصها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ما يصحّ أن يُقال في تأويلها والجمع بينها وبين غيرها من أحاديثنا المتواترة الموافقة لما استقرّ عليه مذهب أهل </w:t>
      </w:r>
    </w:p>
    <w:p>
      <w:pPr>
        <w:pStyle w:val="BookText"/>
        <w:rPr/>
      </w:pP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 الطائفة المحقّة الإثني عشريّة</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أن يقوم المؤلّف بإيراد توضيح ٍعلميّ وفنّيّ حول أسناد تلك الروايات ونصوصها ودلالتها، يستنتج أنّها حتّى وإن كانت واضحة وصريحة، فإنّها ساقطة من الاعتبار، إذ تدحضها أحاديث متواترة تروى عن طريق الشيعة والسنّة وتؤكّد أنّ عدد الأئمّة الأطهار اثنا عشر إماماً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وبالإضافة إلى ذلك فإنّ كتاب جلاء البصر يدحض كلّ هذه الاحتمالات والتوهّمات، ويثبت أنّه حتّى الروايات الّتي تُوُهِّمَ أنّظاهرها على كون الأئمّة الأطهار ثلاثة عشر إماماً، فإنّها عند إعادة نظرة أدقّ تدلّ على أنّ الأئمّة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أكثر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الأوّلين والآخرين أبي القاسم محمد المصطفى وآله الطاهرين، حجج الله على الخلق أجمعين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يرد في كلّ يوم من شتّى أقطار العالم الإسلامي على بعض فقهاء العصر ومراجع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يرتضي التصريح باسمه الشريف</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عشرات من المسائل والاستفتاءات حول المعارف الإسلاميّة والمفاهيم الدينيّة، والفروع الشرعيّة العمليّة وغيرها، بل قد تنوف في بعض الأيّام على المائة، فيتصدّى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للإجابة عليها، مع ما هو عليه من الأعمال المرهقة المتعلّقة بالحوزات العلميّة والجامعات الدينيّة وبخاصّة جامعة قم الإسلاميّة الكبرى من إدارة شؤونها، والقيام فيها بمهامّ التدريس العالي، وإلقاء المحاضرات العلميّة يوميّاً على مجموعة كبيرة من </w:t>
      </w:r>
    </w:p>
    <w:p>
      <w:pPr>
        <w:pStyle w:val="BookText"/>
        <w:rPr/>
      </w:pPr>
      <w:r>
        <w:rPr>
          <w:rFonts w:ascii="Amiri" w:hAnsi="Amiri" w:eastAsia="Amiri" w:cs="Amiri"/>
          <w:color w:val="111111"/>
          <w:sz w:val="28"/>
          <w:sz w:val="28"/>
          <w:szCs w:val="28"/>
          <w:rtl w:val="true"/>
          <w:lang w:bidi="ar-SA"/>
        </w:rPr>
        <w:t>فضلاء الحوزة، الّذين يحضرون مجلس بحثه للاستفادة من علمه الغزير وتحقيقاته القيّمة، بالإضافة إلى نشاطه في خدمة العلم والدين، عن طريق تأسيس المشاريع العلميّة والدينيّة، كالمدارس والمساجد والمكتبات العامّة، وتشجيع القائمين بأمثال هذه المشاريع مادّياً ومعنوياً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كلّ ما تقدّم تصدّيه لإرسال المبلّغين إلى شتّى الأنحاء من المدن والقرى، وإنشاء مستشفىً ضخم مجهّز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يقوم به ذلك الرجل الكبير الرائد، الّذي لا يحبّأن يذكر اسمه الشريف حياءاً واستخفاءً، ولأنّه يستقلّ ذلك كلّه في جنب الله تعالى، أطال الله بقاءه، فقد أصبح بنعمة الله تعالى عَلَماً هادياً، ونجماً لامِعاً يهتدي به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ورد من الأسئلة على سماحته في هذه الأيّام، السؤال التالي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وجه الجمع بين طائفة من الأحاديث الّتي تدلّ بظاهرها على كون الأئمّة الاثني عشر من ذريّة رسول الله’، أو من ولده، أو من ولده وولد عليّ، أو من ولد عليّ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غيرها من الأخبار المتواترة الّتي اتّفق عليها الكلّ في كون الأئمّة مع مولانا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اثني عشر، وأنّ أحد عشر منهم من ولد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يمكن الجمع </w:t>
      </w:r>
    </w:p>
    <w:p>
      <w:pPr>
        <w:pStyle w:val="BookText"/>
        <w:rPr/>
      </w:pPr>
      <w:r>
        <w:rPr>
          <w:rFonts w:ascii="Amiri" w:hAnsi="Amiri" w:eastAsia="Amiri" w:cs="Amiri"/>
          <w:color w:val="111111"/>
          <w:sz w:val="28"/>
          <w:sz w:val="28"/>
          <w:szCs w:val="28"/>
          <w:rtl w:val="true"/>
          <w:lang w:bidi="ar-SA"/>
        </w:rPr>
        <w:t>بينهما على نحو صحيح عرفي، أم يجب طرح الطائفة الاُولى وعدم الاعتداد بها؟</w:t>
      </w:r>
    </w:p>
    <w:p>
      <w:pPr>
        <w:pStyle w:val="BookText"/>
        <w:rPr/>
      </w:pPr>
      <w:r>
        <w:rPr>
          <w:rFonts w:ascii="Amiri" w:hAnsi="Amiri" w:eastAsia="Amiri" w:cs="Amiri"/>
          <w:color w:val="111111"/>
          <w:sz w:val="28"/>
          <w:sz w:val="28"/>
          <w:szCs w:val="28"/>
          <w:rtl w:val="true"/>
          <w:lang w:bidi="ar-SA"/>
        </w:rPr>
        <w:t>فأمرني بالإجابة عن هذا السؤال وحلّ معضلاته، ودَفعِ ما ربّما يُتوهَّم ترتّبه على ذلك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وإنّني امتثالاً لأمره الشريف أتصدّى للإجابة عليه، متوكّلاً على الله تعالى ومستعيناً به، فأقول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 أنّ الأخبار المتواترة الدالّة على أنّ الأئمة اثنا عشر مأثورة عن النبيّ’ 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الفريقين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أخرج كثيراً منها جمع من أكابر علماء العامّة، كأحمد بن حنبل في مسنده من خمس وثلاثين طريقاً، والبخاري ومسلم في الصحيحين، والترمذي، وأبي داود، والطيالسي، والخطيب، وابن عساكر، والحاكم، وابن الديبع، والسيوطي، والمتّقي، والبغوي، وابن حجر، والحميدي، والطبراني، والشيخ منصور علي ناصف، وأبي يعلى والبزّاز وغيرهم</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صنّف محمد معين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في هذه الأحاديث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مواهب سيّد البشر في أحاديث الأئمّة الاثني عشر كما قد روى هذه الأحاديث جمع من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وسيّدة نساء العالمين فاطمة الزهراء‘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 الله 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وأبي جحيفة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وأبي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وسلمان الفارسي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وأنس 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وأبي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وواثلة بن الأسقع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وعمر بن الخطّاب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وأبي قتادة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وأبي الطفيل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وشفيّ الأصبحي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ومكحول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 الله بن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وعبد الله بن أبي أوفى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وعمّار بن ياسر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وأبي 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وحذيفة بن اليمان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وجابر بن عبد الله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 الله 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وحذيفة بن اُسيد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وزيد بن أرقم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وسعد 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وأسعد بن زرارة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وعِمران بن حصين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وزيد بن ثابت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وأبي أيّوب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وجابر بن سمرة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وأبي اُمامة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وعثمان بن عفّان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 الله بن عمرو بن العاص</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الأخبار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فطائفة منها ليس فيها إلّا التصريح بأنّ الخلفاء والأئمّة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والطائفة الاُخرى تتضمّن أسماء الإثني عشر بعضهم أو جميعهم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هذه الأخبار حسب استقصائنا الناقص بلغت قريباً من الثلاثمائة حديثاً، والأخبار الدالّة على أنّ أمير المؤمنين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تزيد </w:t>
      </w:r>
    </w:p>
    <w:p>
      <w:pPr>
        <w:pStyle w:val="BookText"/>
        <w:rPr/>
      </w:pPr>
      <w:r>
        <w:rPr>
          <w:rFonts w:ascii="Amiri" w:hAnsi="Amiri" w:eastAsia="Amiri" w:cs="Amiri"/>
          <w:color w:val="111111"/>
          <w:sz w:val="28"/>
          <w:sz w:val="28"/>
          <w:szCs w:val="28"/>
          <w:rtl w:val="true"/>
          <w:lang w:bidi="ar-SA"/>
        </w:rPr>
        <w:t>على ذلك بكثير، منها ما ينوف على المائة وثلاثين حديثاً، من جملة الأحاديث الدالّة على أنّ الأئمّة اثنا عشر، حسب البيان المتقدّم، فضلاً عن غيرها</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وجد حديث لا يتوافق مع ظاهر هذه الأحاديث المتواترة وجب تأويله إن أمكن، وإلّا فيطرح ولا ريب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المقدّمة نطرق باب الدراسة والتحليل لهذه الطائفة من الأخبار؛ حتّى يستبين الحقّ فيها، ويظهر المراد منها، ودراستنا هذه تدور حول أربع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الأحاديث الّتي تُوهِم عدم موافقتها لتلك الأخبار الصحيحة، والمجمع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أسنادها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متونها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ما يصحّ أن يقال في تأويلها، والجمع بينها وبين غيرها من أحاديثنا المتواترة الموافقة لِما استقرّ عليه مذهب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وشيعتهم الطائفة المحقّة الإثني عشريّة، إن رأينا في هذه الأحاديث تعارضاً مع غيرها من الأخبار</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207_107701"/>
      <w:bookmarkStart w:id="11" w:name="pg7207_107701"/>
      <w:bookmarkEnd w:id="11"/>
    </w:p>
    <w:p>
      <w:pPr>
        <w:pStyle w:val="Heading2"/>
        <w:numPr>
          <w:ilvl w:val="1"/>
          <w:numId w:val="1"/>
        </w:numPr>
        <w:rPr/>
      </w:pPr>
      <w:bookmarkStart w:id="12" w:name="pg7207_107701"/>
      <w:bookmarkStart w:id="13" w:name="__RefHeading___Toc75888_1051229030"/>
      <w:bookmarkStart w:id="14" w:name="_Toc4"/>
      <w:bookmarkEnd w:id="12"/>
      <w:bookmarkEnd w:id="13"/>
      <w:r>
        <w:rPr>
          <w:rtl w:val="true"/>
        </w:rPr>
        <w:t>أمّا الأحاديث</w:t>
      </w:r>
      <w:bookmarkEnd w:id="14"/>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شيخنا ثقة الإسلام أبو جعفر محمد بن يعقوب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عبد الله بن محمد الخَشّاب، عن ابن سَماعَة، عن عليّ بن الحسن بن رباط، عن ابن اُذينة،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الْإثْنَا عَشَرَ الْإِمَامُ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مُحَدَّثٌ، مِنْ وُلْدِ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وُلْدِ عَلِيٍّ، وَرَسُولُ الله وَعَلِيٌّ‘ هُمَا الْوَالِدَانِ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عن أبي عليّ الأشعري، عن الحسن بن عُبَيد الله، عن الحسن بن موسى الخشّاب، عن عليّ بن سماعة، عن عليّ بن الحسن بن رباط، عن ابن اُذينة،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الْإثْنَا عَشَرَ إِمَامٌ</w:t>
      </w:r>
      <w:r>
        <w:rPr>
          <w:rFonts w:eastAsia="IRNazanin" w:cs="IRNazanin"/>
          <w:color w:val="111111"/>
          <w:sz w:val="28"/>
          <w:szCs w:val="28"/>
          <w:rtl w:val="true"/>
          <w:lang w:bidi="fa-IR"/>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مُحَدَّثٌ مِنْ وُلْدِ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عَلِيِّ بْنِ أبي طَالِبٍ، 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الْوَالِدَانِ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ثقة الإسلام الکليني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يحيى، عن محمد بن أحمد، عن محمد بن الحسين، عن أبي سعيد العصفوري، عن عمرو بن ثابت، عن أبي الجارود،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وَإِثْنيَ عَشَرَ مِنْ وُلْدِي وَأَنْتَ يَا عَلِيُّ زِرُّ</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وقال العلّامة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أوتادها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بعض الرواة،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شبّههم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بالرزّ الّذي هو سبب استحكام الأرض وشدّها وإغلاقها، كذلك هم في الأرض بمنزلة الجبال الّتي هي أوتاد الأرض بالنسبة إليها،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بيان للأوتاد، كما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وَالْجِبَالَ أَوْتَاداً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النبأ،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الغيبة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بعض نسخ الكتاب، وهو أظهر، فيكون عطفاً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الرسول’، أو على أوتادها، فيكون من كلام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والأوّل على هذا أصوب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المجلسي، مرآة العقول،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الزاء على الراء المهملة، كما ضبطه في الوافي، ولعلّ هذا هو الأظهر والأبلغ لبيان المراد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في 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يوضع في القميص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أزرار، وزرور، وعظم تحت القلب، وهو قوامه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الفيروز آبادي، القاموس المحيط،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هذا اُطلق عليهم ذلك لأنّهم قوام الأرض، فلا تقوم إلّا بهم، ولو بقيت الأرض بغير حجّة لساخت بأهلها، كما لا يقوم أمر أهل الأرض إلّا بهم، واتّباع آثارهم والاقتداء بهم، والاهتداء بهداهم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ثبت ذلك بالروايات والنصوص الكثيرة، ويظهر من بعض الأخبار المخرجة من طرق أهل السنّة أيضاً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يدعى في لسان الصحابة بهذا اللقب، ويعترفون له بهذا العنوان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النهاية في حديث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يصف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لَعَالِمُ الْأَرْضِ وَزِرُّهَا الَّذِي تَسْكُنُ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قوامها، وأصله من زرّ القلب، وهو عظم صغير يكون قوام القلب به، وأخرج الهرويّ هذا الحديث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النهاية،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w:t>
      </w:r>
    </w:p>
    <w:p>
      <w:pPr>
        <w:pStyle w:val="BookText"/>
        <w:rPr/>
      </w:pPr>
      <w:r>
        <w:rPr>
          <w:rFonts w:ascii="Amiri" w:hAnsi="Amiri" w:eastAsia="Amiri" w:cs="Amiri"/>
          <w:color w:val="111111"/>
          <w:sz w:val="28"/>
          <w:sz w:val="28"/>
          <w:szCs w:val="28"/>
          <w:rtl w:val="true"/>
          <w:lang w:bidi="ar-SA"/>
        </w:rPr>
        <w:t>المقام الدالّ عليه المعنى المتقدّم الّذي أفصح أبوذرّ وسلمان بثبوته لمولانا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مقام الولاية الكبرى والإمامة العظمى، الّتي لا يمكن تقلّدها إلّا بإذن الله ونصبه، وهو المنصب الإلهيّ الّذي يكون صاحبه والياً ومشرفاً على جميع اُمور الدين والدنيا بعد النبيّ’، وهو مقام الخلافة الّتي لا يليها إلّا أئمّة أهل البيت، أعني الأئمّة الإثني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بَلَى لَا تَخْلُو الْأَرْضُ مِنْ قَائِمٍ لله بِحُجَّةٍ، إِمَّا ظَاهِراً مَشْهُوراً، أَوْ خَائِفاً مَغْمُوراً، لِئَلَّا تَبْطُلَ حُجَجُ اللّهِ وَبَيِّنَاتُهُ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الحکمة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يَعْنِي</w:t>
      </w:r>
    </w:p>
    <w:p>
      <w:pPr>
        <w:pStyle w:val="BookText"/>
        <w:rPr/>
      </w:pPr>
      <w:r>
        <w:rPr>
          <w:rFonts w:ascii="Amiri" w:hAnsi="Amiri" w:eastAsia="Amiri" w:cs="Amiri"/>
          <w:color w:val="111111"/>
          <w:sz w:val="28"/>
          <w:sz w:val="28"/>
          <w:szCs w:val="28"/>
          <w:rtl w:val="true"/>
          <w:lang w:bidi="ar-SA"/>
        </w:rPr>
        <w:t>أَوْتَادُهَا وَجِبَالُهَا، بِنَا أَوْتَدَ اللهُ الْأَرْضَأَنْ</w:t>
      </w:r>
    </w:p>
    <w:p>
      <w:pPr>
        <w:pStyle w:val="BookText"/>
        <w:rPr/>
      </w:pPr>
      <w:r>
        <w:rPr>
          <w:rFonts w:ascii="Amiri" w:hAnsi="Amiri" w:eastAsia="Amiri" w:cs="Amiri"/>
          <w:color w:val="111111"/>
          <w:sz w:val="28"/>
          <w:sz w:val="28"/>
          <w:szCs w:val="28"/>
          <w:rtl w:val="true"/>
          <w:lang w:bidi="ar-SA"/>
        </w:rPr>
        <w:t>تَسِيخَ بِأَهْلِهَا، فَإِذَا ذَهَبَ الْإثْناَ</w:t>
      </w:r>
    </w:p>
    <w:p>
      <w:pPr>
        <w:pStyle w:val="BookText"/>
        <w:rPr/>
      </w:pPr>
      <w:r>
        <w:rPr>
          <w:rFonts w:ascii="Amiri" w:hAnsi="Amiri" w:eastAsia="Amiri" w:cs="Amiri"/>
          <w:color w:val="111111"/>
          <w:sz w:val="28"/>
          <w:sz w:val="28"/>
          <w:szCs w:val="28"/>
          <w:rtl w:val="true"/>
          <w:lang w:bidi="ar-SA"/>
        </w:rPr>
        <w:t>عَشَرَ مِنْ وُلْدِي سَاخَتِ الْأَرْضُ بِأَهْلِهَا وَلَمْ يُنْظَرُوا</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ما أخرجه أبو جعفر الكليني بهذا الإسناد، عنأبي سعيد رفعه،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وُلْدِي اثْنَا عَشَرَ نَقِيباً نُجَبَاءُ، مُحَدَّثُونَ، مُفَهَّمُونَ، آخِرُهُمُ الْقَائِمُ بِالْحَقِّ، يَمْلَأُهَا عَدْلاً </w:t>
      </w:r>
    </w:p>
    <w:p>
      <w:pPr>
        <w:pStyle w:val="BookText"/>
        <w:rPr/>
      </w:pPr>
      <w:r>
        <w:rPr>
          <w:rFonts w:ascii="Amiri" w:hAnsi="Amiri" w:eastAsia="Amiri" w:cs="Amiri"/>
          <w:color w:val="111111"/>
          <w:sz w:val="28"/>
          <w:sz w:val="28"/>
          <w:szCs w:val="28"/>
          <w:rtl w:val="true"/>
          <w:lang w:bidi="ar-SA"/>
        </w:rPr>
        <w:t>كَمَا مُلِئَتْ جَوْراً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محمد بن يحيى، عن محمد بن الحسين، عن ابن محبوب، عن أبي الجارود،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جابر بن عبد الله الأنصاري،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w:t>
      </w:r>
    </w:p>
    <w:p>
      <w:pPr>
        <w:pStyle w:val="BookText"/>
        <w:rPr/>
      </w:pPr>
      <w:r>
        <w:rPr>
          <w:rFonts w:ascii="Amiri" w:hAnsi="Amiri" w:eastAsia="Amiri" w:cs="Amiri"/>
          <w:color w:val="111111"/>
          <w:sz w:val="28"/>
          <w:sz w:val="28"/>
          <w:szCs w:val="28"/>
          <w:rtl w:val="true"/>
          <w:lang w:bidi="ar-SA"/>
        </w:rPr>
        <w:t>عَلَى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يَدَيْهَا لَوْحٌ فِيهِ أَسْمَاءُ الْأَوْصِيَاءِ مِنْ وُلْدِهَا، فَعَدَدْتُ اثْنَيْ عَشَرَ، آخِرُهُمُ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ثَلَاثَةٌ مِنْهُمْ مُحَمَّدٌ، وَثَلَاثَةٌ مِنْهُمْ عَلِيٌّ</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جابر بن يزيد</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 محمد بن يحيى، عن محمد بن الحسين، عن مُسعدة بن زياد، عن أبي عبد الله ومحمد بن الحسين، عن إبراهيم، عن ابن أبي يحيى المدائني، عن أبي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حاضراً لَمّا هلك أبو بكر واستخلف عمر، أقبل يهوديّ من عظماء يهود يثرب، وتزعم يهود المدينة أنّه أعلم أهل زمانه، حتى رفع إلى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جئتك اُريد الإسلام، فإن أخبرتني عمّا أسألك عنه فأنت أعلم أصحاب محمد بالكتاب والسنّة وجميع ما اُريد أن أسأل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هناك، لكنّي اُرشدك إلى مَن هو أعلم اُمّتنا بالكتاب والسنّة وجميع ما قد تسأل عنه، وهو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احتجاج اليهوديّ على عمر، وما سأل أمير المؤمنين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هذه الاُمّة كم لها من إمام هدًى؟ وأخبرني عن نبيّكم محمد أين منزله في الجنّة؟ وأخبرني مَن معه في الجنّة؟فقال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لِهَذِهِ الْأُمَّةِ اثْنَيْ عَشَرَ إِمَاماً هُدًى مِنْ ذُرِّيَّةِ نَبِيِّهَا، وَهُمْ مِنِّي، وَأَمَّا مَنْزِلُ نَبِيِّنَا فِي الْجَنَّةِ فَفِي أَفْضَلِهَا وَأَشْرَفِهَا جَنَّةِ عَدْنٍ، وَأَمَّا مَنْ مَعَهُ فِي مَنْزِلِهِ فِيهَا فَهَؤُلَاءِ الْإثْنَا عَشَرَ مِنْ ذُرِّيَّتِهِ وَأُمُّهُمْ وَجَدَّتُهُمْ وَأُمُّ أُمِّهِمْ وَذَرَارِيهِمْ، لَا يَشْرِكُهُمْ فِيهَا أَحَدٌ</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أبي يحيى المدني،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مَنْزِلِهِ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مَنْزِلِهِ فيِهَا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الشيخ أبو القاسم عليّ بن محمد بن عليّ الخزّاز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رجاء بن يحيى أبو الحسن اليسرباني</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عوف، عن هشام بن يزيد،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عن حواريّ عيسى؟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مِنْ صَفْوَتِهِ وَخِيَرَتِهِ، وَكَانوُا 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حواريّك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w:t>
      </w:r>
    </w:p>
    <w:p>
      <w:pPr>
        <w:pStyle w:val="BookText"/>
        <w:rPr/>
      </w:pPr>
      <w:r>
        <w:rPr>
          <w:rFonts w:ascii="Amiri" w:hAnsi="Amiri" w:eastAsia="Amiri" w:cs="Amiri"/>
          <w:color w:val="111111"/>
          <w:sz w:val="28"/>
          <w:sz w:val="28"/>
          <w:szCs w:val="28"/>
          <w:rtl w:val="true"/>
          <w:lang w:bidi="ar-SA"/>
        </w:rPr>
        <w:t xml:space="preserve">بَعْدِي اثْنَا عَشَرَ مِنْ صُلْبِ عَلِيٍّ وَفَاطِمَةَ، وَهُمْ حَوَارِيَّ وَأَنْصَاري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عَلَيْهِمْ مِنَ اللهِ التَّحيَّةُ وَالسَّلَامُ</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خرّجه الشيخ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وهبان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داود بن الهيثم بن إسحاق النحوي،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جدّي إسحاق بن البهلول،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طلحة بن زيد الرقّي، عن الزبير بن عطاء، عن عمير بن هاني العيسي، عن جنادة بن أبي اُميّة،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الحسن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ما لك لا تعالج نفسك؟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الله، بِمَاذَا اُعَالِجُ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إِنَّهُ لَعَهْدٌ عَهِدَهُ إِلَيْنَا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هَذَا الْأَمْرَ يَمْلِكُهُ اثْنَا عَشَرَ إِمَاماً مِنْ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إِلَّا مَسْمُومٌ أَوْ مَقْتُولٌ</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عثرت عليه من الأخبار ممّا قد يُوهِم ظاهره خلاف ما دلّت عليه الأخبار المتواترة، من حصر الأئمّة في الإثني عشر، وأنّ أوَّلهم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207_107716"/>
      <w:bookmarkStart w:id="16" w:name="pg7207_107716"/>
      <w:bookmarkEnd w:id="16"/>
    </w:p>
    <w:p>
      <w:pPr>
        <w:pStyle w:val="Heading2"/>
        <w:numPr>
          <w:ilvl w:val="1"/>
          <w:numId w:val="1"/>
        </w:numPr>
        <w:rPr/>
      </w:pPr>
      <w:bookmarkStart w:id="17" w:name="pg7207_107716"/>
      <w:bookmarkStart w:id="18" w:name="__RefHeading___Toc75890_1051229030"/>
      <w:bookmarkStart w:id="19" w:name="_Toc5"/>
      <w:bookmarkEnd w:id="17"/>
      <w:bookmarkEnd w:id="18"/>
      <w:r>
        <w:rPr>
          <w:rtl w:val="true"/>
        </w:rPr>
        <w:t>أمّا الكلام في أسنادها</w:t>
      </w:r>
      <w:bookmarkEnd w:id="19"/>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الرواية الاُولى والثانية فقد صرّح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مرآة العقول بمجهوليّتهما</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جعلتا روايتين وتكرّر نقلهما في الكافي؛ لتعدّد سندهما، وإلّا فلا ريب في أنّهما رواية واحدة، رواها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لا ينبغي الاعتماد على كلّ واحد من سنديهما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السند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فمحمد بن يحيى هو أبو جعفر العطّار القميّ من مشايخ الكليني، شيخ أصحابنا في زمانه ثقة عين، كثير الحديث، وعبد الله بن محمد من مشايخه، وهو أخو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عيسى، فهو ليس بالخشّاب، والصحيح عبد الله بن محمد، عن الخشّاب، والظاهر أنّه الحسن بن موسى الخشّاب، كما وقع في السند الثاني، وهو من وجوه أصحابنا، مشهور كثير العلم والحديث</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وعلّة السند في عليّ بن سماعة؛ لأنّه غير مذكور في كتب الرجال، والمذكور أخوه الحسن بن سماعة، فيمكن وقوع التصحيف فيه، وما في </w:t>
      </w:r>
    </w:p>
    <w:p>
      <w:pPr>
        <w:pStyle w:val="BookText"/>
        <w:rPr/>
      </w:pPr>
      <w:r>
        <w:rPr>
          <w:rFonts w:ascii="Amiri" w:hAnsi="Amiri" w:eastAsia="Amiri" w:cs="Amiri"/>
          <w:color w:val="111111"/>
          <w:sz w:val="28"/>
          <w:sz w:val="28"/>
          <w:szCs w:val="28"/>
          <w:rtl w:val="true"/>
          <w:lang w:bidi="ar-SA"/>
        </w:rPr>
        <w:t xml:space="preserve">النسخة المطبوعة بهامش مرآة العقول، والنسخة الّتي أخرجنا منها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وعليهما فيحتمل أن يكون هو الحسن بن سماعة بن مهران، وهو واقفيّ لم تثبت وثاقته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هو حسن بن محمد 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الکلباسي، الرسائل الرجالية،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الرجاليّون علی أنّ حسن بن محمد بن سماعة واقفيّ ولکنّه 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النجاشي، رجال، 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ويحتمل أن يكون الحسن بن محمد بن سماعة، فإنّه يروي أيضاً عن عليّ بن الحسن بن رباط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أيضاً من شيوخ الواقفيّة، ثقة، كثير الحديث، وكان يعاند في الوقف، ويتعصّب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ويحتمل أن يكون ابن سماعة هو محمد بن سماعة بن موسى بن رويد، أو محمد بن سماعة بن مهران، وقد أنكر وجود الثاني صاحب تنقيح المقال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 ترجيح هذه الاحتمالات بعضها على بعض لا ينتهي إلى ما تركن إليه النفس، ويخرج السند من الجهالة؛ فلذا لا نطيل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علّة هذا السند هو كون الراوي عن عليّ بن الحسن بن رباط مجهولاً، لم يعلم أنّه عليّ بن سماعة، أو الحسن بن سماعة، أو الحسن بن محمد بن سماعة، أو محمد بن سماعة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عليّ بن الحسن بن رباط فهو ثقة معوَّل عليه، منأصحاب مولانا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وابن اُذَينة شيخ أصحابنا البصريّين، ووجههم، روى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وأمر زرارة في جلالة القدر معلوم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أبا عليّ الأشعري هو أحمد بن إدريس القمّي، الثقة، الفقيه، كثير الحديث، توفّي بالقرعاء سنة ستٍّ وثلاثمائة</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الحسن بن عبد الله أو عبيد الله فهو أيضاً قمّي، ولكنّه مرميٌّ بالغُلوّ</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مذكوراً في كتب الرجال، إلّا أنّ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سماعة</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واقفيّ لم تثبت وثاقته</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المفيد أيضاً أخرجها عن عليّ بن سماعة </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وبذلك يضعف احتمال التحريف، ويقوی جهالة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 هذا السند غير معتبر أيضاً فلا يعتمد عليه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بن يحيى هو أبو جعفر العطّار القمّي المذكور في سند الرواية الاُولى، ومحمد بن أحمد هو محمد بن أحمد بن يحيى، وهو وإن كان جليل القدر ثقة في الحديث إلّا أنّه كان يروي عن الضعفاء، ويعتمد المراسيل، ولا يبالي عمّن أخذ</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وكان محمد بن الحسن بن الوليد يستثني من روايته ما رواه عن جماعة سمّاهم،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يحيی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نوادر الحكمة، له كتاب يعرفه القمّيّون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دبّة شبيب</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ومحمد بن الحسين هو ابن أبي الخطّاب الهمداني، جليل من أصحابنا، ثقة، عين، عظيم القدر، كثير الرواية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أبا سعيد العُصفوري وأبا سعيد العصفري وعبّاد بن يعقوب الرواجني واحد، كما نبّه عليه شيخنا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جامع</w:t>
      </w:r>
    </w:p>
    <w:p>
      <w:pPr>
        <w:pStyle w:val="BookText"/>
        <w:rPr/>
      </w:pPr>
      <w:r>
        <w:rPr>
          <w:rFonts w:ascii="Amiri" w:hAnsi="Amiri" w:eastAsia="Amiri" w:cs="Amiri"/>
          <w:color w:val="111111"/>
          <w:sz w:val="28"/>
          <w:sz w:val="28"/>
          <w:szCs w:val="28"/>
          <w:rtl w:val="true"/>
          <w:lang w:bidi="ar-SA"/>
        </w:rPr>
        <w:t>الرواة في عباد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بأنّ هذا وأبا سعيد العصفري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رافضي</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ابوحاتم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شيعيّ وثقة</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أخبار المهديّ</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عمرو بن ثابت فهو ابن أبي المقدام، من أصحاب مولانا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ثقة على الأظهر</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رجال، ص</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الجارود هو زياد بن منذر، وإليه تُنسب الجارودية</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رويت في ذمّه روايات تضمّن بعضها كونه كذّاباً كافراً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مرفوع، وقد عرفت رجال سنده إلى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ضعف سنده ممّا تقدّم في أبي الجارود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سنده الأوّل صحيح، لكنّ الظاهر أنّ فيه إرسالاً؛ إذ مسعدة من أصحاب </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ومحمد بن الحسين ابن أبي الخطّاب، من أصحاب الجواد والهادي والعسكري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يروي هارون بن مسلم عنه كثيراً، مع أنّه قال النجاشي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 أبا محمد وأبا الحسن، فيحتمل أن يكون مسعدة معمّراً، روى عنه محمد</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يدفع بذلك احتمال الإرسال؛ لبعد عدم فوز مثل مسعدة بن زياد بلقاء مولانا الكاظم والرضا والجواد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مدّة تزيد على خمسين سنة، وعدم روايته عنهم ولو بالمكاتبة، أوبالواسطة، فالظاهر أنّه توفّي في زمان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قبض في شوّال سنة ثمان وأربعين ومائة، أو أوائل عصر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ومحمد بن الحسين ابن أبي الخطّاب، توفّي في سنة اثنتين وستّين ومائتين، وبذلك يستبعد رواية محمد بن الحسين عنه بلا واسطة، بل ورواية هارون بن مسلم، فبقي احتمال الإرسال على حاله، 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السند الثاني فمجهول عامّي، كما صرّح به في مرآة</w:t>
      </w:r>
    </w:p>
    <w:p>
      <w:pPr>
        <w:pStyle w:val="BookText"/>
        <w:rPr/>
      </w:pPr>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فضعيف، لم نعثر على بعض رجاله في ما عندنا </w:t>
      </w:r>
    </w:p>
    <w:p>
      <w:pPr>
        <w:pStyle w:val="BookText"/>
        <w:rPr/>
      </w:pPr>
      <w:r>
        <w:rPr>
          <w:rFonts w:ascii="Amiri" w:hAnsi="Amiri" w:eastAsia="Amiri" w:cs="Amiri"/>
          <w:color w:val="111111"/>
          <w:sz w:val="28"/>
          <w:sz w:val="28"/>
          <w:szCs w:val="28"/>
          <w:rtl w:val="true"/>
          <w:lang w:bidi="ar-SA"/>
        </w:rPr>
        <w:t>من كتب رجال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والحديث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لم نعرف بعض رجاله، ولا يخفى عليك، أنّ الأحاديث والنصوص المخرّجة في كفاية الأثر أكثر رجالها وأسنادها من العامّة، فإنّ مؤلّفه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هذا الكتاب لتخريج ما روي بأسانيدهم في النصّ على الأئمّة الإثني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اعتداد بما في هذين الخبرين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والثامن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ثبت أنّ ظاهر بعض ألفاظهما يخالف مذهب الحقّ، ولا يقبل التأويل، بعدما ملأ الخزّاز كتابه هذا بالأحاديث الصريحة على عددهم، وأسمائهم، وأوصافهم من طرق العامّة، فراجع كتابه حتى تعرف كثرة هذه الأحاديث من طرقهم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أسناد هذه الأحاديث، وقد عرفت عللها، وأنّها بنفسها لا تنهض حجّةً، ولا يُعتَمَد عليها</w:t>
      </w:r>
      <w:r>
        <w:rPr>
          <w:rFonts w:eastAsia="Amiri" w:cs="Amiri" w:ascii="Amiri" w:hAnsi="Amiri"/>
          <w:color w:val="111111"/>
          <w:sz w:val="28"/>
          <w:szCs w:val="28"/>
          <w:rtl w:val="true"/>
          <w:lang w:bidi="ar-SA"/>
        </w:rPr>
        <w:t xml:space="preserve">. </w:t>
      </w:r>
      <w:bookmarkStart w:id="20" w:name="pg7207_107732"/>
    </w:p>
    <w:p>
      <w:pPr>
        <w:pStyle w:val="Heading2"/>
        <w:numPr>
          <w:ilvl w:val="1"/>
          <w:numId w:val="1"/>
        </w:numPr>
        <w:rPr/>
      </w:pPr>
      <w:bookmarkStart w:id="21" w:name="__RefHeading___Toc75892_1051229030"/>
      <w:bookmarkStart w:id="22" w:name="_Toc6"/>
      <w:bookmarkEnd w:id="20"/>
      <w:bookmarkEnd w:id="21"/>
      <w:r>
        <w:rPr>
          <w:rtl w:val="true"/>
        </w:rPr>
        <w:t>متون الأحاديث</w:t>
      </w:r>
      <w:bookmarkEnd w:id="22"/>
    </w:p>
    <w:p>
      <w:pPr>
        <w:pStyle w:val="BookText"/>
        <w:rPr/>
      </w:pPr>
      <w:r>
        <w:rPr>
          <w:rFonts w:ascii="Amiri" w:hAnsi="Amiri" w:eastAsia="Amiri" w:cs="Amiri"/>
          <w:color w:val="111111"/>
          <w:sz w:val="28"/>
          <w:sz w:val="28"/>
          <w:szCs w:val="28"/>
          <w:rtl w:val="true"/>
          <w:lang w:bidi="ar-SA"/>
        </w:rPr>
        <w:t>اعلم أنّ متن الحديث الأوّل والثاني واحد، وحيث إنّ المرويّ عنه في كليهما أيضاً واحد، وينتهي سند كلّ واحد منهما إلى عليّ بن الحسن بن رباط، عن ابن اُذينة، عن زرارة، فلا ريب في اتّحادهما، كما نبّهنا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وقع في هذا المتن تحريف، فإنّ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هذا الحديث بسنده عن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ومتنه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الْإِثْنَا عَشَرَ الْأَئِمَّةُ مِنْ آلِ مُحَمَّدٍ كُلُّهُمْ مُحَدَّثٌ، عَليُّ بْنُ أَبِي طَالِبٍ، وَأَحَدَ عَشَرَ مِنْ وُلْدِهِ، وَرَسُولُ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هُمَا الْوَالِدَانِ</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محمد بن عليّ ماجيلويه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إِثْنَا عَشَرَ إِمَاماً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مُحَدَّثُونَ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فالمعوّل على رواية المفيد والصدوق عن الكليني، فإنّها كما توافق غيرها من الروايات المتواترة توافق عنوان الباب الّذي أخرج الكليني فيه هذا الحديث، وتوافق الأخبار المخرّجة في نفس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وأظنّ أنّ التحريف في هذا المتن ناتج عن نقل معنى الحديث ومضمونه، دون التقيّد بألفاظه، فاشتبه على بعض الرواة، أو أنّ الناقل تسامح في مقام النقل اتّكالاً على وضوح كون عدد الأئمّة اثني عشر، وأنّ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وأوّلهم، وليس خارجاً عنهم، فلا تجد في فرق المسلمين من كان معتقداً بهذا العدد، ولا يرى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وكيف كان فالاعتماد على متن الحديث على لفظ الإرشاد، والخصال، وعيون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متن الخبر 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أيضاً في وقوع التصحيف فيهما، فإنّ أصل أبي سعيد الّذي روي عنه هذان الخبران من الاُصول الموجودة عندنا، وفيه تسعة عشر حديثاً، ولفظ الحديث السادس في هذا الأصل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وَأَحَدَ عَشَرَ مِنْ وُلْدِي، وَأَنْتَ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الْأَرْضِ، أَعْنِي أَوْتَادُهَا جِبَالُهَا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وَتَّدَ اللهُ الْأَرْضَ أَنْ تَسِيخَ بِأَهْلِهَا، فَإِذَا ذَهَبَ </w:t>
      </w:r>
    </w:p>
    <w:p>
      <w:pPr>
        <w:pStyle w:val="BookText"/>
        <w:rPr/>
      </w:pPr>
      <w:r>
        <w:rPr>
          <w:rFonts w:ascii="Amiri" w:hAnsi="Amiri" w:eastAsia="Amiri" w:cs="Amiri"/>
          <w:color w:val="111111"/>
          <w:sz w:val="28"/>
          <w:sz w:val="28"/>
          <w:szCs w:val="28"/>
          <w:rtl w:val="true"/>
          <w:lang w:bidi="ar-SA"/>
        </w:rPr>
        <w:t>الْأَحَدَ عَشَرَ مِنْ وُلْدِي سَاخَتِ الْأَرْضُ بِأَهْلِهَا وَلَمْ يُنْظَرُوا</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المتن كما ترى تامّ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ولفظ 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وُلْدِي أَحَدَ عَشَرَ نَقِيباً نَجيباً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نُقَبَاءُ، نَجَبَاءُ،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مُحَدَّثُونَ، مُفَهَّمُونَ، آخِرُهُمُ الْقَائِمُ بِالْحَقِّ، يَمْلَأُهَا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عَدْلاً كَمَا مُلِئَتْ جَوْراً</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المتن أيضاً موافق لألفاظ سائر الأحاديث المتواترة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الخبر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أخرجه الصدوق بطريقين عن الحسن بن محبوب، عن أبي الجارود،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 الله الأنصاري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وَبَيْنَ يَدَيْهَا لَوْحٌ فيهِ أَسْمَاءُ الْأَوْصِيَاءِ، فَعَدَدْتُ اثْنَيْ عَشَرَ، آخِرُهُمُ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ثَلَاثَةٌ مِنْهُمْ مُحَمَّدٌ، وَأَرْبَعَةٌ مِنْهُمْ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وأخرجه أيضاً في كمال الدين بهذا اللفظ</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وأوضح من ذلك شاهداً على وقوع التحريف في خبر الكافي وأنّه مختصر من متنه الطويل، ما أخرجه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بن شاذويه المؤدّب، وأحمد بن هارون القاضي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جعفر الحميري، عن أبيه، عن جعفر بن محمد بن مالك الفزاري الكوفي، عن مالك السلولي، عن درست بن عبد الحميد، عن عبد الله بن القاسم، عن عبدالله بن جبلّة، عن أبي السفاتج، عن جابر الجعفي، عن أبي جعفر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مولاتي فاطمة‘ وقُدّامها لوح يكاد ضوؤه يُغشي الأبصار، فيه اثنا عشر اسماً، ثلاثة في ظاهره، وثلاثة في باطنه، وثلاثة أسماء في آخره، وثلاثة أسماء في طرفه، فعددتها فإذا هي اثنا عشر اسماً،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من هؤلاء؟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أَسْمَاءُ الْأَوْصِيَاءِ، أَوَّلُهُمْ ابْنُ عَمِّي، وَأَحَدَ عَشَرَ مِنْ وُلْدِي، 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فيها محمّداً محمّداً محمّداً في ثلاثة مواضع، وعليّاً وعليّاً وعليّاً وعليّاً فيأربعة مواضع</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فالعارف الخبير بفنّ الحديث يعرف أنّ ما رواه الكليني في الكافي، والصدوق في عيون</w:t>
      </w:r>
    </w:p>
    <w:p>
      <w:pPr>
        <w:pStyle w:val="BookText"/>
        <w:rPr/>
      </w:pPr>
      <w:r>
        <w:rPr>
          <w:rFonts w:ascii="IRNazanin" w:hAnsi="IRNazanin" w:eastAsia="IRNazanin"/>
          <w:color w:val="111111"/>
          <w:sz w:val="28"/>
          <w:sz w:val="28"/>
          <w:szCs w:val="28"/>
          <w:rtl w:val="true"/>
          <w:lang w:bidi="fa-IR"/>
        </w:rPr>
        <w:t>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وكمال الدين، والشيخ في الغيبة هو مختصر هذا الحديث</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متن الحديث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موضوعه هو مجيء يهوديّ إلى عمر للسؤال عمّا أراد، وأنّ عمر أرشده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بعينه موضوع ما رواه الكليني أيضاً في هذا الباب</w:t>
      </w:r>
      <w:r>
        <w:rPr>
          <w:rFonts w:eastAsia="IRNazanin" w:cs="IRNazanin"/>
          <w:color w:val="111111"/>
          <w:sz w:val="28"/>
          <w:szCs w:val="28"/>
          <w:rtl w:val="true"/>
          <w:lang w:bidi="fa-IR"/>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رواه الصدوق في كمال الدين عن أبي الطفيل</w:t>
      </w:r>
      <w:r>
        <w:rPr>
          <w:rFonts w:eastAsia="Amiri" w:cs="Amiri" w:ascii="Amiri" w:hAnsi="Amiri"/>
          <w:color w:val="111111"/>
          <w:sz w:val="28"/>
          <w:szCs w:val="28"/>
          <w:rtl w:val="true"/>
          <w:lang w:bidi="ar-SA"/>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بسنده أيضاً في كمال الدين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الخصال</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مقتضب الأثر، عن عمر بن سلمة</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وأخرجه في ينابيع المودَّة، عن عامر بن واثلة</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فرائد السمطين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فالظاهر أنّ كلّ هذه الأحاديث حكاية عن واقعة واحدة، ولفظ الحديث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لِمُحَمَّدٍ اثْنَيْ عَشَرَ إِمَامَ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لِهَذِهِ الْأُمَّةِ بَعْدَ نَبِيِّهَا اثْنَا عَشَرَ إِمَاماً عَدْلاً، وَالَّذِينَ يَسْكُنُونَ مَعَهُ فِي الْجَنَّةِ هَؤُلَاءِ الْأَئِمَّةُ الْإِثْنَا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لِهَذِهِ الْأُمَّةِ اثْنَيْ عَشَرَ إِمَاماً هَادِينَمَهْدِيِّينَ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مَعَ مُحَمَّدٍ’ مِنْ اُمَّتِهِ فِي الْجَنَّةِ، فَهَؤُلَاءِ الْإِثْنَا عَشَرَ أَئِمَّةُ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لِمُحَمَّدٍ مِنَ الْخُلَفَاءِ اثْنَيْ عَشَرَ إِمَاماً عَدْلاً، وَيَسْكُنُ مَعَ مُحَمَّدٍ فِي جَنَّةِ عَدْنٍ مَعَهُ اُولَئِكَ الْإثْنَا عَشَرَ الْأَئِمّةُ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ولفظ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هَارُونِيُّ لِمُحَمَّدٍ بَعْدَهُ اثْنَا عَشَرَ إِمَاماً عَدْلاً وَمَنْزِلُ مُحَمَّدٍ فِي جَنَّةِ عَدْنٍ، وَالَّذِينَ يَسْكُنُونَ مَعَهُ هَؤُلَاءِ الْإِثْنَا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لِهَذِهِ الْأُمَّةِ مِنْ إِمَامٍ هُدًى لَا يَضُرُّهُمْ مَنْ خَالَفَهُمْ؟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إِثْنَا عَشَرَ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يَنْزِلُ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مَنْزِلِهِ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إِثْنَاعَشَرَ إِمَاماً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المتون المعتبرة جدّاً يصحّح متن الحديث المرويّ عن أبي سعيد الخُدري، وتشهد كلّها بوقوع التصحيف فيه، أو المسامحة في نقل ألفا ظه </w:t>
      </w:r>
    </w:p>
    <w:p>
      <w:pPr>
        <w:pStyle w:val="BookText"/>
        <w:rPr/>
      </w:pPr>
      <w:r>
        <w:rPr>
          <w:rFonts w:ascii="Amiri" w:hAnsi="Amiri" w:eastAsia="Amiri" w:cs="Amiri"/>
          <w:color w:val="111111"/>
          <w:sz w:val="28"/>
          <w:sz w:val="28"/>
          <w:szCs w:val="28"/>
          <w:rtl w:val="true"/>
          <w:lang w:bidi="ar-SA"/>
        </w:rPr>
        <w:t>أو مضمونه، فلا ريب في أنّ المعتمد عليه هو هذه المتون الكثيرة</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أعثر بعدُ على متن آخر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في كفاية</w:t>
      </w:r>
    </w:p>
    <w:p>
      <w:pPr>
        <w:pStyle w:val="BookText"/>
        <w:rPr/>
      </w:pPr>
      <w:r>
        <w:rPr>
          <w:rFonts w:ascii="Amiri" w:hAnsi="Amiri" w:eastAsia="Amiri" w:cs="Amiri"/>
          <w:color w:val="111111"/>
          <w:sz w:val="28"/>
          <w:sz w:val="28"/>
          <w:szCs w:val="28"/>
          <w:rtl w:val="true"/>
          <w:lang w:bidi="ar-SA"/>
        </w:rPr>
        <w:t>الأثر في الباب الّذي روى فيه هذا الحديث حديثاً آخر عن مولانا الإمام أبي محمد الحسن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وساق الكلام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يَمْلِكُهُ اثْنَا عَشَرَ إِمَاماً مِنْ أَهْلِ بَيْتِهِ وَصَفْوَتِهِ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المتن خال من الإشكال، ولا يبعد اتّحاده مع ما رواه جنادة بن أبي اُميّة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الظاهر اتّحادهما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وعمدة السبب في هذا الاختلاف في ألفاظ بعض الأحاديث، رواية الحديث بالمضمون والمدلول، وغفلة بعض الرواة أو تسامحه وعدم اهتمامه بحفظ لفظ المعصوم، فلابدّ من تصحيح مثل هذه المتون بغيرها من المتون المعلومة صحّتها، ولابدّ في ذلك من الرجوع إلى خبراء الفنّ العارفين بالمتون السليمة والسقيمة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وعندي أنّ هذا الفنّ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معرفة المتون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مهمّات علم الحديث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تمام الكلام في أسناد هذه الأحاديث ومتونها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ظهر لك ممّا تقدّم أنّ هذه الأسانيد بنفسها لا تنهض حجّةً في قبال الأحاديث المتواترة وأسانيدها، بل ليست بحجّة مطلقاً، كما أنّ هذه المتون أيضاً لا يُحتَجُّ بها، فإذا كان ولابدّ من الاحتجاج بها فلا يحتجّ إلّا بما هو خال من الإشكال، مؤيّد بغيره، فإنّ الأخبار يُقوّي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حاجة لنا إلى النظر في المتون المذكورة وتأويلها وشرحها، على ما يوافق المذهب واتّفق عليه أهل الحقّ</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بأس بإجراء الكلام في ذلك أيضاً؛ تتميماً للفائدة؛ وحرصاً على دفع هذه الشبهة؛ ووفاءً بما وعدناه في ابتداء هذه الرسالة</w:t>
      </w:r>
      <w:r>
        <w:rPr>
          <w:rFonts w:eastAsia="Amiri" w:cs="Amiri" w:ascii="Amiri" w:hAnsi="Amiri"/>
          <w:color w:val="111111"/>
          <w:sz w:val="28"/>
          <w:szCs w:val="28"/>
          <w:rtl w:val="true"/>
          <w:lang w:bidi="ar-SA"/>
        </w:rPr>
        <w:t xml:space="preserve">. </w:t>
      </w:r>
      <w:bookmarkStart w:id="23" w:name="pg7207_107748"/>
    </w:p>
    <w:p>
      <w:pPr>
        <w:pStyle w:val="Heading2"/>
        <w:numPr>
          <w:ilvl w:val="1"/>
          <w:numId w:val="1"/>
        </w:numPr>
        <w:rPr/>
      </w:pPr>
      <w:bookmarkStart w:id="24" w:name="__RefHeading___Toc75894_1051229030"/>
      <w:bookmarkStart w:id="25" w:name="_Toc7"/>
      <w:bookmarkEnd w:id="23"/>
      <w:bookmarkEnd w:id="24"/>
      <w:r>
        <w:rPr>
          <w:rtl w:val="true"/>
        </w:rPr>
        <w:t>ما يصحّ أن يقال في توجيه هذه الأحاديث</w:t>
      </w:r>
      <w:bookmarkEnd w:id="25"/>
    </w:p>
    <w:p>
      <w:pPr>
        <w:pStyle w:val="BookText"/>
        <w:rPr/>
      </w:pPr>
      <w:r>
        <w:rPr>
          <w:rFonts w:ascii="IRNazanin" w:hAnsi="IRNazanin" w:eastAsia="IRNazanin"/>
          <w:color w:val="111111"/>
          <w:sz w:val="28"/>
          <w:sz w:val="28"/>
          <w:szCs w:val="28"/>
          <w:rtl w:val="true"/>
          <w:lang w:bidi="fa-IR"/>
        </w:rPr>
        <w:t>اعلم أوّلاً أنّ بعض هذه المتون ظاهر في انحصار الأئمّة في الإثني عشر، وخروج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كالحديث السادس والسابع والثامن، بل الأوّل والثاني، وهذا مخالف للضرورة وإجماع الكلّ من عصر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زماننا هذا، وهذا الإجماع والضرورة قرينة قطعية على عدم إرادة ظاهرها، وأنّ الكلام على فرض صدوره جرى على ما جرى للغلبة؛ أو لكون أكثرهم من صلب عليّ، أو من ذريّة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أنّه قد استُعير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للعترة، واُريد بها ما يعمّ الولادة الحقيقية والمجازية، أو لوجوه اُخرى مذكورة في البحار وفي مرآة</w:t>
      </w:r>
    </w:p>
    <w:p>
      <w:pPr>
        <w:pStyle w:val="BookText"/>
        <w:rPr/>
      </w:pPr>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كلّ من أخرج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كشيخنا </w:t>
      </w:r>
    </w:p>
    <w:p>
      <w:pPr>
        <w:pStyle w:val="BookText"/>
        <w:rPr/>
      </w:pP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ومشايخه وتلامذته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أخرجوها في باب ما جاء في الإثني عشر والنصّ عليهم؛ لأنّهم رأوا أنّ هذه المتون تقبل الجمع مع غيرها من الروايات، وبذلك يرتفع التنافي بينهما على فرض وجوده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إذا سبرنا الأحاديث يتحصّل لنا منها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سلكوا في إطلاقاتهم وألفاظهم في هذا الباب مسلك المجاز، فأطلقوا على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رسول الله’، أو ولده، أو أنّهم من ولد عليّ وفاطمة تغليباً؛ لكون أكثرهم من ذرّية رسول الله’ ومن ولد عليّ وفاطمة‘؛ ولمعلومية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ذرّية رسول الله’ ومن ولد فاطمة‘، وبهذا الشاهد يرتفع الإشكال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الأخبار الّتي اُطلق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جميعهم ما أخرجه الخزّاز بسنده، عن مولانا سيّد الشهداء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أعرابيّ على رسول الله’ يريد الإسلام، ومعه 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وأنّك رسول الله حقّاً، فأخبرني يا رسول الله هل يكون بعدك 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أَنَا خَاتِمُ النَّبِيِّينَ وَلَكِنْ يَكُونُ أَئِمَّةٌ مِنْ ذُرِّيَّتِي قَوَّامُونَ بِالْقِسْطِ كَعَدَدِ نُقَبَاءِ بَنِي إِسْرَائِيلَ، أَوَّلُهُمْ عَلِيُّ بْنُ أَبِي طَالِبٍ هُوَ الْإِمَامُ وَالْخَلِيفَةُ بَعْدِي وَتِسْعَةٌ مِنَ الْأَئِمَّةِ مِنْ صُلْبِ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وَالْقَائِمُ تَاسِعُهُمْ يَقُومُ بِالدِّينِ فِي </w:t>
      </w:r>
    </w:p>
    <w:p>
      <w:pPr>
        <w:pStyle w:val="BookText"/>
        <w:rPr/>
      </w:pPr>
      <w:r>
        <w:rPr>
          <w:rFonts w:ascii="Amiri" w:hAnsi="Amiri" w:eastAsia="Amiri" w:cs="Amiri"/>
          <w:color w:val="111111"/>
          <w:sz w:val="28"/>
          <w:sz w:val="28"/>
          <w:szCs w:val="28"/>
          <w:rtl w:val="true"/>
          <w:lang w:bidi="ar-SA"/>
        </w:rPr>
        <w:t>آخِرِ الزَّمَانِ كَمَا قُمْتُ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فمثل هذا الحديث صريح في أنّ هذه الإطلاقات والتعبيرات إنّما صدرت مجازاً واتّكالاً على القرينة ووضوح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فيه أن تكون فاطمة‘ مشمولةً به ضمن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 ذلك هو الظاهر من الحديث،ومن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وَاثْنَي عَشَرَ مِنْ وُلْدي، وَأَنْتَ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صحّة إطلاق الولد على أمير المؤمنين وعلى سائر الأئمّة تغليباً، وعطف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قبيل عطف الخاصّ على العامّ تأكيداً وتشريفاً، كعطف جبرئيل على الملائكة</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الرابع أيضاً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تغليباً؛ أو لكون أكثرهم من ولده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مثله، ويمكن أن يكون المراد من قوله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فعددتهم مع والدهم اثني عشر، آخرهم القائم، ثلاثة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وثلاثة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حيث إنّه لا حاجة في مثل هذا المقام إلى ذكر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كان معروفاً بالإمامة، فلا يشكّ في إمامته من رأى الإمامة في ولده، وإنّما أخبر الراوي عن سائر من اسمه عليّ؛ لأنّه لم تُعلَم إمامتهم كما عُلِمت إمامة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منهم من لم يكن موجوداً في ذلك الزمان، وهما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بن موسى الرضا، والإمام عليّ بن محمد النقيّ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وحاصل ما ذكرناه في علل هذه الأحاديث اُمور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أسنادها غير معتبرة، فلا يجوز الاعتماد عليها بنفسها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متونها مصحّفة محرّفة، يشهد بتصحيفها وتحريفها غيرها من الروايات المتواترة، فينبغي تصحيح متونها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لبعضها متوناً اُخرى بألفاظ صحيحة وسليمة من الإشكال، فينبغي أن يكون الاعتماد عليها، لا عَلى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فرض صحّة صدور هذه المتون فاللازم إنّما هو الجمع بينها وبين سائر الروايات بما ذكرنا، من حملها على التجوّز والتغليب، </w:t>
      </w:r>
    </w:p>
    <w:p>
      <w:pPr>
        <w:pStyle w:val="BookText"/>
        <w:rPr/>
      </w:pPr>
      <w:r>
        <w:rPr>
          <w:rFonts w:ascii="Amiri" w:hAnsi="Amiri" w:eastAsia="Amiri" w:cs="Amiri"/>
          <w:color w:val="111111"/>
          <w:sz w:val="28"/>
          <w:sz w:val="28"/>
          <w:szCs w:val="28"/>
          <w:rtl w:val="true"/>
          <w:lang w:bidi="ar-SA"/>
        </w:rPr>
        <w:t>وغيرهما ممّا لا يأبى العرف وأهل اللسان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تخريج هذه الأحاديث في الجامع الكافي مع ما فيها من العلل، ولزوم حمل ألفاظها على المجاز وترك ظواهرها؟</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المجازات ليس خارجاً عن قانون المحاورة، وليس استعمال الألفاظ في معانيها المجازية أقلّ من استعمالها في معانيها الحقيقية لو لم يكن أكثر، ولا فرق في حجّية ظواهر الألفاظ بين الاستعمالات الحقيقية والمجازية، فكلّهما حجّة عند أهل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مَهَرة فنّ الحديث العارفين بعلل الأحاديث، وما وقع فيها من التغيير والتصحيف إسناداً أو متناً لا يطرحون الحديث بمجرّد هذه العلل بعد وضوح مورد التصحيف والتغيير، فكثيراً ما نرى في كتب الخاصّة والعامّة أنّهم يصحّحون الأسانيد وأسماء رجالها وطبقاتها بغيرها، ويصحّحون ألفاظ الحديث أيضاً بألفاظ حديث آخر، ويحملون بعض الألفاظ على المجاز بقرينة غيرها من الروايات، ولا يشكّون في ذلك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فبناءً على 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الخرّيت في صناعة معرفة الحديث إنّما أدخل هذه الأخبار في باب ما جاء في الأئمّة الإثني عشر </w:t>
      </w:r>
    </w:p>
    <w:p>
      <w:pPr>
        <w:pStyle w:val="BookText"/>
        <w:rPr/>
      </w:pPr>
      <w:r>
        <w:rPr>
          <w:rFonts w:ascii="IRNazanin" w:hAnsi="IRNazanin" w:eastAsia="IRNazanin"/>
          <w:color w:val="111111"/>
          <w:sz w:val="28"/>
          <w:sz w:val="28"/>
          <w:szCs w:val="28"/>
          <w:rtl w:val="true"/>
          <w:lang w:bidi="fa-IR"/>
        </w:rPr>
        <w:t>والنصّ عليهم؛ لعلمه الأكيد بأنْ ليس لهذه الأخبار محامل اُخرى غير التنصيص على الأئمّة الإثني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يجوز رفع اليد عنها وتركها وطرحها، فإنّ ذلك لا يصدر إلّا من الجاهل الّذي لا يعرف أحوال الأحاديث، ولا يدري أنّ الأخبار يفسّر بعضها بعضاً، ويبيّن بعضها إجمال بعضها الآخر، وأنّ أسنادها تقوّي وتعتمد عليها بغيرها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وفّقنا الله تعالى إليه من الكتابة حول هذه الأحاديث الشريفة مع كمال الاستعجال، وكثرة المشاغل، وتشتّت البال، وقد ظهر بما لا مزيد عليه صحّة الاستناد والاعتماد عليها لإثبات إمامة الأئمّة الاثني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الّذين هم سادتنا، وشفعاؤنا، وأوّلهمأمير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وبعده 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وبعده ابنه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وبعده ابنه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وبعده موسى بن جعفر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وبعده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وبعده محمد بن عليّ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وبعده عليّ بن محمد النقيّ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وبعده الحسن بن عليّ العسكريّ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وبعده ابنه مولانا وسيّدنا ناموس الدهر، ووليّ العصر الحجّة بن الحسن </w:t>
      </w:r>
    </w:p>
    <w:p>
      <w:pPr>
        <w:pStyle w:val="BookText"/>
        <w:rPr/>
      </w:pPr>
      <w:r>
        <w:rPr>
          <w:rFonts w:ascii="Amiri" w:hAnsi="Amiri" w:eastAsia="Amiri" w:cs="Amiri"/>
          <w:color w:val="111111"/>
          <w:sz w:val="28"/>
          <w:sz w:val="28"/>
          <w:szCs w:val="28"/>
          <w:rtl w:val="true"/>
          <w:lang w:bidi="ar-SA"/>
        </w:rPr>
        <w:t>المهديّ، عجّل الله تعالى فرجه، وصلوات الله وسلامه عليه وعلى آبائه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من أنصاره وأعوانه ومقوّي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تمّ تأليف هذه الرسالة في اليوم السابع والعشرين من جمادى الثانية من شهور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المشرّفة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الله الصافي الگلپايگاني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7207_107763"/>
      <w:bookmarkStart w:id="27" w:name="pg7207_107763"/>
      <w:bookmarkEnd w:id="27"/>
    </w:p>
    <w:p>
      <w:pPr>
        <w:pStyle w:val="Heading2"/>
        <w:numPr>
          <w:ilvl w:val="1"/>
          <w:numId w:val="1"/>
        </w:numPr>
        <w:rPr/>
      </w:pPr>
      <w:bookmarkStart w:id="28" w:name="pg7207_107763"/>
      <w:bookmarkStart w:id="29" w:name="__RefHeading___Toc75896_1051229030"/>
      <w:bookmarkStart w:id="30" w:name="_Toc8"/>
      <w:bookmarkEnd w:id="28"/>
      <w:bookmarkEnd w:id="29"/>
      <w:r>
        <w:rPr>
          <w:rtl w:val="true"/>
        </w:rPr>
        <w:t>مصادر التحقیق</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معرفة الرجال، 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في معرفة حجج الله علی العباد، المفيد،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المفيد،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الاسلاميّة،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الاُصول الستّة عشر من الاُصول الأوّلية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أبي سعيد عباد العصفري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الحديث،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إکليل المنهج في تحقيق المطلب، الخراساني الکرباسي، محمد جعفر بن محمد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الحديث،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إيضاح الاشتباه، العلّامة الحلّي، 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المجلسي،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إحياء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خطيب البغدادي،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الکتب العلمية،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 التهذيب، ابن حجر العسقلاني، أحمد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الکتب العلمية،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الأحکام، 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الإسلامیة،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التهذيب، ابن حجر العسقلاني،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الفکر،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الرواة، الأردبيلي،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المرعشي النجفي،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خاتمة مستدرك الوسائل، المحدّث النوري، ميرزا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الصدوق،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الأقوال في معرفة الرجال، العلّامة الحلّي، 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نشر الفقاهة،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ابن داود، ابن داود الحلّي، 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الأشرف، المطبعة الحيدرية،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الطوسي،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النجاشي، النجاشي،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الرجال، ابن الغضائري، أحمد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الحديث،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الرجالية، الکلباسي، محمد بن محمد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الحديث،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أبي داود، أبو داود السجستاني، سليمان بن أشعث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الفکر،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الترمذي، الترمذي، محمد بن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دار 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الذهبي،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الرسالة،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البخاري، محمد بن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مسلم النيسابوري،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مؤسّسة الأعلمي،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المعارف الإسلامية،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 في فضائل المصطفی والمرتضی والبتول والسبطين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الحموئي، إبراهيم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نشر الفقاهة،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قاموس الرجال، التستري،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الفيروز آبادي،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بيروت، دار المعرفة،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الکافي، الکليني، محمد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الإسلامية،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کفاية الأثر في النصّ علی الأئمّة الإثني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الخزّاز القمّي،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بيدار،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الدين وتمام النعمة،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في شرح أخبار آل الرسول’، المجلسي،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علی الصحيحين، الحاکم النيسابوري،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 دار المعرفة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أحمد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معالم العلماء، ابن شهر آشوب،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و تفصيل طبقات الرواة، الخوئي، السيّد أبو القاسم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الأثر في النصّ علی الأئمّة الإثني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الجوهري، أحمد بن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مکتبة الطباطبائي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فتح الباري بشرح صحيح البخاري، ابن حجر العسقلاني،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إحياء التراث العربي،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أبي طالب، ابن شهر آشوب،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الأشرف، المکتبة الحيدرية،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 في الإمام الثاني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الصافي الگلپايگاني، لطف الله، طهران، مکتبة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في نقد الرجال، الذهبي،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الحسيني التفرشي، السيّد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النهاية في غريب الحديث والأثر، ابن الأثير، مبارك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منشورات إسماعيليان،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الشريف الرضي، تحقيق وشرح محمد عبده، بيروت، دار 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ينابيع المودّة لذوي القربی، القندوزي، سليمان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الاُسوة،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7207_107779"/>
      <w:bookmarkStart w:id="32" w:name="pg7207_107779"/>
      <w:bookmarkEnd w:id="32"/>
    </w:p>
    <w:p>
      <w:pPr>
        <w:pStyle w:val="Heading2"/>
        <w:numPr>
          <w:ilvl w:val="1"/>
          <w:numId w:val="1"/>
        </w:numPr>
        <w:rPr/>
      </w:pPr>
      <w:bookmarkStart w:id="33" w:name="pg7207_107779"/>
      <w:bookmarkStart w:id="34" w:name="__RefHeading___Toc75898_1051229030"/>
      <w:bookmarkStart w:id="35" w:name="_Toc9"/>
      <w:bookmarkEnd w:id="33"/>
      <w:bookmarkEnd w:id="34"/>
      <w:r>
        <w:rPr>
          <w:rtl w:val="true"/>
        </w:rPr>
        <w:t>الفهرس</w:t>
      </w:r>
      <w:bookmarkEnd w:id="35"/>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أمّا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أمّا الكلام في أسنادها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متون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ما يصحّ أن يقال في توجيه هذه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التحقیق</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7207_107783"/>
      <w:bookmarkStart w:id="37" w:name="pg7207_107783"/>
      <w:bookmarkEnd w:id="37"/>
    </w:p>
    <w:p>
      <w:pPr>
        <w:pStyle w:val="Heading2"/>
        <w:numPr>
          <w:ilvl w:val="1"/>
          <w:numId w:val="1"/>
        </w:numPr>
        <w:rPr/>
      </w:pPr>
      <w:bookmarkStart w:id="38" w:name="pg7207_107783"/>
      <w:bookmarkStart w:id="39" w:name="__RefHeading___Toc75900_1051229030"/>
      <w:bookmarkStart w:id="40" w:name="_Toc10"/>
      <w:bookmarkEnd w:id="38"/>
      <w:bookmarkEnd w:id="39"/>
      <w:r>
        <w:rPr>
          <w:rtl w:val="true"/>
        </w:rPr>
        <w:t>آثار سماحة آية الله العظمى الصافي الگلپايگاني مدّ ظلّه الوارف</w:t>
      </w:r>
      <w:bookmarkEnd w:id="40"/>
    </w:p>
    <w:p>
      <w:pPr>
        <w:pStyle w:val="BookText"/>
        <w:rPr/>
      </w:pPr>
      <w:r>
        <w:rPr>
          <w:rFonts w:ascii="Amiri" w:hAnsi="Amiri" w:eastAsia="Amiri" w:cs="Amiri"/>
          <w:color w:val="111111"/>
          <w:sz w:val="28"/>
          <w:sz w:val="28"/>
          <w:szCs w:val="28"/>
          <w:rtl w:val="true"/>
          <w:lang w:bidi="ar-SA"/>
        </w:rPr>
        <w:t>الصورة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jpg.63</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نصّ الکتاب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المرجع الدينيّ الأعلى آية الله العظمى السيّد محمد رضا الموسوي الگلپايگاني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الّذي خسرت الاُمّة بفقدها أحد الأفذاذ والأركان، والّذي كان مثلاً للتواضع وإنكار الذات، فكان يقوم بأعمال عديدة وكبيرة ولا يرضى بذكر اسمه بالمدح والثناء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تغمّده الله برحمته الواسعة وأعلى مقامه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البخاري، صحيح،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مسلم النيسابوري، صحيح،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أبو داود السجستاني،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الترمذي، سنن،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الحاکم النيسابوري،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الخطيب البغدادي، تاريخ بغداد،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7673</w:t>
      </w:r>
      <w:r>
        <w:rPr>
          <w:rFonts w:ascii="IRNazanin" w:hAnsi="IRNazanin" w:eastAsia="IRNazanin"/>
          <w:b w:val="false"/>
          <w:b w:val="false"/>
          <w:bCs w:val="false"/>
          <w:i w:val="false"/>
          <w:i w:val="false"/>
          <w:iCs w:val="false"/>
          <w:color w:val="333333"/>
          <w:sz w:val="20"/>
          <w:sz w:val="20"/>
          <w:szCs w:val="20"/>
          <w:rtl w:val="true"/>
        </w:rPr>
        <w:t>؛ القندوزي، ينابيع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ذلك الكتب الّتي أشرنا إليها من كتب أهل السنّة، وجوامع حديث الشيعة ومؤلّفاتهم في هذا الموضوع، كالصراط المستقيم إلى مستحقّي التقديم، في ثلاثة أجزاء، وإثبات الهداة في سبعة أجزاء، وكفاية الأثر، ومقتضب الأثر، والمناقب لابن شهر آشوب، وبحار الأنوار، والعوالم، والعمدة لابن البطريق، وكتابنا منتخب الأثر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 التثبّت في ذلك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وإثبات الهداة، والصراط المستقيم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الکليني،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باب ما جاء في الإثني عشر والنصّ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الأصل،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الإثنا عشر إماماً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الکليني،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المطبوعة الموجودة عندنا، قال في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رزّت الجرادة وترزّ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غرزت ذنبها في الأرض لتبيض كأرزّت، والرجل طعنه، والباب أصلح عليه الرزّة، وهي حديدة يدخل فيها القفل، والشيء في الشيء أثبته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 آبادي، القاموس المحيط،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الکليني،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الکليني،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الکليني،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الکليني،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الحديث على ما في بحار الأنوار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المفضّل، عن رجاء بن يحيى العبرتائي الكاتب، عن محمد بن خلّاد الباهلي، عن معاذ بن معاذ، عن ابن عون، عن هشام بن زيد، عن 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القمّي، كفاية الأثر، باب ما جاء عن أنس بن مالك عن النبيّ’،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القمّي ، كفاية الأثر، باب ما جاء عن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مرآة العقول،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اختيار معرفة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سماعة</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العلّامة الحلّي، خلاصة الأقوال،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العلّامة الحلّي، خلاصة الأقوال،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العلّامة الحلّي، خلاصة الأقوال،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خلاصة الأقوال،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الخوئي، معجم رجال الحديث،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اختيار معرفة الرجال،ج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ذلك وغيره ممّا ذكرناه في هذه الرسالة من أحوال الرجال الكتب الرجالية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والفهرست، ورجال العلّامة، والنجاشي، والكشّي، وتنقيح المقال، ومنهج المقال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ابن داود الحلّي، رجال،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العلّامة الحلّي، إيضاح الاشتباه،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العلّامة الحلّي، خلاصة الأقوال،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شبيب فامي كان بقم له دبّة ذات بيوت يعطي منها ما يطلب منه من دهن، فشبّهوا هذا الكتاب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رجال،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العلّامة الحلّي، إيضاح الاشتباه،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ابن داود، رجال،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العلّامة الحلّي، خلاصة الأقوال،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المحدّث النوري، خاتمة مستدرك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الأردبيلي، جامع الرواة،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العسقلاني، تقريب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ابن حجر العسقلاني، تهذيب التهذيب،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الزکي، مقدمة فتح الباري،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سير أعلام النبلاء،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الذهبي، ميزان الإعتدال،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الفهرست،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الأردبيلي، جامع الرواة،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الغضائري،</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رجال،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ابن شهر آشوب، معالم العلماء،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العلّامة الحلّي، خلاصة الأقوال،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ابن داود الحلّي، رجال،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الأردبيلي، جامع الرواة،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الحسیني التفرشي، نقد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مرآة العقول،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مرآة العقول،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الخصال،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الصدوق،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 أصل أبي سعيد،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 أصل أبي سعيد،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ابن شهر آشوب، مناقب آل أبي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بَيْتِي اثْنَا عَشَرَ نَقِيباً مُحَدَّثُونَ، مُفَهَّمُونَ، مِنْهُمُ الْقَائِمُ بِالْحَقِّ يَمْلَأُ الْأَرْضَ عَدْلاً كَمَا مُلِئَتْ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اللفظ أيضاً موافق لألفاظ سائر الروايات المعتبرة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كمال الدين،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كمال الدين،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صدوق،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کمال الدین،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کمال الدین،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الخصال،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مقتضب الأثر،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الحموئي،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باب نصّ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القمّي، کفاية الأثر،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المجلسي، مرآة العقول،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القمّي، كفاية الأثر،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باب ما روی عن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في النصوص علی الأئمّة الإثني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وكتابنا منتخب الأثر،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footnotes" Target="footnotes.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6942</Words>
  <Characters>32700</Characters>
  <CharactersWithSpaces>39260</CharactersWithSpaces>
  <Paragraphs>507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2026-08-27T08:29:00Z</dcterms:created>
  <dc:creator>ghaemiyeh.com</dc:creator>
  <dc:description/>
  <dc:language>en-US</dc:language>
  <cp:lastModifiedBy/>
  <dcterms:modified xsi:type="dcterms:W3CDTF">2026-08-27T11:59:02Z</dcterms:modified>
  <cp:revision>1</cp:revision>
  <dc:subject/>
  <dc:title>جلاء البصر لمن یتولی الایمه الاثنی عشر علیهم السلام</dc:title>
</cp:coreProperties>
</file>

<file path=docProps/custom.xml><?xml version="1.0" encoding="utf-8"?>
<Properties xmlns="http://schemas.openxmlformats.org/officeDocument/2006/custom-properties" xmlns:vt="http://schemas.openxmlformats.org/officeDocument/2006/docPropsVTypes"/>
</file>